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182403" w14:textId="543F52C6" w:rsidR="00F4674A" w:rsidRDefault="00F4674A" w:rsidP="0007242A">
      <w:pPr>
        <w:spacing w:line="480" w:lineRule="auto"/>
        <w:rPr>
          <w:rFonts w:ascii="Arial" w:hAnsi="Arial" w:cs="Arial"/>
          <w:b/>
          <w:bCs/>
        </w:rPr>
      </w:pPr>
      <w:r>
        <w:rPr>
          <w:rFonts w:ascii="Arial" w:hAnsi="Arial" w:cs="Arial" w:hint="eastAsia"/>
          <w:b/>
          <w:bCs/>
        </w:rPr>
        <w:t>M</w:t>
      </w:r>
      <w:r>
        <w:rPr>
          <w:rFonts w:ascii="Arial" w:hAnsi="Arial" w:cs="Arial"/>
          <w:b/>
          <w:bCs/>
        </w:rPr>
        <w:t>ethods:</w:t>
      </w:r>
    </w:p>
    <w:p w14:paraId="3F86071D" w14:textId="354E16A3" w:rsidR="00F4674A" w:rsidRDefault="00F4674A" w:rsidP="0007242A">
      <w:pPr>
        <w:spacing w:line="480" w:lineRule="auto"/>
        <w:rPr>
          <w:rFonts w:ascii="Arial" w:hAnsi="Arial" w:cs="Arial"/>
          <w:b/>
          <w:bCs/>
        </w:rPr>
      </w:pPr>
      <w:r>
        <w:rPr>
          <w:rFonts w:ascii="Arial" w:hAnsi="Arial" w:cs="Arial"/>
          <w:b/>
          <w:bCs/>
        </w:rPr>
        <w:t>L</w:t>
      </w:r>
      <w:r w:rsidRPr="00F4674A">
        <w:rPr>
          <w:rFonts w:ascii="Arial" w:hAnsi="Arial" w:cs="Arial"/>
          <w:b/>
          <w:bCs/>
        </w:rPr>
        <w:t>ibrary construction, sequencing, and data analysis</w:t>
      </w:r>
      <w:r>
        <w:rPr>
          <w:rFonts w:ascii="Arial" w:hAnsi="Arial" w:cs="Arial"/>
          <w:b/>
          <w:bCs/>
        </w:rPr>
        <w:t xml:space="preserve"> of RNA-seq:</w:t>
      </w:r>
    </w:p>
    <w:p w14:paraId="7F50EFFE" w14:textId="77777777" w:rsidR="008778B9" w:rsidRPr="00E435F0" w:rsidRDefault="008778B9" w:rsidP="008778B9">
      <w:pPr>
        <w:spacing w:line="480" w:lineRule="auto"/>
        <w:ind w:firstLineChars="200" w:firstLine="420"/>
        <w:rPr>
          <w:rFonts w:ascii="Arial" w:hAnsi="Arial" w:cs="Arial"/>
          <w:szCs w:val="21"/>
        </w:rPr>
      </w:pPr>
      <w:bookmarkStart w:id="0" w:name="_Hlk151131432"/>
      <w:r w:rsidRPr="00E435F0">
        <w:rPr>
          <w:rFonts w:ascii="Arial" w:hAnsi="Arial" w:cs="Arial"/>
          <w:szCs w:val="21"/>
        </w:rPr>
        <w:t>Sample QC</w:t>
      </w:r>
      <w:r>
        <w:rPr>
          <w:rFonts w:ascii="Arial" w:hAnsi="Arial" w:cs="Arial"/>
          <w:szCs w:val="21"/>
        </w:rPr>
        <w:t xml:space="preserve">: </w:t>
      </w:r>
      <w:r w:rsidRPr="00E435F0">
        <w:rPr>
          <w:rFonts w:ascii="Arial" w:hAnsi="Arial" w:cs="Arial"/>
          <w:szCs w:val="21"/>
        </w:rPr>
        <w:t>Select the corresponding testing methods for quality inspection according to the requirements of samples and products.</w:t>
      </w:r>
    </w:p>
    <w:p w14:paraId="5F13D3BD" w14:textId="77777777" w:rsidR="008778B9" w:rsidRPr="00E435F0" w:rsidRDefault="008778B9" w:rsidP="008778B9">
      <w:pPr>
        <w:spacing w:line="480" w:lineRule="auto"/>
        <w:ind w:firstLineChars="200" w:firstLine="420"/>
        <w:rPr>
          <w:rFonts w:ascii="Arial" w:hAnsi="Arial" w:cs="Arial"/>
          <w:szCs w:val="21"/>
        </w:rPr>
      </w:pPr>
      <w:r w:rsidRPr="00E435F0">
        <w:rPr>
          <w:rFonts w:ascii="Arial" w:hAnsi="Arial" w:cs="Arial"/>
          <w:szCs w:val="21"/>
        </w:rPr>
        <w:t>mRNA Isolation</w:t>
      </w:r>
      <w:r>
        <w:rPr>
          <w:rFonts w:ascii="Arial" w:hAnsi="Arial" w:cs="Arial" w:hint="eastAsia"/>
          <w:szCs w:val="21"/>
        </w:rPr>
        <w:t>:</w:t>
      </w:r>
      <w:r>
        <w:rPr>
          <w:rFonts w:ascii="Arial" w:hAnsi="Arial" w:cs="Arial"/>
          <w:szCs w:val="21"/>
        </w:rPr>
        <w:t xml:space="preserve"> </w:t>
      </w:r>
      <w:r w:rsidRPr="00E435F0">
        <w:rPr>
          <w:rFonts w:ascii="Arial" w:hAnsi="Arial" w:cs="Arial"/>
          <w:szCs w:val="21"/>
        </w:rPr>
        <w:t>A certain amount of RNA samples are denatured at suitable temperature to open their secondary structure, and mRNA is enriched by oligo (dT) -attached magnetic beads.</w:t>
      </w:r>
    </w:p>
    <w:p w14:paraId="16AEEC3A" w14:textId="77777777" w:rsidR="008778B9" w:rsidRPr="00E435F0" w:rsidRDefault="008778B9" w:rsidP="008778B9">
      <w:pPr>
        <w:spacing w:line="480" w:lineRule="auto"/>
        <w:ind w:firstLineChars="200" w:firstLine="420"/>
        <w:rPr>
          <w:rFonts w:ascii="Arial" w:hAnsi="Arial" w:cs="Arial"/>
          <w:szCs w:val="21"/>
        </w:rPr>
      </w:pPr>
      <w:r w:rsidRPr="00E435F0">
        <w:rPr>
          <w:rFonts w:ascii="Arial" w:hAnsi="Arial" w:cs="Arial"/>
          <w:szCs w:val="21"/>
        </w:rPr>
        <w:t>mRNA Fragmentation</w:t>
      </w:r>
      <w:r>
        <w:rPr>
          <w:rFonts w:ascii="Arial" w:hAnsi="Arial" w:cs="Arial" w:hint="eastAsia"/>
          <w:szCs w:val="21"/>
        </w:rPr>
        <w:t>:</w:t>
      </w:r>
      <w:r>
        <w:rPr>
          <w:rFonts w:ascii="Arial" w:hAnsi="Arial" w:cs="Arial"/>
          <w:szCs w:val="21"/>
        </w:rPr>
        <w:t xml:space="preserve"> </w:t>
      </w:r>
      <w:r w:rsidRPr="00E435F0">
        <w:rPr>
          <w:rFonts w:ascii="Arial" w:hAnsi="Arial" w:cs="Arial"/>
          <w:szCs w:val="21"/>
        </w:rPr>
        <w:t>The reaction system is configured. After reacting at the suitable temperature for a fixed period of time, RNAs are fragmented.</w:t>
      </w:r>
    </w:p>
    <w:p w14:paraId="4FA93C7E" w14:textId="77777777" w:rsidR="008778B9" w:rsidRPr="00E435F0" w:rsidRDefault="008778B9" w:rsidP="008778B9">
      <w:pPr>
        <w:spacing w:line="480" w:lineRule="auto"/>
        <w:ind w:firstLineChars="200" w:firstLine="420"/>
        <w:rPr>
          <w:rFonts w:ascii="Arial" w:hAnsi="Arial" w:cs="Arial"/>
          <w:szCs w:val="21"/>
        </w:rPr>
      </w:pPr>
      <w:r w:rsidRPr="00E435F0">
        <w:rPr>
          <w:rFonts w:ascii="Arial" w:hAnsi="Arial" w:cs="Arial"/>
          <w:szCs w:val="21"/>
        </w:rPr>
        <w:t>cDNA Synthesis</w:t>
      </w:r>
      <w:r>
        <w:rPr>
          <w:rFonts w:ascii="Arial" w:hAnsi="Arial" w:cs="Arial" w:hint="eastAsia"/>
          <w:szCs w:val="21"/>
        </w:rPr>
        <w:t>:</w:t>
      </w:r>
      <w:r>
        <w:rPr>
          <w:rFonts w:ascii="Arial" w:hAnsi="Arial" w:cs="Arial"/>
          <w:szCs w:val="21"/>
        </w:rPr>
        <w:t xml:space="preserve"> </w:t>
      </w:r>
      <w:r w:rsidRPr="00E435F0">
        <w:rPr>
          <w:rFonts w:ascii="Arial" w:hAnsi="Arial" w:cs="Arial"/>
          <w:szCs w:val="21"/>
        </w:rPr>
        <w:t>Prepare the first-strand synthesis reaction system, and set up the reaction program, synthesize the first- strand cDNA, prepare the second-strand synthesis reaction system, and set up the reaction program to synthesize the second-strand cDNA.</w:t>
      </w:r>
    </w:p>
    <w:p w14:paraId="2A829C4B" w14:textId="77777777" w:rsidR="008778B9" w:rsidRPr="00E435F0" w:rsidRDefault="008778B9" w:rsidP="008778B9">
      <w:pPr>
        <w:spacing w:line="480" w:lineRule="auto"/>
        <w:ind w:firstLineChars="200" w:firstLine="420"/>
        <w:rPr>
          <w:rFonts w:ascii="Arial" w:hAnsi="Arial" w:cs="Arial"/>
          <w:szCs w:val="21"/>
        </w:rPr>
      </w:pPr>
      <w:r w:rsidRPr="00E435F0">
        <w:rPr>
          <w:rFonts w:ascii="Arial" w:hAnsi="Arial" w:cs="Arial"/>
          <w:szCs w:val="21"/>
        </w:rPr>
        <w:t>End Repair, Add A and Adaptor Ligation</w:t>
      </w:r>
      <w:r>
        <w:rPr>
          <w:rFonts w:ascii="Arial" w:hAnsi="Arial" w:cs="Arial" w:hint="eastAsia"/>
          <w:szCs w:val="21"/>
        </w:rPr>
        <w:t>:</w:t>
      </w:r>
      <w:r>
        <w:rPr>
          <w:rFonts w:ascii="Arial" w:hAnsi="Arial" w:cs="Arial"/>
          <w:szCs w:val="21"/>
        </w:rPr>
        <w:t xml:space="preserve"> </w:t>
      </w:r>
      <w:r w:rsidRPr="00E435F0">
        <w:rPr>
          <w:rFonts w:ascii="Arial" w:hAnsi="Arial" w:cs="Arial"/>
          <w:szCs w:val="21"/>
        </w:rPr>
        <w:t>After the reaction system and program are configured and set up, double-stranded cDNA fragments are subjected to end-repair, and then a single ‘A’ nucleotide is added to the 3’ ends of the blunt fragments. The reaction system and program for adaptor ligation are subsequently configured and set up to ligate adaptors with the cDNAs.</w:t>
      </w:r>
    </w:p>
    <w:p w14:paraId="6FB2C003" w14:textId="77777777" w:rsidR="008778B9" w:rsidRPr="00E435F0" w:rsidRDefault="008778B9" w:rsidP="008778B9">
      <w:pPr>
        <w:spacing w:line="480" w:lineRule="auto"/>
        <w:ind w:firstLineChars="200" w:firstLine="420"/>
        <w:rPr>
          <w:rFonts w:ascii="Arial" w:hAnsi="Arial" w:cs="Arial"/>
          <w:szCs w:val="21"/>
        </w:rPr>
      </w:pPr>
      <w:r w:rsidRPr="00E435F0">
        <w:rPr>
          <w:rFonts w:ascii="Arial" w:hAnsi="Arial" w:cs="Arial"/>
          <w:szCs w:val="21"/>
        </w:rPr>
        <w:t>PCR</w:t>
      </w:r>
      <w:r>
        <w:rPr>
          <w:rFonts w:ascii="Arial" w:hAnsi="Arial" w:cs="Arial" w:hint="eastAsia"/>
          <w:szCs w:val="21"/>
        </w:rPr>
        <w:t>:</w:t>
      </w:r>
      <w:r>
        <w:rPr>
          <w:rFonts w:ascii="Arial" w:hAnsi="Arial" w:cs="Arial"/>
          <w:szCs w:val="21"/>
        </w:rPr>
        <w:t xml:space="preserve"> </w:t>
      </w:r>
      <w:r w:rsidRPr="00E435F0">
        <w:rPr>
          <w:rFonts w:ascii="Arial" w:hAnsi="Arial" w:cs="Arial"/>
          <w:szCs w:val="21"/>
        </w:rPr>
        <w:t>The PCR reaction system and program are configured and set up to amplify the product.</w:t>
      </w:r>
    </w:p>
    <w:p w14:paraId="377D19F8" w14:textId="77777777" w:rsidR="008778B9" w:rsidRPr="00E435F0" w:rsidRDefault="008778B9" w:rsidP="008778B9">
      <w:pPr>
        <w:spacing w:line="480" w:lineRule="auto"/>
        <w:ind w:firstLineChars="200" w:firstLine="420"/>
        <w:rPr>
          <w:rFonts w:ascii="Arial" w:hAnsi="Arial" w:cs="Arial"/>
          <w:szCs w:val="21"/>
        </w:rPr>
      </w:pPr>
      <w:r w:rsidRPr="00E435F0">
        <w:rPr>
          <w:rFonts w:ascii="Arial" w:hAnsi="Arial" w:cs="Arial"/>
          <w:szCs w:val="21"/>
        </w:rPr>
        <w:t>Library QC</w:t>
      </w:r>
      <w:r>
        <w:rPr>
          <w:rFonts w:ascii="Arial" w:hAnsi="Arial" w:cs="Arial" w:hint="eastAsia"/>
          <w:szCs w:val="21"/>
        </w:rPr>
        <w:t>:</w:t>
      </w:r>
      <w:r>
        <w:rPr>
          <w:rFonts w:ascii="Arial" w:hAnsi="Arial" w:cs="Arial"/>
          <w:szCs w:val="21"/>
        </w:rPr>
        <w:t xml:space="preserve"> </w:t>
      </w:r>
      <w:r w:rsidRPr="00E435F0">
        <w:rPr>
          <w:rFonts w:ascii="Arial" w:hAnsi="Arial" w:cs="Arial"/>
          <w:szCs w:val="21"/>
        </w:rPr>
        <w:t>The corresponding library quality control protocol will be selected depending upon product requirements.</w:t>
      </w:r>
    </w:p>
    <w:p w14:paraId="555A01B4" w14:textId="77777777" w:rsidR="008778B9" w:rsidRPr="00E435F0" w:rsidRDefault="008778B9" w:rsidP="008778B9">
      <w:pPr>
        <w:spacing w:line="480" w:lineRule="auto"/>
        <w:ind w:firstLineChars="200" w:firstLine="420"/>
        <w:rPr>
          <w:rFonts w:ascii="Arial" w:hAnsi="Arial" w:cs="Arial"/>
          <w:szCs w:val="21"/>
        </w:rPr>
      </w:pPr>
      <w:r w:rsidRPr="00E435F0">
        <w:rPr>
          <w:rFonts w:ascii="Arial" w:hAnsi="Arial" w:cs="Arial"/>
          <w:szCs w:val="21"/>
        </w:rPr>
        <w:t>Circularization</w:t>
      </w:r>
      <w:r>
        <w:rPr>
          <w:rFonts w:ascii="Arial" w:hAnsi="Arial" w:cs="Arial" w:hint="eastAsia"/>
          <w:szCs w:val="21"/>
        </w:rPr>
        <w:t>:</w:t>
      </w:r>
      <w:r>
        <w:rPr>
          <w:rFonts w:ascii="Arial" w:hAnsi="Arial" w:cs="Arial"/>
          <w:szCs w:val="21"/>
        </w:rPr>
        <w:t xml:space="preserve"> </w:t>
      </w:r>
      <w:r w:rsidRPr="00E435F0">
        <w:rPr>
          <w:rFonts w:ascii="Arial" w:hAnsi="Arial" w:cs="Arial"/>
          <w:szCs w:val="21"/>
        </w:rPr>
        <w:t>Single-stranded PCR products are produced via denaturation. The reaction system and program for circularization are subsequently configured and set up. Single-stranded cyclized products are produced, while uncyclized linear DNA molecules are digested.</w:t>
      </w:r>
    </w:p>
    <w:p w14:paraId="79004295" w14:textId="77777777" w:rsidR="008778B9" w:rsidRPr="002C1810" w:rsidRDefault="008778B9" w:rsidP="008778B9">
      <w:pPr>
        <w:spacing w:line="480" w:lineRule="auto"/>
        <w:ind w:firstLineChars="200" w:firstLine="420"/>
        <w:rPr>
          <w:rFonts w:ascii="Arial" w:hAnsi="Arial" w:cs="Arial"/>
          <w:szCs w:val="21"/>
        </w:rPr>
      </w:pPr>
      <w:r w:rsidRPr="00E435F0">
        <w:rPr>
          <w:rFonts w:ascii="Arial" w:hAnsi="Arial" w:cs="Arial"/>
          <w:szCs w:val="21"/>
        </w:rPr>
        <w:t>Sequencing</w:t>
      </w:r>
      <w:r>
        <w:rPr>
          <w:rFonts w:ascii="Arial" w:hAnsi="Arial" w:cs="Arial" w:hint="eastAsia"/>
          <w:szCs w:val="21"/>
        </w:rPr>
        <w:t>:</w:t>
      </w:r>
      <w:r>
        <w:rPr>
          <w:rFonts w:ascii="Arial" w:hAnsi="Arial" w:cs="Arial"/>
          <w:szCs w:val="21"/>
        </w:rPr>
        <w:t xml:space="preserve"> </w:t>
      </w:r>
      <w:r w:rsidRPr="00E435F0">
        <w:rPr>
          <w:rFonts w:ascii="Arial" w:hAnsi="Arial" w:cs="Arial"/>
          <w:szCs w:val="21"/>
        </w:rPr>
        <w:t>Single-stranded circle DNA molecules are replicated via rolling cycle amplification, and a DNA nanoball (DNB) which contain multiple copies of DNA is generated. Sufficient quality DNBs are then loaded into patterned nanoarrays using high-intensity DNA nanochip technique and sequenced through combinatorial Probe-Anchor Synthesis (cPAS).</w:t>
      </w:r>
      <w:r w:rsidRPr="002C1810">
        <w:rPr>
          <w:rFonts w:ascii="Arial" w:hAnsi="Arial" w:cs="Arial"/>
          <w:szCs w:val="21"/>
        </w:rPr>
        <w:t xml:space="preserve"> </w:t>
      </w:r>
    </w:p>
    <w:p w14:paraId="1A07596C" w14:textId="747118F0" w:rsidR="008778B9" w:rsidRPr="00AA1797" w:rsidRDefault="008778B9" w:rsidP="008778B9">
      <w:pPr>
        <w:spacing w:line="480" w:lineRule="auto"/>
        <w:ind w:firstLineChars="200" w:firstLine="420"/>
        <w:rPr>
          <w:rFonts w:ascii="Arial" w:hAnsi="Arial" w:cs="Arial"/>
          <w:szCs w:val="21"/>
        </w:rPr>
      </w:pPr>
      <w:r w:rsidRPr="00AA1797">
        <w:rPr>
          <w:rFonts w:ascii="Arial" w:hAnsi="Arial" w:cs="Arial"/>
          <w:szCs w:val="21"/>
        </w:rPr>
        <w:t>Data filtering</w:t>
      </w:r>
      <w:r>
        <w:rPr>
          <w:rFonts w:ascii="Arial" w:hAnsi="Arial" w:cs="Arial" w:hint="eastAsia"/>
          <w:szCs w:val="21"/>
        </w:rPr>
        <w:t>:</w:t>
      </w:r>
      <w:r w:rsidRPr="00AA1797">
        <w:rPr>
          <w:rFonts w:ascii="Arial" w:hAnsi="Arial" w:cs="Arial"/>
          <w:szCs w:val="21"/>
        </w:rPr>
        <w:t xml:space="preserve"> The sequencing data was filtered with SOAPnuke </w:t>
      </w:r>
      <w:r>
        <w:rPr>
          <w:rFonts w:ascii="Arial" w:hAnsi="Arial" w:cs="Arial"/>
          <w:szCs w:val="21"/>
        </w:rPr>
        <w:fldChar w:fldCharType="begin"/>
      </w:r>
      <w:r>
        <w:rPr>
          <w:rFonts w:ascii="Arial" w:hAnsi="Arial" w:cs="Arial"/>
          <w:szCs w:val="21"/>
        </w:rPr>
        <w:instrText xml:space="preserve"> ADDIN EN.CITE &lt;EndNote&gt;&lt;Cite&gt;&lt;Author&gt;Li&lt;/Author&gt;&lt;Year&gt;2008&lt;/Year&gt;&lt;RecNum&gt;1465&lt;/RecNum&gt;&lt;DisplayText&gt;[1]&lt;/DisplayText&gt;&lt;record&gt;&lt;rec-number&gt;1465&lt;/rec-number&gt;&lt;foreign-keys&gt;&lt;key app="EN" db-id="rds0dtf5p2vw04etp09pvrs8v020zvfdsx9t" timestamp="1700095764"&gt;1465&lt;/key&gt;&lt;/foreign-keys&gt;&lt;ref-type name="Journal Article"&gt;17&lt;/ref-type&gt;&lt;contributors&gt;&lt;authors&gt;&lt;author&gt;Li, R.&lt;/author&gt;&lt;author&gt;Li, Y.&lt;/author&gt;&lt;author&gt;Kristiansen, K.&lt;/author&gt;&lt;author&gt;Wang, J.&lt;/author&gt;&lt;/authors&gt;&lt;/contributors&gt;&lt;auth-address&gt;Beijing Genomics Institute at Shenzhen, Shenzhen 518083, China.&lt;/auth-address&gt;&lt;titles&gt;&lt;title&gt;SOAP: short oligonucleotide alignment program&lt;/title&gt;&lt;secondary-title&gt;Bioinformatics&lt;/secondary-title&gt;&lt;/titles&gt;&lt;periodical&gt;&lt;full-title&gt;Bioinformatics&lt;/full-title&gt;&lt;/periodical&gt;&lt;pages&gt;713-4&lt;/pages&gt;&lt;volume&gt;24&lt;/volume&gt;&lt;number&gt;5&lt;/number&gt;&lt;edition&gt;2008/01/30&lt;/edition&gt;&lt;keywords&gt;&lt;keyword&gt;*Sequence Alignment&lt;/keyword&gt;&lt;keyword&gt;Sequence Analysis, DNA&lt;/keyword&gt;&lt;keyword&gt;*Sequence Homology, Amino Acid&lt;/keyword&gt;&lt;/keywords&gt;&lt;dates&gt;&lt;year&gt;2008&lt;/year&gt;&lt;pub-dates&gt;&lt;date&gt;Mar 1&lt;/date&gt;&lt;/pub-dates&gt;&lt;/dates&gt;&lt;isbn&gt;1367-4803&lt;/isbn&gt;&lt;accession-num&gt;18227114&lt;/accession-num&gt;&lt;urls&gt;&lt;/urls&gt;&lt;electronic-resource-num&gt;10.1093/bioinformatics/btn025&lt;/electronic-resource-num&gt;&lt;remote-database-provider&gt;NLM&lt;/remote-database-provider&gt;&lt;language&gt;eng&lt;/language&gt;&lt;/record&gt;&lt;/Cite&gt;&lt;/EndNote&gt;</w:instrText>
      </w:r>
      <w:r>
        <w:rPr>
          <w:rFonts w:ascii="Arial" w:hAnsi="Arial" w:cs="Arial"/>
          <w:szCs w:val="21"/>
        </w:rPr>
        <w:fldChar w:fldCharType="separate"/>
      </w:r>
      <w:r>
        <w:rPr>
          <w:rFonts w:ascii="Arial" w:hAnsi="Arial" w:cs="Arial"/>
          <w:noProof/>
          <w:szCs w:val="21"/>
        </w:rPr>
        <w:t>[1]</w:t>
      </w:r>
      <w:r>
        <w:rPr>
          <w:rFonts w:ascii="Arial" w:hAnsi="Arial" w:cs="Arial"/>
          <w:szCs w:val="21"/>
        </w:rPr>
        <w:fldChar w:fldCharType="end"/>
      </w:r>
      <w:r w:rsidRPr="00AA1797">
        <w:rPr>
          <w:rFonts w:ascii="Arial" w:hAnsi="Arial" w:cs="Arial"/>
          <w:szCs w:val="21"/>
        </w:rPr>
        <w:t xml:space="preserve"> by (1) Removing reads containing sequencing adapter; (2) Removing reads whose low-quality base ratio (base quality less than or equal to 15) is more than 20%; (3) Removing reads whose unknown base ('N' base) ratio is more than 5%, afterwards clean reads were obtained and stored in FASTQ format. The subsequent analysis and data mining were performed on Dr. Tom Multi-omics Data mining system (https://biosys.bgi.com).</w:t>
      </w:r>
    </w:p>
    <w:p w14:paraId="26FE517D" w14:textId="4321D011" w:rsidR="008778B9" w:rsidRPr="00AA1797" w:rsidRDefault="008778B9" w:rsidP="008778B9">
      <w:pPr>
        <w:spacing w:line="480" w:lineRule="auto"/>
        <w:ind w:firstLineChars="200" w:firstLine="420"/>
        <w:rPr>
          <w:rFonts w:ascii="Arial" w:hAnsi="Arial" w:cs="Arial"/>
          <w:szCs w:val="21"/>
        </w:rPr>
      </w:pPr>
      <w:r w:rsidRPr="00AA1797">
        <w:rPr>
          <w:rFonts w:ascii="Arial" w:hAnsi="Arial" w:cs="Arial"/>
          <w:szCs w:val="21"/>
        </w:rPr>
        <w:t>RNA identification</w:t>
      </w:r>
      <w:r>
        <w:rPr>
          <w:rFonts w:ascii="Arial" w:hAnsi="Arial" w:cs="Arial"/>
          <w:szCs w:val="21"/>
        </w:rPr>
        <w:t>:</w:t>
      </w:r>
      <w:r w:rsidRPr="00AA1797">
        <w:rPr>
          <w:rFonts w:ascii="Arial" w:hAnsi="Arial" w:cs="Arial"/>
          <w:szCs w:val="21"/>
        </w:rPr>
        <w:t xml:space="preserve"> Bowtie2</w:t>
      </w:r>
      <w:r>
        <w:rPr>
          <w:rFonts w:ascii="Arial" w:hAnsi="Arial" w:cs="Arial"/>
          <w:szCs w:val="21"/>
        </w:rPr>
        <w:fldChar w:fldCharType="begin"/>
      </w:r>
      <w:r>
        <w:rPr>
          <w:rFonts w:ascii="Arial" w:hAnsi="Arial" w:cs="Arial"/>
          <w:szCs w:val="21"/>
        </w:rPr>
        <w:instrText xml:space="preserve"> ADDIN EN.CITE &lt;EndNote&gt;&lt;Cite&gt;&lt;Author&gt;Langmead&lt;/Author&gt;&lt;Year&gt;2012&lt;/Year&gt;&lt;RecNum&gt;1466&lt;/RecNum&gt;&lt;DisplayText&gt;[2]&lt;/DisplayText&gt;&lt;record&gt;&lt;rec-number&gt;1466&lt;/rec-number&gt;&lt;foreign-keys&gt;&lt;key app="EN" db-id="rds0dtf5p2vw04etp09pvrs8v020zvfdsx9t" timestamp="1700095815"&gt;1466&lt;/key&gt;&lt;/foreign-keys&gt;&lt;ref-type name="Journal Article"&gt;17&lt;/ref-type&gt;&lt;contributors&gt;&lt;authors&gt;&lt;author&gt;Langmead, B.&lt;/author&gt;&lt;author&gt;Salzberg, S. L.&lt;/author&gt;&lt;/authors&gt;&lt;/contributors&gt;&lt;auth-address&gt;Center for Bioinformatics and Computational Biology, Institute for Advanced Computer Studies, University of Maryland, College Park, Maryland, USA. blangmea@jhsph.edu&lt;/auth-address&gt;&lt;titles&gt;&lt;title&gt;Fast gapped-read alignment with Bowtie 2&lt;/title&gt;&lt;secondary-title&gt;Nat Methods&lt;/secondary-title&gt;&lt;/titles&gt;&lt;periodical&gt;&lt;full-title&gt;Nat Methods&lt;/full-title&gt;&lt;/periodical&gt;&lt;pages&gt;357-9&lt;/pages&gt;&lt;volume&gt;9&lt;/volume&gt;&lt;number&gt;4&lt;/number&gt;&lt;edition&gt;2012/03/06&lt;/edition&gt;&lt;keywords&gt;&lt;keyword&gt;*Algorithms&lt;/keyword&gt;&lt;keyword&gt;Computational Biology/*methods&lt;/keyword&gt;&lt;keyword&gt;Databases, Genetic&lt;/keyword&gt;&lt;keyword&gt;Genome, Human/genetics&lt;/keyword&gt;&lt;keyword&gt;Humans&lt;/keyword&gt;&lt;keyword&gt;Sequence Alignment/*methods&lt;/keyword&gt;&lt;keyword&gt;Sequence Analysis, DNA/methods&lt;/keyword&gt;&lt;/keywords&gt;&lt;dates&gt;&lt;year&gt;2012&lt;/year&gt;&lt;pub-dates&gt;&lt;date&gt;Mar 4&lt;/date&gt;&lt;/pub-dates&gt;&lt;/dates&gt;&lt;isbn&gt;1548-7091 (Print)&amp;#xD;1548-7091&lt;/isbn&gt;&lt;accession-num&gt;22388286&lt;/accession-num&gt;&lt;urls&gt;&lt;/urls&gt;&lt;custom2&gt;PMC3322381&lt;/custom2&gt;&lt;custom6&gt;NIHMS366740&lt;/custom6&gt;&lt;electronic-resource-num&gt;10.1038/nmeth.1923&lt;/electronic-resource-num&gt;&lt;remote-database-provider&gt;NLM&lt;/remote-database-provider&gt;&lt;language&gt;eng&lt;/language&gt;&lt;/record&gt;&lt;/Cite&gt;&lt;/EndNote&gt;</w:instrText>
      </w:r>
      <w:r>
        <w:rPr>
          <w:rFonts w:ascii="Arial" w:hAnsi="Arial" w:cs="Arial"/>
          <w:szCs w:val="21"/>
        </w:rPr>
        <w:fldChar w:fldCharType="separate"/>
      </w:r>
      <w:r>
        <w:rPr>
          <w:rFonts w:ascii="Arial" w:hAnsi="Arial" w:cs="Arial"/>
          <w:noProof/>
          <w:szCs w:val="21"/>
        </w:rPr>
        <w:t>[2]</w:t>
      </w:r>
      <w:r>
        <w:rPr>
          <w:rFonts w:ascii="Arial" w:hAnsi="Arial" w:cs="Arial"/>
          <w:szCs w:val="21"/>
        </w:rPr>
        <w:fldChar w:fldCharType="end"/>
      </w:r>
      <w:r w:rsidRPr="00AA1797">
        <w:rPr>
          <w:rFonts w:ascii="Arial" w:hAnsi="Arial" w:cs="Arial"/>
          <w:szCs w:val="21"/>
        </w:rPr>
        <w:t xml:space="preserve"> was applied to align the clean reads to the gene set, in which known and novel, coding and noncoding transcripts were included.</w:t>
      </w:r>
    </w:p>
    <w:p w14:paraId="0588E64E" w14:textId="24E06232" w:rsidR="008778B9" w:rsidRPr="00AA1797" w:rsidRDefault="008778B9" w:rsidP="008778B9">
      <w:pPr>
        <w:spacing w:line="480" w:lineRule="auto"/>
        <w:ind w:firstLineChars="200" w:firstLine="420"/>
        <w:rPr>
          <w:rFonts w:ascii="Arial" w:hAnsi="Arial" w:cs="Arial"/>
          <w:szCs w:val="21"/>
        </w:rPr>
      </w:pPr>
      <w:r w:rsidRPr="00AA1797">
        <w:rPr>
          <w:rFonts w:ascii="Arial" w:hAnsi="Arial" w:cs="Arial"/>
          <w:szCs w:val="21"/>
        </w:rPr>
        <w:t>Gene Quantification Differential Expression Analysis</w:t>
      </w:r>
      <w:r>
        <w:rPr>
          <w:rFonts w:ascii="Arial" w:hAnsi="Arial" w:cs="Arial" w:hint="eastAsia"/>
          <w:szCs w:val="21"/>
        </w:rPr>
        <w:t>:</w:t>
      </w:r>
      <w:r>
        <w:rPr>
          <w:rFonts w:ascii="Arial" w:hAnsi="Arial" w:cs="Arial"/>
          <w:szCs w:val="21"/>
        </w:rPr>
        <w:t xml:space="preserve"> </w:t>
      </w:r>
      <w:r w:rsidRPr="00AA1797">
        <w:rPr>
          <w:rFonts w:ascii="Arial" w:hAnsi="Arial" w:cs="Arial"/>
          <w:szCs w:val="21"/>
        </w:rPr>
        <w:t xml:space="preserve">Expression level of gene was calculated by RSEM (v1.3.1) </w:t>
      </w:r>
      <w:r>
        <w:rPr>
          <w:rFonts w:ascii="Arial" w:hAnsi="Arial" w:cs="Arial"/>
          <w:szCs w:val="21"/>
        </w:rPr>
        <w:fldChar w:fldCharType="begin"/>
      </w:r>
      <w:r>
        <w:rPr>
          <w:rFonts w:ascii="Arial" w:hAnsi="Arial" w:cs="Arial"/>
          <w:szCs w:val="21"/>
        </w:rPr>
        <w:instrText xml:space="preserve"> ADDIN EN.CITE &lt;EndNote&gt;&lt;Cite&gt;&lt;Author&gt;Li&lt;/Author&gt;&lt;Year&gt;2011&lt;/Year&gt;&lt;RecNum&gt;1467&lt;/RecNum&gt;&lt;DisplayText&gt;[3]&lt;/DisplayText&gt;&lt;record&gt;&lt;rec-number&gt;1467&lt;/rec-number&gt;&lt;foreign-keys&gt;&lt;key app="EN" db-id="rds0dtf5p2vw04etp09pvrs8v020zvfdsx9t" timestamp="1700095908"&gt;1467&lt;/key&gt;&lt;/foreign-keys&gt;&lt;ref-type name="Journal Article"&gt;17&lt;/ref-type&gt;&lt;contributors&gt;&lt;authors&gt;&lt;author&gt;Li, B.&lt;/author&gt;&lt;author&gt;Dewey, C. N.&lt;/author&gt;&lt;/authors&gt;&lt;/contributors&gt;&lt;auth-address&gt;Department of Computer Sciences, University of Wisconsin-Madison, Madison, WI, USA.&lt;/auth-address&gt;&lt;titles&gt;&lt;title&gt;RSEM: accurate transcript quantification from RNA-Seq data with or without a reference genome&lt;/title&gt;&lt;secondary-title&gt;BMC Bioinformatics&lt;/secondary-title&gt;&lt;/titles&gt;&lt;periodical&gt;&lt;full-title&gt;BMC Bioinformatics&lt;/full-title&gt;&lt;/periodical&gt;&lt;pages&gt;323&lt;/pages&gt;&lt;volume&gt;12&lt;/volume&gt;&lt;edition&gt;2011/08/06&lt;/edition&gt;&lt;keywords&gt;&lt;keyword&gt;Animals&lt;/keyword&gt;&lt;keyword&gt;Computer Simulation&lt;/keyword&gt;&lt;keyword&gt;Gene Expression Profiling/*methods&lt;/keyword&gt;&lt;keyword&gt;Humans&lt;/keyword&gt;&lt;keyword&gt;Mice&lt;/keyword&gt;&lt;keyword&gt;Protein Isoforms/genetics&lt;/keyword&gt;&lt;keyword&gt;RNA/genetics&lt;/keyword&gt;&lt;keyword&gt;Sequence Analysis, RNA/*methods&lt;/keyword&gt;&lt;keyword&gt;*Software&lt;/keyword&gt;&lt;/keywords&gt;&lt;dates&gt;&lt;year&gt;2011&lt;/year&gt;&lt;pub-dates&gt;&lt;date&gt;Aug 4&lt;/date&gt;&lt;/pub-dates&gt;&lt;/dates&gt;&lt;isbn&gt;1471-2105&lt;/isbn&gt;&lt;accession-num&gt;21816040&lt;/accession-num&gt;&lt;urls&gt;&lt;/urls&gt;&lt;custom2&gt;PMC3163565&lt;/custom2&gt;&lt;electronic-resource-num&gt;10.1186/1471-2105-12-323&lt;/electronic-resource-num&gt;&lt;remote-database-provider&gt;NLM&lt;/remote-database-provider&gt;&lt;language&gt;eng&lt;/language&gt;&lt;/record&gt;&lt;/Cite&gt;&lt;/EndNote&gt;</w:instrText>
      </w:r>
      <w:r>
        <w:rPr>
          <w:rFonts w:ascii="Arial" w:hAnsi="Arial" w:cs="Arial"/>
          <w:szCs w:val="21"/>
        </w:rPr>
        <w:fldChar w:fldCharType="separate"/>
      </w:r>
      <w:r>
        <w:rPr>
          <w:rFonts w:ascii="Arial" w:hAnsi="Arial" w:cs="Arial"/>
          <w:noProof/>
          <w:szCs w:val="21"/>
        </w:rPr>
        <w:t>[3]</w:t>
      </w:r>
      <w:r>
        <w:rPr>
          <w:rFonts w:ascii="Arial" w:hAnsi="Arial" w:cs="Arial"/>
          <w:szCs w:val="21"/>
        </w:rPr>
        <w:fldChar w:fldCharType="end"/>
      </w:r>
      <w:r w:rsidRPr="00AA1797">
        <w:rPr>
          <w:rFonts w:ascii="Arial" w:hAnsi="Arial" w:cs="Arial"/>
          <w:szCs w:val="21"/>
        </w:rPr>
        <w:t xml:space="preserve">. The heatmap was drawn by pheatmap (v1.0.8) according to the gene expression difference in different samples. Essentially, differential expression analysis was performed using the DESeq2(v1.4.5) </w:t>
      </w:r>
      <w:r>
        <w:rPr>
          <w:rFonts w:ascii="Arial" w:hAnsi="Arial" w:cs="Arial"/>
          <w:szCs w:val="21"/>
        </w:rPr>
        <w:fldChar w:fldCharType="begin"/>
      </w:r>
      <w:r>
        <w:rPr>
          <w:rFonts w:ascii="Arial" w:hAnsi="Arial" w:cs="Arial"/>
          <w:szCs w:val="21"/>
        </w:rPr>
        <w:instrText xml:space="preserve"> ADDIN EN.CITE &lt;EndNote&gt;&lt;Cite&gt;&lt;Author&gt;Love&lt;/Author&gt;&lt;Year&gt;2014&lt;/Year&gt;&lt;RecNum&gt;1468&lt;/RecNum&gt;&lt;DisplayText&gt;[4]&lt;/DisplayText&gt;&lt;record&gt;&lt;rec-number&gt;1468&lt;/rec-number&gt;&lt;foreign-keys&gt;&lt;key app="EN" db-id="rds0dtf5p2vw04etp09pvrs8v020zvfdsx9t" timestamp="1700096005"&gt;1468&lt;/key&gt;&lt;/foreign-keys&gt;&lt;ref-type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Biol&lt;/full-title&gt;&lt;/periodical&gt;&lt;pages&gt;550&lt;/pages&gt;&lt;volume&gt;15&lt;/volume&gt;&lt;number&gt;12&lt;/number&gt;&lt;edition&gt;2014/12/18&lt;/edition&gt;&lt;keywords&gt;&lt;keyword&gt;Algorithms&lt;/keyword&gt;&lt;keyword&gt;Computational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RNA&lt;/keyword&gt;&lt;keyword&gt;*Software&lt;/keyword&gt;&lt;/keywords&gt;&lt;dates&gt;&lt;year&gt;2014&lt;/year&gt;&lt;/dates&gt;&lt;isbn&gt;1465-6906 (Print)&amp;#xD;1474-7596&lt;/isbn&gt;&lt;accession-num&gt;25516281&lt;/accession-num&gt;&lt;urls&gt;&lt;/urls&gt;&lt;custom2&gt;PMC4302049&lt;/custom2&gt;&lt;electronic-resource-num&gt;10.1186/s13059-014-0550-8&lt;/electronic-resource-num&gt;&lt;remote-database-provider&gt;NLM&lt;/remote-database-provider&gt;&lt;language&gt;eng&lt;/language&gt;&lt;/record&gt;&lt;/Cite&gt;&lt;/EndNote&gt;</w:instrText>
      </w:r>
      <w:r>
        <w:rPr>
          <w:rFonts w:ascii="Arial" w:hAnsi="Arial" w:cs="Arial"/>
          <w:szCs w:val="21"/>
        </w:rPr>
        <w:fldChar w:fldCharType="separate"/>
      </w:r>
      <w:r>
        <w:rPr>
          <w:rFonts w:ascii="Arial" w:hAnsi="Arial" w:cs="Arial"/>
          <w:noProof/>
          <w:szCs w:val="21"/>
        </w:rPr>
        <w:t>[4]</w:t>
      </w:r>
      <w:r>
        <w:rPr>
          <w:rFonts w:ascii="Arial" w:hAnsi="Arial" w:cs="Arial"/>
          <w:szCs w:val="21"/>
        </w:rPr>
        <w:fldChar w:fldCharType="end"/>
      </w:r>
      <w:r w:rsidRPr="00AA1797">
        <w:rPr>
          <w:rFonts w:ascii="Arial" w:hAnsi="Arial" w:cs="Arial"/>
          <w:szCs w:val="21"/>
        </w:rPr>
        <w:t xml:space="preserve"> (or DEGseq</w:t>
      </w:r>
      <w:r>
        <w:rPr>
          <w:rFonts w:ascii="Arial" w:hAnsi="Arial" w:cs="Arial"/>
          <w:szCs w:val="21"/>
        </w:rPr>
        <w:fldChar w:fldCharType="begin"/>
      </w:r>
      <w:r>
        <w:rPr>
          <w:rFonts w:ascii="Arial" w:hAnsi="Arial" w:cs="Arial"/>
          <w:szCs w:val="21"/>
        </w:rPr>
        <w:instrText xml:space="preserve"> ADDIN EN.CITE &lt;EndNote&gt;&lt;Cite&gt;&lt;Author&gt;Wang&lt;/Author&gt;&lt;Year&gt;2010&lt;/Year&gt;&lt;RecNum&gt;1469&lt;/RecNum&gt;&lt;DisplayText&gt;[5]&lt;/DisplayText&gt;&lt;record&gt;&lt;rec-number&gt;1469&lt;/rec-number&gt;&lt;foreign-keys&gt;&lt;key app="EN" db-id="rds0dtf5p2vw04etp09pvrs8v020zvfdsx9t" timestamp="1700096048"&gt;1469&lt;/key&gt;&lt;/foreign-keys&gt;&lt;ref-type name="Journal Article"&gt;17&lt;/ref-type&gt;&lt;contributors&gt;&lt;authors&gt;&lt;author&gt;Wang, L.&lt;/author&gt;&lt;author&gt;Feng, Z.&lt;/author&gt;&lt;author&gt;Wang, X.&lt;/author&gt;&lt;author&gt;Wang, X.&lt;/author&gt;&lt;author&gt;Zhang, X.&lt;/author&gt;&lt;/authors&gt;&lt;/contributors&gt;&lt;auth-address&gt;MOE Key Laboratory of Bioinformatics and Bioinformatics Division, TNLIST/Department of Automation, Tsinghua, University, Beijing 100084, China.&lt;/auth-address&gt;&lt;titles&gt;&lt;title&gt;DEGseq: an R package for identifying differentially expressed genes from RNA-seq data&lt;/title&gt;&lt;secondary-title&gt;Bioinformatics&lt;/secondary-title&gt;&lt;/titles&gt;&lt;periodical&gt;&lt;full-title&gt;Bioinformatics&lt;/full-title&gt;&lt;/periodical&gt;&lt;pages&gt;136-8&lt;/pages&gt;&lt;volume&gt;26&lt;/volume&gt;&lt;number&gt;1&lt;/number&gt;&lt;edition&gt;2009/10/27&lt;/edition&gt;&lt;keywords&gt;&lt;keyword&gt;*Algorithms&lt;/keyword&gt;&lt;keyword&gt;Base Sequence&lt;/keyword&gt;&lt;keyword&gt;Gene Expression Profiling/*methods&lt;/keyword&gt;&lt;keyword&gt;Molecular Sequence Data&lt;/keyword&gt;&lt;keyword&gt;Oligonucleotide Array Sequence Analysis/*methods&lt;/keyword&gt;&lt;keyword&gt;*Programming Languages&lt;/keyword&gt;&lt;keyword&gt;RNA/*genetics&lt;/keyword&gt;&lt;keyword&gt;Sequence Analysis, RNA/*methods&lt;/keyword&gt;&lt;keyword&gt;*Software&lt;/keyword&gt;&lt;/keywords&gt;&lt;dates&gt;&lt;year&gt;2010&lt;/year&gt;&lt;pub-dates&gt;&lt;date&gt;Jan 1&lt;/date&gt;&lt;/pub-dates&gt;&lt;/dates&gt;&lt;isbn&gt;1367-4803&lt;/isbn&gt;&lt;accession-num&gt;19855105&lt;/accession-num&gt;&lt;urls&gt;&lt;/urls&gt;&lt;electronic-resource-num&gt;10.1093/bioinformatics/btp612&lt;/electronic-resource-num&gt;&lt;remote-database-provider&gt;NLM&lt;/remote-database-provider&gt;&lt;language&gt;eng&lt;/language&gt;&lt;/record&gt;&lt;/Cite&gt;&lt;/EndNote&gt;</w:instrText>
      </w:r>
      <w:r>
        <w:rPr>
          <w:rFonts w:ascii="Arial" w:hAnsi="Arial" w:cs="Arial"/>
          <w:szCs w:val="21"/>
        </w:rPr>
        <w:fldChar w:fldCharType="separate"/>
      </w:r>
      <w:r>
        <w:rPr>
          <w:rFonts w:ascii="Arial" w:hAnsi="Arial" w:cs="Arial"/>
          <w:noProof/>
          <w:szCs w:val="21"/>
        </w:rPr>
        <w:t>[5]</w:t>
      </w:r>
      <w:r>
        <w:rPr>
          <w:rFonts w:ascii="Arial" w:hAnsi="Arial" w:cs="Arial"/>
          <w:szCs w:val="21"/>
        </w:rPr>
        <w:fldChar w:fldCharType="end"/>
      </w:r>
      <w:r w:rsidRPr="00AA1797">
        <w:rPr>
          <w:rFonts w:ascii="Arial" w:hAnsi="Arial" w:cs="Arial"/>
          <w:szCs w:val="21"/>
        </w:rPr>
        <w:t xml:space="preserve"> or PoissonDis)with Q value ≤ 0.05 (or FDR ≤ 0.001). </w:t>
      </w:r>
    </w:p>
    <w:p w14:paraId="6FF7F328" w14:textId="77777777" w:rsidR="008778B9" w:rsidRDefault="008778B9" w:rsidP="008778B9">
      <w:pPr>
        <w:spacing w:line="480" w:lineRule="auto"/>
        <w:ind w:firstLineChars="200" w:firstLine="420"/>
        <w:rPr>
          <w:rFonts w:ascii="Arial" w:hAnsi="Arial" w:cs="Arial"/>
          <w:szCs w:val="21"/>
        </w:rPr>
      </w:pPr>
      <w:r w:rsidRPr="00AA1797">
        <w:rPr>
          <w:rFonts w:ascii="Arial" w:hAnsi="Arial" w:cs="Arial"/>
          <w:szCs w:val="21"/>
        </w:rPr>
        <w:t>Gene Annotation</w:t>
      </w:r>
      <w:r>
        <w:rPr>
          <w:rFonts w:ascii="Arial" w:hAnsi="Arial" w:cs="Arial" w:hint="eastAsia"/>
          <w:szCs w:val="21"/>
        </w:rPr>
        <w:t>:</w:t>
      </w:r>
      <w:r>
        <w:rPr>
          <w:rFonts w:ascii="Arial" w:hAnsi="Arial" w:cs="Arial"/>
          <w:szCs w:val="21"/>
        </w:rPr>
        <w:t xml:space="preserve"> </w:t>
      </w:r>
      <w:r w:rsidRPr="00AA1797">
        <w:rPr>
          <w:rFonts w:ascii="Arial" w:hAnsi="Arial" w:cs="Arial"/>
          <w:szCs w:val="21"/>
        </w:rPr>
        <w:t>To take insight to the change of phenotype, GO (http://www.geneontology.org/) and KEGG (https://www.kegg.jp/) enrichment analysis of annotated different expression gene was performed by Phyper (https://en.wikipedia.org/wiki/Hypergeometric_distribution) based on Hypergeometric test. The significant levels of terms and pathways were corrected by Q value with a rigorous threshold (Q value ≤ 0.05).</w:t>
      </w:r>
    </w:p>
    <w:bookmarkEnd w:id="0"/>
    <w:p w14:paraId="023EA6CE" w14:textId="77777777" w:rsidR="00F4674A" w:rsidRPr="008778B9" w:rsidRDefault="00F4674A" w:rsidP="00F4674A">
      <w:pPr>
        <w:spacing w:line="480" w:lineRule="auto"/>
        <w:rPr>
          <w:rFonts w:ascii="Arial" w:hAnsi="Arial" w:cs="Arial"/>
        </w:rPr>
      </w:pPr>
    </w:p>
    <w:p w14:paraId="74C448A4" w14:textId="144EE79D" w:rsidR="0007242A" w:rsidRDefault="0007242A" w:rsidP="0007242A">
      <w:pPr>
        <w:spacing w:line="480" w:lineRule="auto"/>
        <w:rPr>
          <w:rFonts w:ascii="Arial" w:hAnsi="Arial" w:cs="Arial"/>
          <w:b/>
          <w:bCs/>
        </w:rPr>
      </w:pPr>
      <w:r>
        <w:rPr>
          <w:rFonts w:ascii="Arial" w:hAnsi="Arial" w:cs="Arial"/>
          <w:b/>
          <w:bCs/>
          <w:noProof/>
          <w:lang w:eastAsia="en-US"/>
        </w:rPr>
        <w:drawing>
          <wp:inline distT="0" distB="0" distL="0" distR="0" wp14:anchorId="6B607399" wp14:editId="69152EC0">
            <wp:extent cx="4544582" cy="3031092"/>
            <wp:effectExtent l="0" t="0" r="8890" b="0"/>
            <wp:docPr id="13122009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200900" name="图片 1312200900"/>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44582" cy="3031092"/>
                    </a:xfrm>
                    <a:prstGeom prst="rect">
                      <a:avLst/>
                    </a:prstGeom>
                  </pic:spPr>
                </pic:pic>
              </a:graphicData>
            </a:graphic>
          </wp:inline>
        </w:drawing>
      </w:r>
    </w:p>
    <w:p w14:paraId="2852FBBA" w14:textId="5DB074F7" w:rsidR="0007242A" w:rsidRDefault="0007242A" w:rsidP="0007242A">
      <w:pPr>
        <w:spacing w:line="480" w:lineRule="auto"/>
        <w:rPr>
          <w:rFonts w:ascii="Arial" w:hAnsi="Arial" w:cs="Arial"/>
        </w:rPr>
      </w:pPr>
      <w:r w:rsidRPr="002B341E">
        <w:rPr>
          <w:rFonts w:ascii="Arial" w:hAnsi="Arial" w:cs="Arial"/>
          <w:b/>
          <w:bCs/>
        </w:rPr>
        <w:t>Figure S1</w:t>
      </w:r>
      <w:r w:rsidRPr="002B341E">
        <w:rPr>
          <w:rFonts w:ascii="Arial" w:hAnsi="Arial" w:cs="Arial"/>
        </w:rPr>
        <w:t>. Didymin promotes the expression of Sirt1 by activating FoxO3a. (A) Western blot analysis of FoxO3a proteins in AML12 cells after siRNA transfection</w:t>
      </w:r>
      <w:r>
        <w:rPr>
          <w:rFonts w:ascii="Arial" w:hAnsi="Arial" w:cs="Arial"/>
        </w:rPr>
        <w:t xml:space="preserve"> (n=3)</w:t>
      </w:r>
      <w:r w:rsidRPr="002B341E">
        <w:rPr>
          <w:rFonts w:ascii="Arial" w:hAnsi="Arial" w:cs="Arial"/>
        </w:rPr>
        <w:t>. (B) Western blot analysis of Sirt1 and FoxO3a proteins in AML12 cells after siRNA transfection</w:t>
      </w:r>
      <w:r>
        <w:rPr>
          <w:rFonts w:ascii="Arial" w:hAnsi="Arial" w:cs="Arial"/>
        </w:rPr>
        <w:t xml:space="preserve"> (n=3)</w:t>
      </w:r>
      <w:r w:rsidRPr="002B341E">
        <w:rPr>
          <w:rFonts w:ascii="Arial" w:hAnsi="Arial" w:cs="Arial"/>
        </w:rPr>
        <w:t xml:space="preserve">. </w:t>
      </w:r>
      <w:r w:rsidR="00D616D8" w:rsidRPr="002B341E">
        <w:rPr>
          <w:rFonts w:ascii="Arial" w:hAnsi="Arial" w:cs="Arial"/>
        </w:rPr>
        <w:t>Data are expressed as mean ± SD</w:t>
      </w:r>
      <w:r w:rsidR="00596A88">
        <w:rPr>
          <w:rFonts w:ascii="Arial" w:hAnsi="Arial" w:cs="Arial"/>
        </w:rPr>
        <w:t>.</w:t>
      </w:r>
      <w:r w:rsidR="00D616D8" w:rsidRPr="002B341E">
        <w:rPr>
          <w:rFonts w:ascii="Arial" w:hAnsi="Arial" w:cs="Arial"/>
        </w:rPr>
        <w:t xml:space="preserve"> </w:t>
      </w:r>
      <w:r w:rsidRPr="002B341E">
        <w:rPr>
          <w:rFonts w:ascii="Arial" w:hAnsi="Arial" w:cs="Arial"/>
        </w:rPr>
        <w:t>*P &lt; 0.05, **P &lt; 0.01</w:t>
      </w:r>
    </w:p>
    <w:p w14:paraId="1B31E296" w14:textId="1D5D4F33" w:rsidR="00056C2B" w:rsidRDefault="00056C2B" w:rsidP="0007242A">
      <w:pPr>
        <w:spacing w:line="480" w:lineRule="auto"/>
        <w:rPr>
          <w:rFonts w:ascii="Arial" w:hAnsi="Arial" w:cs="Arial"/>
        </w:rPr>
      </w:pPr>
      <w:r>
        <w:rPr>
          <w:rFonts w:ascii="Arial" w:hAnsi="Arial" w:cs="Arial"/>
          <w:noProof/>
          <w:lang w:eastAsia="en-US"/>
        </w:rPr>
        <w:drawing>
          <wp:inline distT="0" distB="0" distL="0" distR="0" wp14:anchorId="1FB40CA7" wp14:editId="237962B9">
            <wp:extent cx="3435416" cy="1962150"/>
            <wp:effectExtent l="0" t="0" r="0" b="0"/>
            <wp:docPr id="5981300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130052" name="图片 598130052"/>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46685" cy="1968586"/>
                    </a:xfrm>
                    <a:prstGeom prst="rect">
                      <a:avLst/>
                    </a:prstGeom>
                  </pic:spPr>
                </pic:pic>
              </a:graphicData>
            </a:graphic>
          </wp:inline>
        </w:drawing>
      </w:r>
    </w:p>
    <w:p w14:paraId="5EE6144B" w14:textId="6BE2BFB3" w:rsidR="00056C2B" w:rsidRPr="00BC705B" w:rsidRDefault="00056C2B" w:rsidP="0007242A">
      <w:pPr>
        <w:spacing w:line="480" w:lineRule="auto"/>
        <w:rPr>
          <w:rFonts w:ascii="Arial" w:hAnsi="Arial" w:cs="Arial"/>
        </w:rPr>
      </w:pPr>
      <w:r w:rsidRPr="002B341E">
        <w:rPr>
          <w:rFonts w:ascii="Arial" w:hAnsi="Arial" w:cs="Arial"/>
          <w:b/>
          <w:bCs/>
        </w:rPr>
        <w:t>Figure S2.</w:t>
      </w:r>
      <w:r w:rsidR="00BC705B" w:rsidRPr="00BC705B">
        <w:rPr>
          <w:rFonts w:ascii="Arial" w:hAnsi="Arial" w:cs="Arial"/>
        </w:rPr>
        <w:t xml:space="preserve"> </w:t>
      </w:r>
      <w:r w:rsidR="00BC705B">
        <w:rPr>
          <w:rFonts w:ascii="Arial" w:hAnsi="Arial" w:cs="Arial"/>
        </w:rPr>
        <w:t xml:space="preserve">Heatmap of </w:t>
      </w:r>
      <w:r w:rsidR="00BC705B" w:rsidRPr="00BC705B">
        <w:rPr>
          <w:rFonts w:ascii="Arial" w:hAnsi="Arial" w:cs="Arial"/>
        </w:rPr>
        <w:t>lipophagy-related genes</w:t>
      </w:r>
      <w:r w:rsidR="00BC705B">
        <w:rPr>
          <w:rFonts w:ascii="Arial" w:hAnsi="Arial" w:cs="Arial"/>
        </w:rPr>
        <w:t>.</w:t>
      </w:r>
      <w:r w:rsidR="00BC705B" w:rsidRPr="00BC705B">
        <w:t xml:space="preserve"> </w:t>
      </w:r>
      <w:r w:rsidR="00BC705B" w:rsidRPr="00BC705B">
        <w:rPr>
          <w:rFonts w:ascii="Arial" w:hAnsi="Arial" w:cs="Arial"/>
        </w:rPr>
        <w:t>The</w:t>
      </w:r>
      <w:r w:rsidR="00BC705B" w:rsidRPr="00BC705B">
        <w:t xml:space="preserve"> </w:t>
      </w:r>
      <w:r w:rsidR="00BC705B">
        <w:rPr>
          <w:rFonts w:ascii="Arial" w:hAnsi="Arial" w:cs="Arial"/>
        </w:rPr>
        <w:t>r</w:t>
      </w:r>
      <w:r w:rsidR="00BC705B" w:rsidRPr="00BC705B">
        <w:rPr>
          <w:rFonts w:ascii="Arial" w:hAnsi="Arial" w:cs="Arial"/>
        </w:rPr>
        <w:t>ed boxes indicate proteins directly regulated by</w:t>
      </w:r>
      <w:r w:rsidR="00BC705B" w:rsidRPr="00BC705B">
        <w:t xml:space="preserve"> </w:t>
      </w:r>
      <w:r w:rsidR="00BC705B" w:rsidRPr="00BC705B">
        <w:rPr>
          <w:rFonts w:ascii="Arial" w:hAnsi="Arial" w:cs="Arial"/>
        </w:rPr>
        <w:t>FoxO3a, histone H4 K16, and TFEB</w:t>
      </w:r>
      <w:r w:rsidR="00BC705B">
        <w:rPr>
          <w:rFonts w:ascii="Arial" w:hAnsi="Arial" w:cs="Arial"/>
        </w:rPr>
        <w:t>.</w:t>
      </w:r>
    </w:p>
    <w:p w14:paraId="17052914" w14:textId="51E1D567" w:rsidR="0007242A" w:rsidRPr="002B341E" w:rsidRDefault="0007242A" w:rsidP="0007242A">
      <w:pPr>
        <w:spacing w:line="480" w:lineRule="auto"/>
        <w:rPr>
          <w:rFonts w:ascii="Arial" w:hAnsi="Arial" w:cs="Arial"/>
        </w:rPr>
      </w:pPr>
      <w:r>
        <w:rPr>
          <w:rFonts w:ascii="Arial" w:hAnsi="Arial" w:cs="Arial" w:hint="eastAsia"/>
          <w:noProof/>
          <w:lang w:eastAsia="en-US"/>
        </w:rPr>
        <w:drawing>
          <wp:inline distT="0" distB="0" distL="0" distR="0" wp14:anchorId="5FC4A3D0" wp14:editId="4F9B82FF">
            <wp:extent cx="5274310" cy="5770245"/>
            <wp:effectExtent l="0" t="0" r="2540" b="1905"/>
            <wp:docPr id="87988705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87053" name="图片 87988705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5770245"/>
                    </a:xfrm>
                    <a:prstGeom prst="rect">
                      <a:avLst/>
                    </a:prstGeom>
                  </pic:spPr>
                </pic:pic>
              </a:graphicData>
            </a:graphic>
          </wp:inline>
        </w:drawing>
      </w:r>
    </w:p>
    <w:p w14:paraId="128FC5DF" w14:textId="5600986F" w:rsidR="0007242A" w:rsidRDefault="0007242A" w:rsidP="0007242A">
      <w:pPr>
        <w:spacing w:line="480" w:lineRule="auto"/>
        <w:rPr>
          <w:rFonts w:ascii="Arial" w:hAnsi="Arial" w:cs="Arial"/>
        </w:rPr>
      </w:pPr>
      <w:r w:rsidRPr="002B341E">
        <w:rPr>
          <w:rFonts w:ascii="Arial" w:hAnsi="Arial" w:cs="Arial"/>
          <w:b/>
          <w:bCs/>
        </w:rPr>
        <w:t>Figure S</w:t>
      </w:r>
      <w:r w:rsidR="00BC705B">
        <w:rPr>
          <w:rFonts w:ascii="Arial" w:hAnsi="Arial" w:cs="Arial"/>
          <w:b/>
          <w:bCs/>
        </w:rPr>
        <w:t>3</w:t>
      </w:r>
      <w:r w:rsidRPr="002B341E">
        <w:rPr>
          <w:rFonts w:ascii="Arial" w:hAnsi="Arial" w:cs="Arial"/>
          <w:b/>
          <w:bCs/>
        </w:rPr>
        <w:t xml:space="preserve">. </w:t>
      </w:r>
      <w:r w:rsidRPr="002B341E">
        <w:rPr>
          <w:rFonts w:ascii="Arial" w:hAnsi="Arial" w:cs="Arial"/>
        </w:rPr>
        <w:t>Didymin suppresses apoptosis by restoring lipophagy in P</w:t>
      </w:r>
      <w:r w:rsidRPr="00DF72F4">
        <w:rPr>
          <w:rFonts w:ascii="Arial" w:hAnsi="Arial" w:cs="Arial"/>
        </w:rPr>
        <w:t>A</w:t>
      </w:r>
      <w:r>
        <w:rPr>
          <w:rFonts w:ascii="Arial" w:hAnsi="Arial" w:cs="Arial"/>
        </w:rPr>
        <w:t>-</w:t>
      </w:r>
      <w:r w:rsidRPr="00DF72F4">
        <w:rPr>
          <w:rFonts w:ascii="Arial" w:hAnsi="Arial" w:cs="Arial"/>
        </w:rPr>
        <w:t>tr</w:t>
      </w:r>
      <w:r w:rsidRPr="002B341E">
        <w:rPr>
          <w:rFonts w:ascii="Arial" w:hAnsi="Arial" w:cs="Arial"/>
        </w:rPr>
        <w:t>eated AML12 cells. (A) Representative images of TUNEL staining in AML12 cells</w:t>
      </w:r>
      <w:r>
        <w:rPr>
          <w:rFonts w:ascii="Arial" w:hAnsi="Arial" w:cs="Arial"/>
        </w:rPr>
        <w:t xml:space="preserve"> (</w:t>
      </w:r>
      <w:r w:rsidRPr="002B341E">
        <w:rPr>
          <w:rFonts w:ascii="Arial" w:hAnsi="Arial" w:cs="Arial"/>
        </w:rPr>
        <w:t>Scale bar</w:t>
      </w:r>
      <w:r w:rsidRPr="002B341E">
        <w:rPr>
          <w:rFonts w:ascii="Arial" w:eastAsia="MS Gothic" w:hAnsi="Arial" w:cs="Arial"/>
        </w:rPr>
        <w:t> </w:t>
      </w:r>
      <w:r w:rsidRPr="002B341E">
        <w:rPr>
          <w:rFonts w:ascii="Arial" w:hAnsi="Arial" w:cs="Arial"/>
        </w:rPr>
        <w:t>=</w:t>
      </w:r>
      <w:r w:rsidRPr="002B341E">
        <w:rPr>
          <w:rFonts w:ascii="Arial" w:eastAsia="MS Gothic" w:hAnsi="Arial" w:cs="Arial"/>
        </w:rPr>
        <w:t> </w:t>
      </w:r>
      <w:r w:rsidRPr="002B341E">
        <w:rPr>
          <w:rFonts w:ascii="Arial" w:hAnsi="Arial" w:cs="Arial"/>
        </w:rPr>
        <w:t>100</w:t>
      </w:r>
      <w:r w:rsidRPr="00607B4B">
        <w:rPr>
          <w:rFonts w:ascii="Arial" w:eastAsia="MS Gothic" w:hAnsi="Arial" w:cs="Arial"/>
        </w:rPr>
        <w:t> </w:t>
      </w:r>
      <w:r w:rsidRPr="00607B4B">
        <w:rPr>
          <w:rFonts w:ascii="Arial" w:eastAsia="DengXian" w:hAnsi="Arial" w:cs="Arial"/>
        </w:rPr>
        <w:t>μ</w:t>
      </w:r>
      <w:r w:rsidRPr="002B341E">
        <w:rPr>
          <w:rFonts w:ascii="Arial" w:hAnsi="Arial" w:cs="Arial"/>
        </w:rPr>
        <w:t>m</w:t>
      </w:r>
      <w:r>
        <w:rPr>
          <w:rFonts w:ascii="Arial" w:hAnsi="Arial" w:cs="Arial"/>
        </w:rPr>
        <w:t>)</w:t>
      </w:r>
      <w:r w:rsidRPr="002B341E">
        <w:rPr>
          <w:rFonts w:ascii="Arial" w:hAnsi="Arial" w:cs="Arial"/>
        </w:rPr>
        <w:t>. Quantification of the percentage of TUNEL-positive cells</w:t>
      </w:r>
      <w:r>
        <w:rPr>
          <w:rFonts w:ascii="Arial" w:hAnsi="Arial" w:cs="Arial"/>
        </w:rPr>
        <w:t xml:space="preserve"> (n=3)</w:t>
      </w:r>
      <w:r w:rsidRPr="002B341E">
        <w:rPr>
          <w:rFonts w:ascii="Arial" w:hAnsi="Arial" w:cs="Arial"/>
        </w:rPr>
        <w:t>. (B) Apoptosis analysis of AML12 cells by flow cytometry. The results of quantitative analyses of apoptosis rate</w:t>
      </w:r>
      <w:r>
        <w:rPr>
          <w:rFonts w:ascii="Arial" w:hAnsi="Arial" w:cs="Arial"/>
        </w:rPr>
        <w:t xml:space="preserve"> (n=3)</w:t>
      </w:r>
      <w:r w:rsidRPr="002B341E">
        <w:rPr>
          <w:rFonts w:ascii="Arial" w:hAnsi="Arial" w:cs="Arial"/>
        </w:rPr>
        <w:t>. (C) Western blot analysis of Bax, Bcl2, cleaved-caspase3, and caspase3 proteins in AML12 cells</w:t>
      </w:r>
      <w:r>
        <w:rPr>
          <w:rFonts w:ascii="Arial" w:hAnsi="Arial" w:cs="Arial"/>
        </w:rPr>
        <w:t xml:space="preserve"> </w:t>
      </w:r>
      <w:r w:rsidRPr="002B341E">
        <w:rPr>
          <w:rFonts w:ascii="Arial" w:hAnsi="Arial" w:cs="Arial"/>
        </w:rPr>
        <w:t>(n = 3). Data are expressed as mean ± SD. *P &lt; 0.05, ***P &lt; 0.001 PA vs. PA+Didymin. # P &lt; 0.05, ## P &lt; 0.01, ### P &lt; 0.001, #### P &lt; 0.0001 control vs. PA.</w:t>
      </w:r>
    </w:p>
    <w:p w14:paraId="2A21E2E4" w14:textId="01B8E7A3" w:rsidR="0007242A" w:rsidRDefault="0007242A" w:rsidP="0007242A">
      <w:pPr>
        <w:spacing w:line="480" w:lineRule="auto"/>
        <w:rPr>
          <w:rFonts w:ascii="Arial" w:hAnsi="Arial" w:cs="Arial"/>
        </w:rPr>
      </w:pPr>
      <w:r>
        <w:rPr>
          <w:rFonts w:ascii="Arial" w:hAnsi="Arial" w:cs="Arial"/>
          <w:noProof/>
          <w:lang w:eastAsia="en-US"/>
        </w:rPr>
        <w:drawing>
          <wp:inline distT="0" distB="0" distL="0" distR="0" wp14:anchorId="2D9AF86F" wp14:editId="3B35D7CE">
            <wp:extent cx="5274310" cy="7618095"/>
            <wp:effectExtent l="0" t="0" r="2540" b="1905"/>
            <wp:docPr id="206004795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047957" name="图片 20600479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7618095"/>
                    </a:xfrm>
                    <a:prstGeom prst="rect">
                      <a:avLst/>
                    </a:prstGeom>
                  </pic:spPr>
                </pic:pic>
              </a:graphicData>
            </a:graphic>
          </wp:inline>
        </w:drawing>
      </w:r>
    </w:p>
    <w:p w14:paraId="30A6B170" w14:textId="65369012" w:rsidR="0007242A" w:rsidRPr="002B341E" w:rsidRDefault="0007242A" w:rsidP="0007242A">
      <w:pPr>
        <w:spacing w:line="480" w:lineRule="auto"/>
        <w:rPr>
          <w:rFonts w:ascii="Arial" w:hAnsi="Arial" w:cs="Arial"/>
          <w:b/>
          <w:bCs/>
        </w:rPr>
      </w:pPr>
      <w:r w:rsidRPr="002B341E">
        <w:rPr>
          <w:rFonts w:ascii="Arial" w:hAnsi="Arial" w:cs="Arial"/>
          <w:b/>
          <w:bCs/>
        </w:rPr>
        <w:t>Figure S</w:t>
      </w:r>
      <w:r w:rsidR="00BC705B">
        <w:rPr>
          <w:rFonts w:ascii="Arial" w:hAnsi="Arial" w:cs="Arial"/>
          <w:b/>
          <w:bCs/>
        </w:rPr>
        <w:t>4</w:t>
      </w:r>
      <w:r w:rsidRPr="002B341E">
        <w:rPr>
          <w:rFonts w:ascii="Arial" w:hAnsi="Arial" w:cs="Arial"/>
          <w:b/>
          <w:bCs/>
        </w:rPr>
        <w:t xml:space="preserve">. </w:t>
      </w:r>
      <w:r w:rsidRPr="002B341E">
        <w:rPr>
          <w:rFonts w:ascii="Arial" w:hAnsi="Arial" w:cs="Arial"/>
        </w:rPr>
        <w:t>Liver morphology</w:t>
      </w:r>
      <w:r>
        <w:rPr>
          <w:rFonts w:ascii="Arial" w:hAnsi="Arial" w:cs="Arial"/>
        </w:rPr>
        <w:t xml:space="preserve"> and</w:t>
      </w:r>
      <w:r w:rsidRPr="002B341E">
        <w:rPr>
          <w:rFonts w:ascii="Arial" w:hAnsi="Arial" w:cs="Arial"/>
        </w:rPr>
        <w:t xml:space="preserve"> </w:t>
      </w:r>
      <w:r>
        <w:rPr>
          <w:rFonts w:ascii="Arial" w:hAnsi="Arial" w:cs="Arial"/>
        </w:rPr>
        <w:t>s</w:t>
      </w:r>
      <w:r w:rsidRPr="002B341E">
        <w:rPr>
          <w:rFonts w:ascii="Arial" w:hAnsi="Arial" w:cs="Arial"/>
        </w:rPr>
        <w:t>tatistical analysis of western blot results</w:t>
      </w:r>
      <w:r>
        <w:rPr>
          <w:rFonts w:ascii="Arial" w:hAnsi="Arial" w:cs="Arial"/>
        </w:rPr>
        <w:t>.</w:t>
      </w:r>
      <w:r w:rsidRPr="002B341E">
        <w:rPr>
          <w:rFonts w:ascii="Arial" w:hAnsi="Arial" w:cs="Arial"/>
        </w:rPr>
        <w:t xml:space="preserve"> (A) Liver morphology (B) Statistical analysis of western blot results in Figure </w:t>
      </w:r>
      <w:r>
        <w:rPr>
          <w:rFonts w:ascii="Arial" w:hAnsi="Arial" w:cs="Arial"/>
        </w:rPr>
        <w:t>7A (n=3)</w:t>
      </w:r>
      <w:r w:rsidRPr="002B341E">
        <w:rPr>
          <w:rFonts w:ascii="Arial" w:hAnsi="Arial" w:cs="Arial"/>
        </w:rPr>
        <w:t xml:space="preserve">. (C) Statistical analysis of western blot results in Figure </w:t>
      </w:r>
      <w:r>
        <w:rPr>
          <w:rFonts w:ascii="Arial" w:hAnsi="Arial" w:cs="Arial"/>
        </w:rPr>
        <w:t>7B (n=3)</w:t>
      </w:r>
      <w:r w:rsidRPr="002B341E">
        <w:rPr>
          <w:rFonts w:ascii="Arial" w:hAnsi="Arial" w:cs="Arial"/>
        </w:rPr>
        <w:t xml:space="preserve">. (D) Statistical analysis of western blot results in Figure </w:t>
      </w:r>
      <w:r>
        <w:rPr>
          <w:rFonts w:ascii="Arial" w:hAnsi="Arial" w:cs="Arial"/>
        </w:rPr>
        <w:t>7E (n=3)</w:t>
      </w:r>
      <w:r w:rsidRPr="002B341E">
        <w:rPr>
          <w:rFonts w:ascii="Arial" w:hAnsi="Arial" w:cs="Arial"/>
        </w:rPr>
        <w:t xml:space="preserve">. (E) Statistical analysis of western blot results in Figure </w:t>
      </w:r>
      <w:r>
        <w:rPr>
          <w:rFonts w:ascii="Arial" w:hAnsi="Arial" w:cs="Arial"/>
        </w:rPr>
        <w:t>7F (n=3)</w:t>
      </w:r>
      <w:r w:rsidRPr="002B341E">
        <w:rPr>
          <w:rFonts w:ascii="Arial" w:hAnsi="Arial" w:cs="Arial"/>
        </w:rPr>
        <w:t>. Data are expressed as mean ± SD. *P &lt; 0.05, **P &lt; 0.01 MAFLD vs. MAFLD+Didymin. # P &lt; 0.05, ## P &lt; 0.01, ### P &lt; 0.001, #### P &lt; 0.0001 control vs. MAFLD.</w:t>
      </w:r>
    </w:p>
    <w:p w14:paraId="05F1DCB9" w14:textId="71748200" w:rsidR="0007242A" w:rsidRDefault="00BC705B" w:rsidP="0007242A">
      <w:pPr>
        <w:spacing w:line="480" w:lineRule="auto"/>
        <w:rPr>
          <w:rFonts w:ascii="Arial" w:hAnsi="Arial" w:cs="Arial"/>
          <w:b/>
          <w:bCs/>
        </w:rPr>
      </w:pPr>
      <w:r>
        <w:rPr>
          <w:rFonts w:ascii="Arial" w:hAnsi="Arial" w:cs="Arial"/>
          <w:b/>
          <w:bCs/>
          <w:noProof/>
          <w:lang w:eastAsia="en-US"/>
        </w:rPr>
        <w:drawing>
          <wp:inline distT="0" distB="0" distL="0" distR="0" wp14:anchorId="1DAC3616" wp14:editId="41433322">
            <wp:extent cx="5274310" cy="1561465"/>
            <wp:effectExtent l="0" t="0" r="2540" b="635"/>
            <wp:docPr id="172235325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353257" name="图片 172235325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1561465"/>
                    </a:xfrm>
                    <a:prstGeom prst="rect">
                      <a:avLst/>
                    </a:prstGeom>
                  </pic:spPr>
                </pic:pic>
              </a:graphicData>
            </a:graphic>
          </wp:inline>
        </w:drawing>
      </w:r>
    </w:p>
    <w:p w14:paraId="6752EB29" w14:textId="72A90F07" w:rsidR="00BC705B" w:rsidRDefault="00BC705B" w:rsidP="00BC705B">
      <w:pPr>
        <w:spacing w:line="480" w:lineRule="auto"/>
        <w:rPr>
          <w:rFonts w:ascii="Arial" w:hAnsi="Arial" w:cs="Arial"/>
        </w:rPr>
      </w:pPr>
      <w:bookmarkStart w:id="1" w:name="_Hlk151542162"/>
      <w:r w:rsidRPr="002B341E">
        <w:rPr>
          <w:rFonts w:ascii="Arial" w:hAnsi="Arial" w:cs="Arial"/>
          <w:b/>
          <w:bCs/>
        </w:rPr>
        <w:t>Figure S</w:t>
      </w:r>
      <w:r>
        <w:rPr>
          <w:rFonts w:ascii="Arial" w:hAnsi="Arial" w:cs="Arial"/>
          <w:b/>
          <w:bCs/>
        </w:rPr>
        <w:t>5</w:t>
      </w:r>
      <w:r w:rsidRPr="002B341E">
        <w:rPr>
          <w:rFonts w:ascii="Arial" w:hAnsi="Arial" w:cs="Arial"/>
          <w:b/>
          <w:bCs/>
        </w:rPr>
        <w:t>.</w:t>
      </w:r>
      <w:r>
        <w:rPr>
          <w:rFonts w:ascii="Arial" w:hAnsi="Arial" w:cs="Arial"/>
          <w:b/>
          <w:bCs/>
        </w:rPr>
        <w:t xml:space="preserve"> </w:t>
      </w:r>
      <w:r w:rsidRPr="00C20769">
        <w:rPr>
          <w:rFonts w:ascii="Arial" w:hAnsi="Arial" w:cs="Arial"/>
        </w:rPr>
        <w:t>Western blot analysis o</w:t>
      </w:r>
      <w:r w:rsidRPr="00B36B18">
        <w:rPr>
          <w:rFonts w:ascii="Arial" w:hAnsi="Arial" w:cs="Arial"/>
        </w:rPr>
        <w:t>f PGC-1α and FoxO3a in</w:t>
      </w:r>
      <w:r w:rsidRPr="00C20769">
        <w:rPr>
          <w:rFonts w:ascii="Arial" w:hAnsi="Arial" w:cs="Arial"/>
        </w:rPr>
        <w:t xml:space="preserve"> hepatocyte</w:t>
      </w:r>
      <w:r w:rsidRPr="00B36B18">
        <w:rPr>
          <w:rFonts w:ascii="Arial" w:hAnsi="Arial" w:cs="Arial"/>
        </w:rPr>
        <w:t>s (n=3).</w:t>
      </w:r>
      <w:r w:rsidRPr="00BC705B">
        <w:rPr>
          <w:rFonts w:ascii="Arial" w:hAnsi="Arial" w:cs="Arial"/>
        </w:rPr>
        <w:t xml:space="preserve"> </w:t>
      </w:r>
      <w:r w:rsidRPr="002B341E">
        <w:rPr>
          <w:rFonts w:ascii="Arial" w:hAnsi="Arial" w:cs="Arial"/>
        </w:rPr>
        <w:t>Data are expressed as mean ± SD. *P &lt; 0.05, **P &lt; 0.01 MAFLD vs. MAFLD+Didymin. # P &lt; 0.05, ## P &lt; 0.01</w:t>
      </w:r>
      <w:r w:rsidRPr="00BC705B">
        <w:rPr>
          <w:rFonts w:ascii="Arial" w:hAnsi="Arial" w:cs="Arial"/>
        </w:rPr>
        <w:t xml:space="preserve"> </w:t>
      </w:r>
      <w:r w:rsidRPr="002B341E">
        <w:rPr>
          <w:rFonts w:ascii="Arial" w:hAnsi="Arial" w:cs="Arial"/>
        </w:rPr>
        <w:t>control vs. MAFLD.</w:t>
      </w:r>
    </w:p>
    <w:p w14:paraId="02CCB30A" w14:textId="0B6A75BC" w:rsidR="00BC705B" w:rsidRDefault="00BC705B" w:rsidP="00BC705B">
      <w:pPr>
        <w:spacing w:line="480" w:lineRule="auto"/>
        <w:rPr>
          <w:rFonts w:ascii="Arial" w:hAnsi="Arial" w:cs="Arial"/>
        </w:rPr>
      </w:pPr>
      <w:r>
        <w:rPr>
          <w:rFonts w:ascii="Arial" w:hAnsi="Arial" w:cs="Arial" w:hint="eastAsia"/>
          <w:noProof/>
          <w:lang w:eastAsia="en-US"/>
        </w:rPr>
        <w:drawing>
          <wp:inline distT="0" distB="0" distL="0" distR="0" wp14:anchorId="0E33692B" wp14:editId="13AF25A0">
            <wp:extent cx="5274310" cy="2379345"/>
            <wp:effectExtent l="0" t="0" r="2540" b="1905"/>
            <wp:docPr id="109938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3819" name="图片 1099381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2379345"/>
                    </a:xfrm>
                    <a:prstGeom prst="rect">
                      <a:avLst/>
                    </a:prstGeom>
                  </pic:spPr>
                </pic:pic>
              </a:graphicData>
            </a:graphic>
          </wp:inline>
        </w:drawing>
      </w:r>
    </w:p>
    <w:bookmarkEnd w:id="1"/>
    <w:p w14:paraId="33BDF48D" w14:textId="59177541" w:rsidR="00F85D68" w:rsidRPr="00BC705B" w:rsidRDefault="00BC705B" w:rsidP="00F85D68">
      <w:pPr>
        <w:spacing w:line="480" w:lineRule="auto"/>
        <w:rPr>
          <w:rFonts w:ascii="Arial" w:hAnsi="Arial" w:cs="Arial"/>
          <w:b/>
          <w:bCs/>
        </w:rPr>
      </w:pPr>
      <w:r w:rsidRPr="002B341E">
        <w:rPr>
          <w:rFonts w:ascii="Arial" w:hAnsi="Arial" w:cs="Arial"/>
          <w:b/>
          <w:bCs/>
        </w:rPr>
        <w:t>Figure S</w:t>
      </w:r>
      <w:r>
        <w:rPr>
          <w:rFonts w:ascii="Arial" w:hAnsi="Arial" w:cs="Arial"/>
          <w:b/>
          <w:bCs/>
        </w:rPr>
        <w:t>6</w:t>
      </w:r>
      <w:r w:rsidRPr="002B341E">
        <w:rPr>
          <w:rFonts w:ascii="Arial" w:hAnsi="Arial" w:cs="Arial"/>
          <w:b/>
          <w:bCs/>
        </w:rPr>
        <w:t>.</w:t>
      </w:r>
      <w:r>
        <w:rPr>
          <w:rFonts w:ascii="Arial" w:hAnsi="Arial" w:cs="Arial"/>
          <w:b/>
          <w:bCs/>
        </w:rPr>
        <w:t xml:space="preserve"> </w:t>
      </w:r>
      <w:r w:rsidR="00F85D68" w:rsidRPr="00F85D68">
        <w:rPr>
          <w:rFonts w:ascii="Arial" w:hAnsi="Arial" w:cs="Arial"/>
        </w:rPr>
        <w:t>Sirt1-in-1 inhibits the activation of SIRT1 by Didymin</w:t>
      </w:r>
      <w:r w:rsidR="00F85D68">
        <w:rPr>
          <w:rFonts w:ascii="Arial" w:hAnsi="Arial" w:cs="Arial"/>
        </w:rPr>
        <w:t xml:space="preserve"> in AML12 cells. </w:t>
      </w:r>
      <w:r w:rsidR="00F85D68" w:rsidRPr="002B341E">
        <w:rPr>
          <w:rFonts w:ascii="Arial" w:hAnsi="Arial" w:cs="Arial"/>
        </w:rPr>
        <w:t>(</w:t>
      </w:r>
      <w:r w:rsidR="00F85D68">
        <w:rPr>
          <w:rFonts w:ascii="Arial" w:hAnsi="Arial" w:cs="Arial"/>
        </w:rPr>
        <w:t>A</w:t>
      </w:r>
      <w:r w:rsidR="00F85D68" w:rsidRPr="002B341E">
        <w:rPr>
          <w:rFonts w:ascii="Arial" w:hAnsi="Arial" w:cs="Arial"/>
        </w:rPr>
        <w:t>) TG contents in AML12 cells</w:t>
      </w:r>
      <w:r w:rsidR="00F85D68">
        <w:rPr>
          <w:rFonts w:ascii="Arial" w:hAnsi="Arial" w:cs="Arial"/>
        </w:rPr>
        <w:t xml:space="preserve"> (n=4)</w:t>
      </w:r>
      <w:r w:rsidR="00F85D68" w:rsidRPr="002B341E">
        <w:rPr>
          <w:rFonts w:ascii="Arial" w:hAnsi="Arial" w:cs="Arial"/>
        </w:rPr>
        <w:t>.</w:t>
      </w:r>
      <w:r w:rsidR="00F85D68">
        <w:rPr>
          <w:rFonts w:ascii="Arial" w:hAnsi="Arial" w:cs="Arial"/>
        </w:rPr>
        <w:t xml:space="preserve"> (B) </w:t>
      </w:r>
      <w:r w:rsidR="00F85D68" w:rsidRPr="00C20769">
        <w:rPr>
          <w:rFonts w:ascii="Arial" w:hAnsi="Arial" w:cs="Arial"/>
        </w:rPr>
        <w:t>Western blot analysis o</w:t>
      </w:r>
      <w:r w:rsidR="00F85D68" w:rsidRPr="00B36B18">
        <w:rPr>
          <w:rFonts w:ascii="Arial" w:hAnsi="Arial" w:cs="Arial"/>
        </w:rPr>
        <w:t xml:space="preserve">f </w:t>
      </w:r>
      <w:r w:rsidR="00F85D68">
        <w:rPr>
          <w:rFonts w:ascii="Arial" w:hAnsi="Arial" w:cs="Arial"/>
        </w:rPr>
        <w:t>NRF1</w:t>
      </w:r>
      <w:r w:rsidR="00F85D68" w:rsidRPr="00B36B18">
        <w:rPr>
          <w:rFonts w:ascii="Arial" w:hAnsi="Arial" w:cs="Arial"/>
        </w:rPr>
        <w:t xml:space="preserve"> and </w:t>
      </w:r>
      <w:r w:rsidR="00F85D68">
        <w:rPr>
          <w:rFonts w:ascii="Arial" w:hAnsi="Arial" w:cs="Arial"/>
        </w:rPr>
        <w:t>TFAM</w:t>
      </w:r>
      <w:r w:rsidR="00F85D68" w:rsidRPr="00B36B18">
        <w:rPr>
          <w:rFonts w:ascii="Arial" w:hAnsi="Arial" w:cs="Arial"/>
        </w:rPr>
        <w:t xml:space="preserve"> in</w:t>
      </w:r>
      <w:r w:rsidR="00F85D68" w:rsidRPr="00C20769">
        <w:rPr>
          <w:rFonts w:ascii="Arial" w:hAnsi="Arial" w:cs="Arial"/>
        </w:rPr>
        <w:t xml:space="preserve"> hepatocyte</w:t>
      </w:r>
      <w:r w:rsidR="00F85D68" w:rsidRPr="00B36B18">
        <w:rPr>
          <w:rFonts w:ascii="Arial" w:hAnsi="Arial" w:cs="Arial"/>
        </w:rPr>
        <w:t>s (n=3).</w:t>
      </w:r>
      <w:r w:rsidR="00F85D68" w:rsidRPr="00F85D68">
        <w:rPr>
          <w:rFonts w:ascii="Arial" w:hAnsi="Arial" w:cs="Arial"/>
        </w:rPr>
        <w:t xml:space="preserve"> </w:t>
      </w:r>
      <w:r w:rsidR="00F85D68">
        <w:rPr>
          <w:rFonts w:ascii="Arial" w:hAnsi="Arial" w:cs="Arial"/>
        </w:rPr>
        <w:t xml:space="preserve">(C) </w:t>
      </w:r>
      <w:r w:rsidR="00F85D68" w:rsidRPr="00C20769">
        <w:rPr>
          <w:rFonts w:ascii="Arial" w:hAnsi="Arial" w:cs="Arial"/>
        </w:rPr>
        <w:t>Western blo</w:t>
      </w:r>
      <w:bookmarkStart w:id="2" w:name="_GoBack"/>
      <w:bookmarkEnd w:id="2"/>
      <w:r w:rsidR="00F85D68" w:rsidRPr="00C20769">
        <w:rPr>
          <w:rFonts w:ascii="Arial" w:hAnsi="Arial" w:cs="Arial"/>
        </w:rPr>
        <w:t>t analysis o</w:t>
      </w:r>
      <w:r w:rsidR="00F85D68" w:rsidRPr="00B36B18">
        <w:rPr>
          <w:rFonts w:ascii="Arial" w:hAnsi="Arial" w:cs="Arial"/>
        </w:rPr>
        <w:t xml:space="preserve">f </w:t>
      </w:r>
      <w:r w:rsidR="00F85D68">
        <w:rPr>
          <w:rFonts w:ascii="Arial" w:hAnsi="Arial" w:cs="Arial"/>
        </w:rPr>
        <w:t>Beclin1, p62,</w:t>
      </w:r>
      <w:r w:rsidR="00F85D68" w:rsidRPr="00B36B18">
        <w:rPr>
          <w:rFonts w:ascii="Arial" w:hAnsi="Arial" w:cs="Arial"/>
        </w:rPr>
        <w:t xml:space="preserve"> and </w:t>
      </w:r>
      <w:r w:rsidR="00F85D68">
        <w:rPr>
          <w:rFonts w:ascii="Arial" w:hAnsi="Arial" w:cs="Arial"/>
        </w:rPr>
        <w:t>LAMP1</w:t>
      </w:r>
      <w:r w:rsidR="00F85D68" w:rsidRPr="00B36B18">
        <w:rPr>
          <w:rFonts w:ascii="Arial" w:hAnsi="Arial" w:cs="Arial"/>
        </w:rPr>
        <w:t xml:space="preserve"> in</w:t>
      </w:r>
      <w:r w:rsidR="00F85D68" w:rsidRPr="00C20769">
        <w:rPr>
          <w:rFonts w:ascii="Arial" w:hAnsi="Arial" w:cs="Arial"/>
        </w:rPr>
        <w:t xml:space="preserve"> hepatocyte</w:t>
      </w:r>
      <w:r w:rsidR="00F85D68" w:rsidRPr="00B36B18">
        <w:rPr>
          <w:rFonts w:ascii="Arial" w:hAnsi="Arial" w:cs="Arial"/>
        </w:rPr>
        <w:t>s (n=3).</w:t>
      </w:r>
      <w:r w:rsidR="00F85D68" w:rsidRPr="00F85D68">
        <w:rPr>
          <w:rFonts w:ascii="Arial" w:hAnsi="Arial" w:cs="Arial"/>
        </w:rPr>
        <w:t xml:space="preserve"> </w:t>
      </w:r>
      <w:r w:rsidR="00D616D8" w:rsidRPr="002B341E">
        <w:rPr>
          <w:rFonts w:ascii="Arial" w:hAnsi="Arial" w:cs="Arial"/>
        </w:rPr>
        <w:t>Data are expressed as mean ± SD</w:t>
      </w:r>
      <w:r w:rsidR="00596A88">
        <w:rPr>
          <w:rFonts w:ascii="Arial" w:hAnsi="Arial" w:cs="Arial"/>
        </w:rPr>
        <w:t>.</w:t>
      </w:r>
      <w:r w:rsidR="00D616D8" w:rsidRPr="002B341E">
        <w:rPr>
          <w:rFonts w:ascii="Arial" w:hAnsi="Arial" w:cs="Arial"/>
        </w:rPr>
        <w:t xml:space="preserve"> </w:t>
      </w:r>
      <w:r w:rsidR="00F85D68" w:rsidRPr="002B341E">
        <w:rPr>
          <w:rFonts w:ascii="Arial" w:hAnsi="Arial" w:cs="Arial"/>
        </w:rPr>
        <w:t>**P &lt; 0.01, ***P &lt; 0.001, ****P&lt; 0.0001 PA vs. PA+Didymin.</w:t>
      </w:r>
      <w:r w:rsidR="00F85D68">
        <w:rPr>
          <w:rFonts w:ascii="Arial" w:hAnsi="Arial" w:cs="Arial"/>
        </w:rPr>
        <w:t xml:space="preserve"> </w:t>
      </w:r>
      <w:r w:rsidR="00F85D68" w:rsidRPr="002B341E">
        <w:rPr>
          <w:rFonts w:ascii="Arial" w:hAnsi="Arial" w:cs="Arial"/>
        </w:rPr>
        <w:t>## P &lt; 0.01, ### P &lt; 0.001, #### P &lt; 0.0001 control vs. PA.</w:t>
      </w:r>
    </w:p>
    <w:p w14:paraId="07E5E4B0" w14:textId="0235A1C9" w:rsidR="00BC705B" w:rsidRDefault="00F85D68" w:rsidP="00BC705B">
      <w:pPr>
        <w:spacing w:line="480" w:lineRule="auto"/>
        <w:rPr>
          <w:rFonts w:ascii="Arial" w:hAnsi="Arial" w:cs="Arial"/>
          <w:b/>
          <w:bCs/>
        </w:rPr>
      </w:pPr>
      <w:r>
        <w:rPr>
          <w:rFonts w:ascii="Arial" w:hAnsi="Arial" w:cs="Arial" w:hint="eastAsia"/>
          <w:b/>
          <w:bCs/>
          <w:noProof/>
          <w:lang w:eastAsia="en-US"/>
        </w:rPr>
        <w:drawing>
          <wp:inline distT="0" distB="0" distL="0" distR="0" wp14:anchorId="5E8C5FAE" wp14:editId="2F8C9E31">
            <wp:extent cx="2400300" cy="1948100"/>
            <wp:effectExtent l="0" t="0" r="0" b="0"/>
            <wp:docPr id="18970733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073313" name="图片 189707331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05788" cy="1952554"/>
                    </a:xfrm>
                    <a:prstGeom prst="rect">
                      <a:avLst/>
                    </a:prstGeom>
                  </pic:spPr>
                </pic:pic>
              </a:graphicData>
            </a:graphic>
          </wp:inline>
        </w:drawing>
      </w:r>
    </w:p>
    <w:p w14:paraId="65C45831" w14:textId="5DF3E985" w:rsidR="00F85D68" w:rsidRPr="00F85D68" w:rsidRDefault="00F85D68" w:rsidP="00BC705B">
      <w:pPr>
        <w:spacing w:line="480" w:lineRule="auto"/>
        <w:rPr>
          <w:rFonts w:ascii="Arial" w:hAnsi="Arial" w:cs="Arial"/>
          <w:b/>
          <w:bCs/>
        </w:rPr>
      </w:pPr>
      <w:r w:rsidRPr="002B341E">
        <w:rPr>
          <w:rFonts w:ascii="Arial" w:hAnsi="Arial" w:cs="Arial"/>
          <w:b/>
          <w:bCs/>
        </w:rPr>
        <w:t>Figure S</w:t>
      </w:r>
      <w:r>
        <w:rPr>
          <w:rFonts w:ascii="Arial" w:hAnsi="Arial" w:cs="Arial"/>
          <w:b/>
          <w:bCs/>
        </w:rPr>
        <w:t>7</w:t>
      </w:r>
      <w:r w:rsidRPr="002B341E">
        <w:rPr>
          <w:rFonts w:ascii="Arial" w:hAnsi="Arial" w:cs="Arial"/>
          <w:b/>
          <w:bCs/>
        </w:rPr>
        <w:t>.</w:t>
      </w:r>
      <w:r w:rsidRPr="00F85D68">
        <w:rPr>
          <w:rFonts w:ascii="Arial" w:hAnsi="Arial" w:cs="Arial"/>
        </w:rPr>
        <w:t xml:space="preserve"> </w:t>
      </w:r>
      <w:r w:rsidRPr="002B341E">
        <w:rPr>
          <w:rFonts w:ascii="Arial" w:hAnsi="Arial" w:cs="Arial"/>
        </w:rPr>
        <w:t>Cell viability of AML12 cells treated with PA and different concentrations of Didymin</w:t>
      </w:r>
      <w:r>
        <w:rPr>
          <w:rFonts w:ascii="Arial" w:hAnsi="Arial" w:cs="Arial"/>
        </w:rPr>
        <w:t xml:space="preserve"> (n=4)</w:t>
      </w:r>
      <w:r w:rsidRPr="002B341E">
        <w:rPr>
          <w:rFonts w:ascii="Arial" w:hAnsi="Arial" w:cs="Arial"/>
        </w:rPr>
        <w:t>.</w:t>
      </w:r>
      <w:r w:rsidR="00C32274" w:rsidRPr="00C32274">
        <w:rPr>
          <w:rFonts w:ascii="Arial" w:hAnsi="Arial" w:cs="Arial"/>
        </w:rPr>
        <w:t xml:space="preserve"> </w:t>
      </w:r>
      <w:r w:rsidR="00D616D8" w:rsidRPr="002B341E">
        <w:rPr>
          <w:rFonts w:ascii="Arial" w:hAnsi="Arial" w:cs="Arial"/>
        </w:rPr>
        <w:t>Data are expressed as mean ± SD</w:t>
      </w:r>
      <w:r w:rsidR="00596A88">
        <w:rPr>
          <w:rFonts w:ascii="Arial" w:hAnsi="Arial" w:cs="Arial"/>
        </w:rPr>
        <w:t>.</w:t>
      </w:r>
      <w:r w:rsidR="00D616D8" w:rsidRPr="002B341E">
        <w:rPr>
          <w:rFonts w:ascii="Arial" w:hAnsi="Arial" w:cs="Arial"/>
        </w:rPr>
        <w:t xml:space="preserve"> </w:t>
      </w:r>
      <w:r w:rsidR="00C32274" w:rsidRPr="002B341E">
        <w:rPr>
          <w:rFonts w:ascii="Arial" w:hAnsi="Arial" w:cs="Arial"/>
        </w:rPr>
        <w:t>****P&lt; 0.0001 PA vs. PA+Didymin.</w:t>
      </w:r>
    </w:p>
    <w:p w14:paraId="3CDB1744" w14:textId="77777777" w:rsidR="008778B9" w:rsidRDefault="008778B9"/>
    <w:p w14:paraId="0F2D34F9" w14:textId="77777777" w:rsidR="008778B9" w:rsidRDefault="008778B9"/>
    <w:p w14:paraId="401B997F" w14:textId="77777777" w:rsidR="008778B9" w:rsidRPr="008778B9" w:rsidRDefault="008778B9" w:rsidP="008778B9">
      <w:pPr>
        <w:pStyle w:val="EndNoteBibliography"/>
        <w:ind w:left="720" w:hanging="720"/>
      </w:pPr>
      <w:r>
        <w:fldChar w:fldCharType="begin"/>
      </w:r>
      <w:r>
        <w:instrText xml:space="preserve"> ADDIN EN.REFLIST </w:instrText>
      </w:r>
      <w:r>
        <w:fldChar w:fldCharType="separate"/>
      </w:r>
      <w:r w:rsidRPr="008778B9">
        <w:t>1.</w:t>
      </w:r>
      <w:r w:rsidRPr="008778B9">
        <w:tab/>
        <w:t xml:space="preserve">Li, R., et al., </w:t>
      </w:r>
      <w:r w:rsidRPr="008778B9">
        <w:rPr>
          <w:i/>
        </w:rPr>
        <w:t>SOAP: short oligonucleotide alignment program.</w:t>
      </w:r>
      <w:r w:rsidRPr="008778B9">
        <w:t xml:space="preserve"> Bioinformatics, 2008. </w:t>
      </w:r>
      <w:r w:rsidRPr="008778B9">
        <w:rPr>
          <w:b/>
        </w:rPr>
        <w:t>24</w:t>
      </w:r>
      <w:r w:rsidRPr="008778B9">
        <w:t>(5): p. 713-4.</w:t>
      </w:r>
    </w:p>
    <w:p w14:paraId="0EE9B9B1" w14:textId="77777777" w:rsidR="008778B9" w:rsidRPr="008778B9" w:rsidRDefault="008778B9" w:rsidP="008778B9">
      <w:pPr>
        <w:pStyle w:val="EndNoteBibliography"/>
        <w:ind w:left="720" w:hanging="720"/>
      </w:pPr>
      <w:r w:rsidRPr="008778B9">
        <w:t>2.</w:t>
      </w:r>
      <w:r w:rsidRPr="008778B9">
        <w:tab/>
        <w:t xml:space="preserve">Langmead, B. and S.L. Salzberg, </w:t>
      </w:r>
      <w:r w:rsidRPr="008778B9">
        <w:rPr>
          <w:i/>
        </w:rPr>
        <w:t>Fast gapped-read alignment with Bowtie 2.</w:t>
      </w:r>
      <w:r w:rsidRPr="008778B9">
        <w:t xml:space="preserve"> Nat Methods, 2012. </w:t>
      </w:r>
      <w:r w:rsidRPr="008778B9">
        <w:rPr>
          <w:b/>
        </w:rPr>
        <w:t>9</w:t>
      </w:r>
      <w:r w:rsidRPr="008778B9">
        <w:t>(4): p. 357-9.</w:t>
      </w:r>
    </w:p>
    <w:p w14:paraId="5FE9BA38" w14:textId="77777777" w:rsidR="008778B9" w:rsidRPr="008778B9" w:rsidRDefault="008778B9" w:rsidP="008778B9">
      <w:pPr>
        <w:pStyle w:val="EndNoteBibliography"/>
        <w:ind w:left="720" w:hanging="720"/>
      </w:pPr>
      <w:r w:rsidRPr="008778B9">
        <w:t>3.</w:t>
      </w:r>
      <w:r w:rsidRPr="008778B9">
        <w:tab/>
        <w:t xml:space="preserve">Li, B. and C.N. Dewey, </w:t>
      </w:r>
      <w:r w:rsidRPr="008778B9">
        <w:rPr>
          <w:i/>
        </w:rPr>
        <w:t>RSEM: accurate transcript quantification from RNA-Seq data with or without a reference genome.</w:t>
      </w:r>
      <w:r w:rsidRPr="008778B9">
        <w:t xml:space="preserve"> BMC Bioinformatics, 2011. </w:t>
      </w:r>
      <w:r w:rsidRPr="008778B9">
        <w:rPr>
          <w:b/>
        </w:rPr>
        <w:t>12</w:t>
      </w:r>
      <w:r w:rsidRPr="008778B9">
        <w:t>: p. 323.</w:t>
      </w:r>
    </w:p>
    <w:p w14:paraId="0C333836" w14:textId="77777777" w:rsidR="008778B9" w:rsidRPr="008778B9" w:rsidRDefault="008778B9" w:rsidP="008778B9">
      <w:pPr>
        <w:pStyle w:val="EndNoteBibliography"/>
        <w:ind w:left="720" w:hanging="720"/>
      </w:pPr>
      <w:r w:rsidRPr="008778B9">
        <w:t>4.</w:t>
      </w:r>
      <w:r w:rsidRPr="008778B9">
        <w:tab/>
        <w:t xml:space="preserve">Love, M.I., W. Huber, and S. Anders, </w:t>
      </w:r>
      <w:r w:rsidRPr="008778B9">
        <w:rPr>
          <w:i/>
        </w:rPr>
        <w:t>Moderated estimation of fold change and dispersion for RNA-seq data with DESeq2.</w:t>
      </w:r>
      <w:r w:rsidRPr="008778B9">
        <w:t xml:space="preserve"> Genome Biol, 2014. </w:t>
      </w:r>
      <w:r w:rsidRPr="008778B9">
        <w:rPr>
          <w:b/>
        </w:rPr>
        <w:t>15</w:t>
      </w:r>
      <w:r w:rsidRPr="008778B9">
        <w:t>(12): p. 550.</w:t>
      </w:r>
    </w:p>
    <w:p w14:paraId="34B69CBC" w14:textId="77777777" w:rsidR="008778B9" w:rsidRPr="008778B9" w:rsidRDefault="008778B9" w:rsidP="008778B9">
      <w:pPr>
        <w:pStyle w:val="EndNoteBibliography"/>
        <w:ind w:left="720" w:hanging="720"/>
      </w:pPr>
      <w:r w:rsidRPr="008778B9">
        <w:t>5.</w:t>
      </w:r>
      <w:r w:rsidRPr="008778B9">
        <w:tab/>
        <w:t xml:space="preserve">Wang, L., et al., </w:t>
      </w:r>
      <w:r w:rsidRPr="008778B9">
        <w:rPr>
          <w:i/>
        </w:rPr>
        <w:t>DEGseq: an R package for identifying differentially expressed genes from RNA-seq data.</w:t>
      </w:r>
      <w:r w:rsidRPr="008778B9">
        <w:t xml:space="preserve"> Bioinformatics, 2010. </w:t>
      </w:r>
      <w:r w:rsidRPr="008778B9">
        <w:rPr>
          <w:b/>
        </w:rPr>
        <w:t>26</w:t>
      </w:r>
      <w:r w:rsidRPr="008778B9">
        <w:t>(1): p. 136-8.</w:t>
      </w:r>
    </w:p>
    <w:p w14:paraId="7B48357B" w14:textId="49436DFD" w:rsidR="00F47775" w:rsidRDefault="008778B9">
      <w:r>
        <w:fldChar w:fldCharType="end"/>
      </w:r>
    </w:p>
    <w:sectPr w:rsidR="00F47775" w:rsidSect="000478EC">
      <w:foot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8C9680" w14:textId="77777777" w:rsidR="00D94650" w:rsidRDefault="00D94650" w:rsidP="0007242A">
      <w:r>
        <w:separator/>
      </w:r>
    </w:p>
  </w:endnote>
  <w:endnote w:type="continuationSeparator" w:id="0">
    <w:p w14:paraId="1BCB7150" w14:textId="77777777" w:rsidR="00D94650" w:rsidRDefault="00D94650" w:rsidP="00072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20002A87"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0608345"/>
      <w:docPartObj>
        <w:docPartGallery w:val="Page Numbers (Bottom of Page)"/>
        <w:docPartUnique/>
      </w:docPartObj>
    </w:sdtPr>
    <w:sdtEndPr/>
    <w:sdtContent>
      <w:p w14:paraId="2AAD602D" w14:textId="77777777" w:rsidR="004E7913" w:rsidRDefault="00720805">
        <w:pPr>
          <w:pStyle w:val="Footer"/>
        </w:pPr>
        <w:r>
          <w:fldChar w:fldCharType="begin"/>
        </w:r>
        <w:r>
          <w:instrText>PAGE   \* MERGEFORMAT</w:instrText>
        </w:r>
        <w:r>
          <w:fldChar w:fldCharType="separate"/>
        </w:r>
        <w:r>
          <w:rPr>
            <w:lang w:val="zh-CN"/>
          </w:rPr>
          <w:t>2</w:t>
        </w:r>
        <w:r>
          <w:fldChar w:fldCharType="end"/>
        </w:r>
      </w:p>
    </w:sdtContent>
  </w:sdt>
  <w:p w14:paraId="584F7650" w14:textId="77777777" w:rsidR="004E7913" w:rsidRDefault="004E79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28323F" w14:textId="77777777" w:rsidR="00D94650" w:rsidRDefault="00D94650" w:rsidP="0007242A">
      <w:r>
        <w:separator/>
      </w:r>
    </w:p>
  </w:footnote>
  <w:footnote w:type="continuationSeparator" w:id="0">
    <w:p w14:paraId="2FC7E8F5" w14:textId="77777777" w:rsidR="00D94650" w:rsidRDefault="00D94650" w:rsidP="000724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ds0dtf5p2vw04etp09pvrs8v020zvfdsx9t&quot;&gt;My EndNote Library&lt;record-ids&gt;&lt;item&gt;1465&lt;/item&gt;&lt;item&gt;1466&lt;/item&gt;&lt;item&gt;1467&lt;/item&gt;&lt;item&gt;1468&lt;/item&gt;&lt;item&gt;1469&lt;/item&gt;&lt;/record-ids&gt;&lt;/item&gt;&lt;/Libraries&gt;"/>
  </w:docVars>
  <w:rsids>
    <w:rsidRoot w:val="003844D4"/>
    <w:rsid w:val="000478EC"/>
    <w:rsid w:val="00056C2B"/>
    <w:rsid w:val="0007242A"/>
    <w:rsid w:val="003844D4"/>
    <w:rsid w:val="004726A1"/>
    <w:rsid w:val="004E7913"/>
    <w:rsid w:val="005049F7"/>
    <w:rsid w:val="005314AF"/>
    <w:rsid w:val="00596A88"/>
    <w:rsid w:val="006C4DD2"/>
    <w:rsid w:val="00720805"/>
    <w:rsid w:val="008778B9"/>
    <w:rsid w:val="00B01C6D"/>
    <w:rsid w:val="00B36992"/>
    <w:rsid w:val="00BC705B"/>
    <w:rsid w:val="00C13AFC"/>
    <w:rsid w:val="00C32274"/>
    <w:rsid w:val="00D616D8"/>
    <w:rsid w:val="00D94650"/>
    <w:rsid w:val="00E57A06"/>
    <w:rsid w:val="00F31FAC"/>
    <w:rsid w:val="00F4674A"/>
    <w:rsid w:val="00F47775"/>
    <w:rsid w:val="00F85D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0841AB"/>
  <w15:chartTrackingRefBased/>
  <w15:docId w15:val="{3CA08293-A603-47DE-BA7C-859F611B8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242A"/>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242A"/>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07242A"/>
    <w:rPr>
      <w:sz w:val="18"/>
      <w:szCs w:val="18"/>
    </w:rPr>
  </w:style>
  <w:style w:type="paragraph" w:styleId="Footer">
    <w:name w:val="footer"/>
    <w:basedOn w:val="Normal"/>
    <w:link w:val="FooterChar"/>
    <w:uiPriority w:val="99"/>
    <w:unhideWhenUsed/>
    <w:rsid w:val="0007242A"/>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07242A"/>
    <w:rPr>
      <w:sz w:val="18"/>
      <w:szCs w:val="18"/>
    </w:rPr>
  </w:style>
  <w:style w:type="character" w:styleId="LineNumber">
    <w:name w:val="line number"/>
    <w:basedOn w:val="DefaultParagraphFont"/>
    <w:uiPriority w:val="99"/>
    <w:semiHidden/>
    <w:unhideWhenUsed/>
    <w:rsid w:val="0007242A"/>
  </w:style>
  <w:style w:type="table" w:styleId="TableGrid">
    <w:name w:val="Table Grid"/>
    <w:basedOn w:val="TableNormal"/>
    <w:uiPriority w:val="39"/>
    <w:rsid w:val="00472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0"/>
    <w:rsid w:val="008778B9"/>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8778B9"/>
    <w:rPr>
      <w:rFonts w:ascii="DengXian" w:eastAsia="DengXian" w:hAnsi="DengXian"/>
      <w:noProof/>
      <w:sz w:val="20"/>
    </w:rPr>
  </w:style>
  <w:style w:type="paragraph" w:customStyle="1" w:styleId="EndNoteBibliography">
    <w:name w:val="EndNote Bibliography"/>
    <w:basedOn w:val="Normal"/>
    <w:link w:val="EndNoteBibliography0"/>
    <w:rsid w:val="008778B9"/>
    <w:rPr>
      <w:rFonts w:ascii="DengXian" w:eastAsia="DengXian" w:hAnsi="DengXian"/>
      <w:noProof/>
      <w:sz w:val="20"/>
    </w:rPr>
  </w:style>
  <w:style w:type="character" w:customStyle="1" w:styleId="EndNoteBibliography0">
    <w:name w:val="EndNote Bibliography 字符"/>
    <w:basedOn w:val="DefaultParagraphFont"/>
    <w:link w:val="EndNoteBibliography"/>
    <w:rsid w:val="008778B9"/>
    <w:rPr>
      <w:rFonts w:ascii="DengXian" w:eastAsia="DengXian" w:hAnsi="DengXian"/>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1004</Words>
  <Characters>13093</Characters>
  <Application>Microsoft Office Word</Application>
  <DocSecurity>0</DocSecurity>
  <Lines>109</Lines>
  <Paragraphs>28</Paragraphs>
  <ScaleCrop>false</ScaleCrop>
  <Company/>
  <LinksUpToDate>false</LinksUpToDate>
  <CharactersWithSpaces>14069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静雯 杨</dc:creator>
  <cp:keywords/>
  <dc:description/>
  <cp:lastModifiedBy>Poornima Thiruvudaiselvi</cp:lastModifiedBy>
  <cp:revision>16</cp:revision>
  <dcterms:created xsi:type="dcterms:W3CDTF">2023-07-26T08:43:00Z</dcterms:created>
  <dcterms:modified xsi:type="dcterms:W3CDTF">2023-12-12T11:25:00Z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a5937cbfe223dcf6a31667703a00bec4f275395b53e06e4475275dd4a153265a</vt:lpwstr>
  </property>
</Properties>
</file>