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9B" w:rsidRDefault="0054779B" w:rsidP="0054779B">
      <w:pPr>
        <w:pStyle w:val="Kop1"/>
        <w:rPr>
          <w:lang w:val="en-US"/>
        </w:rPr>
      </w:pPr>
      <w:r>
        <w:rPr>
          <w:lang w:val="en-US"/>
        </w:rPr>
        <w:t>Additional files</w:t>
      </w:r>
    </w:p>
    <w:p w:rsidR="0054779B" w:rsidRDefault="0054779B" w:rsidP="0054779B">
      <w:pPr>
        <w:rPr>
          <w:lang w:val="en-US"/>
        </w:rPr>
      </w:pPr>
    </w:p>
    <w:p w:rsidR="0054779B" w:rsidRPr="005D55E4" w:rsidRDefault="0054779B" w:rsidP="0054779B">
      <w:pPr>
        <w:rPr>
          <w:b/>
          <w:lang w:val="en-US"/>
        </w:rPr>
      </w:pPr>
      <w:r w:rsidRPr="005D55E4">
        <w:rPr>
          <w:b/>
          <w:lang w:val="en-US"/>
        </w:rPr>
        <w:t>Additional file 1: Explanation of the difference case definitions of ME/CFS</w:t>
      </w:r>
    </w:p>
    <w:p w:rsidR="0054779B" w:rsidRDefault="0054779B" w:rsidP="0054779B">
      <w:pPr>
        <w:rPr>
          <w:lang w:val="en-GB"/>
        </w:rPr>
      </w:pPr>
      <w:r>
        <w:rPr>
          <w:lang w:val="en-GB"/>
        </w:rPr>
        <w:t xml:space="preserve">There are some similarities and differences between these definitions, and most ME/CFS patients meet multiple definitions, showing the complexity of ME/CFS. The Fukuda definition identifies a larger and more heterogeneous group of patients compared to the other definitions. Patients fulfilling the CCC have a higher prevalence and severity of symptoms compared to patients fulfilling the Fukuda definition. The CCC and ME-ICC share more similarities, however, patients that meet the ME-ICC have more severe functional impairment and more cognitive problems </w:t>
      </w:r>
      <w:r>
        <w:rPr>
          <w:lang w:val="en-GB"/>
        </w:rPr>
        <w:fldChar w:fldCharType="begin"/>
      </w:r>
      <w:r>
        <w:rPr>
          <w:lang w:val="en-GB"/>
        </w:rPr>
        <w:instrText xml:space="preserve"> ADDIN EN.CITE &lt;EndNote&gt;&lt;Cite ExcludeYear="1"&gt;&lt;Author&gt;Definitions&lt;/Author&gt;&lt;RecNum&gt;37&lt;/RecNum&gt;&lt;DisplayText&gt;(27)&lt;/DisplayText&gt;&lt;record&gt;&lt;rec-number&gt;37&lt;/rec-number&gt;&lt;foreign-keys&gt;&lt;key app="EN" db-id="evrfpztzmass9fea0dbvp95ws20wzdx0x5xr" timestamp="1703329798"&gt;37&lt;/key&gt;&lt;/foreign-keys&gt;&lt;ref-type name="Generic"&gt;13&lt;/ref-type&gt;&lt;contributors&gt;&lt;authors&gt;&lt;author&gt;Definitions, Current Case&lt;/author&gt;&lt;/authors&gt;&lt;/contributors&gt;&lt;titles&gt;&lt;title&gt;Diagnostic Criteria, Terminology, and Symptom Constructs and Clusters (2015) Committee on the Diagnostic Criteria for Myalgic Encephalomyelitis/Chronic Fatigue Syndrome; Board on the Health of Select Populations; Institute of Medicine&lt;/title&gt;&lt;/titles&gt;&lt;dates&gt;&lt;/dates&gt;&lt;publisher&gt;Washington (DC): National Academies Press, USA&lt;/publisher&gt;&lt;urls&gt;&lt;/urls&gt;&lt;/record&gt;&lt;/Cite&gt;&lt;/EndNote&gt;</w:instrText>
      </w:r>
      <w:r>
        <w:rPr>
          <w:lang w:val="en-GB"/>
        </w:rPr>
        <w:fldChar w:fldCharType="separate"/>
      </w:r>
      <w:r>
        <w:rPr>
          <w:noProof/>
          <w:lang w:val="en-GB"/>
        </w:rPr>
        <w:t>(27)</w:t>
      </w:r>
      <w:r>
        <w:rPr>
          <w:lang w:val="en-GB"/>
        </w:rPr>
        <w:fldChar w:fldCharType="end"/>
      </w:r>
      <w:r>
        <w:rPr>
          <w:lang w:val="en-GB"/>
        </w:rPr>
        <w:t>.</w:t>
      </w:r>
    </w:p>
    <w:p w:rsidR="0054779B" w:rsidRPr="005D55E4" w:rsidRDefault="0054779B" w:rsidP="0054779B">
      <w:pPr>
        <w:rPr>
          <w:lang w:val="en-US"/>
        </w:rPr>
      </w:pPr>
    </w:p>
    <w:p w:rsidR="0054779B" w:rsidRDefault="0054779B" w:rsidP="0054779B">
      <w:pPr>
        <w:spacing w:line="240" w:lineRule="auto"/>
        <w:jc w:val="both"/>
        <w:rPr>
          <w:lang w:val="en-GB"/>
        </w:rPr>
      </w:pPr>
      <w:r>
        <w:rPr>
          <w:noProof/>
          <w:lang w:eastAsia="nl-NL"/>
        </w:rPr>
        <w:drawing>
          <wp:inline distT="0" distB="0" distL="0" distR="0" wp14:anchorId="21E149CA" wp14:editId="5AD884D3">
            <wp:extent cx="4190337" cy="2298065"/>
            <wp:effectExtent l="0" t="0" r="1270" b="6985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4779B" w:rsidRPr="00A32EC5" w:rsidRDefault="0054779B" w:rsidP="0054779B">
      <w:pPr>
        <w:pStyle w:val="Geenafstand"/>
        <w:rPr>
          <w:b/>
          <w:lang w:val="en-GB"/>
        </w:rPr>
      </w:pPr>
      <w:r>
        <w:rPr>
          <w:b/>
          <w:lang w:val="en-GB"/>
        </w:rPr>
        <w:t xml:space="preserve">Additional file 2: </w:t>
      </w:r>
      <w:r w:rsidRPr="00A32EC5">
        <w:rPr>
          <w:b/>
          <w:lang w:val="en-GB"/>
        </w:rPr>
        <w:t xml:space="preserve">Figure </w:t>
      </w:r>
      <w:r>
        <w:rPr>
          <w:b/>
          <w:lang w:val="en-GB"/>
        </w:rPr>
        <w:t>S</w:t>
      </w:r>
      <w:r w:rsidRPr="00A32EC5">
        <w:rPr>
          <w:b/>
          <w:lang w:val="en-GB"/>
        </w:rPr>
        <w:t>1. The percentage of patients per case definition for ME/CFS</w:t>
      </w:r>
      <w:r>
        <w:rPr>
          <w:b/>
          <w:lang w:val="en-GB"/>
        </w:rPr>
        <w:t xml:space="preserve"> at study visit 1 and 2</w:t>
      </w:r>
    </w:p>
    <w:p w:rsidR="0054779B" w:rsidRPr="005836CD" w:rsidRDefault="0054779B" w:rsidP="0054779B">
      <w:pPr>
        <w:pStyle w:val="Geenafstand"/>
        <w:rPr>
          <w:sz w:val="18"/>
          <w:lang w:val="en-GB"/>
        </w:rPr>
      </w:pPr>
      <w:r>
        <w:rPr>
          <w:rStyle w:val="GeenafstandChar"/>
          <w:sz w:val="18"/>
          <w:lang w:val="en-GB"/>
        </w:rPr>
        <w:t xml:space="preserve">Abbreviations: CCC = Canadian Consensus Criteria; ME-ICC = International Consensus Criteria for ME; IOM: = </w:t>
      </w:r>
      <w:r w:rsidRPr="00A32EC5">
        <w:rPr>
          <w:rStyle w:val="GeenafstandChar"/>
          <w:sz w:val="18"/>
          <w:lang w:val="en-GB"/>
        </w:rPr>
        <w:t>Institute of Medicine Criteria</w:t>
      </w:r>
    </w:p>
    <w:p w:rsidR="0054779B" w:rsidRPr="00E175AB" w:rsidRDefault="0054779B" w:rsidP="0054779B">
      <w:pPr>
        <w:rPr>
          <w:lang w:val="en-GB"/>
        </w:rPr>
      </w:pPr>
    </w:p>
    <w:p w:rsidR="0054779B" w:rsidRPr="00BC4DC5" w:rsidRDefault="0054779B" w:rsidP="0054779B">
      <w:pPr>
        <w:pStyle w:val="Geenafstand"/>
        <w:rPr>
          <w:lang w:val="en-GB"/>
        </w:rPr>
      </w:pPr>
      <w:r w:rsidRPr="00BC4DC5">
        <w:rPr>
          <w:b/>
          <w:lang w:val="en-GB"/>
        </w:rPr>
        <w:t xml:space="preserve">Additional file </w:t>
      </w:r>
      <w:r>
        <w:rPr>
          <w:b/>
          <w:lang w:val="en-GB"/>
        </w:rPr>
        <w:t>3</w:t>
      </w:r>
      <w:r w:rsidRPr="00BC4DC5">
        <w:rPr>
          <w:b/>
          <w:lang w:val="en-GB"/>
        </w:rPr>
        <w:t>: Table S1</w:t>
      </w:r>
      <w:r>
        <w:rPr>
          <w:b/>
          <w:lang w:val="en-GB"/>
        </w:rPr>
        <w:t xml:space="preserve">. Top 5 features of the clusters with </w:t>
      </w:r>
      <w:r>
        <w:rPr>
          <w:rFonts w:cstheme="minorHAnsi"/>
          <w:b/>
          <w:lang w:val="en-GB"/>
        </w:rPr>
        <w:t>≥</w:t>
      </w:r>
      <w:r>
        <w:rPr>
          <w:b/>
          <w:lang w:val="en-GB"/>
        </w:rPr>
        <w:t xml:space="preserve"> 5 patients</w:t>
      </w:r>
      <w:r>
        <w:rPr>
          <w:lang w:val="en-GB"/>
        </w:rPr>
        <w:t xml:space="preserve">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728"/>
        <w:gridCol w:w="419"/>
        <w:gridCol w:w="1725"/>
        <w:gridCol w:w="1726"/>
        <w:gridCol w:w="1726"/>
        <w:gridCol w:w="1726"/>
        <w:gridCol w:w="1726"/>
      </w:tblGrid>
      <w:tr w:rsidR="0054779B" w:rsidRPr="0054779B" w:rsidTr="00D475A8">
        <w:tc>
          <w:tcPr>
            <w:tcW w:w="728" w:type="dxa"/>
            <w:shd w:val="clear" w:color="auto" w:fill="D9D9D9" w:themeFill="background1" w:themeFillShade="D9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Group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8629" w:type="dxa"/>
            <w:gridSpan w:val="5"/>
            <w:shd w:val="clear" w:color="auto" w:fill="D9D9D9" w:themeFill="background1" w:themeFillShade="D9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Median score of top 5 features</w:t>
            </w:r>
          </w:p>
        </w:tc>
      </w:tr>
      <w:tr w:rsidR="0054779B" w:rsidRPr="000E21D3" w:rsidTr="00D475A8">
        <w:tc>
          <w:tcPr>
            <w:tcW w:w="728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419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1725" w:type="dxa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Muscle pain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Heavy feeling after exercise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Sensitivity to noise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Heavy feeling after exercise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finding words</w:t>
            </w:r>
          </w:p>
        </w:tc>
      </w:tr>
      <w:tr w:rsidR="0054779B" w:rsidRPr="000E21D3" w:rsidTr="00D475A8">
        <w:tc>
          <w:tcPr>
            <w:tcW w:w="728" w:type="dxa"/>
            <w:vMerge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0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</w:tr>
      <w:tr w:rsidR="0054779B" w:rsidRPr="000E21D3" w:rsidTr="00D475A8">
        <w:tc>
          <w:tcPr>
            <w:tcW w:w="728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419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725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finding words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Symptom worsening after mild mental activity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understanding things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Difficulty finding words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Muscle twitches</w:t>
            </w:r>
          </w:p>
        </w:tc>
      </w:tr>
      <w:tr w:rsidR="0054779B" w:rsidRPr="000E21D3" w:rsidTr="00D475A8">
        <w:tc>
          <w:tcPr>
            <w:tcW w:w="728" w:type="dxa"/>
            <w:vMerge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3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2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3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</w:tr>
      <w:tr w:rsidR="0054779B" w:rsidRPr="000E21D3" w:rsidTr="00D475A8">
        <w:tc>
          <w:tcPr>
            <w:tcW w:w="728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419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725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Symptom worsening after mild mental activity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Nausea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Intolerance to extremes of temperature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Sinus infections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Daytime drowsiness</w:t>
            </w:r>
          </w:p>
        </w:tc>
      </w:tr>
      <w:tr w:rsidR="0054779B" w:rsidRPr="000E21D3" w:rsidTr="00D475A8">
        <w:tc>
          <w:tcPr>
            <w:tcW w:w="728" w:type="dxa"/>
            <w:vMerge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</w:tr>
      <w:tr w:rsidR="0054779B" w:rsidRPr="0054779B" w:rsidTr="00D475A8">
        <w:tc>
          <w:tcPr>
            <w:tcW w:w="728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419" w:type="dxa"/>
            <w:vMerge w:val="restart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725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Nausea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Bladder problems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Bladder problems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Nausea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Waking up at night to urinate</w:t>
            </w:r>
          </w:p>
        </w:tc>
      </w:tr>
      <w:tr w:rsidR="0054779B" w:rsidRPr="000E21D3" w:rsidTr="00D475A8">
        <w:tc>
          <w:tcPr>
            <w:tcW w:w="728" w:type="dxa"/>
            <w:vMerge/>
          </w:tcPr>
          <w:p w:rsidR="0054779B" w:rsidRPr="000E21D3" w:rsidRDefault="0054779B" w:rsidP="00D475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9" w:type="dxa"/>
            <w:vMerge/>
          </w:tcPr>
          <w:p w:rsidR="0054779B" w:rsidRPr="000E21D3" w:rsidRDefault="0054779B" w:rsidP="00D475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725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2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Severity 0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0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1</w:t>
            </w:r>
          </w:p>
        </w:tc>
        <w:tc>
          <w:tcPr>
            <w:tcW w:w="1726" w:type="dxa"/>
            <w:vAlign w:val="center"/>
          </w:tcPr>
          <w:p w:rsidR="0054779B" w:rsidRPr="000E21D3" w:rsidRDefault="0054779B" w:rsidP="00D475A8">
            <w:pPr>
              <w:jc w:val="center"/>
              <w:rPr>
                <w:sz w:val="20"/>
                <w:szCs w:val="20"/>
                <w:lang w:val="en-GB"/>
              </w:rPr>
            </w:pPr>
            <w:r w:rsidRPr="000E21D3">
              <w:rPr>
                <w:sz w:val="20"/>
                <w:szCs w:val="20"/>
                <w:lang w:val="en-GB"/>
              </w:rPr>
              <w:t>Frequency 2</w:t>
            </w:r>
          </w:p>
        </w:tc>
      </w:tr>
    </w:tbl>
    <w:p w:rsidR="002B25D9" w:rsidRPr="0054779B" w:rsidRDefault="0054779B" w:rsidP="0054779B">
      <w:bookmarkStart w:id="0" w:name="_GoBack"/>
      <w:bookmarkEnd w:id="0"/>
    </w:p>
    <w:sectPr w:rsidR="002B25D9" w:rsidRPr="00547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4D"/>
    <w:rsid w:val="0054779B"/>
    <w:rsid w:val="005F4F4D"/>
    <w:rsid w:val="00A41B3D"/>
    <w:rsid w:val="00BF47E2"/>
    <w:rsid w:val="00C95AB9"/>
    <w:rsid w:val="00F6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B3C0"/>
  <w15:chartTrackingRefBased/>
  <w15:docId w15:val="{3CD1B978-346A-4AD0-B375-2EF66D1C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779B"/>
  </w:style>
  <w:style w:type="paragraph" w:styleId="Kop1">
    <w:name w:val="heading 1"/>
    <w:basedOn w:val="Standaard"/>
    <w:next w:val="Standaard"/>
    <w:link w:val="Kop1Char"/>
    <w:uiPriority w:val="9"/>
    <w:qFormat/>
    <w:rsid w:val="005F4F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4F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eenafstand">
    <w:name w:val="No Spacing"/>
    <w:link w:val="GeenafstandChar"/>
    <w:uiPriority w:val="1"/>
    <w:qFormat/>
    <w:rsid w:val="005F4F4D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F4F4D"/>
  </w:style>
  <w:style w:type="table" w:styleId="Tabelraster">
    <w:name w:val="Table Grid"/>
    <w:basedOn w:val="Standaardtabel"/>
    <w:uiPriority w:val="39"/>
    <w:rsid w:val="005F4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mc.intra\users\M\mecornelissen\home\Documenten\1.%20P4O2\Papers\Fatigue%20+%20long%20covid\Analyses\figuur%20case%20definition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Blad1!$A$2</c:f>
              <c:strCache>
                <c:ptCount val="1"/>
                <c:pt idx="0">
                  <c:v>Fukuda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Blad1!$B$2:$C$2</c:f>
              <c:numCache>
                <c:formatCode>General</c:formatCode>
                <c:ptCount val="2"/>
                <c:pt idx="0">
                  <c:v>47.5</c:v>
                </c:pt>
                <c:pt idx="1">
                  <c:v>71.8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E4-4C79-AA2C-66D1F686F4EF}"/>
            </c:ext>
          </c:extLst>
        </c:ser>
        <c:ser>
          <c:idx val="1"/>
          <c:order val="1"/>
          <c:tx>
            <c:strRef>
              <c:f>Blad1!$A$3</c:f>
              <c:strCache>
                <c:ptCount val="1"/>
                <c:pt idx="0">
                  <c:v>CCC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Blad1!$B$3:$C$3</c:f>
              <c:numCache>
                <c:formatCode>General</c:formatCode>
                <c:ptCount val="2"/>
                <c:pt idx="0">
                  <c:v>24.6</c:v>
                </c:pt>
                <c:pt idx="1">
                  <c:v>30.8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E4-4C79-AA2C-66D1F686F4EF}"/>
            </c:ext>
          </c:extLst>
        </c:ser>
        <c:ser>
          <c:idx val="2"/>
          <c:order val="2"/>
          <c:tx>
            <c:strRef>
              <c:f>Blad1!$A$4</c:f>
              <c:strCache>
                <c:ptCount val="1"/>
                <c:pt idx="0">
                  <c:v>ICC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Blad1!$B$4:$C$4</c:f>
              <c:numCache>
                <c:formatCode>General</c:formatCode>
                <c:ptCount val="2"/>
                <c:pt idx="0">
                  <c:v>18</c:v>
                </c:pt>
                <c:pt idx="1">
                  <c:v>20.5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E4-4C79-AA2C-66D1F686F4EF}"/>
            </c:ext>
          </c:extLst>
        </c:ser>
        <c:ser>
          <c:idx val="3"/>
          <c:order val="3"/>
          <c:tx>
            <c:strRef>
              <c:f>Blad1!$A$5</c:f>
              <c:strCache>
                <c:ptCount val="1"/>
                <c:pt idx="0">
                  <c:v>IOM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cat>
            <c:strRef>
              <c:f>Blad1!$B$1:$C$1</c:f>
              <c:strCache>
                <c:ptCount val="2"/>
                <c:pt idx="0">
                  <c:v>Visit 1</c:v>
                </c:pt>
                <c:pt idx="1">
                  <c:v>Visit 2</c:v>
                </c:pt>
              </c:strCache>
            </c:strRef>
          </c:cat>
          <c:val>
            <c:numRef>
              <c:f>Blad1!$B$5:$C$5</c:f>
              <c:numCache>
                <c:formatCode>General</c:formatCode>
                <c:ptCount val="2"/>
                <c:pt idx="0">
                  <c:v>41</c:v>
                </c:pt>
                <c:pt idx="1">
                  <c:v>48.7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2E4-4C79-AA2C-66D1F686F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4729632"/>
        <c:axId val="654724384"/>
      </c:barChart>
      <c:catAx>
        <c:axId val="65472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654724384"/>
        <c:crosses val="autoZero"/>
        <c:auto val="1"/>
        <c:lblAlgn val="ctr"/>
        <c:lblOffset val="100"/>
        <c:noMultiLvlLbl val="0"/>
      </c:catAx>
      <c:valAx>
        <c:axId val="65472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65472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2167</Characters>
  <Application>Microsoft Office Word</Application>
  <DocSecurity>0</DocSecurity>
  <Lines>18</Lines>
  <Paragraphs>5</Paragraphs>
  <ScaleCrop>false</ScaleCrop>
  <Company>AMC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Cornelissen, M.E.B. (Merel)</dc:creator>
  <cp:keywords/>
  <dc:description/>
  <cp:lastModifiedBy>Cornelissen, M.E.B. (Merel)</cp:lastModifiedBy>
  <cp:revision>2</cp:revision>
  <dcterms:created xsi:type="dcterms:W3CDTF">2023-12-23T12:27:00Z</dcterms:created>
  <dcterms:modified xsi:type="dcterms:W3CDTF">2024-02-09T09:02:00Z</dcterms:modified>
</cp:coreProperties>
</file>