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</w:t>
      </w:r>
      <w:r>
        <w:rPr>
          <w:rFonts w:hint="eastAsia" w:ascii="Times New Roman" w:hAnsi="Times New Roman"/>
          <w:b/>
          <w:bCs/>
          <w:sz w:val="24"/>
        </w:rPr>
        <w:t>2</w:t>
      </w:r>
      <w:r>
        <w:rPr>
          <w:rFonts w:ascii="Times New Roman" w:hAnsi="Times New Roman"/>
          <w:b/>
          <w:bCs/>
          <w:sz w:val="24"/>
        </w:rPr>
        <w:t xml:space="preserve">. Clinical </w:t>
      </w:r>
      <w:r>
        <w:rPr>
          <w:rFonts w:hint="eastAsia" w:ascii="Times New Roman" w:hAnsi="Times New Roman"/>
          <w:b/>
          <w:bCs/>
          <w:sz w:val="24"/>
        </w:rPr>
        <w:t>characteristics</w:t>
      </w:r>
      <w:r>
        <w:rPr>
          <w:rFonts w:ascii="Times New Roman" w:hAnsi="Times New Roman"/>
          <w:b/>
          <w:bCs/>
          <w:sz w:val="24"/>
        </w:rPr>
        <w:t xml:space="preserve"> of </w:t>
      </w:r>
      <w:r>
        <w:rPr>
          <w:rFonts w:hint="eastAsia" w:ascii="Times New Roman" w:hAnsi="Times New Roman"/>
          <w:b/>
          <w:bCs/>
          <w:sz w:val="24"/>
        </w:rPr>
        <w:t>AML</w:t>
      </w:r>
      <w:r>
        <w:rPr>
          <w:rFonts w:ascii="Times New Roman" w:hAnsi="Times New Roman"/>
          <w:b/>
          <w:bCs/>
          <w:sz w:val="24"/>
        </w:rPr>
        <w:t xml:space="preserve"> samples used</w:t>
      </w:r>
      <w:r>
        <w:rPr>
          <w:rFonts w:hint="eastAsia" w:ascii="Times New Roman" w:hAnsi="Times New Roman"/>
          <w:b/>
          <w:bCs/>
          <w:sz w:val="24"/>
        </w:rPr>
        <w:t>. LILRB3 mRNA expression and relative miR-103a-2-5p expression levels</w:t>
      </w:r>
    </w:p>
    <w:p>
      <w:pPr>
        <w:jc w:val="center"/>
        <w:rPr>
          <w:rFonts w:ascii="Times New Roman" w:hAnsi="Times New Roman"/>
          <w:b/>
          <w:bCs/>
          <w:sz w:val="24"/>
        </w:rPr>
      </w:pPr>
    </w:p>
    <w:tbl>
      <w:tblPr>
        <w:tblStyle w:val="5"/>
        <w:tblW w:w="10482" w:type="dxa"/>
        <w:tblInd w:w="-8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585"/>
        <w:gridCol w:w="870"/>
        <w:gridCol w:w="1270"/>
        <w:gridCol w:w="945"/>
        <w:gridCol w:w="2546"/>
        <w:gridCol w:w="1423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Number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Age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Gender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 xml:space="preserve">FAB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Classification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%Blasts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Gene Mutation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LILRB3 level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2^-ΔΔCT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MiR-103a-2-5p level 2^-ΔΔCT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76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92.2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FLT3-ITD,CEBPA,NPM1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7.804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24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M5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59.2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CR1,FLT3-ITD,NPM1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7.724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AML#3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38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41.1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FLT3-TKD,DNMT3A,NPM1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7.664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AML#4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67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19.7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6.389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AML#5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27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75.0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CEBPA,TET2,NF1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5.494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AML#6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34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M5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87.5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DNMT3A,NPM2,FLT3-ITD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4.631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AML#7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27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72.6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FLT3-ITD,WT1,RUNX1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4.585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1.024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AML#8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36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M5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75.0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MYH11+,FLT3-ITD</w:t>
            </w:r>
          </w:p>
        </w:tc>
        <w:tc>
          <w:tcPr>
            <w:tcW w:w="1423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4.576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AML#9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16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81.5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WT1,ASXL1,SETD2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4.454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1.566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AML#10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26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M1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83.1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CEBPA,NRAS,WT1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4.416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AML#11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35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74.0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WT1,FLT3-TKD,NF1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4.197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AML#12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26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M5b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30.5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NPM-MLF1,FLT3-ITD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3.362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AML#13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45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M1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85.5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CEBPA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3.338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AML#14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21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70.0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CEBPA,CSF3R,NRAS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3.291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AML#15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55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31.0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WT1,PTPN,STAF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3.178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AML#16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30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87.5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WT1,IKZF1,NARS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3.112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AML#17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73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M4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45.5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ASXL1,BCOR,DNMT3A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3.038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AML#18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57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80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MLL-PTD,WT1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2.807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AML#19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65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M5b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20.5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2.805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AML#20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24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M1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68.5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WT1,TET2,STEG2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2.735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AML#21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41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79.0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MLL-PTD,FLT3-ITD,IDH2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2.704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AML#22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59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M5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70.0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MLL-PTD,ASXL1,DNMT3A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2.174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AML#23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45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M3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46.7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WT1,NPM1,DNMT3A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2.161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AML#24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68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M1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56.5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NRAS,TET2,CEBPA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2.087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AML#25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31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46.0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WT1,NPM1,NRAS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2.040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AML#26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53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68.5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GATA2,IKZF1,PHF6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1.249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27.5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CSF3R,RUNX1,ETO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0.961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2.918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73.0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ETO,CSF3R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0.961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3.014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41.9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WT1,CEBPA,DNMT3A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0.940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3.330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8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AML#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58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27</w:t>
            </w:r>
            <w:bookmarkStart w:id="0" w:name="_GoBack"/>
            <w:bookmarkEnd w:id="0"/>
          </w:p>
        </w:tc>
        <w:tc>
          <w:tcPr>
            <w:tcW w:w="870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1270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M2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55.5</w:t>
            </w:r>
          </w:p>
        </w:tc>
        <w:tc>
          <w:tcPr>
            <w:tcW w:w="2546" w:type="dxa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DHX15,EZH2,SMC3</w:t>
            </w:r>
          </w:p>
        </w:tc>
        <w:tc>
          <w:tcPr>
            <w:tcW w:w="1423" w:type="dxa"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0.419</w:t>
            </w:r>
          </w:p>
        </w:tc>
        <w:tc>
          <w:tcPr>
            <w:tcW w:w="1845" w:type="dxa"/>
            <w:vAlign w:val="bottom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/>
              </w:rPr>
              <w:t>1.206</w:t>
            </w:r>
          </w:p>
        </w:tc>
      </w:tr>
    </w:tbl>
    <w:p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enrolled patients were confirmed with AML in the light of the classif</w:t>
      </w:r>
      <w:r>
        <w:rPr>
          <w:rFonts w:hint="eastAsia"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cation criteria of French,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American, Britain (FAB), the World Health Organization (WHO), and the immunophenotypic and cytogenetic analysis.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2sTQ2NDY0Nzc2NzFQ0lEKTi0uzszPAykwqgUAPWapniwAAAA="/>
    <w:docVar w:name="commondata" w:val="eyJoZGlkIjoiYzg2OGYzMzM1YTQxYzBkZDJlMzQ4OWQzOWEzNzY3ZDAifQ=="/>
  </w:docVars>
  <w:rsids>
    <w:rsidRoot w:val="00FB016F"/>
    <w:rsid w:val="000925D1"/>
    <w:rsid w:val="000977F9"/>
    <w:rsid w:val="00472466"/>
    <w:rsid w:val="004C1799"/>
    <w:rsid w:val="005F0557"/>
    <w:rsid w:val="00980728"/>
    <w:rsid w:val="00C547C7"/>
    <w:rsid w:val="00C9248D"/>
    <w:rsid w:val="00CE2B3D"/>
    <w:rsid w:val="00FB016F"/>
    <w:rsid w:val="18C8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1468</Characters>
  <Lines>12</Lines>
  <Paragraphs>3</Paragraphs>
  <TotalTime>0</TotalTime>
  <ScaleCrop>false</ScaleCrop>
  <LinksUpToDate>false</LinksUpToDate>
  <CharactersWithSpaces>1517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2023-11-25T01:28:00Z</dcterms:created>
  <dc:creator>Administrator</dc:creator>
  <cp:lastModifiedBy>Jasmine--cqy</cp:lastModifiedBy>
  <dcterms:modified xsi:type="dcterms:W3CDTF">2024-01-29T02:07:42Z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4E78CDC91FD94C86839386C7BB278741_12</vt:lpwstr>
  </property>
</Properties>
</file>