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S1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0500" cy="5775325"/>
            <wp:effectExtent l="0" t="0" r="6350" b="15875"/>
            <wp:docPr id="2" name="图片 2" descr="revision Suppleme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evision Supplement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  <w:lang w:bidi="ar"/>
        </w:rPr>
        <w:t xml:space="preserve">Figure S1. </w:t>
      </w:r>
      <w:r>
        <w:rPr>
          <w:rFonts w:ascii="Times New Roman" w:hAnsi="Times New Roman" w:eastAsia="宋体" w:cs="Times New Roman"/>
          <w:sz w:val="24"/>
          <w:lang w:bidi="ar"/>
        </w:rPr>
        <w:t xml:space="preserve">Four candidate miRNAs expression in AML cells. </w:t>
      </w:r>
      <w:bookmarkStart w:id="0" w:name="_GoBack"/>
      <w:bookmarkEnd w:id="0"/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 xml:space="preserve">(A) </w:t>
      </w:r>
      <w:r>
        <w:rPr>
          <w:rFonts w:ascii="Times New Roman" w:hAnsi="Times New Roman" w:eastAsia="宋体" w:cs="Times New Roman"/>
          <w:color w:val="FF0000"/>
          <w:sz w:val="24"/>
          <w:lang w:bidi="ar"/>
        </w:rPr>
        <w:t xml:space="preserve">The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>level</w:t>
      </w:r>
      <w:r>
        <w:rPr>
          <w:rFonts w:ascii="Times New Roman" w:hAnsi="Times New Roman" w:eastAsia="宋体" w:cs="Times New Roman"/>
          <w:color w:val="FF0000"/>
          <w:sz w:val="24"/>
          <w:lang w:bidi="ar"/>
        </w:rPr>
        <w:t xml:space="preserve"> of miRNAs screened out by three algorithms in AML cell lines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 xml:space="preserve"> was detected by qRT-PCR. (B-D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>The expression of miRNA in AML cells after transfection was detected by qRT-PCR. (E)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>The expression of LILRB3 at the protein  levels was measured by western blotting analysis.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>(F)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 xml:space="preserve">The expression of miR-103a-2-5p in K562 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 w:bidi="ar"/>
        </w:rPr>
        <w:t xml:space="preserve">cells </w:t>
      </w:r>
      <w:r>
        <w:rPr>
          <w:rFonts w:hint="eastAsia" w:ascii="Times New Roman" w:hAnsi="Times New Roman" w:eastAsia="宋体" w:cs="Times New Roman"/>
          <w:color w:val="FF0000"/>
          <w:sz w:val="24"/>
          <w:lang w:bidi="ar"/>
        </w:rPr>
        <w:t xml:space="preserve">was detected by qRT-PCR. </w:t>
      </w:r>
      <w:r>
        <w:rPr>
          <w:rFonts w:ascii="Times New Roman" w:hAnsi="Times New Roman" w:eastAsia="宋体" w:cs="Times New Roman"/>
          <w:sz w:val="24"/>
          <w:lang w:bidi="ar"/>
        </w:rPr>
        <w:t>Multiple group comparison data were studied by One-Way ANOVA and Tukey’s post-hoc test. Statistical significance was determined as * P &lt; 0.05, ** P &lt; 0.01, *** P &lt; 0.001, **** P &lt; 0.0001, or no significant difference (ns) vs. HS-5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 xml:space="preserve"> or miR-NC</w:t>
      </w:r>
      <w:r>
        <w:rPr>
          <w:rFonts w:ascii="Times New Roman" w:hAnsi="Times New Roman" w:eastAsia="宋体" w:cs="Times New Roman"/>
          <w:sz w:val="24"/>
          <w:lang w:bidi="ar"/>
        </w:rPr>
        <w:t>. Cell experiments were performed three times independently.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TAyMTE3NjQ0NTBR0lEKTi0uzszPAykwrAUANhyWwiwAAAA="/>
    <w:docVar w:name="commondata" w:val="eyJoZGlkIjoiYzg2OGYzMzM1YTQxYzBkZDJlMzQ4OWQzOWEzNzY3ZDAifQ=="/>
    <w:docVar w:name="KSO_WPS_MARK_KEY" w:val="c0c0f6ed-e636-4b27-aba3-b28062d82340"/>
  </w:docVars>
  <w:rsids>
    <w:rsidRoot w:val="0EBF671B"/>
    <w:rsid w:val="003F4070"/>
    <w:rsid w:val="00877191"/>
    <w:rsid w:val="00B8159A"/>
    <w:rsid w:val="0EBF671B"/>
    <w:rsid w:val="1510548C"/>
    <w:rsid w:val="1F6F1778"/>
    <w:rsid w:val="48F80FD2"/>
    <w:rsid w:val="52F20E8C"/>
    <w:rsid w:val="6FD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603</Characters>
  <Lines>5</Lines>
  <Paragraphs>1</Paragraphs>
  <TotalTime>5</TotalTime>
  <ScaleCrop>false</ScaleCrop>
  <LinksUpToDate>false</LinksUpToDate>
  <CharactersWithSpaces>722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2023-12-05T03:34:00Z</dcterms:created>
  <dc:creator>Jasmine--cqy</dc:creator>
  <cp:lastModifiedBy>Jasmine--cqy</cp:lastModifiedBy>
  <dcterms:modified xsi:type="dcterms:W3CDTF">2024-02-23T14:02:50Z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3E399D197AD14340A8027E1E01F82E9A_11</vt:lpwstr>
  </property>
</Properties>
</file>