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CA353" w14:textId="63847E8F" w:rsidR="00B75A5B" w:rsidRPr="00620553" w:rsidRDefault="008A7F0F" w:rsidP="004D448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bookmarkStart w:id="0" w:name="_GoBack"/>
      <w:bookmarkEnd w:id="0"/>
      <w:r w:rsidR="004D4487" w:rsidRPr="00620553">
        <w:rPr>
          <w:rFonts w:ascii="Times New Roman" w:hAnsi="Times New Roman" w:cs="Times New Roman"/>
          <w:b/>
          <w:bCs/>
          <w:sz w:val="24"/>
          <w:szCs w:val="24"/>
        </w:rPr>
        <w:t xml:space="preserve"> Figure</w:t>
      </w:r>
      <w:r w:rsidR="00220B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D4487" w:rsidRPr="0062055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8C7170" w14:textId="4BBEA228" w:rsidR="00F43885" w:rsidRDefault="00F43885" w:rsidP="004D4487">
      <w:pPr>
        <w:spacing w:afterLines="50" w:after="156" w:line="360" w:lineRule="auto"/>
        <w:rPr>
          <w:rStyle w:val="fontstyle0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757609" w:rsidRPr="00757609">
        <w:rPr>
          <w:rFonts w:ascii="Times New Roman" w:hAnsi="Times New Roman" w:cs="Times New Roman"/>
          <w:sz w:val="24"/>
          <w:szCs w:val="24"/>
        </w:rPr>
        <w:t>Flowchart of this study</w:t>
      </w:r>
      <w:r w:rsidR="00757609">
        <w:rPr>
          <w:rFonts w:ascii="Times New Roman" w:hAnsi="Times New Roman" w:cs="Times New Roman"/>
          <w:sz w:val="24"/>
          <w:szCs w:val="24"/>
        </w:rPr>
        <w:t>.</w:t>
      </w:r>
      <w:r w:rsidR="00D74CA3">
        <w:rPr>
          <w:rFonts w:ascii="Times New Roman" w:hAnsi="Times New Roman" w:cs="Times New Roman"/>
          <w:sz w:val="24"/>
          <w:szCs w:val="24"/>
        </w:rPr>
        <w:t xml:space="preserve"> Exit-age: age at diagnosis or censoring.</w:t>
      </w:r>
      <w:r w:rsidR="00757609">
        <w:rPr>
          <w:rFonts w:ascii="Times New Roman" w:hAnsi="Times New Roman" w:cs="Times New Roman"/>
          <w:sz w:val="24"/>
          <w:szCs w:val="24"/>
        </w:rPr>
        <w:t xml:space="preserve"> </w:t>
      </w:r>
      <w:r w:rsidR="00757609" w:rsidRPr="00757609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757609">
        <w:rPr>
          <w:rFonts w:ascii="Times New Roman" w:hAnsi="Times New Roman" w:cs="Times New Roman"/>
          <w:sz w:val="24"/>
          <w:szCs w:val="24"/>
        </w:rPr>
        <w:t xml:space="preserve"> Detailed process of merging variants was shown in </w:t>
      </w:r>
      <w:r w:rsidR="00757609" w:rsidRPr="00BF3334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="00757609">
        <w:rPr>
          <w:rFonts w:ascii="Times New Roman" w:hAnsi="Times New Roman" w:cs="Times New Roman"/>
          <w:sz w:val="24"/>
          <w:szCs w:val="24"/>
        </w:rPr>
        <w:t xml:space="preserve">. </w:t>
      </w:r>
      <w:r w:rsidR="00BF3334" w:rsidRPr="00BF3334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BF3334">
        <w:rPr>
          <w:rFonts w:ascii="Times New Roman" w:hAnsi="Times New Roman" w:cs="Times New Roman"/>
          <w:sz w:val="24"/>
          <w:szCs w:val="24"/>
        </w:rPr>
        <w:t xml:space="preserve"> Procedure of two-sample </w:t>
      </w:r>
      <w:r w:rsidR="00BF3334" w:rsidRPr="00BF3334">
        <w:rPr>
          <w:rFonts w:ascii="Times New Roman" w:hAnsi="Times New Roman" w:cs="Times New Roman"/>
          <w:sz w:val="24"/>
          <w:szCs w:val="24"/>
        </w:rPr>
        <w:t xml:space="preserve">Mendelian </w:t>
      </w:r>
      <w:r w:rsidR="00BF3334">
        <w:rPr>
          <w:rFonts w:ascii="Times New Roman" w:hAnsi="Times New Roman" w:cs="Times New Roman"/>
          <w:sz w:val="24"/>
          <w:szCs w:val="24"/>
        </w:rPr>
        <w:t xml:space="preserve">randomization analysis was shown in </w:t>
      </w:r>
      <w:r w:rsidR="00BF3334" w:rsidRPr="00BF3334"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 w:rsidR="00BF3334">
        <w:rPr>
          <w:rFonts w:ascii="Times New Roman" w:hAnsi="Times New Roman" w:cs="Times New Roman"/>
          <w:sz w:val="24"/>
          <w:szCs w:val="24"/>
        </w:rPr>
        <w:t>.</w:t>
      </w:r>
      <w:r w:rsidR="005602B4">
        <w:rPr>
          <w:rFonts w:ascii="Times New Roman" w:hAnsi="Times New Roman" w:cs="Times New Roman"/>
          <w:sz w:val="24"/>
          <w:szCs w:val="24"/>
        </w:rPr>
        <w:t xml:space="preserve"> </w:t>
      </w:r>
      <w:r w:rsidR="005602B4">
        <w:rPr>
          <w:rStyle w:val="fontstyle01"/>
        </w:rPr>
        <w:t xml:space="preserve">PRS, polygenic risk score; MR, </w:t>
      </w:r>
      <w:r w:rsidR="005602B4" w:rsidRPr="005602B4">
        <w:rPr>
          <w:rStyle w:val="fontstyle01"/>
        </w:rPr>
        <w:t>Mendelian</w:t>
      </w:r>
      <w:r w:rsidR="005602B4">
        <w:rPr>
          <w:rStyle w:val="fontstyle01"/>
        </w:rPr>
        <w:t xml:space="preserve"> r</w:t>
      </w:r>
      <w:r w:rsidR="005602B4" w:rsidRPr="005602B4">
        <w:rPr>
          <w:rStyle w:val="fontstyle01"/>
        </w:rPr>
        <w:t>andomization</w:t>
      </w:r>
      <w:r w:rsidR="005602B4">
        <w:rPr>
          <w:rStyle w:val="fontstyle01"/>
        </w:rPr>
        <w:t>.</w:t>
      </w:r>
    </w:p>
    <w:p w14:paraId="300EA5EE" w14:textId="5AB281EF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F3A832E" wp14:editId="6F7338BF">
            <wp:extent cx="4143375" cy="7132315"/>
            <wp:effectExtent l="0" t="0" r="0" b="0"/>
            <wp:docPr id="6656628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949" cy="716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144E5" w14:textId="77777777" w:rsidR="005066AC" w:rsidRDefault="005066AC" w:rsidP="004D448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0F83C8" w14:textId="0541FCE3" w:rsidR="00F43885" w:rsidRDefault="00BF3334" w:rsidP="004D4487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igure S2. </w:t>
      </w:r>
      <w:r w:rsidR="00BA7236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BA7236" w:rsidRPr="00BA7236">
        <w:rPr>
          <w:rFonts w:ascii="Times New Roman" w:hAnsi="Times New Roman" w:cs="Times New Roman"/>
          <w:sz w:val="24"/>
          <w:szCs w:val="24"/>
        </w:rPr>
        <w:t>ascertainment</w:t>
      </w:r>
      <w:r w:rsidR="00BA7236">
        <w:rPr>
          <w:rFonts w:ascii="Times New Roman" w:hAnsi="Times New Roman" w:cs="Times New Roman"/>
          <w:sz w:val="24"/>
          <w:szCs w:val="24"/>
        </w:rPr>
        <w:t xml:space="preserve"> of </w:t>
      </w:r>
      <w:r w:rsidR="005602B4">
        <w:rPr>
          <w:rFonts w:ascii="Times New Roman" w:hAnsi="Times New Roman" w:cs="Times New Roman"/>
          <w:sz w:val="24"/>
          <w:szCs w:val="24"/>
        </w:rPr>
        <w:t xml:space="preserve">the </w:t>
      </w:r>
      <w:r w:rsidR="00BA7236">
        <w:rPr>
          <w:rFonts w:ascii="Times New Roman" w:hAnsi="Times New Roman" w:cs="Times New Roman"/>
          <w:sz w:val="24"/>
          <w:szCs w:val="24"/>
        </w:rPr>
        <w:t>UK Biobank cohort.</w:t>
      </w:r>
      <w:r w:rsidR="005602B4">
        <w:rPr>
          <w:rFonts w:ascii="Times New Roman" w:hAnsi="Times New Roman" w:cs="Times New Roman"/>
          <w:sz w:val="24"/>
          <w:szCs w:val="24"/>
        </w:rPr>
        <w:t xml:space="preserve"> (Upper) The cancer follow-up cohort comprising 167,517 individuals and was separated into an early-onset (EO)-population and a late-onset (LO)-population according to the exit-age. (Below) The case-control population comprising 1</w:t>
      </w:r>
      <w:r w:rsidR="00155EB3">
        <w:rPr>
          <w:rFonts w:ascii="Times New Roman" w:hAnsi="Times New Roman" w:cs="Times New Roman"/>
          <w:sz w:val="24"/>
          <w:szCs w:val="24"/>
        </w:rPr>
        <w:t>75,349 males</w:t>
      </w:r>
      <w:r w:rsidR="005602B4">
        <w:rPr>
          <w:rFonts w:ascii="Times New Roman" w:hAnsi="Times New Roman" w:cs="Times New Roman"/>
          <w:sz w:val="24"/>
          <w:szCs w:val="24"/>
        </w:rPr>
        <w:t xml:space="preserve"> and was separated into an </w:t>
      </w:r>
      <w:r w:rsidR="00155EB3">
        <w:rPr>
          <w:rFonts w:ascii="Times New Roman" w:hAnsi="Times New Roman" w:cs="Times New Roman"/>
          <w:sz w:val="24"/>
          <w:szCs w:val="24"/>
        </w:rPr>
        <w:t>EO-group and an LO-group according to the reference-age.</w:t>
      </w:r>
    </w:p>
    <w:p w14:paraId="4C7CFF79" w14:textId="27F00FA8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7BD2F473" wp14:editId="417B2781">
            <wp:extent cx="7722884" cy="4181475"/>
            <wp:effectExtent l="0" t="0" r="0" b="0"/>
            <wp:docPr id="1296410569" name="图片 1296410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9869" cy="418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5519" w14:textId="4F37F535" w:rsidR="00155EB3" w:rsidRDefault="00155EB3" w:rsidP="005066AC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C4FD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5066AC">
        <w:rPr>
          <w:rFonts w:ascii="Times New Roman" w:hAnsi="Times New Roman" w:cs="Times New Roman"/>
          <w:sz w:val="24"/>
          <w:szCs w:val="24"/>
        </w:rPr>
        <w:t>Age-specific incidence of prostate cancer per 100,000 for White ancestry population from the CDC</w:t>
      </w:r>
      <w:r w:rsidRPr="005066A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066AC">
        <w:rPr>
          <w:rFonts w:ascii="Times New Roman" w:hAnsi="Times New Roman" w:cs="Times New Roman"/>
          <w:sz w:val="24"/>
          <w:szCs w:val="24"/>
        </w:rPr>
        <w:t>US Cancer Statistics.</w:t>
      </w:r>
    </w:p>
    <w:p w14:paraId="5B48FDCD" w14:textId="1A3D8714" w:rsidR="005066AC" w:rsidRP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4573C96E" wp14:editId="06035F86">
            <wp:extent cx="5267325" cy="3838575"/>
            <wp:effectExtent l="0" t="0" r="9525" b="9525"/>
            <wp:docPr id="1847140161" name="图片 184714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EEB61" w14:textId="77777777" w:rsidR="005066AC" w:rsidRDefault="005066A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FCA0E9" w14:textId="77777777" w:rsidR="005066AC" w:rsidRDefault="005066AC" w:rsidP="00155EB3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4EE7D2F" w14:textId="4BBD6E74" w:rsidR="00155EB3" w:rsidRDefault="00155EB3" w:rsidP="00155EB3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Estimate risk for PCa associated a </w:t>
      </w:r>
      <w:r w:rsidR="00EA2E23">
        <w:rPr>
          <w:rFonts w:ascii="Times New Roman" w:hAnsi="Times New Roman" w:cs="Times New Roman"/>
          <w:sz w:val="24"/>
          <w:szCs w:val="24"/>
        </w:rPr>
        <w:t>269</w:t>
      </w:r>
      <w:r w:rsidR="001318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PRS for age groups with weighted Cox proportional hazard models. </w:t>
      </w:r>
      <w:r w:rsidRPr="00836F42">
        <w:rPr>
          <w:rFonts w:ascii="Times New Roman" w:hAnsi="Times New Roman" w:cs="Times New Roman"/>
          <w:sz w:val="24"/>
          <w:szCs w:val="24"/>
        </w:rPr>
        <w:t xml:space="preserve">Models were adjusted for </w:t>
      </w:r>
      <w:r w:rsidRPr="00263F5D">
        <w:rPr>
          <w:rFonts w:ascii="Times New Roman" w:hAnsi="Times New Roman" w:cs="Times New Roman"/>
          <w:sz w:val="24"/>
          <w:szCs w:val="24"/>
        </w:rPr>
        <w:t>age</w:t>
      </w:r>
      <w:bookmarkStart w:id="1" w:name="_Hlk117888795"/>
      <w:r w:rsidR="009E16A1">
        <w:rPr>
          <w:rFonts w:ascii="Times New Roman" w:hAnsi="Times New Roman" w:cs="Times New Roman"/>
          <w:sz w:val="24"/>
          <w:szCs w:val="24"/>
        </w:rPr>
        <w:t xml:space="preserve"> at assessment</w:t>
      </w:r>
      <w:bookmarkEnd w:id="1"/>
      <w:r w:rsidRPr="00263F5D">
        <w:rPr>
          <w:rFonts w:ascii="Times New Roman" w:hAnsi="Times New Roman" w:cs="Times New Roman"/>
          <w:sz w:val="24"/>
          <w:szCs w:val="24"/>
        </w:rPr>
        <w:t>, BMI, smoking status, drinking status, assessment center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 w:rsidRPr="00263F5D">
        <w:rPr>
          <w:rFonts w:ascii="Times New Roman" w:hAnsi="Times New Roman" w:cs="Times New Roman"/>
          <w:sz w:val="24"/>
          <w:szCs w:val="24"/>
        </w:rPr>
        <w:t xml:space="preserve"> top 10 principal components</w:t>
      </w:r>
      <w:r w:rsidRPr="00836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B58">
        <w:rPr>
          <w:rStyle w:val="fontstyle01"/>
        </w:rPr>
        <w:t>PRS, polygenic risk score.</w:t>
      </w:r>
    </w:p>
    <w:p w14:paraId="0AC018DD" w14:textId="5FC4C377" w:rsidR="005066AC" w:rsidRDefault="00FD2F1F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3DECB9D" wp14:editId="173A5368">
            <wp:extent cx="5383254" cy="4159696"/>
            <wp:effectExtent l="0" t="0" r="0" b="0"/>
            <wp:docPr id="3743655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967" cy="416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66AC">
        <w:rPr>
          <w:rFonts w:ascii="Times New Roman" w:hAnsi="Times New Roman" w:cs="Times New Roman"/>
          <w:sz w:val="24"/>
          <w:szCs w:val="24"/>
        </w:rPr>
        <w:br w:type="page"/>
      </w:r>
    </w:p>
    <w:p w14:paraId="2EB5CFBB" w14:textId="77777777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0EEDDA01" w14:textId="57906875" w:rsidR="00155EB3" w:rsidRDefault="00155EB3" w:rsidP="00155EB3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measured by weighted Cox proportional hazard models associated with a </w:t>
      </w:r>
      <w:r w:rsidR="00EA2E23">
        <w:rPr>
          <w:rFonts w:ascii="Times New Roman" w:hAnsi="Times New Roman" w:cs="Times New Roman"/>
          <w:sz w:val="24"/>
          <w:szCs w:val="24"/>
        </w:rPr>
        <w:t>269</w:t>
      </w:r>
      <w:r w:rsidR="001318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PRS 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A033A4" w:rsidRPr="00A033A4">
        <w:rPr>
          <w:rStyle w:val="fontstyle01"/>
        </w:rPr>
        <w:t xml:space="preserve"> </w:t>
      </w:r>
      <w:r w:rsidR="00737FE7">
        <w:rPr>
          <w:rStyle w:val="fontstyle01"/>
        </w:rPr>
        <w:t>PRS, polygenic risk score; EOPC, early-onset prostate cancer; LOPC, late-onset prostate cancer; HR, hazard ratio; CI, confidence interval.</w:t>
      </w:r>
    </w:p>
    <w:p w14:paraId="0D2A9079" w14:textId="05EACFED" w:rsidR="005066AC" w:rsidRDefault="00FD2F1F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A16EE1B" wp14:editId="04D26A07">
            <wp:extent cx="5271770" cy="4079240"/>
            <wp:effectExtent l="0" t="0" r="0" b="0"/>
            <wp:docPr id="50705958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07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6C300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40AF11" w14:textId="2148AA8B" w:rsidR="00A033A4" w:rsidRDefault="00A033A4" w:rsidP="00A033A4">
      <w:pPr>
        <w:spacing w:afterLines="50" w:after="156" w:line="360" w:lineRule="auto"/>
        <w:rPr>
          <w:rStyle w:val="fontstyle01"/>
        </w:rPr>
      </w:pPr>
      <w:r w:rsidRPr="006D2B24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6D2B24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96B5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D2B2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F42">
        <w:rPr>
          <w:rFonts w:ascii="Times New Roman" w:hAnsi="Times New Roman" w:cs="Times New Roman"/>
          <w:sz w:val="24"/>
          <w:szCs w:val="24"/>
        </w:rPr>
        <w:t xml:space="preserve">Risk estimates for </w:t>
      </w:r>
      <w:r>
        <w:rPr>
          <w:rFonts w:ascii="Times New Roman" w:hAnsi="Times New Roman" w:cs="Times New Roman"/>
          <w:sz w:val="24"/>
          <w:szCs w:val="24"/>
        </w:rPr>
        <w:t>PCa</w:t>
      </w:r>
      <w:r w:rsidRPr="00836F42">
        <w:rPr>
          <w:rFonts w:ascii="Times New Roman" w:hAnsi="Times New Roman" w:cs="Times New Roman"/>
          <w:sz w:val="24"/>
          <w:szCs w:val="24"/>
        </w:rPr>
        <w:t xml:space="preserve"> associated with a </w:t>
      </w:r>
      <w:r w:rsidR="00EA2E23">
        <w:rPr>
          <w:rFonts w:ascii="Times New Roman" w:hAnsi="Times New Roman" w:cs="Times New Roman"/>
          <w:sz w:val="24"/>
          <w:szCs w:val="24"/>
        </w:rPr>
        <w:t>269</w:t>
      </w:r>
      <w:r w:rsidR="0013182F">
        <w:rPr>
          <w:rFonts w:ascii="Times New Roman" w:hAnsi="Times New Roman" w:cs="Times New Roman"/>
          <w:sz w:val="24"/>
          <w:szCs w:val="24"/>
        </w:rPr>
        <w:t>-</w:t>
      </w:r>
      <w:r w:rsidRPr="00836F42">
        <w:rPr>
          <w:rFonts w:ascii="Times New Roman" w:hAnsi="Times New Roman" w:cs="Times New Roman"/>
          <w:sz w:val="24"/>
          <w:szCs w:val="24"/>
        </w:rPr>
        <w:t>PRS</w:t>
      </w:r>
      <w:r>
        <w:rPr>
          <w:rFonts w:ascii="Times New Roman" w:hAnsi="Times New Roman" w:cs="Times New Roman"/>
          <w:sz w:val="24"/>
          <w:szCs w:val="24"/>
        </w:rPr>
        <w:t xml:space="preserve"> in the General-, EO- and LO-group from the case-control population</w:t>
      </w:r>
      <w:r w:rsidRPr="00836F42">
        <w:rPr>
          <w:rFonts w:ascii="Times New Roman" w:hAnsi="Times New Roman" w:cs="Times New Roman"/>
          <w:sz w:val="24"/>
          <w:szCs w:val="24"/>
        </w:rPr>
        <w:t xml:space="preserve">. (A) </w:t>
      </w:r>
      <w:r>
        <w:rPr>
          <w:rFonts w:ascii="Times New Roman" w:hAnsi="Times New Roman" w:cs="Times New Roman"/>
          <w:sz w:val="24"/>
          <w:szCs w:val="24"/>
        </w:rPr>
        <w:t>Logistic regression m</w:t>
      </w:r>
      <w:r w:rsidRPr="00836F42">
        <w:rPr>
          <w:rFonts w:ascii="Times New Roman" w:hAnsi="Times New Roman" w:cs="Times New Roman"/>
          <w:sz w:val="24"/>
          <w:szCs w:val="24"/>
        </w:rPr>
        <w:t>odel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36F42">
        <w:rPr>
          <w:rFonts w:ascii="Times New Roman" w:hAnsi="Times New Roman" w:cs="Times New Roman"/>
          <w:sz w:val="24"/>
          <w:szCs w:val="24"/>
        </w:rPr>
        <w:t xml:space="preserve"> include all </w:t>
      </w:r>
      <w:r>
        <w:rPr>
          <w:rFonts w:ascii="Times New Roman" w:hAnsi="Times New Roman" w:cs="Times New Roman"/>
          <w:sz w:val="24"/>
          <w:szCs w:val="24"/>
        </w:rPr>
        <w:t>subjects</w:t>
      </w:r>
      <w:r w:rsidRPr="00836F42">
        <w:rPr>
          <w:rFonts w:ascii="Times New Roman" w:hAnsi="Times New Roman" w:cs="Times New Roman"/>
          <w:sz w:val="24"/>
          <w:szCs w:val="24"/>
        </w:rPr>
        <w:t xml:space="preserve"> regardless of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836F42">
        <w:rPr>
          <w:rFonts w:ascii="Times New Roman" w:hAnsi="Times New Roman" w:cs="Times New Roman"/>
          <w:sz w:val="24"/>
          <w:szCs w:val="24"/>
        </w:rPr>
        <w:t xml:space="preserve"> family history of </w:t>
      </w:r>
      <w:r>
        <w:rPr>
          <w:rFonts w:ascii="Times New Roman" w:hAnsi="Times New Roman" w:cs="Times New Roman"/>
          <w:sz w:val="24"/>
          <w:szCs w:val="24"/>
        </w:rPr>
        <w:t>PCa</w:t>
      </w:r>
      <w:r w:rsidRPr="00836F42">
        <w:rPr>
          <w:rFonts w:ascii="Times New Roman" w:hAnsi="Times New Roman" w:cs="Times New Roman"/>
          <w:sz w:val="24"/>
          <w:szCs w:val="24"/>
        </w:rPr>
        <w:t xml:space="preserve">. (B) </w:t>
      </w:r>
      <w:r>
        <w:rPr>
          <w:rFonts w:ascii="Times New Roman" w:hAnsi="Times New Roman" w:cs="Times New Roman"/>
          <w:sz w:val="24"/>
          <w:szCs w:val="24"/>
        </w:rPr>
        <w:t>Logistic regression m</w:t>
      </w:r>
      <w:r w:rsidRPr="00836F42">
        <w:rPr>
          <w:rFonts w:ascii="Times New Roman" w:hAnsi="Times New Roman" w:cs="Times New Roman"/>
          <w:sz w:val="24"/>
          <w:szCs w:val="24"/>
        </w:rPr>
        <w:t>odel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36F42">
        <w:rPr>
          <w:rFonts w:ascii="Times New Roman" w:hAnsi="Times New Roman" w:cs="Times New Roman"/>
          <w:sz w:val="24"/>
          <w:szCs w:val="24"/>
        </w:rPr>
        <w:t xml:space="preserve"> include participants without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36F42">
        <w:rPr>
          <w:rFonts w:ascii="Times New Roman" w:hAnsi="Times New Roman" w:cs="Times New Roman"/>
          <w:sz w:val="24"/>
          <w:szCs w:val="24"/>
        </w:rPr>
        <w:t xml:space="preserve">family history of </w:t>
      </w:r>
      <w:r>
        <w:rPr>
          <w:rFonts w:ascii="Times New Roman" w:hAnsi="Times New Roman" w:cs="Times New Roman"/>
          <w:sz w:val="24"/>
          <w:szCs w:val="24"/>
        </w:rPr>
        <w:t>PCa</w:t>
      </w:r>
      <w:r w:rsidRPr="00836F42">
        <w:rPr>
          <w:rFonts w:ascii="Times New Roman" w:hAnsi="Times New Roman" w:cs="Times New Roman"/>
          <w:sz w:val="24"/>
          <w:szCs w:val="24"/>
        </w:rPr>
        <w:t xml:space="preserve">. (C) </w:t>
      </w:r>
      <w:r>
        <w:rPr>
          <w:rFonts w:ascii="Times New Roman" w:hAnsi="Times New Roman" w:cs="Times New Roman"/>
          <w:sz w:val="24"/>
          <w:szCs w:val="24"/>
        </w:rPr>
        <w:t>Logistic regression m</w:t>
      </w:r>
      <w:r w:rsidRPr="00836F42">
        <w:rPr>
          <w:rFonts w:ascii="Times New Roman" w:hAnsi="Times New Roman" w:cs="Times New Roman"/>
          <w:sz w:val="24"/>
          <w:szCs w:val="24"/>
        </w:rPr>
        <w:t>odel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36F42">
        <w:rPr>
          <w:rFonts w:ascii="Times New Roman" w:hAnsi="Times New Roman" w:cs="Times New Roman"/>
          <w:sz w:val="24"/>
          <w:szCs w:val="24"/>
        </w:rPr>
        <w:t xml:space="preserve"> include participants with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36F42">
        <w:rPr>
          <w:rFonts w:ascii="Times New Roman" w:hAnsi="Times New Roman" w:cs="Times New Roman"/>
          <w:sz w:val="24"/>
          <w:szCs w:val="24"/>
        </w:rPr>
        <w:t xml:space="preserve"> family history of </w:t>
      </w:r>
      <w:r>
        <w:rPr>
          <w:rFonts w:ascii="Times New Roman" w:hAnsi="Times New Roman" w:cs="Times New Roman"/>
          <w:sz w:val="24"/>
          <w:szCs w:val="24"/>
        </w:rPr>
        <w:t>PCa</w:t>
      </w:r>
      <w:r w:rsidRPr="00836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36F42">
        <w:rPr>
          <w:rFonts w:ascii="Times New Roman" w:hAnsi="Times New Roman" w:cs="Times New Roman"/>
          <w:sz w:val="24"/>
          <w:szCs w:val="24"/>
        </w:rPr>
        <w:t xml:space="preserve">Models were adjusted for </w:t>
      </w:r>
      <w:r>
        <w:rPr>
          <w:rFonts w:ascii="Times New Roman" w:hAnsi="Times New Roman" w:cs="Times New Roman"/>
          <w:sz w:val="24"/>
          <w:szCs w:val="24"/>
        </w:rPr>
        <w:t>reference-</w:t>
      </w:r>
      <w:r w:rsidRPr="00263F5D">
        <w:rPr>
          <w:rFonts w:ascii="Times New Roman" w:hAnsi="Times New Roman" w:cs="Times New Roman"/>
          <w:sz w:val="24"/>
          <w:szCs w:val="24"/>
        </w:rPr>
        <w:t>age, BMI, smoking status, drinking status, assessment center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 w:rsidRPr="00263F5D">
        <w:rPr>
          <w:rFonts w:ascii="Times New Roman" w:hAnsi="Times New Roman" w:cs="Times New Roman"/>
          <w:sz w:val="24"/>
          <w:szCs w:val="24"/>
        </w:rPr>
        <w:t xml:space="preserve"> top 10 principal components</w:t>
      </w:r>
      <w:r w:rsidRPr="00836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 xml:space="preserve">General-group covered all participants; EO-group was consisted of individuals with reference-age </w:t>
      </w:r>
      <w:r w:rsidRPr="00751FF0">
        <w:rPr>
          <w:rStyle w:val="fontstyle01"/>
        </w:rPr>
        <w:t>≤</w:t>
      </w:r>
      <w:r>
        <w:rPr>
          <w:rStyle w:val="fontstyle01"/>
          <w:rFonts w:hint="eastAsia"/>
        </w:rPr>
        <w:t xml:space="preserve"> </w:t>
      </w:r>
      <w:r>
        <w:rPr>
          <w:rStyle w:val="fontstyle01"/>
        </w:rPr>
        <w:t xml:space="preserve">55 </w:t>
      </w:r>
      <w:r>
        <w:rPr>
          <w:rStyle w:val="fontstyle01"/>
          <w:rFonts w:hint="eastAsia"/>
        </w:rPr>
        <w:t>years</w:t>
      </w:r>
      <w:r>
        <w:rPr>
          <w:rStyle w:val="fontstyle01"/>
        </w:rPr>
        <w:t xml:space="preserve"> </w:t>
      </w:r>
      <w:r>
        <w:rPr>
          <w:rStyle w:val="fontstyle01"/>
          <w:rFonts w:hint="eastAsia"/>
        </w:rPr>
        <w:t>old</w:t>
      </w:r>
      <w:r>
        <w:rPr>
          <w:rStyle w:val="fontstyle01"/>
        </w:rPr>
        <w:t xml:space="preserve">; LO-group comprised individuals with reference -age </w:t>
      </w:r>
      <w:r>
        <w:rPr>
          <w:rStyle w:val="fontstyle01"/>
          <w:rFonts w:hint="eastAsia"/>
        </w:rPr>
        <w:t xml:space="preserve">&gt; </w:t>
      </w:r>
      <w:r>
        <w:rPr>
          <w:rStyle w:val="fontstyle01"/>
        </w:rPr>
        <w:t xml:space="preserve">55 </w:t>
      </w:r>
      <w:r>
        <w:rPr>
          <w:rStyle w:val="fontstyle01"/>
          <w:rFonts w:hint="eastAsia"/>
        </w:rPr>
        <w:t>years</w:t>
      </w:r>
      <w:r>
        <w:rPr>
          <w:rStyle w:val="fontstyle01"/>
        </w:rPr>
        <w:t xml:space="preserve"> </w:t>
      </w:r>
      <w:r>
        <w:rPr>
          <w:rStyle w:val="fontstyle01"/>
          <w:rFonts w:hint="eastAsia"/>
        </w:rPr>
        <w:t>old</w:t>
      </w:r>
      <w:r>
        <w:rPr>
          <w:rStyle w:val="fontstyle01"/>
        </w:rPr>
        <w:t>.</w:t>
      </w:r>
      <w:r w:rsidR="004017FB">
        <w:rPr>
          <w:rStyle w:val="fontstyle01"/>
        </w:rPr>
        <w:t xml:space="preserve"> PRS, polygenic risk score; EO, early-onset; LO, late-onset; OR, odds ratio; CI, confidence interval.</w:t>
      </w:r>
    </w:p>
    <w:p w14:paraId="5AE1BC41" w14:textId="17C73500" w:rsidR="007665D3" w:rsidRDefault="00FD2F1F" w:rsidP="007665D3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0DCB9B9" wp14:editId="14B87E4F">
            <wp:extent cx="4381169" cy="5669872"/>
            <wp:effectExtent l="0" t="0" r="0" b="0"/>
            <wp:docPr id="1759455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169" cy="566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65D3">
        <w:rPr>
          <w:rFonts w:ascii="Times New Roman" w:hAnsi="Times New Roman" w:cs="Times New Roman"/>
          <w:sz w:val="24"/>
          <w:szCs w:val="24"/>
        </w:rPr>
        <w:br w:type="page"/>
      </w:r>
    </w:p>
    <w:p w14:paraId="3A3F0C4C" w14:textId="133AEA9C" w:rsidR="00A033A4" w:rsidRDefault="00A033A4" w:rsidP="00A033A4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096B5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measured by logistic regression models associated with a </w:t>
      </w:r>
      <w:r w:rsidR="00EA2E23">
        <w:rPr>
          <w:rFonts w:ascii="Times New Roman" w:hAnsi="Times New Roman" w:cs="Times New Roman"/>
          <w:sz w:val="24"/>
          <w:szCs w:val="24"/>
        </w:rPr>
        <w:t>269</w:t>
      </w:r>
      <w:r w:rsidR="001318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PRS 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737FE7">
        <w:rPr>
          <w:rFonts w:ascii="Times New Roman" w:hAnsi="Times New Roman" w:cs="Times New Roman"/>
          <w:sz w:val="24"/>
          <w:szCs w:val="24"/>
        </w:rPr>
        <w:t xml:space="preserve"> </w:t>
      </w:r>
      <w:r w:rsidR="00737FE7">
        <w:rPr>
          <w:rStyle w:val="fontstyle01"/>
        </w:rPr>
        <w:t>PRS, polygenic risk score; EOPC, early-onset prostate cancer; LOPC, late-onset prostate cancer.</w:t>
      </w:r>
    </w:p>
    <w:p w14:paraId="5F87C00A" w14:textId="7B206CD3" w:rsidR="005066AC" w:rsidRDefault="00FD2F1F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20590A2" wp14:editId="1C3768B4">
            <wp:extent cx="5271770" cy="4079240"/>
            <wp:effectExtent l="0" t="0" r="0" b="0"/>
            <wp:docPr id="16699650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07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721E7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22B7AA" w14:textId="577A4456" w:rsidR="00737FE7" w:rsidRDefault="00737FE7" w:rsidP="00737FE7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096B5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Genome-wide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association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studies</w:t>
      </w:r>
      <w:r>
        <w:rPr>
          <w:rFonts w:ascii="Times New Roman" w:hAnsi="Times New Roman" w:cs="Times New Roman"/>
          <w:sz w:val="24"/>
          <w:szCs w:val="24"/>
        </w:rPr>
        <w:t xml:space="preserve"> (GWAS) for PCa risk in</w:t>
      </w:r>
      <w:r w:rsidRPr="003810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General-population, EO-population and LO-population using Cox proportional hazard models </w:t>
      </w:r>
      <w:r w:rsidRPr="00836F42">
        <w:rPr>
          <w:rFonts w:ascii="Times New Roman" w:hAnsi="Times New Roman" w:cs="Times New Roman"/>
          <w:sz w:val="24"/>
          <w:szCs w:val="24"/>
        </w:rPr>
        <w:t xml:space="preserve">adjusted for </w:t>
      </w:r>
      <w:r w:rsidRPr="00263F5D">
        <w:rPr>
          <w:rFonts w:ascii="Times New Roman" w:hAnsi="Times New Roman" w:cs="Times New Roman"/>
          <w:sz w:val="24"/>
          <w:szCs w:val="24"/>
        </w:rPr>
        <w:t>age</w:t>
      </w:r>
      <w:r w:rsidR="009E16A1">
        <w:rPr>
          <w:rFonts w:ascii="Times New Roman" w:hAnsi="Times New Roman" w:cs="Times New Roman"/>
          <w:sz w:val="24"/>
          <w:szCs w:val="24"/>
        </w:rPr>
        <w:t xml:space="preserve"> at assessment</w:t>
      </w:r>
      <w:r w:rsidRPr="00263F5D">
        <w:rPr>
          <w:rFonts w:ascii="Times New Roman" w:hAnsi="Times New Roman" w:cs="Times New Roman"/>
          <w:sz w:val="24"/>
          <w:szCs w:val="24"/>
        </w:rPr>
        <w:t>, BMI, smoking status, drinking status, assessment center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 w:rsidRPr="00263F5D">
        <w:rPr>
          <w:rFonts w:ascii="Times New Roman" w:hAnsi="Times New Roman" w:cs="Times New Roman"/>
          <w:sz w:val="24"/>
          <w:szCs w:val="24"/>
        </w:rPr>
        <w:t xml:space="preserve"> top 10 principal components</w:t>
      </w:r>
      <w:r>
        <w:rPr>
          <w:rFonts w:ascii="Times New Roman" w:hAnsi="Times New Roman" w:cs="Times New Roman"/>
          <w:sz w:val="24"/>
          <w:szCs w:val="24"/>
        </w:rPr>
        <w:t xml:space="preserve">, including the Manhattan plots for the General-population (A), EO-population (C) and LO-population (E), and the Q-Q plots of the General-population (B), EO-population (D) and LO-population (F). </w:t>
      </w:r>
      <w:r>
        <w:rPr>
          <w:rStyle w:val="fontstyle01"/>
        </w:rPr>
        <w:t>EO, early-onset; LO, late-onset.</w:t>
      </w:r>
    </w:p>
    <w:p w14:paraId="225315A8" w14:textId="75B7A50E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65B9CA46" wp14:editId="4D1F021B">
            <wp:extent cx="5274310" cy="443260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3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FE87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51EB45" w14:textId="77777777" w:rsidR="005066AC" w:rsidRDefault="005066AC" w:rsidP="00737FE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5031AD6" w14:textId="15ECACB4" w:rsidR="00737FE7" w:rsidRDefault="00737FE7" w:rsidP="00737FE7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096B5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associated with a General-PRS (A), an EOPC-PRS (B) and an LOPC-PRS (C)</w:t>
      </w:r>
      <w:r w:rsidRPr="002C4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>PRS, polygenic risk score; EOPC, early-onset prostate cancer; LOPC, late-onset prostate cancer.</w:t>
      </w:r>
    </w:p>
    <w:p w14:paraId="2EBB7BFA" w14:textId="4F191C86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F519D28" wp14:editId="0B4E1F72">
            <wp:extent cx="8907465" cy="34480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816" cy="345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40AE7" w14:textId="5DE93BD0" w:rsidR="00096B58" w:rsidRDefault="00096B58" w:rsidP="005066AC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7CB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06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66AC">
        <w:rPr>
          <w:rFonts w:ascii="Times New Roman" w:hAnsi="Times New Roman" w:cs="Times New Roman"/>
          <w:sz w:val="24"/>
          <w:szCs w:val="24"/>
        </w:rPr>
        <w:t xml:space="preserve">Risk estimates for PCa associated with a General-PRS (A-C), an EOPC-PRS (D-F) and an LOPC-PRS (G-I) in the General-, EO- and LO-group from the case-control population stratified by family history using logistic regression models. Models were adjusted for reference-age, BMI, smoking status, drinking status, assessment center </w:t>
      </w:r>
      <w:r w:rsidRPr="005066AC">
        <w:rPr>
          <w:rFonts w:ascii="Times New Roman" w:hAnsi="Times New Roman" w:cs="Times New Roman" w:hint="eastAsia"/>
          <w:sz w:val="24"/>
          <w:szCs w:val="24"/>
        </w:rPr>
        <w:t>and</w:t>
      </w:r>
      <w:r w:rsidRPr="005066AC">
        <w:rPr>
          <w:rFonts w:ascii="Times New Roman" w:hAnsi="Times New Roman" w:cs="Times New Roman"/>
          <w:sz w:val="24"/>
          <w:szCs w:val="24"/>
        </w:rPr>
        <w:t xml:space="preserve"> top 10 principal components. General-group covered all participants; EO-group was consisted of individuals with reference-age ≤</w:t>
      </w:r>
      <w:r w:rsidRPr="005066A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066AC">
        <w:rPr>
          <w:rFonts w:ascii="Times New Roman" w:hAnsi="Times New Roman" w:cs="Times New Roman"/>
          <w:sz w:val="24"/>
          <w:szCs w:val="24"/>
        </w:rPr>
        <w:t xml:space="preserve">55 </w:t>
      </w:r>
      <w:r w:rsidRPr="005066AC">
        <w:rPr>
          <w:rFonts w:ascii="Times New Roman" w:hAnsi="Times New Roman" w:cs="Times New Roman" w:hint="eastAsia"/>
          <w:sz w:val="24"/>
          <w:szCs w:val="24"/>
        </w:rPr>
        <w:t>years</w:t>
      </w:r>
      <w:r w:rsidRPr="005066AC">
        <w:rPr>
          <w:rFonts w:ascii="Times New Roman" w:hAnsi="Times New Roman" w:cs="Times New Roman"/>
          <w:sz w:val="24"/>
          <w:szCs w:val="24"/>
        </w:rPr>
        <w:t xml:space="preserve"> </w:t>
      </w:r>
      <w:r w:rsidRPr="005066AC">
        <w:rPr>
          <w:rFonts w:ascii="Times New Roman" w:hAnsi="Times New Roman" w:cs="Times New Roman" w:hint="eastAsia"/>
          <w:sz w:val="24"/>
          <w:szCs w:val="24"/>
        </w:rPr>
        <w:t>old</w:t>
      </w:r>
      <w:r w:rsidRPr="005066AC">
        <w:rPr>
          <w:rFonts w:ascii="Times New Roman" w:hAnsi="Times New Roman" w:cs="Times New Roman"/>
          <w:sz w:val="24"/>
          <w:szCs w:val="24"/>
        </w:rPr>
        <w:t xml:space="preserve">; LO-group comprised individuals with reference-age </w:t>
      </w:r>
      <w:r w:rsidRPr="005066AC">
        <w:rPr>
          <w:rFonts w:ascii="Times New Roman" w:hAnsi="Times New Roman" w:cs="Times New Roman" w:hint="eastAsia"/>
          <w:sz w:val="24"/>
          <w:szCs w:val="24"/>
        </w:rPr>
        <w:t xml:space="preserve">&gt; </w:t>
      </w:r>
      <w:r w:rsidRPr="005066AC">
        <w:rPr>
          <w:rFonts w:ascii="Times New Roman" w:hAnsi="Times New Roman" w:cs="Times New Roman"/>
          <w:sz w:val="24"/>
          <w:szCs w:val="24"/>
        </w:rPr>
        <w:t xml:space="preserve">55 </w:t>
      </w:r>
      <w:r w:rsidRPr="005066AC">
        <w:rPr>
          <w:rFonts w:ascii="Times New Roman" w:hAnsi="Times New Roman" w:cs="Times New Roman" w:hint="eastAsia"/>
          <w:sz w:val="24"/>
          <w:szCs w:val="24"/>
        </w:rPr>
        <w:t>years</w:t>
      </w:r>
      <w:r w:rsidRPr="005066AC">
        <w:rPr>
          <w:rFonts w:ascii="Times New Roman" w:hAnsi="Times New Roman" w:cs="Times New Roman"/>
          <w:sz w:val="24"/>
          <w:szCs w:val="24"/>
        </w:rPr>
        <w:t xml:space="preserve"> </w:t>
      </w:r>
      <w:r w:rsidRPr="005066AC">
        <w:rPr>
          <w:rFonts w:ascii="Times New Roman" w:hAnsi="Times New Roman" w:cs="Times New Roman" w:hint="eastAsia"/>
          <w:sz w:val="24"/>
          <w:szCs w:val="24"/>
        </w:rPr>
        <w:t>old</w:t>
      </w:r>
      <w:r w:rsidRPr="005066AC">
        <w:rPr>
          <w:rFonts w:ascii="Times New Roman" w:hAnsi="Times New Roman" w:cs="Times New Roman"/>
          <w:sz w:val="24"/>
          <w:szCs w:val="24"/>
        </w:rPr>
        <w:t>. PRS, polygenic risk score; EOPC, early-onset prostate cancer; LOPC, late-onset prostate cancer</w:t>
      </w:r>
      <w:r w:rsidR="004017FB" w:rsidRPr="005066AC">
        <w:rPr>
          <w:rFonts w:ascii="Times New Roman" w:hAnsi="Times New Roman" w:cs="Times New Roman"/>
          <w:sz w:val="24"/>
          <w:szCs w:val="24"/>
        </w:rPr>
        <w:t>; OR, odds ratio; CI, confidence interval</w:t>
      </w:r>
      <w:r w:rsidRPr="005066AC">
        <w:rPr>
          <w:rFonts w:ascii="Times New Roman" w:hAnsi="Times New Roman" w:cs="Times New Roman"/>
          <w:sz w:val="24"/>
          <w:szCs w:val="24"/>
        </w:rPr>
        <w:t>.</w:t>
      </w:r>
    </w:p>
    <w:p w14:paraId="4A0D507C" w14:textId="7AB69C52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023155FF" wp14:editId="7CB65A64">
            <wp:extent cx="7334250" cy="5290648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7177" cy="532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E36848" w14:textId="77777777" w:rsidR="005066AC" w:rsidRDefault="005066AC" w:rsidP="005066AC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CB40AF4" w14:textId="42AEB410" w:rsidR="004017FB" w:rsidRDefault="004017FB" w:rsidP="004017FB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7CB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measured by logistic regression models associated with a General-PRS (A), an EOPC-PRS (B) and an LOPC-PRS (C)</w:t>
      </w:r>
      <w:r w:rsidRPr="002C4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>PRS, polygenic risk score; EOPC, early-onset prostate cancer; LOPC, late-onset prostate cancer.</w:t>
      </w:r>
    </w:p>
    <w:p w14:paraId="26EAEF7D" w14:textId="730CE52B" w:rsidR="005066AC" w:rsidRDefault="005066AC" w:rsidP="005066AC">
      <w:pPr>
        <w:spacing w:afterLines="50" w:after="156" w:line="360" w:lineRule="auto"/>
        <w:jc w:val="center"/>
        <w:rPr>
          <w:rStyle w:val="fontstyle01"/>
          <w:color w:val="auto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29589559" wp14:editId="0C6A00E2">
            <wp:extent cx="8905619" cy="35814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647" cy="358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fontstyle01"/>
          <w:color w:val="auto"/>
        </w:rPr>
        <w:br w:type="page"/>
      </w:r>
    </w:p>
    <w:p w14:paraId="1DF249FB" w14:textId="77777777" w:rsidR="005066AC" w:rsidRDefault="005066AC" w:rsidP="005066AC">
      <w:pPr>
        <w:spacing w:afterLines="50" w:after="156" w:line="360" w:lineRule="auto"/>
        <w:jc w:val="center"/>
        <w:rPr>
          <w:rStyle w:val="fontstyle01"/>
          <w:color w:val="auto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05EE379C" w14:textId="52D46976" w:rsidR="00677CB0" w:rsidRDefault="00677CB0" w:rsidP="00677CB0">
      <w:pPr>
        <w:spacing w:afterLines="50" w:after="156" w:line="360" w:lineRule="auto"/>
        <w:rPr>
          <w:rStyle w:val="fontstyle01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igure S12. </w:t>
      </w:r>
      <w:r w:rsidRPr="00BF3334">
        <w:rPr>
          <w:rFonts w:ascii="Times New Roman" w:hAnsi="Times New Roman" w:cs="Times New Roman"/>
          <w:sz w:val="24"/>
          <w:szCs w:val="24"/>
        </w:rPr>
        <w:t>Flowchart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47C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merging </w:t>
      </w:r>
      <w:r>
        <w:rPr>
          <w:rFonts w:ascii="Times New Roman" w:hAnsi="Times New Roman" w:cs="Times New Roman" w:hint="eastAsia"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variants and GWAS top variants. PCa, prostate cancer; </w:t>
      </w:r>
      <w:r>
        <w:rPr>
          <w:rStyle w:val="fontstyle01"/>
        </w:rPr>
        <w:t>EOPC, early-onset prostate cancer; LOPC, late-onset prostate cancer.</w:t>
      </w:r>
    </w:p>
    <w:p w14:paraId="3F982D52" w14:textId="7D2B7887" w:rsidR="005066AC" w:rsidRDefault="00393697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72AD705" wp14:editId="39403663">
            <wp:extent cx="5265420" cy="3773170"/>
            <wp:effectExtent l="0" t="0" r="0" b="0"/>
            <wp:docPr id="9663960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0D980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24D556" w14:textId="77777777" w:rsidR="005066AC" w:rsidRDefault="005066AC" w:rsidP="004017FB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BC22ED" w14:textId="7A8C2445" w:rsidR="004017FB" w:rsidRDefault="004017FB" w:rsidP="004017FB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measured by weighted Cox proportional hazard models associated with a merged-General-PRS (A), a merged-EOPC-PRS (B) and a merged-LOPC-PRS (C)</w:t>
      </w:r>
      <w:r w:rsidRPr="002C4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>PRS, polygenic risk score; EOPC, early-onset prostate cancer; LOPC, late-onset prostate cancer.</w:t>
      </w:r>
    </w:p>
    <w:p w14:paraId="7731E689" w14:textId="26C7D2EE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7E7C7F3B" wp14:editId="58EA8D6B">
            <wp:extent cx="8661402" cy="33528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008" cy="335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B99E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193682" w14:textId="77777777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1B84A41" w14:textId="76405210" w:rsidR="004017FB" w:rsidRDefault="004017FB" w:rsidP="004017FB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F42">
        <w:rPr>
          <w:rFonts w:ascii="Times New Roman" w:hAnsi="Times New Roman" w:cs="Times New Roman"/>
          <w:sz w:val="24"/>
          <w:szCs w:val="24"/>
        </w:rPr>
        <w:t>Risk estimates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F42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PCa </w:t>
      </w:r>
      <w:r w:rsidRPr="00836F42">
        <w:rPr>
          <w:rFonts w:ascii="Times New Roman" w:hAnsi="Times New Roman" w:cs="Times New Roman"/>
          <w:sz w:val="24"/>
          <w:szCs w:val="24"/>
        </w:rPr>
        <w:t xml:space="preserve">associated with </w:t>
      </w:r>
      <w:r>
        <w:rPr>
          <w:rFonts w:ascii="Times New Roman" w:hAnsi="Times New Roman" w:cs="Times New Roman"/>
          <w:sz w:val="24"/>
          <w:szCs w:val="24"/>
        </w:rPr>
        <w:t>a merged General-PRS (A-C), a merged-EOPC-PRS (D-F) and a merged-LOPC-PRS (G-I) in the General-, EO- and LO-group from the case-control population stratified by family history</w:t>
      </w:r>
      <w:r w:rsidRPr="00C61A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using logistic regression m</w:t>
      </w:r>
      <w:r w:rsidRPr="00836F42">
        <w:rPr>
          <w:rFonts w:ascii="Times New Roman" w:hAnsi="Times New Roman" w:cs="Times New Roman"/>
          <w:sz w:val="24"/>
          <w:szCs w:val="24"/>
        </w:rPr>
        <w:t>odel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36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836F42">
        <w:rPr>
          <w:rFonts w:ascii="Times New Roman" w:hAnsi="Times New Roman" w:cs="Times New Roman"/>
          <w:sz w:val="24"/>
          <w:szCs w:val="24"/>
        </w:rPr>
        <w:t xml:space="preserve">odels were adjusted for </w:t>
      </w:r>
      <w:r>
        <w:rPr>
          <w:rFonts w:ascii="Times New Roman" w:hAnsi="Times New Roman" w:cs="Times New Roman"/>
          <w:sz w:val="24"/>
          <w:szCs w:val="24"/>
        </w:rPr>
        <w:t>reference-</w:t>
      </w:r>
      <w:r w:rsidRPr="00263F5D">
        <w:rPr>
          <w:rFonts w:ascii="Times New Roman" w:hAnsi="Times New Roman" w:cs="Times New Roman"/>
          <w:sz w:val="24"/>
          <w:szCs w:val="24"/>
        </w:rPr>
        <w:t>age, BMI, smoking status, drinking status, assessment center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 w:rsidRPr="00263F5D">
        <w:rPr>
          <w:rFonts w:ascii="Times New Roman" w:hAnsi="Times New Roman" w:cs="Times New Roman"/>
          <w:sz w:val="24"/>
          <w:szCs w:val="24"/>
        </w:rPr>
        <w:t xml:space="preserve"> top 10 principal components</w:t>
      </w:r>
      <w:r w:rsidRPr="00836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 xml:space="preserve">General-group covered all participants; EO-group was consisted of individuals with reference-age </w:t>
      </w:r>
      <w:r w:rsidRPr="00751FF0">
        <w:rPr>
          <w:rStyle w:val="fontstyle01"/>
        </w:rPr>
        <w:t>≤</w:t>
      </w:r>
      <w:r>
        <w:rPr>
          <w:rStyle w:val="fontstyle01"/>
          <w:rFonts w:hint="eastAsia"/>
        </w:rPr>
        <w:t xml:space="preserve"> </w:t>
      </w:r>
      <w:r>
        <w:rPr>
          <w:rStyle w:val="fontstyle01"/>
        </w:rPr>
        <w:t xml:space="preserve">55 </w:t>
      </w:r>
      <w:r>
        <w:rPr>
          <w:rStyle w:val="fontstyle01"/>
          <w:rFonts w:hint="eastAsia"/>
        </w:rPr>
        <w:t>years</w:t>
      </w:r>
      <w:r>
        <w:rPr>
          <w:rStyle w:val="fontstyle01"/>
        </w:rPr>
        <w:t xml:space="preserve"> </w:t>
      </w:r>
      <w:r>
        <w:rPr>
          <w:rStyle w:val="fontstyle01"/>
          <w:rFonts w:hint="eastAsia"/>
        </w:rPr>
        <w:t>old</w:t>
      </w:r>
      <w:r>
        <w:rPr>
          <w:rStyle w:val="fontstyle01"/>
        </w:rPr>
        <w:t xml:space="preserve">; LO-group comprised individuals with reference-age </w:t>
      </w:r>
      <w:r>
        <w:rPr>
          <w:rStyle w:val="fontstyle01"/>
          <w:rFonts w:hint="eastAsia"/>
        </w:rPr>
        <w:t xml:space="preserve">&gt; </w:t>
      </w:r>
      <w:r>
        <w:rPr>
          <w:rStyle w:val="fontstyle01"/>
        </w:rPr>
        <w:t xml:space="preserve">55 </w:t>
      </w:r>
      <w:r>
        <w:rPr>
          <w:rStyle w:val="fontstyle01"/>
          <w:rFonts w:hint="eastAsia"/>
        </w:rPr>
        <w:t>years</w:t>
      </w:r>
      <w:r>
        <w:rPr>
          <w:rStyle w:val="fontstyle01"/>
        </w:rPr>
        <w:t xml:space="preserve"> </w:t>
      </w:r>
      <w:r>
        <w:rPr>
          <w:rStyle w:val="fontstyle01"/>
          <w:rFonts w:hint="eastAsia"/>
        </w:rPr>
        <w:t>old</w:t>
      </w:r>
      <w:r>
        <w:rPr>
          <w:rStyle w:val="fontstyle01"/>
        </w:rPr>
        <w:t>. PRS, polygenic risk score; EOPC, early-onset prostate cancer; LOPC, late-onset prostate cancer; OR, odds ratio; CI, confidence interval.</w:t>
      </w:r>
    </w:p>
    <w:p w14:paraId="33DF5857" w14:textId="31EA566E" w:rsidR="005066AC" w:rsidRDefault="005066AC" w:rsidP="005066AC">
      <w:pPr>
        <w:spacing w:afterLines="50" w:after="156" w:line="360" w:lineRule="auto"/>
        <w:jc w:val="center"/>
        <w:rPr>
          <w:rStyle w:val="fontstyle01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lastRenderedPageBreak/>
        <w:drawing>
          <wp:inline distT="0" distB="0" distL="0" distR="0" wp14:anchorId="06029993" wp14:editId="72E6C41C">
            <wp:extent cx="7124700" cy="5153106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804" cy="516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934C" w14:textId="77777777" w:rsidR="005066AC" w:rsidRDefault="005066AC" w:rsidP="004D448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33159B5B" w14:textId="755D3B3D" w:rsidR="004017FB" w:rsidRDefault="004017FB" w:rsidP="004D4487">
      <w:pPr>
        <w:spacing w:afterLines="50" w:after="156" w:line="360" w:lineRule="auto"/>
        <w:rPr>
          <w:rStyle w:val="fontstyle01"/>
        </w:rPr>
      </w:pPr>
      <w:r w:rsidRPr="002C4FD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2C4FD1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Forest plot of the heterogeneity analyses between the EOPC and LOPC risk measured by logistic regression models associated with a merged-General-PRS (A), a merged-EOPC-PRS (B) and a merged-LOPC-PRS (C)</w:t>
      </w:r>
      <w:r w:rsidRPr="002C4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stratified by family history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</w:rPr>
        <w:t>PRS, polygenic risk score; EOPC, early-onset prostate cancer; LOPC, late-onset prostate cancer.</w:t>
      </w:r>
    </w:p>
    <w:p w14:paraId="6CAAD10A" w14:textId="6BD15E93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5A2610D5" wp14:editId="497642B9">
            <wp:extent cx="8834372" cy="352425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1662" cy="352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49BA8" w14:textId="77777777" w:rsidR="005066AC" w:rsidRDefault="005066AC" w:rsidP="004D448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E1CA342" w14:textId="4015D505" w:rsidR="004E436A" w:rsidRDefault="004E436A" w:rsidP="004D4487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BA723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E680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A723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58B4" w:rsidRPr="003358B4">
        <w:rPr>
          <w:rFonts w:ascii="Times New Roman" w:hAnsi="Times New Roman" w:cs="Times New Roman"/>
          <w:sz w:val="24"/>
          <w:szCs w:val="24"/>
        </w:rPr>
        <w:t xml:space="preserve">Population structure demonstrated </w:t>
      </w:r>
      <w:r w:rsidR="003358B4">
        <w:rPr>
          <w:rFonts w:ascii="Times New Roman" w:hAnsi="Times New Roman" w:cs="Times New Roman"/>
          <w:sz w:val="24"/>
          <w:szCs w:val="24"/>
        </w:rPr>
        <w:t xml:space="preserve">by </w:t>
      </w:r>
      <w:r w:rsidR="003358B4" w:rsidRPr="003358B4">
        <w:rPr>
          <w:rFonts w:ascii="Times New Roman" w:hAnsi="Times New Roman" w:cs="Times New Roman"/>
          <w:sz w:val="24"/>
          <w:szCs w:val="24"/>
        </w:rPr>
        <w:t>principal component analysis based on all high-quality SNPs.</w:t>
      </w:r>
      <w:r w:rsidR="003358B4">
        <w:rPr>
          <w:rFonts w:ascii="Times New Roman" w:hAnsi="Times New Roman" w:cs="Times New Roman"/>
          <w:sz w:val="24"/>
          <w:szCs w:val="24"/>
        </w:rPr>
        <w:t xml:space="preserve"> Population included participants from PLCO, TCGA and 1000 Genome Projects. </w:t>
      </w:r>
      <w:r w:rsidR="003358B4" w:rsidRPr="003358B4">
        <w:rPr>
          <w:rFonts w:ascii="Times New Roman" w:hAnsi="Times New Roman" w:cs="Times New Roman"/>
          <w:sz w:val="24"/>
          <w:szCs w:val="24"/>
        </w:rPr>
        <w:t>PC1: Princip</w:t>
      </w:r>
      <w:r w:rsidR="003358B4">
        <w:rPr>
          <w:rFonts w:ascii="Times New Roman" w:hAnsi="Times New Roman" w:cs="Times New Roman" w:hint="eastAsia"/>
          <w:sz w:val="24"/>
          <w:szCs w:val="24"/>
        </w:rPr>
        <w:t>al</w:t>
      </w:r>
      <w:r w:rsidR="003358B4" w:rsidRPr="003358B4">
        <w:rPr>
          <w:rFonts w:ascii="Times New Roman" w:hAnsi="Times New Roman" w:cs="Times New Roman"/>
          <w:sz w:val="24"/>
          <w:szCs w:val="24"/>
        </w:rPr>
        <w:t xml:space="preserve"> component 1; PC2: Princip</w:t>
      </w:r>
      <w:r w:rsidR="003358B4">
        <w:rPr>
          <w:rFonts w:ascii="Times New Roman" w:hAnsi="Times New Roman" w:cs="Times New Roman"/>
          <w:sz w:val="24"/>
          <w:szCs w:val="24"/>
        </w:rPr>
        <w:t>al</w:t>
      </w:r>
      <w:r w:rsidR="003358B4" w:rsidRPr="003358B4">
        <w:rPr>
          <w:rFonts w:ascii="Times New Roman" w:hAnsi="Times New Roman" w:cs="Times New Roman"/>
          <w:sz w:val="24"/>
          <w:szCs w:val="24"/>
        </w:rPr>
        <w:t xml:space="preserve"> component 2.</w:t>
      </w:r>
    </w:p>
    <w:p w14:paraId="04999AFD" w14:textId="5A9E93FE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37254256" wp14:editId="2B6EB1D6">
            <wp:extent cx="4932746" cy="4400550"/>
            <wp:effectExtent l="0" t="0" r="0" b="0"/>
            <wp:docPr id="21282616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690" cy="440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06E7D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86BAEA" w14:textId="77777777" w:rsidR="008445E8" w:rsidRDefault="008445E8" w:rsidP="000135FB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8445E8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CC9E04" w14:textId="103B478E" w:rsidR="008445E8" w:rsidRDefault="000135FB" w:rsidP="008445E8">
      <w:pPr>
        <w:spacing w:afterLines="50" w:after="156" w:line="360" w:lineRule="auto"/>
        <w:rPr>
          <w:rStyle w:val="fontstyle01"/>
          <w:b/>
          <w:bCs/>
          <w:noProof/>
        </w:rPr>
      </w:pPr>
      <w:r w:rsidRPr="00BA723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BA72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445E8" w:rsidRPr="00E425C5">
        <w:rPr>
          <w:rStyle w:val="fontstyle01"/>
        </w:rPr>
        <w:t xml:space="preserve">The area under the receiver operating characteristic (ROC) curve (AUC) evaluating the </w:t>
      </w:r>
      <w:r w:rsidR="008445E8">
        <w:rPr>
          <w:rStyle w:val="fontstyle01"/>
          <w:rFonts w:hint="eastAsia"/>
        </w:rPr>
        <w:t>predictive</w:t>
      </w:r>
      <w:r w:rsidR="008445E8" w:rsidRPr="00E425C5">
        <w:rPr>
          <w:rStyle w:val="fontstyle01"/>
        </w:rPr>
        <w:t xml:space="preserve"> accuracy of </w:t>
      </w:r>
      <w:r w:rsidR="008445E8">
        <w:rPr>
          <w:rStyle w:val="fontstyle01"/>
          <w:rFonts w:hint="eastAsia"/>
        </w:rPr>
        <w:t>EOPC-PRS (</w:t>
      </w:r>
      <w:r w:rsidR="008445E8" w:rsidRPr="008445E8">
        <w:rPr>
          <w:rStyle w:val="fontstyle01"/>
          <w:rFonts w:hint="eastAsia"/>
          <w:b/>
          <w:bCs/>
        </w:rPr>
        <w:t>A</w:t>
      </w:r>
      <w:r w:rsidR="008445E8">
        <w:rPr>
          <w:rStyle w:val="fontstyle01"/>
          <w:rFonts w:hint="eastAsia"/>
        </w:rPr>
        <w:t>), 54-PRS (</w:t>
      </w:r>
      <w:r w:rsidR="008445E8" w:rsidRPr="008445E8">
        <w:rPr>
          <w:rStyle w:val="fontstyle01"/>
          <w:rFonts w:hint="eastAsia"/>
          <w:b/>
          <w:bCs/>
        </w:rPr>
        <w:t>B</w:t>
      </w:r>
      <w:r w:rsidR="008445E8">
        <w:rPr>
          <w:rStyle w:val="fontstyle01"/>
          <w:rFonts w:hint="eastAsia"/>
        </w:rPr>
        <w:t>) and 110-PRS (</w:t>
      </w:r>
      <w:r w:rsidR="008B77E0" w:rsidRPr="008B77E0">
        <w:rPr>
          <w:rStyle w:val="fontstyle01"/>
          <w:rFonts w:hint="eastAsia"/>
          <w:b/>
          <w:bCs/>
        </w:rPr>
        <w:t>C</w:t>
      </w:r>
      <w:r w:rsidR="008445E8">
        <w:rPr>
          <w:rStyle w:val="fontstyle01"/>
          <w:rFonts w:hint="eastAsia"/>
        </w:rPr>
        <w:t>)</w:t>
      </w:r>
      <w:r w:rsidR="008445E8" w:rsidRPr="00E425C5">
        <w:rPr>
          <w:rStyle w:val="fontstyle01"/>
        </w:rPr>
        <w:t xml:space="preserve"> </w:t>
      </w:r>
      <w:r w:rsidR="008445E8">
        <w:rPr>
          <w:rStyle w:val="fontstyle01"/>
          <w:rFonts w:hint="eastAsia"/>
        </w:rPr>
        <w:t xml:space="preserve">for EOPC </w:t>
      </w:r>
      <w:r w:rsidR="008445E8" w:rsidRPr="00E425C5">
        <w:rPr>
          <w:rStyle w:val="fontstyle01"/>
        </w:rPr>
        <w:t>in a European ancestry population generated from the PLCO cohort and TCGA program.</w:t>
      </w:r>
      <w:r w:rsidR="008445E8" w:rsidRPr="008445E8">
        <w:rPr>
          <w:rStyle w:val="fontstyle01"/>
          <w:rFonts w:hint="eastAsia"/>
          <w:b/>
          <w:bCs/>
          <w:noProof/>
        </w:rPr>
        <w:t xml:space="preserve"> </w:t>
      </w:r>
    </w:p>
    <w:p w14:paraId="67ADB044" w14:textId="2A6A946B" w:rsidR="000135FB" w:rsidRDefault="008445E8" w:rsidP="008445E8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hint="eastAsia"/>
          <w:b/>
          <w:bCs/>
          <w:noProof/>
          <w:lang w:eastAsia="en-US"/>
        </w:rPr>
        <w:drawing>
          <wp:inline distT="0" distB="0" distL="0" distR="0" wp14:anchorId="62F679F7" wp14:editId="6B5E000F">
            <wp:extent cx="7820526" cy="2927394"/>
            <wp:effectExtent l="0" t="0" r="0" b="0"/>
            <wp:docPr id="1772944056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44056" name="图片 1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560" cy="293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D65B1" w14:textId="77777777" w:rsidR="008445E8" w:rsidRDefault="008445E8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8445E8" w:rsidSect="004E3E2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71B7BB01" w14:textId="77777777" w:rsidR="00552D33" w:rsidRDefault="00552D33" w:rsidP="00552D33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2D33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Figure S18. </w:t>
      </w:r>
      <w:r w:rsidRPr="00552D33">
        <w:rPr>
          <w:rFonts w:ascii="Times New Roman" w:hAnsi="Times New Roman" w:cs="Times New Roman"/>
          <w:sz w:val="24"/>
          <w:szCs w:val="24"/>
        </w:rPr>
        <w:t>Time-dependent receiver operating characteristic (ROC) curves and area under the curve</w:t>
      </w:r>
      <w:r w:rsidRPr="00552D33">
        <w:rPr>
          <w:rFonts w:ascii="Times New Roman" w:hAnsi="Times New Roman" w:cs="Times New Roman" w:hint="eastAsia"/>
          <w:sz w:val="24"/>
          <w:szCs w:val="24"/>
        </w:rPr>
        <w:t>s</w:t>
      </w:r>
      <w:r w:rsidRPr="00552D33">
        <w:rPr>
          <w:rFonts w:ascii="Times New Roman" w:hAnsi="Times New Roman" w:cs="Times New Roman"/>
          <w:sz w:val="24"/>
          <w:szCs w:val="24"/>
        </w:rPr>
        <w:t xml:space="preserve"> (AUC) from censored diagnosis data at 6</w:t>
      </w:r>
      <w:r w:rsidRPr="00552D33">
        <w:rPr>
          <w:rFonts w:ascii="Times New Roman" w:hAnsi="Times New Roman" w:cs="Times New Roman" w:hint="eastAsia"/>
          <w:sz w:val="24"/>
          <w:szCs w:val="24"/>
        </w:rPr>
        <w:t>0</w:t>
      </w:r>
      <w:r w:rsidRPr="00552D33">
        <w:rPr>
          <w:rFonts w:ascii="Times New Roman" w:hAnsi="Times New Roman" w:cs="Times New Roman"/>
          <w:sz w:val="24"/>
          <w:szCs w:val="24"/>
        </w:rPr>
        <w:t xml:space="preserve">-year of </w:t>
      </w:r>
      <w:r w:rsidRPr="00552D33">
        <w:rPr>
          <w:rFonts w:ascii="Times New Roman" w:hAnsi="Times New Roman" w:cs="Times New Roman" w:hint="eastAsia"/>
          <w:sz w:val="24"/>
          <w:szCs w:val="24"/>
        </w:rPr>
        <w:t>PSA</w:t>
      </w:r>
      <w:r w:rsidRPr="00552D33">
        <w:rPr>
          <w:rFonts w:ascii="Times New Roman" w:hAnsi="Times New Roman" w:cs="Times New Roman"/>
          <w:sz w:val="24"/>
          <w:szCs w:val="24"/>
        </w:rPr>
        <w:t xml:space="preserve"> </w:t>
      </w:r>
      <w:r w:rsidRPr="00552D33">
        <w:rPr>
          <w:rFonts w:ascii="Times New Roman" w:hAnsi="Times New Roman" w:cs="Times New Roman" w:hint="eastAsia"/>
          <w:sz w:val="24"/>
          <w:szCs w:val="24"/>
        </w:rPr>
        <w:t xml:space="preserve">and PSA + EOPC-PRS </w:t>
      </w:r>
      <w:r w:rsidRPr="00552D33">
        <w:rPr>
          <w:rFonts w:ascii="Times New Roman" w:hAnsi="Times New Roman" w:cs="Times New Roman"/>
          <w:sz w:val="24"/>
          <w:szCs w:val="24"/>
        </w:rPr>
        <w:t>for prediction of PCa.</w:t>
      </w:r>
    </w:p>
    <w:p w14:paraId="281CA0DA" w14:textId="6F0F0654" w:rsidR="000135FB" w:rsidRPr="00552D33" w:rsidRDefault="00552D33" w:rsidP="00552D33">
      <w:pPr>
        <w:spacing w:afterLines="50" w:after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512FBC9" wp14:editId="2E72A6F9">
            <wp:extent cx="3457575" cy="3619500"/>
            <wp:effectExtent l="0" t="0" r="0" b="0"/>
            <wp:docPr id="11718126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35FB" w:rsidRPr="00552D3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0DC3ED" w14:textId="77777777" w:rsidR="00920F50" w:rsidRDefault="00920F50" w:rsidP="00920F50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0F5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920F50">
        <w:rPr>
          <w:rFonts w:ascii="Times New Roman" w:hAnsi="Times New Roman" w:cs="Times New Roman"/>
          <w:b/>
          <w:bCs/>
          <w:sz w:val="24"/>
          <w:szCs w:val="24"/>
        </w:rPr>
        <w:t xml:space="preserve"> S19. </w:t>
      </w:r>
      <w:r w:rsidRPr="00920F50">
        <w:rPr>
          <w:rFonts w:ascii="Times New Roman" w:hAnsi="Times New Roman" w:cs="Times New Roman"/>
          <w:sz w:val="24"/>
          <w:szCs w:val="24"/>
        </w:rPr>
        <w:t>Risk estimates for early-onset prostate cancer (EOPC) associated with EOPC-PRS stratified by clinical variables (Gleason score, T stage and M stage).</w:t>
      </w:r>
    </w:p>
    <w:p w14:paraId="54EC16E3" w14:textId="7E5547B9" w:rsidR="00920F50" w:rsidRDefault="00920F50" w:rsidP="00920F50">
      <w:pPr>
        <w:spacing w:afterLines="50" w:after="15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noProof/>
          <w:color w:val="31353B"/>
          <w:sz w:val="24"/>
          <w:szCs w:val="24"/>
          <w:lang w:eastAsia="en-US"/>
        </w:rPr>
        <w:drawing>
          <wp:inline distT="0" distB="0" distL="0" distR="0" wp14:anchorId="28AD7294" wp14:editId="33C6E74E">
            <wp:extent cx="3897085" cy="2733916"/>
            <wp:effectExtent l="0" t="0" r="0" b="0"/>
            <wp:docPr id="900678128" name="图片 1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78128" name="图片 1" descr="图表, 箱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211" cy="27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62366AA" w14:textId="138AF52A" w:rsidR="00BA7236" w:rsidRDefault="00BA7236" w:rsidP="004D4487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BA723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920F50">
        <w:rPr>
          <w:rFonts w:ascii="Times New Roman" w:hAnsi="Times New Roman" w:cs="Times New Roman" w:hint="eastAsia"/>
          <w:b/>
          <w:bCs/>
          <w:sz w:val="24"/>
          <w:szCs w:val="24"/>
        </w:rPr>
        <w:t>20</w:t>
      </w:r>
      <w:r w:rsidRPr="00BA72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F3334">
        <w:rPr>
          <w:rFonts w:ascii="Times New Roman" w:hAnsi="Times New Roman" w:cs="Times New Roman"/>
          <w:sz w:val="24"/>
          <w:szCs w:val="24"/>
        </w:rPr>
        <w:t>Flowchart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47C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two-sample </w:t>
      </w:r>
      <w:r w:rsidRPr="00BF3334">
        <w:rPr>
          <w:rFonts w:ascii="Times New Roman" w:hAnsi="Times New Roman" w:cs="Times New Roman"/>
          <w:sz w:val="24"/>
          <w:szCs w:val="24"/>
        </w:rPr>
        <w:t xml:space="preserve">Mendelian </w:t>
      </w:r>
      <w:r>
        <w:rPr>
          <w:rFonts w:ascii="Times New Roman" w:hAnsi="Times New Roman" w:cs="Times New Roman"/>
          <w:sz w:val="24"/>
          <w:szCs w:val="24"/>
        </w:rPr>
        <w:t>randomization analyses.</w:t>
      </w:r>
    </w:p>
    <w:p w14:paraId="5A406902" w14:textId="626EF6C3" w:rsidR="005066AC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:lang w:eastAsia="en-US"/>
        </w:rPr>
        <w:drawing>
          <wp:inline distT="0" distB="0" distL="0" distR="0" wp14:anchorId="0F6370F1" wp14:editId="728A18FF">
            <wp:extent cx="5274310" cy="7254556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D7360" w14:textId="77777777" w:rsidR="005066AC" w:rsidRDefault="00506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B7B6A5" w14:textId="77777777" w:rsidR="005066AC" w:rsidRDefault="005066AC" w:rsidP="004D4487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066AC" w:rsidSect="004E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59E54F" w14:textId="7E5374FC" w:rsidR="004A42FD" w:rsidRDefault="004A42FD" w:rsidP="004D4487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BA723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920F50">
        <w:rPr>
          <w:rFonts w:ascii="Times New Roman" w:hAnsi="Times New Roman" w:cs="Times New Roman" w:hint="eastAsia"/>
          <w:b/>
          <w:bCs/>
          <w:sz w:val="24"/>
          <w:szCs w:val="24"/>
        </w:rPr>
        <w:t>21</w:t>
      </w:r>
      <w:r w:rsidRPr="00BA72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example</w:t>
      </w:r>
      <w:r>
        <w:rPr>
          <w:rFonts w:ascii="Times New Roman" w:hAnsi="Times New Roman" w:cs="Times New Roman"/>
          <w:sz w:val="24"/>
          <w:szCs w:val="24"/>
        </w:rPr>
        <w:t xml:space="preserve"> for the use of ProAP (Prostate cancer Age-based PheWAS). Use “Choose an outcome” and “Search” boxes to focus on the </w:t>
      </w:r>
      <w:r w:rsidRPr="00BF3334">
        <w:rPr>
          <w:rFonts w:ascii="Times New Roman" w:hAnsi="Times New Roman" w:cs="Times New Roman"/>
          <w:sz w:val="24"/>
          <w:szCs w:val="24"/>
        </w:rPr>
        <w:t xml:space="preserve">Mendelian </w:t>
      </w:r>
      <w:r>
        <w:rPr>
          <w:rFonts w:ascii="Times New Roman" w:hAnsi="Times New Roman" w:cs="Times New Roman"/>
          <w:sz w:val="24"/>
          <w:szCs w:val="24"/>
        </w:rPr>
        <w:t>randomization result of interest.</w:t>
      </w:r>
    </w:p>
    <w:p w14:paraId="6E16EEB9" w14:textId="183B44D4" w:rsidR="005066AC" w:rsidRPr="004A42FD" w:rsidRDefault="005066AC" w:rsidP="005066AC">
      <w:pPr>
        <w:spacing w:afterLines="50" w:after="156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34CC4631" wp14:editId="07BBC4B7">
            <wp:extent cx="8858249" cy="3409950"/>
            <wp:effectExtent l="0" t="0" r="0" b="0"/>
            <wp:docPr id="1331311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764" cy="341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2A854" w14:textId="78ABC07C" w:rsidR="004A42FD" w:rsidRPr="004D4487" w:rsidRDefault="004A42FD" w:rsidP="005066AC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</w:p>
    <w:sectPr w:rsidR="004A42FD" w:rsidRPr="004D4487" w:rsidSect="004E3E2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29DF7" w14:textId="77777777" w:rsidR="004E3E2C" w:rsidRDefault="004E3E2C" w:rsidP="004D4487">
      <w:r>
        <w:separator/>
      </w:r>
    </w:p>
  </w:endnote>
  <w:endnote w:type="continuationSeparator" w:id="0">
    <w:p w14:paraId="3DBACDB3" w14:textId="77777777" w:rsidR="004E3E2C" w:rsidRDefault="004E3E2C" w:rsidP="004D4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994E4" w14:textId="77777777" w:rsidR="004E3E2C" w:rsidRDefault="004E3E2C" w:rsidP="004D4487">
      <w:r>
        <w:separator/>
      </w:r>
    </w:p>
  </w:footnote>
  <w:footnote w:type="continuationSeparator" w:id="0">
    <w:p w14:paraId="7D0A477B" w14:textId="77777777" w:rsidR="004E3E2C" w:rsidRDefault="004E3E2C" w:rsidP="004D4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32B9"/>
    <w:rsid w:val="00000002"/>
    <w:rsid w:val="000135FB"/>
    <w:rsid w:val="00021944"/>
    <w:rsid w:val="000512BA"/>
    <w:rsid w:val="00072D65"/>
    <w:rsid w:val="00096B58"/>
    <w:rsid w:val="000F13AB"/>
    <w:rsid w:val="00110C3B"/>
    <w:rsid w:val="00110D37"/>
    <w:rsid w:val="0013182F"/>
    <w:rsid w:val="00155EB3"/>
    <w:rsid w:val="00194079"/>
    <w:rsid w:val="00220B90"/>
    <w:rsid w:val="00242FBF"/>
    <w:rsid w:val="0026044A"/>
    <w:rsid w:val="002B16BD"/>
    <w:rsid w:val="002C4FD1"/>
    <w:rsid w:val="002D0FE3"/>
    <w:rsid w:val="00333E3E"/>
    <w:rsid w:val="003358B4"/>
    <w:rsid w:val="00340CE8"/>
    <w:rsid w:val="00381073"/>
    <w:rsid w:val="00393697"/>
    <w:rsid w:val="00397D2B"/>
    <w:rsid w:val="003E6809"/>
    <w:rsid w:val="004017FB"/>
    <w:rsid w:val="00414DCD"/>
    <w:rsid w:val="00415ED8"/>
    <w:rsid w:val="00465CDA"/>
    <w:rsid w:val="00485C6F"/>
    <w:rsid w:val="004A42FD"/>
    <w:rsid w:val="004D4487"/>
    <w:rsid w:val="004E3E2C"/>
    <w:rsid w:val="004E436A"/>
    <w:rsid w:val="004F39F2"/>
    <w:rsid w:val="005066AC"/>
    <w:rsid w:val="00552D33"/>
    <w:rsid w:val="00557330"/>
    <w:rsid w:val="005602B4"/>
    <w:rsid w:val="0056523E"/>
    <w:rsid w:val="00573354"/>
    <w:rsid w:val="005C79D8"/>
    <w:rsid w:val="005D4F2E"/>
    <w:rsid w:val="00616E9D"/>
    <w:rsid w:val="0061713C"/>
    <w:rsid w:val="00620553"/>
    <w:rsid w:val="0062139B"/>
    <w:rsid w:val="00651E42"/>
    <w:rsid w:val="00677CB0"/>
    <w:rsid w:val="00707D8A"/>
    <w:rsid w:val="00737FE7"/>
    <w:rsid w:val="00757609"/>
    <w:rsid w:val="007665D3"/>
    <w:rsid w:val="007864C7"/>
    <w:rsid w:val="007E6CAE"/>
    <w:rsid w:val="007F5483"/>
    <w:rsid w:val="0081615D"/>
    <w:rsid w:val="008370F3"/>
    <w:rsid w:val="008445E8"/>
    <w:rsid w:val="00876A90"/>
    <w:rsid w:val="0089267E"/>
    <w:rsid w:val="00895629"/>
    <w:rsid w:val="008A7F0F"/>
    <w:rsid w:val="008B77E0"/>
    <w:rsid w:val="009036D5"/>
    <w:rsid w:val="00920F50"/>
    <w:rsid w:val="009240FA"/>
    <w:rsid w:val="00955A6E"/>
    <w:rsid w:val="009A254E"/>
    <w:rsid w:val="009B6732"/>
    <w:rsid w:val="009E16A1"/>
    <w:rsid w:val="00A02C7A"/>
    <w:rsid w:val="00A033A4"/>
    <w:rsid w:val="00A0406C"/>
    <w:rsid w:val="00A05AAC"/>
    <w:rsid w:val="00A132B9"/>
    <w:rsid w:val="00A216D7"/>
    <w:rsid w:val="00A60955"/>
    <w:rsid w:val="00A60EAF"/>
    <w:rsid w:val="00A81F30"/>
    <w:rsid w:val="00AB4AC9"/>
    <w:rsid w:val="00B42873"/>
    <w:rsid w:val="00B56875"/>
    <w:rsid w:val="00B75A5B"/>
    <w:rsid w:val="00B81201"/>
    <w:rsid w:val="00BA5BB7"/>
    <w:rsid w:val="00BA7236"/>
    <w:rsid w:val="00BF3334"/>
    <w:rsid w:val="00BF3A19"/>
    <w:rsid w:val="00C413D2"/>
    <w:rsid w:val="00C42712"/>
    <w:rsid w:val="00C61A6E"/>
    <w:rsid w:val="00CA65A0"/>
    <w:rsid w:val="00CB323B"/>
    <w:rsid w:val="00CD5D0F"/>
    <w:rsid w:val="00D447CC"/>
    <w:rsid w:val="00D722CD"/>
    <w:rsid w:val="00D74CA3"/>
    <w:rsid w:val="00DB35E0"/>
    <w:rsid w:val="00E023DD"/>
    <w:rsid w:val="00EA02FD"/>
    <w:rsid w:val="00EA2E23"/>
    <w:rsid w:val="00EB5C9E"/>
    <w:rsid w:val="00EE1A8C"/>
    <w:rsid w:val="00EF30FE"/>
    <w:rsid w:val="00F21458"/>
    <w:rsid w:val="00F24328"/>
    <w:rsid w:val="00F43885"/>
    <w:rsid w:val="00FD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34141"/>
  <w15:docId w15:val="{469E97FD-5840-4DB0-B5E0-551FB1FF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5F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4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D44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4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D4487"/>
    <w:rPr>
      <w:sz w:val="18"/>
      <w:szCs w:val="18"/>
    </w:rPr>
  </w:style>
  <w:style w:type="character" w:customStyle="1" w:styleId="fontstyle01">
    <w:name w:val="fontstyle01"/>
    <w:basedOn w:val="DefaultParagraphFont"/>
    <w:rsid w:val="00DB35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0"/>
    <w:rsid w:val="000512BA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512BA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7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fontTable" Target="fontTable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D6797-6BE5-4999-B9F8-34C1BEDAD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3043</TotalTime>
  <Pages>23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承 逸飞</dc:creator>
  <cp:keywords/>
  <dc:description/>
  <cp:lastModifiedBy>Jini Mol</cp:lastModifiedBy>
  <cp:revision>25</cp:revision>
  <dcterms:created xsi:type="dcterms:W3CDTF">2022-08-25T13:08:00Z</dcterms:created>
  <dcterms:modified xsi:type="dcterms:W3CDTF">2024-04-16T07:58:00Z</dcterms:modified>
</cp:coreProperties>
</file>