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4D5B1" w14:textId="3B47D3FB" w:rsidR="00814226" w:rsidRPr="00814226" w:rsidRDefault="00814226" w:rsidP="009D7D16">
      <w:pPr>
        <w:spacing w:line="276" w:lineRule="auto"/>
        <w:jc w:val="both"/>
        <w:rPr>
          <w:rFonts w:cstheme="minorHAnsi"/>
          <w:bCs/>
          <w:sz w:val="24"/>
          <w:szCs w:val="24"/>
        </w:rPr>
      </w:pPr>
      <w:r w:rsidRPr="00814226">
        <w:rPr>
          <w:rFonts w:cstheme="minorHAnsi"/>
          <w:bCs/>
          <w:sz w:val="24"/>
          <w:szCs w:val="24"/>
        </w:rPr>
        <w:t>Supplemental material of:</w:t>
      </w:r>
      <w:r w:rsidR="00EB53C6">
        <w:rPr>
          <w:rFonts w:cstheme="minorHAnsi"/>
          <w:bCs/>
          <w:sz w:val="24"/>
          <w:szCs w:val="24"/>
        </w:rPr>
        <w:t xml:space="preserve"> </w:t>
      </w:r>
    </w:p>
    <w:p w14:paraId="20144C94" w14:textId="77777777" w:rsidR="00A63DB8" w:rsidRPr="000C6CDE" w:rsidRDefault="00A63DB8" w:rsidP="00A63DB8">
      <w:pPr>
        <w:spacing w:line="276" w:lineRule="auto"/>
        <w:jc w:val="both"/>
        <w:rPr>
          <w:rFonts w:cstheme="minorHAnsi"/>
          <w:b/>
          <w:sz w:val="24"/>
          <w:szCs w:val="24"/>
        </w:rPr>
      </w:pPr>
      <w:r w:rsidRPr="000C6CDE">
        <w:rPr>
          <w:rFonts w:cstheme="minorHAnsi"/>
          <w:b/>
          <w:sz w:val="24"/>
          <w:szCs w:val="24"/>
        </w:rPr>
        <w:t xml:space="preserve">Facilitating the use of the target product profile in academic research: a systematic review </w:t>
      </w:r>
    </w:p>
    <w:p w14:paraId="45CA7F31" w14:textId="02F014C7" w:rsidR="00A63DB8" w:rsidRPr="000C6CDE" w:rsidRDefault="00A63DB8" w:rsidP="00A63DB8">
      <w:pPr>
        <w:spacing w:line="276" w:lineRule="auto"/>
        <w:jc w:val="both"/>
        <w:rPr>
          <w:rFonts w:cstheme="minorHAnsi"/>
          <w:sz w:val="24"/>
          <w:szCs w:val="24"/>
        </w:rPr>
      </w:pPr>
      <w:r w:rsidRPr="000C6CDE">
        <w:rPr>
          <w:rFonts w:cstheme="minorHAnsi"/>
          <w:sz w:val="24"/>
          <w:szCs w:val="24"/>
          <w:lang w:val="en-GB"/>
        </w:rPr>
        <w:t xml:space="preserve">Aliaa </w:t>
      </w:r>
      <w:proofErr w:type="spellStart"/>
      <w:r w:rsidRPr="000C6CDE">
        <w:rPr>
          <w:rFonts w:cstheme="minorHAnsi"/>
          <w:sz w:val="24"/>
          <w:szCs w:val="24"/>
          <w:lang w:val="en-GB"/>
        </w:rPr>
        <w:t>Ibnidris</w:t>
      </w:r>
      <w:proofErr w:type="spellEnd"/>
      <w:r w:rsidRPr="000C6CDE">
        <w:rPr>
          <w:rFonts w:cstheme="minorHAnsi"/>
          <w:sz w:val="24"/>
          <w:szCs w:val="24"/>
          <w:vertAlign w:val="superscript"/>
        </w:rPr>
        <w:t>1</w:t>
      </w:r>
      <w:r w:rsidRPr="000C6CDE">
        <w:rPr>
          <w:rFonts w:cstheme="minorHAnsi"/>
          <w:sz w:val="24"/>
          <w:szCs w:val="24"/>
          <w:vertAlign w:val="superscript"/>
          <w:lang w:val="en-ZA"/>
        </w:rPr>
        <w:t>,2</w:t>
      </w:r>
      <w:r w:rsidRPr="000C6CDE">
        <w:rPr>
          <w:rFonts w:cstheme="minorHAnsi"/>
          <w:sz w:val="24"/>
          <w:szCs w:val="24"/>
          <w:lang w:val="en-GB"/>
        </w:rPr>
        <w:t>, Nektarios Liaskos</w:t>
      </w:r>
      <w:r w:rsidRPr="000C6CDE">
        <w:rPr>
          <w:rFonts w:cstheme="minorHAnsi"/>
          <w:sz w:val="24"/>
          <w:szCs w:val="24"/>
          <w:vertAlign w:val="superscript"/>
          <w:lang w:val="en-GB"/>
        </w:rPr>
        <w:t>1</w:t>
      </w:r>
      <w:r w:rsidR="00E4063B">
        <w:rPr>
          <w:rFonts w:cstheme="minorHAnsi"/>
          <w:sz w:val="24"/>
          <w:szCs w:val="24"/>
          <w:vertAlign w:val="superscript"/>
          <w:lang w:val="en-GB"/>
        </w:rPr>
        <w:t>,3</w:t>
      </w:r>
      <w:r w:rsidRPr="000C6CDE">
        <w:rPr>
          <w:rFonts w:cstheme="minorHAnsi"/>
          <w:sz w:val="24"/>
          <w:szCs w:val="24"/>
          <w:lang w:val="en-GB"/>
        </w:rPr>
        <w:t xml:space="preserve">, </w:t>
      </w:r>
      <w:proofErr w:type="spellStart"/>
      <w:r w:rsidR="00356818">
        <w:rPr>
          <w:rFonts w:cstheme="minorHAnsi"/>
          <w:sz w:val="24"/>
          <w:szCs w:val="24"/>
          <w:lang w:val="en-GB"/>
        </w:rPr>
        <w:t>Ece</w:t>
      </w:r>
      <w:proofErr w:type="spellEnd"/>
      <w:r w:rsidR="00356818">
        <w:rPr>
          <w:rFonts w:cstheme="minorHAnsi"/>
          <w:sz w:val="24"/>
          <w:szCs w:val="24"/>
          <w:lang w:val="en-GB"/>
        </w:rPr>
        <w:t xml:space="preserve"> </w:t>
      </w:r>
      <w:proofErr w:type="spellStart"/>
      <w:r w:rsidR="00356818">
        <w:rPr>
          <w:rFonts w:cstheme="minorHAnsi"/>
          <w:sz w:val="24"/>
          <w:szCs w:val="24"/>
          <w:lang w:val="en-GB"/>
        </w:rPr>
        <w:t>Eldem</w:t>
      </w:r>
      <w:proofErr w:type="spellEnd"/>
      <w:r w:rsidR="00356818">
        <w:rPr>
          <w:rFonts w:cstheme="minorHAnsi"/>
          <w:sz w:val="24"/>
          <w:szCs w:val="24"/>
          <w:lang w:val="en-GB"/>
        </w:rPr>
        <w:t>,</w:t>
      </w:r>
      <w:r w:rsidR="00356818" w:rsidRPr="000C6CDE">
        <w:rPr>
          <w:rFonts w:cstheme="minorHAnsi"/>
          <w:sz w:val="24"/>
          <w:szCs w:val="24"/>
          <w:vertAlign w:val="superscript"/>
        </w:rPr>
        <w:t>1</w:t>
      </w:r>
      <w:r w:rsidR="00356818">
        <w:rPr>
          <w:rFonts w:cstheme="minorHAnsi"/>
          <w:sz w:val="24"/>
          <w:szCs w:val="24"/>
          <w:lang w:val="en-GB"/>
        </w:rPr>
        <w:t xml:space="preserve"> </w:t>
      </w:r>
      <w:r w:rsidRPr="000C6CDE">
        <w:rPr>
          <w:rFonts w:cstheme="minorHAnsi"/>
          <w:sz w:val="24"/>
          <w:szCs w:val="24"/>
          <w:lang w:val="en-GB"/>
        </w:rPr>
        <w:t>Angus Gunn</w:t>
      </w:r>
      <w:r w:rsidR="00E4063B">
        <w:rPr>
          <w:rFonts w:cstheme="minorHAnsi"/>
          <w:sz w:val="24"/>
          <w:szCs w:val="24"/>
          <w:vertAlign w:val="superscript"/>
          <w:lang w:val="en-GB"/>
        </w:rPr>
        <w:t>4</w:t>
      </w:r>
      <w:r w:rsidRPr="000C6CDE">
        <w:rPr>
          <w:rFonts w:cstheme="minorHAnsi"/>
          <w:sz w:val="24"/>
          <w:szCs w:val="24"/>
          <w:lang w:val="en-GB"/>
        </w:rPr>
        <w:t xml:space="preserve">, Johannes </w:t>
      </w:r>
      <w:proofErr w:type="spellStart"/>
      <w:r w:rsidRPr="000C6CDE">
        <w:rPr>
          <w:rFonts w:cstheme="minorHAnsi"/>
          <w:sz w:val="24"/>
          <w:szCs w:val="24"/>
          <w:lang w:val="en-GB"/>
        </w:rPr>
        <w:t>Streffer</w:t>
      </w:r>
      <w:proofErr w:type="spellEnd"/>
      <w:r w:rsidR="00E4063B">
        <w:rPr>
          <w:rFonts w:cstheme="minorHAnsi"/>
          <w:sz w:val="24"/>
          <w:szCs w:val="24"/>
          <w:vertAlign w:val="superscript"/>
          <w:lang w:val="en-ZA"/>
        </w:rPr>
        <w:t>5</w:t>
      </w:r>
      <w:r w:rsidRPr="000C6CDE">
        <w:rPr>
          <w:rFonts w:cstheme="minorHAnsi"/>
          <w:sz w:val="24"/>
          <w:szCs w:val="24"/>
          <w:lang w:val="en-GB"/>
        </w:rPr>
        <w:t>, Michael Gold</w:t>
      </w:r>
      <w:r w:rsidR="00E4063B">
        <w:rPr>
          <w:rFonts w:cstheme="minorHAnsi"/>
          <w:sz w:val="24"/>
          <w:szCs w:val="24"/>
          <w:vertAlign w:val="superscript"/>
          <w:lang w:val="en-GB"/>
        </w:rPr>
        <w:t>6</w:t>
      </w:r>
      <w:r w:rsidRPr="000C6CDE">
        <w:rPr>
          <w:rFonts w:cstheme="minorHAnsi"/>
          <w:sz w:val="24"/>
          <w:szCs w:val="24"/>
          <w:lang w:val="en-ZA"/>
        </w:rPr>
        <w:t xml:space="preserve">, </w:t>
      </w:r>
      <w:r w:rsidRPr="000C6CDE">
        <w:rPr>
          <w:rFonts w:cstheme="minorHAnsi"/>
          <w:sz w:val="24"/>
          <w:szCs w:val="24"/>
          <w:lang w:val="en-GB"/>
        </w:rPr>
        <w:t>Mike Rea</w:t>
      </w:r>
      <w:r w:rsidR="00E4063B">
        <w:rPr>
          <w:rFonts w:cstheme="minorHAnsi"/>
          <w:sz w:val="24"/>
          <w:szCs w:val="24"/>
          <w:vertAlign w:val="superscript"/>
          <w:lang w:val="en-GB"/>
        </w:rPr>
        <w:t>7</w:t>
      </w:r>
      <w:r w:rsidRPr="000C6CDE">
        <w:rPr>
          <w:rFonts w:cstheme="minorHAnsi"/>
          <w:sz w:val="24"/>
          <w:szCs w:val="24"/>
          <w:lang w:val="en-GB"/>
        </w:rPr>
        <w:t xml:space="preserve">, </w:t>
      </w:r>
      <w:r w:rsidRPr="000C6CDE">
        <w:rPr>
          <w:rFonts w:cstheme="minorHAnsi"/>
          <w:sz w:val="24"/>
          <w:szCs w:val="24"/>
        </w:rPr>
        <w:t xml:space="preserve">Stefan </w:t>
      </w:r>
      <w:proofErr w:type="spellStart"/>
      <w:r w:rsidRPr="000C6CDE">
        <w:rPr>
          <w:rFonts w:cstheme="minorHAnsi"/>
          <w:sz w:val="24"/>
          <w:szCs w:val="24"/>
        </w:rPr>
        <w:t>Teipel</w:t>
      </w:r>
      <w:proofErr w:type="spellEnd"/>
      <w:r w:rsidRPr="000C6CDE">
        <w:rPr>
          <w:rFonts w:cstheme="minorHAnsi"/>
          <w:sz w:val="24"/>
          <w:szCs w:val="24"/>
          <w:vertAlign w:val="superscript"/>
          <w:lang w:val="en-ZA"/>
        </w:rPr>
        <w:t>1,</w:t>
      </w:r>
      <w:r w:rsidR="00E4063B">
        <w:rPr>
          <w:rFonts w:cstheme="minorHAnsi"/>
          <w:sz w:val="24"/>
          <w:szCs w:val="24"/>
          <w:vertAlign w:val="superscript"/>
          <w:lang w:val="en-ZA"/>
        </w:rPr>
        <w:t>8</w:t>
      </w:r>
      <w:r w:rsidRPr="000C6CDE">
        <w:rPr>
          <w:rFonts w:cstheme="minorHAnsi"/>
          <w:sz w:val="24"/>
          <w:szCs w:val="24"/>
        </w:rPr>
        <w:t xml:space="preserve">, </w:t>
      </w:r>
      <w:r w:rsidRPr="000C6CDE">
        <w:rPr>
          <w:rFonts w:cstheme="minorHAnsi"/>
          <w:sz w:val="24"/>
          <w:szCs w:val="24"/>
          <w:lang w:val="en-GB"/>
        </w:rPr>
        <w:t>Ale</w:t>
      </w:r>
      <w:r w:rsidR="00326FC6">
        <w:rPr>
          <w:rFonts w:cstheme="minorHAnsi"/>
          <w:sz w:val="24"/>
          <w:szCs w:val="24"/>
          <w:lang w:val="en-GB"/>
        </w:rPr>
        <w:t>jandra</w:t>
      </w:r>
      <w:r w:rsidRPr="000C6CDE">
        <w:rPr>
          <w:rFonts w:cstheme="minorHAnsi"/>
          <w:sz w:val="24"/>
          <w:szCs w:val="24"/>
          <w:lang w:val="en-GB"/>
        </w:rPr>
        <w:t xml:space="preserve"> </w:t>
      </w:r>
      <w:proofErr w:type="spellStart"/>
      <w:r w:rsidRPr="000C6CDE">
        <w:rPr>
          <w:rFonts w:cstheme="minorHAnsi"/>
          <w:sz w:val="24"/>
          <w:szCs w:val="24"/>
          <w:lang w:val="en-GB"/>
        </w:rPr>
        <w:t>Gardiol</w:t>
      </w:r>
      <w:proofErr w:type="spellEnd"/>
      <w:r w:rsidR="00E4063B">
        <w:rPr>
          <w:rFonts w:cstheme="minorHAnsi"/>
          <w:sz w:val="24"/>
          <w:szCs w:val="24"/>
          <w:vertAlign w:val="superscript"/>
          <w:lang w:val="en-ZA"/>
        </w:rPr>
        <w:t>3</w:t>
      </w:r>
      <w:r w:rsidR="00521901">
        <w:rPr>
          <w:rFonts w:cstheme="minorHAnsi"/>
          <w:sz w:val="24"/>
          <w:szCs w:val="24"/>
          <w:vertAlign w:val="superscript"/>
          <w:lang w:val="en-ZA"/>
        </w:rPr>
        <w:t>,9</w:t>
      </w:r>
      <w:r w:rsidRPr="000C6CDE">
        <w:rPr>
          <w:rFonts w:cstheme="minorHAnsi"/>
          <w:sz w:val="24"/>
          <w:szCs w:val="24"/>
          <w:lang w:val="en-GB"/>
        </w:rPr>
        <w:t xml:space="preserve">, Marina </w:t>
      </w:r>
      <w:proofErr w:type="spellStart"/>
      <w:r w:rsidRPr="000C6CDE">
        <w:rPr>
          <w:rFonts w:cstheme="minorHAnsi"/>
          <w:sz w:val="24"/>
          <w:szCs w:val="24"/>
          <w:lang w:val="en-GB"/>
        </w:rPr>
        <w:t>Boccardi</w:t>
      </w:r>
      <w:proofErr w:type="spellEnd"/>
      <w:r w:rsidR="00E4063B">
        <w:rPr>
          <w:rFonts w:cstheme="minorHAnsi"/>
          <w:sz w:val="24"/>
          <w:szCs w:val="24"/>
          <w:lang w:val="en-GB"/>
        </w:rPr>
        <w:t>.</w:t>
      </w:r>
      <w:r w:rsidRPr="000C6CDE">
        <w:rPr>
          <w:rFonts w:cstheme="minorHAnsi"/>
          <w:sz w:val="24"/>
          <w:szCs w:val="24"/>
          <w:vertAlign w:val="superscript"/>
          <w:lang w:val="en-ZA"/>
        </w:rPr>
        <w:t>1,</w:t>
      </w:r>
      <w:r w:rsidR="00E4063B">
        <w:rPr>
          <w:rFonts w:cstheme="minorHAnsi"/>
          <w:sz w:val="24"/>
          <w:szCs w:val="24"/>
          <w:vertAlign w:val="superscript"/>
          <w:lang w:val="en-ZA"/>
        </w:rPr>
        <w:t>8</w:t>
      </w:r>
    </w:p>
    <w:p w14:paraId="047E41D6" w14:textId="77777777" w:rsidR="00A63DB8" w:rsidRPr="000C6CDE" w:rsidRDefault="00A63DB8" w:rsidP="00A63DB8">
      <w:pPr>
        <w:spacing w:after="0" w:line="276" w:lineRule="auto"/>
        <w:jc w:val="both"/>
        <w:rPr>
          <w:rFonts w:cstheme="minorHAnsi"/>
          <w:sz w:val="24"/>
          <w:szCs w:val="24"/>
        </w:rPr>
      </w:pPr>
      <w:r w:rsidRPr="000C6CDE">
        <w:rPr>
          <w:rFonts w:cstheme="minorHAnsi"/>
          <w:sz w:val="24"/>
          <w:szCs w:val="24"/>
          <w:vertAlign w:val="superscript"/>
        </w:rPr>
        <w:t>1</w:t>
      </w:r>
      <w:r w:rsidRPr="000C6CDE">
        <w:rPr>
          <w:rFonts w:cstheme="minorHAnsi"/>
          <w:sz w:val="24"/>
          <w:szCs w:val="24"/>
        </w:rPr>
        <w:t xml:space="preserve"> German Center for Neurodegenerative Diseases (DZNE), Rostock-Greifswald</w:t>
      </w:r>
      <w:r>
        <w:rPr>
          <w:rFonts w:cstheme="minorHAnsi"/>
          <w:sz w:val="24"/>
          <w:szCs w:val="24"/>
        </w:rPr>
        <w:t xml:space="preserve"> site, Rostock</w:t>
      </w:r>
      <w:r w:rsidRPr="000C6CDE">
        <w:rPr>
          <w:rFonts w:cstheme="minorHAnsi"/>
          <w:sz w:val="24"/>
          <w:szCs w:val="24"/>
        </w:rPr>
        <w:t xml:space="preserve">, Germany </w:t>
      </w:r>
    </w:p>
    <w:p w14:paraId="7AB069B5" w14:textId="77777777" w:rsidR="00A63DB8" w:rsidRDefault="00A63DB8" w:rsidP="00A63DB8">
      <w:pPr>
        <w:spacing w:after="0" w:line="276" w:lineRule="auto"/>
        <w:jc w:val="both"/>
        <w:rPr>
          <w:rFonts w:cstheme="minorHAnsi"/>
          <w:sz w:val="24"/>
          <w:szCs w:val="24"/>
        </w:rPr>
      </w:pPr>
      <w:r w:rsidRPr="000C6CDE">
        <w:rPr>
          <w:rFonts w:cstheme="minorHAnsi"/>
          <w:sz w:val="24"/>
          <w:szCs w:val="24"/>
          <w:vertAlign w:val="superscript"/>
          <w:lang w:val="en-ZA"/>
        </w:rPr>
        <w:t>2</w:t>
      </w:r>
      <w:r w:rsidRPr="000C6CDE">
        <w:rPr>
          <w:rFonts w:cstheme="minorHAnsi"/>
          <w:sz w:val="24"/>
          <w:szCs w:val="24"/>
          <w:lang w:val="en-ZA"/>
        </w:rPr>
        <w:t xml:space="preserve"> </w:t>
      </w:r>
      <w:r w:rsidRPr="000C6CDE">
        <w:rPr>
          <w:rFonts w:cstheme="minorHAnsi"/>
          <w:sz w:val="24"/>
          <w:szCs w:val="24"/>
        </w:rPr>
        <w:t>Neuroscience Institute, Department of Psychiatry and Mental Health, University of Cape Town, Cape Town, South Africa</w:t>
      </w:r>
    </w:p>
    <w:p w14:paraId="5836BDCD" w14:textId="619800DB" w:rsidR="00E4063B" w:rsidRPr="00203E1A" w:rsidRDefault="00E4063B" w:rsidP="00A63DB8">
      <w:pPr>
        <w:spacing w:after="0" w:line="276" w:lineRule="auto"/>
        <w:jc w:val="both"/>
        <w:rPr>
          <w:rFonts w:eastAsia="Times New Roman" w:cstheme="minorHAnsi"/>
          <w:sz w:val="24"/>
          <w:szCs w:val="24"/>
          <w:lang w:val="en-GB" w:eastAsia="en-GB"/>
        </w:rPr>
      </w:pPr>
      <w:r w:rsidRPr="000C6CDE">
        <w:rPr>
          <w:rFonts w:cstheme="minorHAnsi"/>
          <w:sz w:val="24"/>
          <w:szCs w:val="24"/>
          <w:vertAlign w:val="superscript"/>
        </w:rPr>
        <w:t>3</w:t>
      </w:r>
      <w:r w:rsidRPr="000C6CDE">
        <w:rPr>
          <w:rFonts w:cstheme="minorHAnsi"/>
          <w:sz w:val="24"/>
          <w:szCs w:val="24"/>
        </w:rPr>
        <w:t xml:space="preserve"> </w:t>
      </w:r>
      <w:r w:rsidRPr="000C6CDE">
        <w:rPr>
          <w:rFonts w:eastAsia="Times New Roman" w:cstheme="minorHAnsi"/>
          <w:sz w:val="24"/>
          <w:szCs w:val="24"/>
          <w:lang w:val="en-GB" w:eastAsia="en-GB"/>
        </w:rPr>
        <w:t>European Infrastructure for Translational Medicine (EATRIS), Amsterdam, The Netherlands</w:t>
      </w:r>
    </w:p>
    <w:p w14:paraId="5CD44315" w14:textId="4F59CA71" w:rsidR="00A63DB8" w:rsidRPr="000C6CDE" w:rsidRDefault="00E4063B" w:rsidP="00A63DB8">
      <w:pPr>
        <w:spacing w:after="0" w:line="276" w:lineRule="auto"/>
        <w:jc w:val="both"/>
        <w:rPr>
          <w:rFonts w:cstheme="minorHAnsi"/>
          <w:sz w:val="24"/>
          <w:szCs w:val="24"/>
        </w:rPr>
      </w:pPr>
      <w:r>
        <w:rPr>
          <w:rFonts w:cstheme="minorHAnsi"/>
          <w:sz w:val="24"/>
          <w:szCs w:val="24"/>
          <w:vertAlign w:val="superscript"/>
        </w:rPr>
        <w:t>4</w:t>
      </w:r>
      <w:r w:rsidR="00A63DB8" w:rsidRPr="000C6CDE">
        <w:rPr>
          <w:rFonts w:cstheme="minorHAnsi"/>
          <w:sz w:val="24"/>
          <w:szCs w:val="24"/>
        </w:rPr>
        <w:t xml:space="preserve"> UCB, Brussels, Belgium</w:t>
      </w:r>
    </w:p>
    <w:p w14:paraId="561E5FE8" w14:textId="42B83B14" w:rsidR="00A63DB8" w:rsidRPr="000C6CDE" w:rsidRDefault="00E4063B" w:rsidP="00A63DB8">
      <w:pPr>
        <w:spacing w:after="0" w:line="276" w:lineRule="auto"/>
        <w:jc w:val="both"/>
        <w:rPr>
          <w:rFonts w:cstheme="minorHAnsi"/>
          <w:sz w:val="24"/>
          <w:szCs w:val="24"/>
        </w:rPr>
      </w:pPr>
      <w:r>
        <w:rPr>
          <w:rFonts w:cstheme="minorHAnsi"/>
          <w:sz w:val="24"/>
          <w:szCs w:val="24"/>
          <w:vertAlign w:val="superscript"/>
          <w:lang w:val="en-ZA"/>
        </w:rPr>
        <w:t>5</w:t>
      </w:r>
      <w:r w:rsidR="00A63DB8" w:rsidRPr="000C6CDE">
        <w:rPr>
          <w:rFonts w:cstheme="minorHAnsi"/>
          <w:sz w:val="24"/>
          <w:szCs w:val="24"/>
        </w:rPr>
        <w:t xml:space="preserve"> Reference Center for Biological Markers of Dementia (BIODEM), Department of Biomedical Sciences, University of Antwerp, Antwerp, Belgium</w:t>
      </w:r>
    </w:p>
    <w:p w14:paraId="66523AF8" w14:textId="1608DA4A" w:rsidR="00A63DB8" w:rsidRPr="000C6CDE" w:rsidRDefault="00E4063B" w:rsidP="00A63DB8">
      <w:pPr>
        <w:spacing w:after="0" w:line="276" w:lineRule="auto"/>
        <w:jc w:val="both"/>
        <w:rPr>
          <w:rFonts w:cstheme="minorHAnsi"/>
          <w:sz w:val="24"/>
          <w:szCs w:val="24"/>
        </w:rPr>
      </w:pPr>
      <w:r>
        <w:rPr>
          <w:rFonts w:cstheme="minorHAnsi"/>
          <w:sz w:val="24"/>
          <w:szCs w:val="24"/>
          <w:vertAlign w:val="superscript"/>
          <w:lang w:val="en-ZA"/>
        </w:rPr>
        <w:t>6</w:t>
      </w:r>
      <w:r w:rsidR="00A63DB8" w:rsidRPr="000C6CDE">
        <w:rPr>
          <w:rFonts w:cstheme="minorHAnsi"/>
          <w:sz w:val="24"/>
          <w:szCs w:val="24"/>
        </w:rPr>
        <w:t xml:space="preserve"> </w:t>
      </w:r>
      <w:proofErr w:type="spellStart"/>
      <w:r>
        <w:rPr>
          <w:rFonts w:ascii="Segoe UI" w:hAnsi="Segoe UI" w:cs="Segoe UI"/>
          <w:color w:val="212121"/>
          <w:sz w:val="23"/>
          <w:szCs w:val="23"/>
          <w:shd w:val="clear" w:color="auto" w:fill="FFFFFF"/>
        </w:rPr>
        <w:t>AriLex</w:t>
      </w:r>
      <w:proofErr w:type="spellEnd"/>
      <w:r>
        <w:rPr>
          <w:rFonts w:ascii="Segoe UI" w:hAnsi="Segoe UI" w:cs="Segoe UI"/>
          <w:color w:val="212121"/>
          <w:sz w:val="23"/>
          <w:szCs w:val="23"/>
          <w:shd w:val="clear" w:color="auto" w:fill="FFFFFF"/>
        </w:rPr>
        <w:t xml:space="preserve"> Life Sciences LLC</w:t>
      </w:r>
    </w:p>
    <w:p w14:paraId="7BAD2750" w14:textId="6CAAF4CA" w:rsidR="00A63DB8" w:rsidRPr="000C6CDE" w:rsidRDefault="00E4063B" w:rsidP="00A63DB8">
      <w:pPr>
        <w:spacing w:after="0" w:line="276" w:lineRule="auto"/>
        <w:jc w:val="both"/>
        <w:rPr>
          <w:rFonts w:cstheme="minorHAnsi"/>
          <w:sz w:val="24"/>
          <w:szCs w:val="24"/>
        </w:rPr>
      </w:pPr>
      <w:r>
        <w:rPr>
          <w:rFonts w:cstheme="minorHAnsi"/>
          <w:sz w:val="24"/>
          <w:szCs w:val="24"/>
          <w:vertAlign w:val="superscript"/>
          <w:lang w:val="en-ZA"/>
        </w:rPr>
        <w:t>7</w:t>
      </w:r>
      <w:r w:rsidR="00A63DB8" w:rsidRPr="000C6CDE">
        <w:rPr>
          <w:rFonts w:cstheme="minorHAnsi"/>
          <w:sz w:val="24"/>
          <w:szCs w:val="24"/>
        </w:rPr>
        <w:t xml:space="preserve"> IDEA Pharma, London, United Kingdom </w:t>
      </w:r>
    </w:p>
    <w:p w14:paraId="320D2F29" w14:textId="4CC05A97" w:rsidR="00A63DB8" w:rsidRPr="000C6CDE" w:rsidRDefault="00E4063B" w:rsidP="00A63DB8">
      <w:pPr>
        <w:spacing w:after="0" w:line="276" w:lineRule="auto"/>
        <w:jc w:val="both"/>
        <w:rPr>
          <w:rFonts w:eastAsia="Times New Roman" w:cstheme="minorHAnsi"/>
          <w:sz w:val="24"/>
          <w:szCs w:val="24"/>
          <w:lang w:val="en-GB" w:eastAsia="en-GB"/>
        </w:rPr>
      </w:pPr>
      <w:r>
        <w:rPr>
          <w:rFonts w:eastAsia="Times New Roman" w:cstheme="minorHAnsi"/>
          <w:sz w:val="24"/>
          <w:szCs w:val="24"/>
          <w:vertAlign w:val="superscript"/>
          <w:lang w:eastAsia="en-GB"/>
        </w:rPr>
        <w:t>8</w:t>
      </w:r>
      <w:r w:rsidR="00A63DB8" w:rsidRPr="000C6CDE">
        <w:rPr>
          <w:rFonts w:eastAsia="Times New Roman" w:cstheme="minorHAnsi"/>
          <w:sz w:val="24"/>
          <w:szCs w:val="24"/>
          <w:vertAlign w:val="superscript"/>
          <w:lang w:eastAsia="en-GB"/>
        </w:rPr>
        <w:t xml:space="preserve"> </w:t>
      </w:r>
      <w:r w:rsidR="00A63DB8" w:rsidRPr="000C6CDE">
        <w:rPr>
          <w:rFonts w:cstheme="minorHAnsi"/>
          <w:sz w:val="24"/>
          <w:szCs w:val="24"/>
        </w:rPr>
        <w:t>Department of Psychosomatic Medicine and Psychotherapy, University of Medicine Rostock, Rostock, Germany</w:t>
      </w:r>
    </w:p>
    <w:p w14:paraId="52055A6C" w14:textId="77777777" w:rsidR="00521901" w:rsidRPr="00175AF8" w:rsidRDefault="00521901" w:rsidP="00521901">
      <w:pPr>
        <w:spacing w:line="276" w:lineRule="auto"/>
        <w:jc w:val="both"/>
        <w:rPr>
          <w:rFonts w:cstheme="minorHAnsi"/>
          <w:sz w:val="24"/>
          <w:szCs w:val="24"/>
        </w:rPr>
      </w:pPr>
      <w:r w:rsidRPr="00175AF8">
        <w:rPr>
          <w:rFonts w:eastAsia="Times New Roman" w:cstheme="minorHAnsi"/>
          <w:sz w:val="24"/>
          <w:szCs w:val="24"/>
          <w:vertAlign w:val="superscript"/>
          <w:lang w:eastAsia="en-GB"/>
        </w:rPr>
        <w:t xml:space="preserve">9 </w:t>
      </w:r>
      <w:r w:rsidRPr="00175AF8">
        <w:rPr>
          <w:rFonts w:cstheme="minorHAnsi"/>
          <w:sz w:val="24"/>
          <w:szCs w:val="24"/>
        </w:rPr>
        <w:t>Queen Ma</w:t>
      </w:r>
      <w:r w:rsidRPr="0077202B">
        <w:rPr>
          <w:rFonts w:cstheme="minorHAnsi"/>
          <w:sz w:val="24"/>
          <w:szCs w:val="24"/>
        </w:rPr>
        <w:t>ry University of Lon</w:t>
      </w:r>
      <w:r>
        <w:rPr>
          <w:rFonts w:cstheme="minorHAnsi"/>
          <w:sz w:val="24"/>
          <w:szCs w:val="24"/>
        </w:rPr>
        <w:t>don, London, UK</w:t>
      </w:r>
    </w:p>
    <w:p w14:paraId="6832F207" w14:textId="77777777" w:rsidR="009D7D16" w:rsidRPr="00521901" w:rsidRDefault="009D7D16" w:rsidP="003312E3">
      <w:pPr>
        <w:spacing w:line="276" w:lineRule="auto"/>
        <w:jc w:val="both"/>
        <w:rPr>
          <w:b/>
        </w:rPr>
      </w:pPr>
    </w:p>
    <w:p w14:paraId="12E1526A" w14:textId="77777777" w:rsidR="00A63DB8" w:rsidRPr="00725D4C" w:rsidRDefault="00A63DB8" w:rsidP="00A63DB8">
      <w:pPr>
        <w:spacing w:line="276" w:lineRule="auto"/>
        <w:jc w:val="both"/>
        <w:rPr>
          <w:rFonts w:cstheme="minorHAnsi"/>
          <w:sz w:val="24"/>
          <w:szCs w:val="24"/>
        </w:rPr>
      </w:pPr>
      <w:r w:rsidRPr="00725D4C">
        <w:rPr>
          <w:rFonts w:cstheme="minorHAnsi"/>
          <w:b/>
          <w:bCs/>
          <w:sz w:val="24"/>
          <w:szCs w:val="24"/>
        </w:rPr>
        <w:t>Corresponding author</w:t>
      </w:r>
      <w:r w:rsidRPr="00725D4C">
        <w:rPr>
          <w:rFonts w:cstheme="minorHAnsi"/>
          <w:sz w:val="24"/>
          <w:szCs w:val="24"/>
        </w:rPr>
        <w:t xml:space="preserve">: Marina </w:t>
      </w:r>
      <w:proofErr w:type="spellStart"/>
      <w:r w:rsidRPr="00725D4C">
        <w:rPr>
          <w:rFonts w:cstheme="minorHAnsi"/>
          <w:sz w:val="24"/>
          <w:szCs w:val="24"/>
        </w:rPr>
        <w:t>Boccardi</w:t>
      </w:r>
      <w:proofErr w:type="spellEnd"/>
      <w:r w:rsidRPr="00725D4C">
        <w:rPr>
          <w:rFonts w:cstheme="minorHAnsi"/>
          <w:sz w:val="24"/>
          <w:szCs w:val="24"/>
        </w:rPr>
        <w:t xml:space="preserve"> (</w:t>
      </w:r>
      <w:hyperlink r:id="rId8" w:history="1"/>
      <w:hyperlink r:id="rId9" w:history="1">
        <w:r w:rsidRPr="00725D4C">
          <w:rPr>
            <w:rStyle w:val="Hyperlink"/>
            <w:rFonts w:cstheme="minorHAnsi"/>
            <w:sz w:val="24"/>
            <w:szCs w:val="24"/>
          </w:rPr>
          <w:t>marina.boccardi@dzne.de</w:t>
        </w:r>
      </w:hyperlink>
      <w:r w:rsidRPr="00725D4C">
        <w:rPr>
          <w:rFonts w:cstheme="minorHAnsi"/>
          <w:sz w:val="24"/>
          <w:szCs w:val="24"/>
        </w:rPr>
        <w:t>)</w:t>
      </w:r>
    </w:p>
    <w:p w14:paraId="69235A5D" w14:textId="77777777" w:rsidR="00A63DB8" w:rsidRPr="00725D4C" w:rsidRDefault="00A63DB8" w:rsidP="00A63DB8">
      <w:pPr>
        <w:jc w:val="both"/>
        <w:rPr>
          <w:rFonts w:cstheme="minorHAnsi"/>
          <w:sz w:val="24"/>
          <w:szCs w:val="24"/>
        </w:rPr>
      </w:pPr>
      <w:r w:rsidRPr="00725D4C">
        <w:rPr>
          <w:rFonts w:cstheme="minorHAnsi"/>
          <w:sz w:val="24"/>
          <w:szCs w:val="24"/>
        </w:rPr>
        <w:t>DZNE Rostock-Greifswald,</w:t>
      </w:r>
    </w:p>
    <w:p w14:paraId="0C4E81EC" w14:textId="77777777" w:rsidR="00A63DB8" w:rsidRPr="00725D4C" w:rsidRDefault="00A63DB8" w:rsidP="00A63DB8">
      <w:pPr>
        <w:jc w:val="both"/>
        <w:rPr>
          <w:rFonts w:cstheme="minorHAnsi"/>
          <w:sz w:val="24"/>
          <w:szCs w:val="24"/>
        </w:rPr>
      </w:pPr>
      <w:proofErr w:type="spellStart"/>
      <w:r w:rsidRPr="00725D4C">
        <w:rPr>
          <w:rFonts w:cstheme="minorHAnsi"/>
          <w:sz w:val="24"/>
          <w:szCs w:val="24"/>
        </w:rPr>
        <w:t>Gehlsheimer</w:t>
      </w:r>
      <w:proofErr w:type="spellEnd"/>
      <w:r w:rsidRPr="00725D4C">
        <w:rPr>
          <w:rFonts w:cstheme="minorHAnsi"/>
          <w:sz w:val="24"/>
          <w:szCs w:val="24"/>
        </w:rPr>
        <w:t xml:space="preserve"> Str. 20, 18147, Rostock,</w:t>
      </w:r>
    </w:p>
    <w:p w14:paraId="3ADAEFEF" w14:textId="77777777" w:rsidR="00A63DB8" w:rsidRPr="000C6CDE" w:rsidRDefault="00A63DB8" w:rsidP="00A63DB8">
      <w:pPr>
        <w:jc w:val="both"/>
        <w:rPr>
          <w:rFonts w:cstheme="minorHAnsi"/>
          <w:sz w:val="24"/>
          <w:szCs w:val="24"/>
        </w:rPr>
      </w:pPr>
      <w:r>
        <w:rPr>
          <w:rFonts w:cstheme="minorHAnsi"/>
          <w:sz w:val="24"/>
          <w:szCs w:val="24"/>
        </w:rPr>
        <w:t>Germany</w:t>
      </w:r>
    </w:p>
    <w:p w14:paraId="5CE35CE2" w14:textId="77777777" w:rsidR="00814226" w:rsidRDefault="00814226" w:rsidP="003312E3">
      <w:pPr>
        <w:spacing w:line="276" w:lineRule="auto"/>
        <w:jc w:val="both"/>
        <w:rPr>
          <w:b/>
        </w:rPr>
      </w:pPr>
    </w:p>
    <w:p w14:paraId="1CD242E0" w14:textId="77777777" w:rsidR="00A63DB8" w:rsidRDefault="00A63DB8" w:rsidP="003312E3">
      <w:pPr>
        <w:spacing w:line="276" w:lineRule="auto"/>
        <w:jc w:val="both"/>
        <w:rPr>
          <w:b/>
        </w:rPr>
        <w:sectPr w:rsidR="00A63DB8" w:rsidSect="00E15C53">
          <w:footerReference w:type="default" r:id="rId10"/>
          <w:pgSz w:w="11906" w:h="16838"/>
          <w:pgMar w:top="1440" w:right="1440" w:bottom="1440" w:left="1440" w:header="708" w:footer="708" w:gutter="0"/>
          <w:cols w:space="708"/>
          <w:docGrid w:linePitch="360"/>
        </w:sectPr>
      </w:pPr>
    </w:p>
    <w:p w14:paraId="4DF50D6F" w14:textId="77777777" w:rsidR="00B65E01" w:rsidRDefault="00814226" w:rsidP="003312E3">
      <w:pPr>
        <w:spacing w:line="276" w:lineRule="auto"/>
        <w:jc w:val="both"/>
        <w:rPr>
          <w:bCs/>
        </w:rPr>
      </w:pPr>
      <w:r w:rsidRPr="00725D4C">
        <w:rPr>
          <w:b/>
        </w:rPr>
        <w:lastRenderedPageBreak/>
        <w:t>Table S1: Example of a TPP for a drug</w:t>
      </w:r>
      <w:r w:rsidRPr="00BF0F28">
        <w:rPr>
          <w:b/>
        </w:rPr>
        <w:t>.</w:t>
      </w:r>
      <w:r>
        <w:rPr>
          <w:b/>
        </w:rPr>
        <w:t xml:space="preserve"> </w:t>
      </w:r>
      <w:r w:rsidRPr="00814226">
        <w:rPr>
          <w:bCs/>
        </w:rPr>
        <w:t>Modified</w:t>
      </w:r>
      <w:r w:rsidR="008F24D3">
        <w:rPr>
          <w:bCs/>
        </w:rPr>
        <w:t xml:space="preserve"> </w:t>
      </w:r>
      <w:r w:rsidR="00C47233">
        <w:rPr>
          <w:bCs/>
        </w:rPr>
        <w:t xml:space="preserve">to mask the product (XXX) </w:t>
      </w:r>
      <w:r w:rsidR="008F24D3">
        <w:rPr>
          <w:bCs/>
        </w:rPr>
        <w:t>and included</w:t>
      </w:r>
      <w:r w:rsidRPr="00814226">
        <w:rPr>
          <w:bCs/>
        </w:rPr>
        <w:t xml:space="preserve"> with permission</w:t>
      </w:r>
      <w:r w:rsidR="008F24D3">
        <w:rPr>
          <w:bCs/>
        </w:rPr>
        <w:t xml:space="preserve"> of the owning company</w:t>
      </w:r>
      <w:r w:rsidRPr="00814226">
        <w:rPr>
          <w:bCs/>
        </w:rPr>
        <w:t>.</w:t>
      </w:r>
      <w:r w:rsidR="00525A64">
        <w:rPr>
          <w:bCs/>
        </w:rPr>
        <w:t xml:space="preserve"> Examples of TPPs for diagnostics are easily available online (see, for example: </w:t>
      </w:r>
      <w:hyperlink r:id="rId11" w:history="1">
        <w:r w:rsidR="00525A64" w:rsidRPr="006E1EE1">
          <w:rPr>
            <w:rStyle w:val="Hyperlink"/>
            <w:bCs/>
          </w:rPr>
          <w:t>https://cdn.who.int/media/docs/default-source/in-vitro-diagnostics/calls/tpp-rdt-readers---public-consultation-draft.pdf?sfvrsn=1f78566f_1</w:t>
        </w:r>
      </w:hyperlink>
      <w:r w:rsidR="00525A64">
        <w:rPr>
          <w:bCs/>
        </w:rPr>
        <w:t xml:space="preserve">, </w:t>
      </w:r>
      <w:hyperlink r:id="rId12" w:history="1">
        <w:r w:rsidR="00525A64" w:rsidRPr="006E1EE1">
          <w:rPr>
            <w:rStyle w:val="Hyperlink"/>
            <w:bCs/>
          </w:rPr>
          <w:t>https://www.who.int/docs/default-source/documents/health-topics/meningitis/in-vitro-diagnostics-test-multi-pathogen-meningitis-tpp.pdf?sfvrsn=dfa859cc_2</w:t>
        </w:r>
      </w:hyperlink>
      <w:r w:rsidR="008F24D3">
        <w:rPr>
          <w:bCs/>
        </w:rPr>
        <w:t>).</w:t>
      </w:r>
      <w:r w:rsidR="00B50469">
        <w:rPr>
          <w:bCs/>
        </w:rPr>
        <w:t xml:space="preserve"> For every aspect addressed by the TPP (“Attribute”, first column), TPPs list a variable number of levels of </w:t>
      </w:r>
      <w:r w:rsidR="000178C0">
        <w:rPr>
          <w:bCs/>
        </w:rPr>
        <w:t>performance</w:t>
      </w:r>
      <w:r w:rsidR="00B50469">
        <w:rPr>
          <w:bCs/>
        </w:rPr>
        <w:t xml:space="preserve"> expected for the planned product</w:t>
      </w:r>
      <w:r w:rsidR="000178C0">
        <w:rPr>
          <w:bCs/>
        </w:rPr>
        <w:t xml:space="preserve"> (columns 2-4)</w:t>
      </w:r>
      <w:r w:rsidR="00B50469">
        <w:rPr>
          <w:bCs/>
        </w:rPr>
        <w:t xml:space="preserve">. This example reports three </w:t>
      </w:r>
      <w:r w:rsidR="000178C0">
        <w:rPr>
          <w:bCs/>
        </w:rPr>
        <w:t xml:space="preserve">possible </w:t>
      </w:r>
      <w:r w:rsidR="00B50469">
        <w:rPr>
          <w:bCs/>
        </w:rPr>
        <w:t>level</w:t>
      </w:r>
      <w:r w:rsidR="000178C0">
        <w:rPr>
          <w:bCs/>
        </w:rPr>
        <w:t>s</w:t>
      </w:r>
      <w:r w:rsidR="00B50469">
        <w:rPr>
          <w:bCs/>
        </w:rPr>
        <w:t xml:space="preserve"> of </w:t>
      </w:r>
      <w:r w:rsidR="000178C0">
        <w:rPr>
          <w:bCs/>
        </w:rPr>
        <w:t>performance</w:t>
      </w:r>
      <w:r w:rsidR="00B50469">
        <w:rPr>
          <w:bCs/>
        </w:rPr>
        <w:t xml:space="preserve">. </w:t>
      </w:r>
      <w:r w:rsidR="000178C0">
        <w:rPr>
          <w:bCs/>
        </w:rPr>
        <w:t>If the product performs at the</w:t>
      </w:r>
      <w:r w:rsidR="00B50469">
        <w:rPr>
          <w:bCs/>
        </w:rPr>
        <w:t xml:space="preserve"> lowest level (“</w:t>
      </w:r>
      <w:r w:rsidR="0075575E">
        <w:rPr>
          <w:bCs/>
        </w:rPr>
        <w:t>Current practice</w:t>
      </w:r>
      <w:r w:rsidR="00B50469">
        <w:rPr>
          <w:bCs/>
        </w:rPr>
        <w:t>”)</w:t>
      </w:r>
      <w:r w:rsidR="000178C0">
        <w:rPr>
          <w:bCs/>
        </w:rPr>
        <w:t>, it</w:t>
      </w:r>
      <w:r w:rsidR="00B50469">
        <w:rPr>
          <w:bCs/>
        </w:rPr>
        <w:t xml:space="preserve"> </w:t>
      </w:r>
      <w:r w:rsidR="00574261">
        <w:rPr>
          <w:bCs/>
        </w:rPr>
        <w:t>has no or limited</w:t>
      </w:r>
      <w:r w:rsidR="00B50469">
        <w:rPr>
          <w:bCs/>
        </w:rPr>
        <w:t xml:space="preserve"> little advantage compared to products already available on the market</w:t>
      </w:r>
      <w:r w:rsidR="000178C0">
        <w:rPr>
          <w:bCs/>
        </w:rPr>
        <w:t>.</w:t>
      </w:r>
      <w:r w:rsidR="00B50469">
        <w:rPr>
          <w:bCs/>
        </w:rPr>
        <w:t xml:space="preserve"> </w:t>
      </w:r>
      <w:r w:rsidR="000178C0">
        <w:rPr>
          <w:bCs/>
        </w:rPr>
        <w:t>T</w:t>
      </w:r>
      <w:r w:rsidR="00B50469">
        <w:rPr>
          <w:bCs/>
        </w:rPr>
        <w:t>he highest level corresponds</w:t>
      </w:r>
      <w:r w:rsidR="000178C0">
        <w:rPr>
          <w:bCs/>
        </w:rPr>
        <w:t xml:space="preserve"> </w:t>
      </w:r>
      <w:r w:rsidR="00B50469">
        <w:rPr>
          <w:bCs/>
        </w:rPr>
        <w:t xml:space="preserve">to </w:t>
      </w:r>
      <w:r w:rsidR="00574261">
        <w:rPr>
          <w:bCs/>
        </w:rPr>
        <w:t>yet</w:t>
      </w:r>
      <w:r w:rsidR="00B50469">
        <w:rPr>
          <w:bCs/>
        </w:rPr>
        <w:t xml:space="preserve"> </w:t>
      </w:r>
      <w:r w:rsidR="00465A78">
        <w:rPr>
          <w:bCs/>
        </w:rPr>
        <w:t xml:space="preserve">not </w:t>
      </w:r>
      <w:r w:rsidR="00574261">
        <w:rPr>
          <w:bCs/>
        </w:rPr>
        <w:t>available</w:t>
      </w:r>
      <w:r w:rsidR="00465A78" w:rsidRPr="00465A78">
        <w:rPr>
          <w:bCs/>
        </w:rPr>
        <w:t xml:space="preserve"> </w:t>
      </w:r>
      <w:r w:rsidR="00465A78">
        <w:rPr>
          <w:bCs/>
        </w:rPr>
        <w:t>features: the product would in this case lead the market</w:t>
      </w:r>
      <w:r w:rsidR="00B50469">
        <w:rPr>
          <w:bCs/>
        </w:rPr>
        <w:t>.</w:t>
      </w:r>
      <w:r w:rsidR="000178C0">
        <w:rPr>
          <w:bCs/>
        </w:rPr>
        <w:t xml:space="preserve"> Higher performance levels may include the achievement of lower levels</w:t>
      </w:r>
      <w:r w:rsidR="00574261">
        <w:rPr>
          <w:bCs/>
        </w:rPr>
        <w:t>, and provide additional desirable features. Therefore,</w:t>
      </w:r>
      <w:r w:rsidR="000178C0">
        <w:rPr>
          <w:bCs/>
        </w:rPr>
        <w:t xml:space="preserve"> minimal or basic </w:t>
      </w:r>
      <w:r w:rsidR="00945ED4">
        <w:rPr>
          <w:bCs/>
        </w:rPr>
        <w:t xml:space="preserve">desirable </w:t>
      </w:r>
      <w:r w:rsidR="000178C0">
        <w:rPr>
          <w:bCs/>
        </w:rPr>
        <w:t xml:space="preserve">features </w:t>
      </w:r>
      <w:r w:rsidR="00945ED4">
        <w:rPr>
          <w:bCs/>
        </w:rPr>
        <w:t>may be</w:t>
      </w:r>
    </w:p>
    <w:p w14:paraId="5B01101E" w14:textId="274CF238" w:rsidR="00814226" w:rsidRPr="008F24D3" w:rsidRDefault="000178C0" w:rsidP="003312E3">
      <w:pPr>
        <w:spacing w:line="276" w:lineRule="auto"/>
        <w:jc w:val="both"/>
        <w:rPr>
          <w:bCs/>
        </w:rPr>
      </w:pPr>
      <w:r>
        <w:rPr>
          <w:bCs/>
        </w:rPr>
        <w:t xml:space="preserve"> replicated in the cells corresponding to higher performance for the same dimension.</w:t>
      </w:r>
    </w:p>
    <w:tbl>
      <w:tblPr>
        <w:tblW w:w="1502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6"/>
        <w:gridCol w:w="4431"/>
        <w:gridCol w:w="4431"/>
        <w:gridCol w:w="4432"/>
      </w:tblGrid>
      <w:tr w:rsidR="00814226" w14:paraId="5B763575" w14:textId="77777777" w:rsidTr="00CE4DC4">
        <w:trPr>
          <w:trHeight w:val="280"/>
        </w:trPr>
        <w:tc>
          <w:tcPr>
            <w:tcW w:w="1726" w:type="dxa"/>
            <w:shd w:val="solid" w:color="999999" w:fill="808080"/>
          </w:tcPr>
          <w:p w14:paraId="21B371BA" w14:textId="77777777" w:rsidR="00814226" w:rsidRDefault="00814226" w:rsidP="00CE4DC4">
            <w:pPr>
              <w:autoSpaceDE w:val="0"/>
              <w:autoSpaceDN w:val="0"/>
              <w:adjustRightInd w:val="0"/>
              <w:jc w:val="center"/>
              <w:rPr>
                <w:rFonts w:ascii="Arial" w:hAnsi="Arial" w:cs="Arial"/>
                <w:color w:val="333333"/>
                <w:sz w:val="20"/>
                <w:szCs w:val="20"/>
                <w:lang w:val="en-GB"/>
              </w:rPr>
            </w:pPr>
            <w:r>
              <w:rPr>
                <w:rFonts w:ascii="Arial" w:hAnsi="Arial" w:cs="Arial"/>
                <w:color w:val="333333"/>
                <w:sz w:val="20"/>
                <w:szCs w:val="20"/>
                <w:lang w:val="en-GB"/>
              </w:rPr>
              <w:t>Attribute</w:t>
            </w:r>
          </w:p>
        </w:tc>
        <w:tc>
          <w:tcPr>
            <w:tcW w:w="4431" w:type="dxa"/>
            <w:shd w:val="solid" w:color="999999" w:fill="808080"/>
          </w:tcPr>
          <w:p w14:paraId="7C1EC129" w14:textId="26FB7633" w:rsidR="00814226" w:rsidRDefault="0075575E" w:rsidP="00CE4DC4">
            <w:pPr>
              <w:autoSpaceDE w:val="0"/>
              <w:autoSpaceDN w:val="0"/>
              <w:adjustRightInd w:val="0"/>
              <w:jc w:val="center"/>
              <w:rPr>
                <w:rFonts w:ascii="Arial" w:hAnsi="Arial" w:cs="Arial"/>
                <w:color w:val="333333"/>
                <w:sz w:val="20"/>
                <w:szCs w:val="20"/>
                <w:lang w:val="en-GB"/>
              </w:rPr>
            </w:pPr>
            <w:r>
              <w:rPr>
                <w:rFonts w:ascii="Arial" w:hAnsi="Arial" w:cs="Arial"/>
                <w:color w:val="333333"/>
                <w:sz w:val="20"/>
                <w:szCs w:val="20"/>
                <w:lang w:val="en-GB"/>
              </w:rPr>
              <w:t>Current practice</w:t>
            </w:r>
          </w:p>
        </w:tc>
        <w:tc>
          <w:tcPr>
            <w:tcW w:w="4431" w:type="dxa"/>
            <w:shd w:val="solid" w:color="999999" w:fill="808080"/>
          </w:tcPr>
          <w:p w14:paraId="42E544DF" w14:textId="17F24B23" w:rsidR="00814226" w:rsidRDefault="0075575E" w:rsidP="00CE4DC4">
            <w:pPr>
              <w:autoSpaceDE w:val="0"/>
              <w:autoSpaceDN w:val="0"/>
              <w:adjustRightInd w:val="0"/>
              <w:jc w:val="center"/>
              <w:rPr>
                <w:rFonts w:ascii="Arial" w:hAnsi="Arial" w:cs="Arial"/>
                <w:color w:val="333333"/>
                <w:sz w:val="20"/>
                <w:szCs w:val="20"/>
                <w:lang w:val="en-GB"/>
              </w:rPr>
            </w:pPr>
            <w:r>
              <w:rPr>
                <w:rFonts w:ascii="Arial" w:hAnsi="Arial" w:cs="Arial"/>
                <w:color w:val="333333"/>
                <w:sz w:val="20"/>
                <w:szCs w:val="20"/>
                <w:lang w:val="en-GB"/>
              </w:rPr>
              <w:t>Minimally acceptable</w:t>
            </w:r>
          </w:p>
        </w:tc>
        <w:tc>
          <w:tcPr>
            <w:tcW w:w="4432" w:type="dxa"/>
            <w:shd w:val="solid" w:color="999999" w:fill="808080"/>
          </w:tcPr>
          <w:p w14:paraId="708FE5F7" w14:textId="45393191" w:rsidR="00814226" w:rsidRDefault="0075575E" w:rsidP="00CE4DC4">
            <w:pPr>
              <w:autoSpaceDE w:val="0"/>
              <w:autoSpaceDN w:val="0"/>
              <w:adjustRightInd w:val="0"/>
              <w:jc w:val="center"/>
              <w:rPr>
                <w:rFonts w:ascii="Arial" w:hAnsi="Arial" w:cs="Arial"/>
                <w:color w:val="333333"/>
                <w:sz w:val="20"/>
                <w:szCs w:val="20"/>
                <w:lang w:val="en-GB"/>
              </w:rPr>
            </w:pPr>
            <w:r>
              <w:rPr>
                <w:rFonts w:ascii="Arial" w:hAnsi="Arial" w:cs="Arial"/>
                <w:color w:val="333333"/>
                <w:sz w:val="20"/>
                <w:szCs w:val="20"/>
                <w:lang w:val="en-GB"/>
              </w:rPr>
              <w:t>Ideal</w:t>
            </w:r>
            <w:r w:rsidR="00B50469">
              <w:rPr>
                <w:rFonts w:ascii="Arial" w:hAnsi="Arial" w:cs="Arial"/>
                <w:color w:val="333333"/>
                <w:sz w:val="20"/>
                <w:szCs w:val="20"/>
                <w:lang w:val="en-GB"/>
              </w:rPr>
              <w:t xml:space="preserve"> </w:t>
            </w:r>
          </w:p>
        </w:tc>
      </w:tr>
      <w:tr w:rsidR="00814226" w14:paraId="7CE84E9C" w14:textId="77777777" w:rsidTr="00CE4DC4">
        <w:trPr>
          <w:trHeight w:val="1681"/>
        </w:trPr>
        <w:tc>
          <w:tcPr>
            <w:tcW w:w="1726" w:type="dxa"/>
          </w:tcPr>
          <w:p w14:paraId="60EDA597" w14:textId="72EB3934"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t>Indication and Usage</w:t>
            </w:r>
          </w:p>
        </w:tc>
        <w:tc>
          <w:tcPr>
            <w:tcW w:w="4431" w:type="dxa"/>
          </w:tcPr>
          <w:p w14:paraId="17F674C3" w14:textId="77777777" w:rsidR="00814226" w:rsidRDefault="00814226" w:rsidP="00CE4DC4">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XXX is indicated for the adjunctive treatment of mild to moderate dementia of the Alzheimer’s type who do not carry the APOE e4 allele. An active comparator trial is required.</w:t>
            </w:r>
          </w:p>
        </w:tc>
        <w:tc>
          <w:tcPr>
            <w:tcW w:w="4431" w:type="dxa"/>
          </w:tcPr>
          <w:p w14:paraId="64EA2DAF" w14:textId="77777777"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t>XXX is indicated for the adjunctive treatment of mild to moderate dementia of the Alzheimer’s type in patients who do not carry the APOE ε4 allele. APOE testing required and provided by sponsor in accordance with local regulations.</w:t>
            </w:r>
          </w:p>
        </w:tc>
        <w:tc>
          <w:tcPr>
            <w:tcW w:w="4432" w:type="dxa"/>
          </w:tcPr>
          <w:p w14:paraId="06E79268" w14:textId="77777777" w:rsidR="00814226" w:rsidRDefault="00814226" w:rsidP="00CE4DC4">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XXX is indicated for the adjunctive treatment of mild to moderate dementia of the Alzheimer’s type</w:t>
            </w:r>
          </w:p>
        </w:tc>
      </w:tr>
      <w:tr w:rsidR="00814226" w14:paraId="5BF3B6CC" w14:textId="77777777" w:rsidTr="00CE4DC4">
        <w:trPr>
          <w:trHeight w:val="1990"/>
        </w:trPr>
        <w:tc>
          <w:tcPr>
            <w:tcW w:w="1726" w:type="dxa"/>
          </w:tcPr>
          <w:p w14:paraId="771CA4AA" w14:textId="77777777"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t>Clinical Studies</w:t>
            </w:r>
          </w:p>
        </w:tc>
        <w:tc>
          <w:tcPr>
            <w:tcW w:w="4431" w:type="dxa"/>
          </w:tcPr>
          <w:p w14:paraId="20E6007A" w14:textId="66EB8FA6"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t xml:space="preserve">Treatment with XXX resulted in clinically and statistically significant benefits in cognition and functional capacity compared to placebo when used adjunctively. Treatment with XXX was equally effective in mildly and moderately demented patients. </w:t>
            </w:r>
            <w:r w:rsidR="003A1E2B">
              <w:rPr>
                <w:rFonts w:ascii="Calibri" w:hAnsi="Calibri" w:cs="Calibri"/>
                <w:color w:val="000000"/>
                <w:lang w:val="en-GB"/>
              </w:rPr>
              <w:t>The observed responder rates were comparable to that of previously approved symptomatic medications for AD</w:t>
            </w:r>
          </w:p>
        </w:tc>
        <w:tc>
          <w:tcPr>
            <w:tcW w:w="4431" w:type="dxa"/>
          </w:tcPr>
          <w:p w14:paraId="32ACFF65" w14:textId="1F875FC8"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t xml:space="preserve">Treatment with XXX resulted in clinically and statistically significant benefits in cognition and functional capacity compared to placebo when used adjunctively. Treatment with XXX resulted in reduced caregiver stress. Treatment with XXX was </w:t>
            </w:r>
            <w:r w:rsidR="003A1E2B">
              <w:rPr>
                <w:rFonts w:ascii="Calibri" w:hAnsi="Calibri" w:cs="Calibri"/>
                <w:color w:val="000000"/>
                <w:lang w:val="en-GB"/>
              </w:rPr>
              <w:t xml:space="preserve">equally </w:t>
            </w:r>
            <w:r>
              <w:rPr>
                <w:rFonts w:ascii="Calibri" w:hAnsi="Calibri" w:cs="Calibri"/>
                <w:color w:val="000000"/>
                <w:lang w:val="en-GB"/>
              </w:rPr>
              <w:t xml:space="preserve">effective in mildly and moderately demented patients. </w:t>
            </w:r>
            <w:r w:rsidR="003A1E2B">
              <w:rPr>
                <w:rFonts w:ascii="Calibri" w:hAnsi="Calibri" w:cs="Calibri"/>
                <w:color w:val="000000"/>
                <w:lang w:val="en-GB"/>
              </w:rPr>
              <w:t>Responder rates were nominally higher than those of previously approved medications</w:t>
            </w:r>
          </w:p>
        </w:tc>
        <w:tc>
          <w:tcPr>
            <w:tcW w:w="4432" w:type="dxa"/>
          </w:tcPr>
          <w:p w14:paraId="31CE8C93" w14:textId="48838896" w:rsidR="00814226" w:rsidRDefault="00814226" w:rsidP="00CE4DC4">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 xml:space="preserve">Treatment with XXX resulted in clinically and statistically significant benefits in cognition and functional capacity compared to placebo when used adjunctively. Treatment with XXX resulted in reduced caregiver stress and reduced resource utilization for patients and caregivers.  Treatment with XXX was equally effective in mildly and moderately demented patients. </w:t>
            </w:r>
            <w:r w:rsidR="003A1E2B">
              <w:rPr>
                <w:rFonts w:ascii="Arial" w:hAnsi="Arial" w:cs="Arial"/>
                <w:color w:val="000000"/>
                <w:sz w:val="20"/>
                <w:szCs w:val="20"/>
                <w:lang w:val="en-GB"/>
              </w:rPr>
              <w:t>Responder rates were nominally higher and of longer duration than those of previously approved medications.</w:t>
            </w:r>
          </w:p>
        </w:tc>
      </w:tr>
      <w:tr w:rsidR="00814226" w14:paraId="08C53574" w14:textId="77777777" w:rsidTr="00CE4DC4">
        <w:trPr>
          <w:trHeight w:val="1200"/>
        </w:trPr>
        <w:tc>
          <w:tcPr>
            <w:tcW w:w="1726" w:type="dxa"/>
          </w:tcPr>
          <w:p w14:paraId="2FB89052" w14:textId="77777777"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lastRenderedPageBreak/>
              <w:t>Dosage and Administration</w:t>
            </w:r>
          </w:p>
        </w:tc>
        <w:tc>
          <w:tcPr>
            <w:tcW w:w="4431" w:type="dxa"/>
          </w:tcPr>
          <w:p w14:paraId="568555F5" w14:textId="38FC6ACD"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t xml:space="preserve">Pharmaceutical grade XXX is </w:t>
            </w:r>
            <w:proofErr w:type="spellStart"/>
            <w:r>
              <w:rPr>
                <w:rFonts w:ascii="Calibri" w:hAnsi="Calibri" w:cs="Calibri"/>
                <w:color w:val="000000"/>
                <w:lang w:val="en-GB"/>
              </w:rPr>
              <w:t>is</w:t>
            </w:r>
            <w:proofErr w:type="spellEnd"/>
            <w:r>
              <w:rPr>
                <w:rFonts w:ascii="Calibri" w:hAnsi="Calibri" w:cs="Calibri"/>
                <w:color w:val="000000"/>
                <w:lang w:val="en-GB"/>
              </w:rPr>
              <w:t xml:space="preserve"> intended for oral </w:t>
            </w:r>
            <w:r w:rsidR="00411E75">
              <w:rPr>
                <w:rFonts w:ascii="Calibri" w:hAnsi="Calibri" w:cs="Calibri"/>
                <w:color w:val="000000"/>
                <w:lang w:val="en-GB"/>
              </w:rPr>
              <w:t>administration</w:t>
            </w:r>
            <w:r>
              <w:rPr>
                <w:rFonts w:ascii="Calibri" w:hAnsi="Calibri" w:cs="Calibri"/>
                <w:color w:val="000000"/>
                <w:lang w:val="en-GB"/>
              </w:rPr>
              <w:t xml:space="preserve">. </w:t>
            </w:r>
            <w:r w:rsidR="00411E75">
              <w:rPr>
                <w:rFonts w:ascii="Calibri" w:hAnsi="Calibri" w:cs="Calibri"/>
                <w:color w:val="000000"/>
                <w:lang w:val="en-GB"/>
              </w:rPr>
              <w:t>Dose a</w:t>
            </w:r>
            <w:r>
              <w:rPr>
                <w:rFonts w:ascii="Calibri" w:hAnsi="Calibri" w:cs="Calibri"/>
                <w:color w:val="000000"/>
                <w:lang w:val="en-GB"/>
              </w:rPr>
              <w:t>djustment may be needed due to APOE status and BMI</w:t>
            </w:r>
          </w:p>
        </w:tc>
        <w:tc>
          <w:tcPr>
            <w:tcW w:w="4431" w:type="dxa"/>
          </w:tcPr>
          <w:p w14:paraId="543F6C5F" w14:textId="1E94638D"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t xml:space="preserve">Pharmaceutical grade XXX is intended for oral </w:t>
            </w:r>
            <w:r w:rsidR="00411E75">
              <w:rPr>
                <w:rFonts w:ascii="Calibri" w:hAnsi="Calibri" w:cs="Calibri"/>
                <w:color w:val="000000"/>
                <w:lang w:val="en-GB"/>
              </w:rPr>
              <w:t>administration</w:t>
            </w:r>
            <w:r>
              <w:rPr>
                <w:rFonts w:ascii="Calibri" w:hAnsi="Calibri" w:cs="Calibri"/>
                <w:color w:val="000000"/>
                <w:lang w:val="en-GB"/>
              </w:rPr>
              <w:t>. No adjustment</w:t>
            </w:r>
            <w:r w:rsidR="00411E75">
              <w:rPr>
                <w:rFonts w:ascii="Calibri" w:hAnsi="Calibri" w:cs="Calibri"/>
                <w:color w:val="000000"/>
                <w:lang w:val="en-GB"/>
              </w:rPr>
              <w:t>s</w:t>
            </w:r>
            <w:r>
              <w:rPr>
                <w:rFonts w:ascii="Calibri" w:hAnsi="Calibri" w:cs="Calibri"/>
                <w:color w:val="000000"/>
                <w:lang w:val="en-GB"/>
              </w:rPr>
              <w:t xml:space="preserve"> </w:t>
            </w:r>
            <w:r w:rsidR="00411E75">
              <w:rPr>
                <w:rFonts w:ascii="Calibri" w:hAnsi="Calibri" w:cs="Calibri"/>
                <w:color w:val="000000"/>
                <w:lang w:val="en-GB"/>
              </w:rPr>
              <w:t xml:space="preserve">are </w:t>
            </w:r>
            <w:r>
              <w:rPr>
                <w:rFonts w:ascii="Calibri" w:hAnsi="Calibri" w:cs="Calibri"/>
                <w:color w:val="000000"/>
                <w:lang w:val="en-GB"/>
              </w:rPr>
              <w:t>needed due to gender, BMI, diet or concomitant medications</w:t>
            </w:r>
          </w:p>
        </w:tc>
        <w:tc>
          <w:tcPr>
            <w:tcW w:w="4432" w:type="dxa"/>
          </w:tcPr>
          <w:p w14:paraId="202D6695" w14:textId="683D66CD"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t xml:space="preserve">Pharmaceutical grade XXX is intended for oral </w:t>
            </w:r>
            <w:r w:rsidR="00411E75">
              <w:rPr>
                <w:rFonts w:ascii="Calibri" w:hAnsi="Calibri" w:cs="Calibri"/>
                <w:color w:val="000000"/>
                <w:lang w:val="en-GB"/>
              </w:rPr>
              <w:t>administration</w:t>
            </w:r>
            <w:r>
              <w:rPr>
                <w:rFonts w:ascii="Calibri" w:hAnsi="Calibri" w:cs="Calibri"/>
                <w:color w:val="000000"/>
                <w:lang w:val="en-GB"/>
              </w:rPr>
              <w:t>. No adjustment</w:t>
            </w:r>
            <w:r w:rsidR="00950DB7">
              <w:rPr>
                <w:rFonts w:ascii="Calibri" w:hAnsi="Calibri" w:cs="Calibri"/>
                <w:color w:val="000000"/>
                <w:lang w:val="en-GB"/>
              </w:rPr>
              <w:t>s</w:t>
            </w:r>
            <w:r>
              <w:rPr>
                <w:rFonts w:ascii="Calibri" w:hAnsi="Calibri" w:cs="Calibri"/>
                <w:color w:val="000000"/>
                <w:lang w:val="en-GB"/>
              </w:rPr>
              <w:t xml:space="preserve"> </w:t>
            </w:r>
            <w:r w:rsidR="00950DB7">
              <w:rPr>
                <w:rFonts w:ascii="Calibri" w:hAnsi="Calibri" w:cs="Calibri"/>
                <w:color w:val="000000"/>
                <w:lang w:val="en-GB"/>
              </w:rPr>
              <w:t xml:space="preserve">are </w:t>
            </w:r>
            <w:r>
              <w:rPr>
                <w:rFonts w:ascii="Calibri" w:hAnsi="Calibri" w:cs="Calibri"/>
                <w:color w:val="000000"/>
                <w:lang w:val="en-GB"/>
              </w:rPr>
              <w:t>needed due to APOE status, gender, BMI, diet or concomitant medications</w:t>
            </w:r>
          </w:p>
        </w:tc>
      </w:tr>
      <w:tr w:rsidR="00814226" w14:paraId="73D0BC9B" w14:textId="77777777" w:rsidTr="00CE4DC4">
        <w:trPr>
          <w:trHeight w:val="1200"/>
        </w:trPr>
        <w:tc>
          <w:tcPr>
            <w:tcW w:w="1726" w:type="dxa"/>
          </w:tcPr>
          <w:p w14:paraId="10A05605" w14:textId="77777777"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t>Dosage Forms and Strengths</w:t>
            </w:r>
          </w:p>
        </w:tc>
        <w:tc>
          <w:tcPr>
            <w:tcW w:w="4431" w:type="dxa"/>
          </w:tcPr>
          <w:p w14:paraId="7210BE1A" w14:textId="77777777"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t xml:space="preserve">XXX comes in capsules that contain XX gm of XX and XX gm of excipients.  </w:t>
            </w:r>
          </w:p>
        </w:tc>
        <w:tc>
          <w:tcPr>
            <w:tcW w:w="4431" w:type="dxa"/>
          </w:tcPr>
          <w:p w14:paraId="0759E5CF" w14:textId="77777777"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t xml:space="preserve">XXX comes in tablets or capsules that contain XX gm of XX and XX gm of excipients.  </w:t>
            </w:r>
          </w:p>
        </w:tc>
        <w:tc>
          <w:tcPr>
            <w:tcW w:w="4432" w:type="dxa"/>
          </w:tcPr>
          <w:p w14:paraId="1ED1DB24" w14:textId="169DB60B"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t xml:space="preserve">XXX comes in tablets or capsules that contain XX gm of XX and XX gm of excipients.  </w:t>
            </w:r>
            <w:r w:rsidR="00FE07E9">
              <w:rPr>
                <w:rFonts w:ascii="Calibri" w:hAnsi="Calibri" w:cs="Calibri"/>
                <w:color w:val="000000"/>
                <w:lang w:val="en-GB"/>
              </w:rPr>
              <w:t>administration</w:t>
            </w:r>
          </w:p>
        </w:tc>
      </w:tr>
      <w:tr w:rsidR="00814226" w14:paraId="3CA31C74" w14:textId="77777777" w:rsidTr="00CE4DC4">
        <w:trPr>
          <w:trHeight w:val="1975"/>
        </w:trPr>
        <w:tc>
          <w:tcPr>
            <w:tcW w:w="1726" w:type="dxa"/>
          </w:tcPr>
          <w:p w14:paraId="29E07FEB" w14:textId="77777777"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t>Contraindication</w:t>
            </w:r>
          </w:p>
        </w:tc>
        <w:tc>
          <w:tcPr>
            <w:tcW w:w="4431" w:type="dxa"/>
          </w:tcPr>
          <w:p w14:paraId="24982CB8" w14:textId="77777777"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t>XXX is contraindicated in patients with suspected inflammatory bowel disease or malabsorption or short-bowel syndrome. XXX is contraindicated in patients with severe liver disease and in patients who have experienced episodes of “X"</w:t>
            </w:r>
          </w:p>
        </w:tc>
        <w:tc>
          <w:tcPr>
            <w:tcW w:w="4431" w:type="dxa"/>
          </w:tcPr>
          <w:p w14:paraId="7CF85A38" w14:textId="3B5D893B"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t xml:space="preserve">XXX is contraindicated in patients with a diagnosis of inflammatory bowel disease (UC, Crohn's Disease), a history of mal-absorption or short-bowel syndrome. </w:t>
            </w:r>
          </w:p>
        </w:tc>
        <w:tc>
          <w:tcPr>
            <w:tcW w:w="4432" w:type="dxa"/>
          </w:tcPr>
          <w:p w14:paraId="5EAA0C34" w14:textId="0E666FFB"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t xml:space="preserve">XXX is contraindicated in patients with a confirmed </w:t>
            </w:r>
            <w:r w:rsidR="00FE07E9">
              <w:rPr>
                <w:rFonts w:ascii="Calibri" w:hAnsi="Calibri" w:cs="Calibri"/>
                <w:color w:val="000000"/>
                <w:lang w:val="en-GB"/>
              </w:rPr>
              <w:t xml:space="preserve">allergy to XXX. </w:t>
            </w:r>
          </w:p>
        </w:tc>
      </w:tr>
      <w:tr w:rsidR="00814226" w14:paraId="52B3A982" w14:textId="77777777" w:rsidTr="00CE4DC4">
        <w:trPr>
          <w:trHeight w:val="1406"/>
        </w:trPr>
        <w:tc>
          <w:tcPr>
            <w:tcW w:w="1726" w:type="dxa"/>
          </w:tcPr>
          <w:p w14:paraId="588767C1" w14:textId="77777777"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t>Warnings and Precautions</w:t>
            </w:r>
          </w:p>
        </w:tc>
        <w:tc>
          <w:tcPr>
            <w:tcW w:w="4431" w:type="dxa"/>
          </w:tcPr>
          <w:p w14:paraId="5DA43A3E" w14:textId="77777777"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t>No evidence of clinically relevant changes was obtained with regards to physical examinations, ECGs. Serum XXX needs to be monitored periodically during the initiation of therapy</w:t>
            </w:r>
          </w:p>
        </w:tc>
        <w:tc>
          <w:tcPr>
            <w:tcW w:w="4431" w:type="dxa"/>
          </w:tcPr>
          <w:p w14:paraId="005B4248" w14:textId="77777777"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t>No evidence of clinically relevant changes was obtained with regards to physical examinations, laboratory values or ECGs.</w:t>
            </w:r>
          </w:p>
        </w:tc>
        <w:tc>
          <w:tcPr>
            <w:tcW w:w="4432" w:type="dxa"/>
          </w:tcPr>
          <w:p w14:paraId="480A6AE5" w14:textId="77777777"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t>No evidence of clinically relevant changes was obtained with regards to physical examinations, laboratory values or ECGs.</w:t>
            </w:r>
          </w:p>
        </w:tc>
      </w:tr>
      <w:tr w:rsidR="00814226" w14:paraId="32132387" w14:textId="77777777" w:rsidTr="00CE4DC4">
        <w:trPr>
          <w:trHeight w:val="2439"/>
        </w:trPr>
        <w:tc>
          <w:tcPr>
            <w:tcW w:w="1726" w:type="dxa"/>
          </w:tcPr>
          <w:p w14:paraId="517AD20B" w14:textId="77777777" w:rsidR="00814226" w:rsidRDefault="00814226" w:rsidP="00CE4DC4">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 xml:space="preserve">Adverse Reactions </w:t>
            </w:r>
          </w:p>
        </w:tc>
        <w:tc>
          <w:tcPr>
            <w:tcW w:w="4431" w:type="dxa"/>
          </w:tcPr>
          <w:p w14:paraId="6FD8C676" w14:textId="4A2674BE" w:rsidR="00814226" w:rsidRDefault="00814226" w:rsidP="00CE4DC4">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 xml:space="preserve">XXX is generally safe and well-tolerated. The most common adverse events observed were related to GI symptoms and were mild, transient and generally did not lead to discontinuation. Adverse events were more common in subjects </w:t>
            </w:r>
            <w:proofErr w:type="spellStart"/>
            <w:r>
              <w:rPr>
                <w:rFonts w:ascii="Arial" w:hAnsi="Arial" w:cs="Arial"/>
                <w:color w:val="000000"/>
                <w:sz w:val="20"/>
                <w:szCs w:val="20"/>
                <w:lang w:val="en-GB"/>
              </w:rPr>
              <w:t>radomized</w:t>
            </w:r>
            <w:proofErr w:type="spellEnd"/>
            <w:r>
              <w:rPr>
                <w:rFonts w:ascii="Arial" w:hAnsi="Arial" w:cs="Arial"/>
                <w:color w:val="000000"/>
                <w:sz w:val="20"/>
                <w:szCs w:val="20"/>
                <w:lang w:val="en-GB"/>
              </w:rPr>
              <w:t xml:space="preserve"> to XXX than placebo but the difference was less than 5%. The side effect profile of XXX is consistent with the known profile of other compounds in this class.</w:t>
            </w:r>
          </w:p>
        </w:tc>
        <w:tc>
          <w:tcPr>
            <w:tcW w:w="4431" w:type="dxa"/>
          </w:tcPr>
          <w:p w14:paraId="6A428E3B" w14:textId="4059734E" w:rsidR="00814226" w:rsidRDefault="00814226" w:rsidP="00CE4DC4">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XXX is generally safe and well-tolerated. The most common adverse events observed were related to GI symptoms and were mild, transient and did not lead to discontinuation. No adverse events occurred with a frequency &gt; 5%. The side effect profile of XXX is consistent with the known adverse event profile of other compounds in this class</w:t>
            </w:r>
          </w:p>
        </w:tc>
        <w:tc>
          <w:tcPr>
            <w:tcW w:w="4432" w:type="dxa"/>
          </w:tcPr>
          <w:p w14:paraId="165766E5" w14:textId="42A94423" w:rsidR="00814226" w:rsidRDefault="00814226" w:rsidP="00CE4DC4">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XXX is generally safe and well-tolerated. The most common adverse events observed were related to GI symptoms and were mild, transient and did not lead to discontinuation. No adverse event occurred with a frequency &gt; 2%.  The side effect profile of XXX is consistent with the known profile of other compounds in this class.</w:t>
            </w:r>
          </w:p>
        </w:tc>
      </w:tr>
      <w:tr w:rsidR="00814226" w14:paraId="77D77F21" w14:textId="77777777" w:rsidTr="00CE4DC4">
        <w:trPr>
          <w:trHeight w:val="843"/>
        </w:trPr>
        <w:tc>
          <w:tcPr>
            <w:tcW w:w="1726" w:type="dxa"/>
          </w:tcPr>
          <w:p w14:paraId="2346BEB2" w14:textId="77777777" w:rsidR="00814226" w:rsidRDefault="00814226" w:rsidP="00CE4DC4">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lastRenderedPageBreak/>
              <w:t>Drug Interaction</w:t>
            </w:r>
          </w:p>
        </w:tc>
        <w:tc>
          <w:tcPr>
            <w:tcW w:w="4431" w:type="dxa"/>
          </w:tcPr>
          <w:p w14:paraId="6C0E8588" w14:textId="2E512FB7" w:rsidR="00814226" w:rsidRDefault="00FE07E9" w:rsidP="00CE4DC4">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XXX interact with known CYP2D6 inhibitors requiring potential adjustments to dose.</w:t>
            </w:r>
          </w:p>
        </w:tc>
        <w:tc>
          <w:tcPr>
            <w:tcW w:w="4431" w:type="dxa"/>
          </w:tcPr>
          <w:p w14:paraId="0425AE91" w14:textId="77777777" w:rsidR="00814226" w:rsidRDefault="00814226" w:rsidP="00CE4DC4">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 xml:space="preserve">XXX does not have significant interactions with medications commonly used in patients with Alzheimer's Disease. </w:t>
            </w:r>
          </w:p>
        </w:tc>
        <w:tc>
          <w:tcPr>
            <w:tcW w:w="4432" w:type="dxa"/>
          </w:tcPr>
          <w:p w14:paraId="34A6A367" w14:textId="77777777" w:rsidR="00814226" w:rsidRDefault="00814226" w:rsidP="00CE4DC4">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XXX does not have significant interactions with medications commonly used in patients with Alzheimer's Disease.</w:t>
            </w:r>
          </w:p>
        </w:tc>
      </w:tr>
      <w:tr w:rsidR="00814226" w14:paraId="46388EB6" w14:textId="77777777" w:rsidTr="00CE4DC4">
        <w:trPr>
          <w:trHeight w:val="560"/>
        </w:trPr>
        <w:tc>
          <w:tcPr>
            <w:tcW w:w="1726" w:type="dxa"/>
          </w:tcPr>
          <w:p w14:paraId="21351797" w14:textId="77777777" w:rsidR="00814226" w:rsidRDefault="00814226" w:rsidP="00CE4DC4">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Drug Abuse and Dependence</w:t>
            </w:r>
          </w:p>
        </w:tc>
        <w:tc>
          <w:tcPr>
            <w:tcW w:w="4431" w:type="dxa"/>
          </w:tcPr>
          <w:p w14:paraId="0CD6C66A" w14:textId="77777777" w:rsidR="00814226" w:rsidRDefault="00814226" w:rsidP="00CE4DC4">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XXX has no potential for abuse or dependence.</w:t>
            </w:r>
          </w:p>
        </w:tc>
        <w:tc>
          <w:tcPr>
            <w:tcW w:w="4431" w:type="dxa"/>
          </w:tcPr>
          <w:p w14:paraId="268679B8" w14:textId="77777777" w:rsidR="00814226" w:rsidRDefault="00814226" w:rsidP="00CE4DC4">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XXX has no potential for abuse or dependence.</w:t>
            </w:r>
          </w:p>
        </w:tc>
        <w:tc>
          <w:tcPr>
            <w:tcW w:w="4432" w:type="dxa"/>
          </w:tcPr>
          <w:p w14:paraId="0FF85DF1" w14:textId="77777777" w:rsidR="00814226" w:rsidRDefault="00814226" w:rsidP="00CE4DC4">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XXX has no potential for abuse or dependence.</w:t>
            </w:r>
          </w:p>
        </w:tc>
      </w:tr>
      <w:tr w:rsidR="00814226" w14:paraId="37C2B2E9" w14:textId="77777777" w:rsidTr="00CE4DC4">
        <w:trPr>
          <w:trHeight w:val="1700"/>
        </w:trPr>
        <w:tc>
          <w:tcPr>
            <w:tcW w:w="1726" w:type="dxa"/>
          </w:tcPr>
          <w:p w14:paraId="02C7C3BF" w14:textId="77777777"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t>Overdosage</w:t>
            </w:r>
          </w:p>
        </w:tc>
        <w:tc>
          <w:tcPr>
            <w:tcW w:w="4431" w:type="dxa"/>
          </w:tcPr>
          <w:p w14:paraId="44AD31E1" w14:textId="311F7646" w:rsidR="00814226" w:rsidRDefault="00814226" w:rsidP="00CE4DC4">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 xml:space="preserve">X cases of overdoses with XXX were identified during the conduct of phase II and III clinical trials. These overdoses were associated with serious but transient </w:t>
            </w:r>
            <w:r w:rsidR="00761941">
              <w:rPr>
                <w:rFonts w:ascii="Arial" w:hAnsi="Arial" w:cs="Arial"/>
                <w:color w:val="000000"/>
                <w:sz w:val="20"/>
                <w:szCs w:val="20"/>
                <w:lang w:val="en-GB"/>
              </w:rPr>
              <w:t>diarrhoea</w:t>
            </w:r>
            <w:r>
              <w:rPr>
                <w:rFonts w:ascii="Arial" w:hAnsi="Arial" w:cs="Arial"/>
                <w:color w:val="000000"/>
                <w:sz w:val="20"/>
                <w:szCs w:val="20"/>
                <w:lang w:val="en-GB"/>
              </w:rPr>
              <w:t xml:space="preserve"> requiring aggressive hydration. No SAEs or deaths were reported in association with any of the overdoses.</w:t>
            </w:r>
          </w:p>
        </w:tc>
        <w:tc>
          <w:tcPr>
            <w:tcW w:w="4431" w:type="dxa"/>
          </w:tcPr>
          <w:p w14:paraId="435F671F" w14:textId="23E33AF8" w:rsidR="00814226" w:rsidRDefault="00814226" w:rsidP="00CE4DC4">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 xml:space="preserve">X cases of overdoses with XXX were identified during the conduct of phase II and III clinical trials. These overdoses were associated with significant, but transient </w:t>
            </w:r>
            <w:r w:rsidR="00761941">
              <w:rPr>
                <w:rFonts w:ascii="Arial" w:hAnsi="Arial" w:cs="Arial"/>
                <w:color w:val="000000"/>
                <w:sz w:val="20"/>
                <w:szCs w:val="20"/>
                <w:lang w:val="en-GB"/>
              </w:rPr>
              <w:t>diarrhoea</w:t>
            </w:r>
            <w:r>
              <w:rPr>
                <w:rFonts w:ascii="Arial" w:hAnsi="Arial" w:cs="Arial"/>
                <w:color w:val="000000"/>
                <w:sz w:val="20"/>
                <w:szCs w:val="20"/>
                <w:lang w:val="en-GB"/>
              </w:rPr>
              <w:t>. No SAEs or deaths were reported in association with any of the overdoses.</w:t>
            </w:r>
          </w:p>
        </w:tc>
        <w:tc>
          <w:tcPr>
            <w:tcW w:w="4432" w:type="dxa"/>
          </w:tcPr>
          <w:p w14:paraId="3E03EDB3" w14:textId="77777777" w:rsidR="00814226" w:rsidRDefault="00814226" w:rsidP="00CE4DC4">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X cases of overdoses with XXX were identified during the conduct of phase II and III clinical trials. These overdoses were not associated with any adverse events.  No SAEs or deaths were reported in association with any of the overdoses.</w:t>
            </w:r>
          </w:p>
        </w:tc>
      </w:tr>
      <w:tr w:rsidR="00814226" w14:paraId="53D00C33" w14:textId="77777777" w:rsidTr="00CE4DC4">
        <w:trPr>
          <w:trHeight w:val="546"/>
        </w:trPr>
        <w:tc>
          <w:tcPr>
            <w:tcW w:w="1726" w:type="dxa"/>
          </w:tcPr>
          <w:p w14:paraId="4356680A" w14:textId="77777777" w:rsidR="00814226" w:rsidRDefault="00814226" w:rsidP="00CE4DC4">
            <w:pPr>
              <w:autoSpaceDE w:val="0"/>
              <w:autoSpaceDN w:val="0"/>
              <w:adjustRightInd w:val="0"/>
              <w:rPr>
                <w:rFonts w:ascii="Calibri" w:hAnsi="Calibri" w:cs="Calibri"/>
                <w:color w:val="000000"/>
                <w:lang w:val="en-GB"/>
              </w:rPr>
            </w:pPr>
            <w:r>
              <w:rPr>
                <w:rFonts w:ascii="Calibri" w:hAnsi="Calibri" w:cs="Calibri"/>
                <w:color w:val="000000"/>
                <w:lang w:val="en-GB"/>
              </w:rPr>
              <w:t>Non-Clinical Toxicology</w:t>
            </w:r>
          </w:p>
        </w:tc>
        <w:tc>
          <w:tcPr>
            <w:tcW w:w="4431" w:type="dxa"/>
          </w:tcPr>
          <w:p w14:paraId="64E227D7" w14:textId="06A52FD7" w:rsidR="00814226" w:rsidRDefault="00814226" w:rsidP="00CE4DC4">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 xml:space="preserve">No evidence of </w:t>
            </w:r>
            <w:r w:rsidR="00761941">
              <w:rPr>
                <w:rFonts w:ascii="Arial" w:hAnsi="Arial" w:cs="Arial"/>
                <w:color w:val="000000"/>
                <w:sz w:val="20"/>
                <w:szCs w:val="20"/>
                <w:lang w:val="en-GB"/>
              </w:rPr>
              <w:t>carcinogenicity</w:t>
            </w:r>
            <w:r>
              <w:rPr>
                <w:rFonts w:ascii="Arial" w:hAnsi="Arial" w:cs="Arial"/>
                <w:color w:val="000000"/>
                <w:sz w:val="20"/>
                <w:szCs w:val="20"/>
                <w:lang w:val="en-GB"/>
              </w:rPr>
              <w:t>. Clinical dose has ~ 3X margin over the NOAEL</w:t>
            </w:r>
          </w:p>
        </w:tc>
        <w:tc>
          <w:tcPr>
            <w:tcW w:w="4431" w:type="dxa"/>
          </w:tcPr>
          <w:p w14:paraId="531F45A3" w14:textId="3836A4EE" w:rsidR="00814226" w:rsidRDefault="00814226" w:rsidP="00CE4DC4">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 xml:space="preserve">No evidence of </w:t>
            </w:r>
            <w:r w:rsidR="00761941">
              <w:rPr>
                <w:rFonts w:ascii="Arial" w:hAnsi="Arial" w:cs="Arial"/>
                <w:color w:val="000000"/>
                <w:sz w:val="20"/>
                <w:szCs w:val="20"/>
                <w:lang w:val="en-GB"/>
              </w:rPr>
              <w:t>carcinogenicity</w:t>
            </w:r>
            <w:r>
              <w:rPr>
                <w:rFonts w:ascii="Arial" w:hAnsi="Arial" w:cs="Arial"/>
                <w:color w:val="000000"/>
                <w:sz w:val="20"/>
                <w:szCs w:val="20"/>
                <w:lang w:val="en-GB"/>
              </w:rPr>
              <w:t>. Clinical dose has ~ 10X margin over the NOAEL</w:t>
            </w:r>
          </w:p>
        </w:tc>
        <w:tc>
          <w:tcPr>
            <w:tcW w:w="4432" w:type="dxa"/>
          </w:tcPr>
          <w:p w14:paraId="71BF5295" w14:textId="425C7515" w:rsidR="00814226" w:rsidRDefault="00814226" w:rsidP="00CE4DC4">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 xml:space="preserve">No evidence of </w:t>
            </w:r>
            <w:r w:rsidR="00761941">
              <w:rPr>
                <w:rFonts w:ascii="Arial" w:hAnsi="Arial" w:cs="Arial"/>
                <w:color w:val="000000"/>
                <w:sz w:val="20"/>
                <w:szCs w:val="20"/>
                <w:lang w:val="en-GB"/>
              </w:rPr>
              <w:t>carcinogenicity</w:t>
            </w:r>
            <w:r>
              <w:rPr>
                <w:rFonts w:ascii="Arial" w:hAnsi="Arial" w:cs="Arial"/>
                <w:color w:val="000000"/>
                <w:sz w:val="20"/>
                <w:szCs w:val="20"/>
                <w:lang w:val="en-GB"/>
              </w:rPr>
              <w:t>. Clinical dose has ~ 20X margin over the NOAEL</w:t>
            </w:r>
          </w:p>
        </w:tc>
      </w:tr>
    </w:tbl>
    <w:p w14:paraId="6560CA72" w14:textId="77777777" w:rsidR="00814226" w:rsidRDefault="00814226" w:rsidP="00E34F53">
      <w:pPr>
        <w:spacing w:after="0" w:line="276" w:lineRule="auto"/>
        <w:jc w:val="both"/>
      </w:pPr>
    </w:p>
    <w:p w14:paraId="7314AE4D" w14:textId="77777777" w:rsidR="00814226" w:rsidRDefault="00814226" w:rsidP="00E34F53">
      <w:pPr>
        <w:spacing w:after="0" w:line="276" w:lineRule="auto"/>
        <w:jc w:val="both"/>
      </w:pPr>
    </w:p>
    <w:p w14:paraId="531BB1E7" w14:textId="77777777" w:rsidR="00814226" w:rsidRDefault="00814226" w:rsidP="00E34F53">
      <w:pPr>
        <w:spacing w:after="0" w:line="276" w:lineRule="auto"/>
        <w:jc w:val="both"/>
        <w:sectPr w:rsidR="00814226" w:rsidSect="00E15C53">
          <w:pgSz w:w="16838" w:h="11906" w:orient="landscape"/>
          <w:pgMar w:top="1440" w:right="1440" w:bottom="1440" w:left="1440" w:header="708" w:footer="708" w:gutter="0"/>
          <w:cols w:space="708"/>
          <w:docGrid w:linePitch="360"/>
        </w:sectPr>
      </w:pPr>
    </w:p>
    <w:p w14:paraId="6AD8AF74" w14:textId="77777777" w:rsidR="009C3F8D" w:rsidRDefault="009C3F8D" w:rsidP="00E34F53">
      <w:pPr>
        <w:spacing w:after="0" w:line="276" w:lineRule="auto"/>
        <w:jc w:val="both"/>
      </w:pPr>
    </w:p>
    <w:p w14:paraId="68175032" w14:textId="60179439" w:rsidR="00B24D84" w:rsidRDefault="00B24D84" w:rsidP="00E34F53">
      <w:pPr>
        <w:spacing w:after="0" w:line="276" w:lineRule="auto"/>
        <w:jc w:val="both"/>
      </w:pPr>
      <w:r>
        <w:t>Table S</w:t>
      </w:r>
      <w:r w:rsidR="00101D8E">
        <w:t>2</w:t>
      </w:r>
      <w:r>
        <w:t>: Excluded papers after full-text review with reasons for exclusion.</w:t>
      </w:r>
    </w:p>
    <w:p w14:paraId="733E5017" w14:textId="77777777" w:rsidR="00366ACD" w:rsidRDefault="00366ACD" w:rsidP="00E34F53">
      <w:pPr>
        <w:spacing w:after="0" w:line="276" w:lineRule="auto"/>
        <w:jc w:val="both"/>
      </w:pPr>
    </w:p>
    <w:tbl>
      <w:tblPr>
        <w:tblStyle w:val="TableGrid"/>
        <w:tblW w:w="6210" w:type="dxa"/>
        <w:tblLook w:val="04A0" w:firstRow="1" w:lastRow="0" w:firstColumn="1" w:lastColumn="0" w:noHBand="0" w:noVBand="1"/>
      </w:tblPr>
      <w:tblGrid>
        <w:gridCol w:w="2703"/>
        <w:gridCol w:w="1464"/>
        <w:gridCol w:w="2043"/>
      </w:tblGrid>
      <w:tr w:rsidR="00696AF0" w:rsidRPr="00696AF0" w14:paraId="48731908" w14:textId="77777777" w:rsidTr="00366ACD">
        <w:trPr>
          <w:trHeight w:val="270"/>
        </w:trPr>
        <w:tc>
          <w:tcPr>
            <w:tcW w:w="2703" w:type="dxa"/>
            <w:noWrap/>
            <w:hideMark/>
          </w:tcPr>
          <w:p w14:paraId="1BBE2284" w14:textId="77777777" w:rsidR="00696AF0" w:rsidRPr="00696AF0" w:rsidRDefault="00696AF0" w:rsidP="00696AF0">
            <w:pPr>
              <w:rPr>
                <w:rFonts w:ascii="Calibri" w:eastAsia="Times New Roman" w:hAnsi="Calibri" w:cs="Calibri"/>
                <w:b/>
                <w:bCs/>
                <w:color w:val="000000"/>
                <w:lang w:val="en-ZA" w:eastAsia="en-ZA"/>
              </w:rPr>
            </w:pPr>
            <w:r w:rsidRPr="00696AF0">
              <w:rPr>
                <w:rFonts w:ascii="Calibri" w:eastAsia="Times New Roman" w:hAnsi="Calibri" w:cs="Calibri"/>
                <w:b/>
                <w:bCs/>
                <w:color w:val="000000"/>
                <w:lang w:val="en-ZA" w:eastAsia="en-ZA"/>
              </w:rPr>
              <w:t>Authors</w:t>
            </w:r>
          </w:p>
        </w:tc>
        <w:tc>
          <w:tcPr>
            <w:tcW w:w="1464" w:type="dxa"/>
            <w:noWrap/>
            <w:hideMark/>
          </w:tcPr>
          <w:p w14:paraId="683EDCD8" w14:textId="77777777" w:rsidR="00696AF0" w:rsidRPr="00696AF0" w:rsidRDefault="00696AF0" w:rsidP="00696AF0">
            <w:pPr>
              <w:rPr>
                <w:rFonts w:ascii="Calibri" w:eastAsia="Times New Roman" w:hAnsi="Calibri" w:cs="Calibri"/>
                <w:b/>
                <w:bCs/>
                <w:color w:val="000000"/>
                <w:lang w:val="en-ZA" w:eastAsia="en-ZA"/>
              </w:rPr>
            </w:pPr>
            <w:r w:rsidRPr="00696AF0">
              <w:rPr>
                <w:rFonts w:ascii="Calibri" w:eastAsia="Times New Roman" w:hAnsi="Calibri" w:cs="Calibri"/>
                <w:b/>
                <w:bCs/>
                <w:color w:val="000000"/>
                <w:lang w:val="en-ZA" w:eastAsia="en-ZA"/>
              </w:rPr>
              <w:t>Year</w:t>
            </w:r>
          </w:p>
        </w:tc>
        <w:tc>
          <w:tcPr>
            <w:tcW w:w="2043" w:type="dxa"/>
            <w:noWrap/>
            <w:hideMark/>
          </w:tcPr>
          <w:p w14:paraId="1B09496B" w14:textId="77777777" w:rsidR="00696AF0" w:rsidRPr="00696AF0" w:rsidRDefault="00696AF0" w:rsidP="00696AF0">
            <w:pPr>
              <w:rPr>
                <w:rFonts w:ascii="Calibri" w:eastAsia="Times New Roman" w:hAnsi="Calibri" w:cs="Calibri"/>
                <w:b/>
                <w:bCs/>
                <w:color w:val="000000"/>
                <w:lang w:val="en-ZA" w:eastAsia="en-ZA"/>
              </w:rPr>
            </w:pPr>
            <w:r w:rsidRPr="00696AF0">
              <w:rPr>
                <w:rFonts w:ascii="Calibri" w:eastAsia="Times New Roman" w:hAnsi="Calibri" w:cs="Calibri"/>
                <w:b/>
                <w:bCs/>
                <w:color w:val="000000"/>
                <w:lang w:val="en-ZA" w:eastAsia="en-ZA"/>
              </w:rPr>
              <w:t>Reason</w:t>
            </w:r>
          </w:p>
        </w:tc>
      </w:tr>
      <w:tr w:rsidR="00696AF0" w:rsidRPr="00696AF0" w14:paraId="77D435DA" w14:textId="77777777" w:rsidTr="00366ACD">
        <w:trPr>
          <w:trHeight w:val="270"/>
        </w:trPr>
        <w:tc>
          <w:tcPr>
            <w:tcW w:w="2703" w:type="dxa"/>
            <w:noWrap/>
            <w:hideMark/>
          </w:tcPr>
          <w:p w14:paraId="02943395" w14:textId="1D25831E" w:rsidR="00696AF0" w:rsidRPr="00696AF0" w:rsidRDefault="00696AF0" w:rsidP="00B96B67">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Adu-Gyamfi </w:t>
            </w:r>
            <w:r w:rsidR="000620EA">
              <w:rPr>
                <w:rFonts w:ascii="Calibri" w:eastAsia="Times New Roman" w:hAnsi="Calibri" w:cs="Calibri"/>
                <w:color w:val="000000"/>
                <w:lang w:val="en-ZA" w:eastAsia="en-ZA"/>
              </w:rPr>
              <w:t>et al.</w:t>
            </w:r>
            <w:r>
              <w:rPr>
                <w:rFonts w:ascii="Calibri" w:eastAsia="Times New Roman" w:hAnsi="Calibri" w:cs="Calibri"/>
                <w:color w:val="000000"/>
                <w:lang w:val="en-ZA" w:eastAsia="en-ZA"/>
              </w:rPr>
              <w:t xml:space="preserve"> </w:t>
            </w:r>
            <w:r w:rsidR="00B96B67">
              <w:rPr>
                <w:rFonts w:ascii="Calibri" w:eastAsia="Times New Roman" w:hAnsi="Calibri" w:cs="Calibri"/>
                <w:color w:val="000000"/>
                <w:lang w:val="en-ZA" w:eastAsia="en-ZA"/>
              </w:rPr>
              <w:fldChar w:fldCharType="begin"/>
            </w:r>
            <w:r w:rsidR="00B96B67">
              <w:rPr>
                <w:rFonts w:ascii="Calibri" w:eastAsia="Times New Roman" w:hAnsi="Calibri" w:cs="Calibri"/>
                <w:color w:val="000000"/>
                <w:lang w:val="en-ZA" w:eastAsia="en-ZA"/>
              </w:rPr>
              <w:instrText xml:space="preserve"> ADDIN ZOTERO_ITEM CSL_CITATION {"citationID":"wTUlMAkF","properties":{"formattedCitation":"(1)","plainCitation":"(1)","noteIndex":0},"citationItems":[{"id":12282,"uris":["http://zotero.org/users/6216265/items/TC24N5YH"],"itemData":{"id":12282,"type":"article-journal","container-title":"International Journal of Infectious Diseases","DOI":"10.1016/j.ijid.2020.08.028","ISSN":"1201-9712","journalAbbreviation":"International Journal of Infectious Diseases","language":"English","note":"publisher: Elsevier\nPMID: 32800860","page":"441-448","source":"www.ijidonline.com","title":"Diagnostic accuracy of plasma kynurenine/tryptophan ratio, measured by enzyme-linked immunosorbent assay, for pulmonary tuberculosis","volume":"99","author":[{"family":"Adu-Gyamfi","given":"Clement Gascua"},{"family":"Snyman","given":"Tracy"},{"family":"Makhathini","given":"Lillian"},{"family":"Otwombe","given":"Kennedy"},{"family":"Darboe","given":"Fatoumatta"},{"family":"Penn-Nicholson","given":"Adam"},{"family":"Fisher","given":"Michelle"},{"family":"Savulescu","given":"Dana"},{"family":"Hoffmann","given":"Christopher"},{"family":"Chaisson","given":"Richard"},{"family":"Martinson","given":"Neil"},{"family":"Scriba","given":"Thomas Jens"},{"family":"George","given":"Jaya Anna"},{"family":"Suchard","given":"Melinda Shelley"}],"issued":{"date-parts":[["2020",10,1]]}}}],"schema":"https://github.com/citation-style-language/schema/raw/master/csl-citation.json"} </w:instrText>
            </w:r>
            <w:r w:rsidR="00B96B67">
              <w:rPr>
                <w:rFonts w:ascii="Calibri" w:eastAsia="Times New Roman" w:hAnsi="Calibri" w:cs="Calibri"/>
                <w:color w:val="000000"/>
                <w:lang w:val="en-ZA" w:eastAsia="en-ZA"/>
              </w:rPr>
              <w:fldChar w:fldCharType="separate"/>
            </w:r>
            <w:r w:rsidR="00B96B67" w:rsidRPr="00B96B67">
              <w:rPr>
                <w:rFonts w:ascii="Calibri" w:hAnsi="Calibri" w:cs="Calibri"/>
              </w:rPr>
              <w:t>(1)</w:t>
            </w:r>
            <w:r w:rsidR="00B96B67">
              <w:rPr>
                <w:rFonts w:ascii="Calibri" w:eastAsia="Times New Roman" w:hAnsi="Calibri" w:cs="Calibri"/>
                <w:color w:val="000000"/>
                <w:lang w:val="en-ZA" w:eastAsia="en-ZA"/>
              </w:rPr>
              <w:fldChar w:fldCharType="end"/>
            </w:r>
          </w:p>
        </w:tc>
        <w:tc>
          <w:tcPr>
            <w:tcW w:w="1464" w:type="dxa"/>
            <w:noWrap/>
            <w:hideMark/>
          </w:tcPr>
          <w:p w14:paraId="0A8B8F48"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72CEC39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532A659" w14:textId="77777777" w:rsidTr="00366ACD">
        <w:trPr>
          <w:trHeight w:val="270"/>
        </w:trPr>
        <w:tc>
          <w:tcPr>
            <w:tcW w:w="2703" w:type="dxa"/>
            <w:noWrap/>
            <w:hideMark/>
          </w:tcPr>
          <w:p w14:paraId="2322E9EE" w14:textId="4323C64D" w:rsidR="00696AF0" w:rsidRPr="00696AF0" w:rsidRDefault="00696AF0" w:rsidP="00B96B67">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Adu-Gyamfi </w:t>
            </w:r>
            <w:r w:rsidR="000620EA">
              <w:rPr>
                <w:rFonts w:ascii="Calibri" w:eastAsia="Times New Roman" w:hAnsi="Calibri" w:cs="Calibri"/>
                <w:color w:val="000000"/>
                <w:lang w:val="en-ZA" w:eastAsia="en-ZA"/>
              </w:rPr>
              <w:t>et al.</w:t>
            </w:r>
            <w:r w:rsidR="00F36E7D">
              <w:rPr>
                <w:rFonts w:ascii="Calibri" w:eastAsia="Times New Roman" w:hAnsi="Calibri" w:cs="Calibri"/>
                <w:color w:val="000000"/>
                <w:lang w:val="en-ZA" w:eastAsia="en-ZA"/>
              </w:rPr>
              <w:t xml:space="preserve"> </w:t>
            </w:r>
            <w:r w:rsidR="00B96B67">
              <w:rPr>
                <w:rFonts w:ascii="Calibri" w:eastAsia="Times New Roman" w:hAnsi="Calibri" w:cs="Calibri"/>
                <w:color w:val="000000"/>
                <w:lang w:val="en-ZA" w:eastAsia="en-ZA"/>
              </w:rPr>
              <w:fldChar w:fldCharType="begin"/>
            </w:r>
            <w:r w:rsidR="00B96B67">
              <w:rPr>
                <w:rFonts w:ascii="Calibri" w:eastAsia="Times New Roman" w:hAnsi="Calibri" w:cs="Calibri"/>
                <w:color w:val="000000"/>
                <w:lang w:val="en-ZA" w:eastAsia="en-ZA"/>
              </w:rPr>
              <w:instrText xml:space="preserve"> ADDIN ZOTERO_ITEM CSL_CITATION {"citationID":"maSyIgJW","properties":{"formattedCitation":"(2)","plainCitation":"(2)","noteIndex":0},"citationItems":[{"id":12279,"uris":["http://zotero.org/users/6216265/items/73ZY32FA"],"itemData":{"id":12279,"type":"article-journal","abstract":"For pregnant women living with human immunodeficiency virus (HIV), concurrent active tuberculosis (TB) disease increases the risk of maternal mortality and poor pregnancy outcomes. Plasma indoleamine 2,3-dioxygenase (IDO) activity measured by kynurenine-to-tryptophan (K/T) ratio has been proposed as a blood-based TB biomarker. We investigated whether plasma K/T ratio could be used to diagnose active TB among pregnant women with HIV.Using an enzyme-linked immunosorbent assay (ELISA), we measured K/T ratio in 72 pregnant women with and active TB and compared them to 117 pregnant women with HIB but without TB, matched by age and gestational age.Plasma K/T ratio was significantly elevated during pregnancy compared to sampling done after pregnancy (P &amp;lt; .0001). Pregnant women who had received isoniazid preventive therapy (IPT) before enrollment had decreased plasma K/T ratio compared to those who had not received IPT (P = .0174). Plasma K/T ratio was elevated in women with active TB at time of diagnosis compared to those without TB (P &amp;lt; .0001). Using a cutoff of 0.100, plasma K/T ratio gave a diagnostic sensitivity of 94% (95% confidence interval [CI]: 82–95), specificity of 90% (95% CI: 80–91), positive predictive value (PPV) 85% and negative predictive value (NPV) 98%. A receiver operating characteristic curve (ROC) gave an area under the curve of 0.95 (95% CI: .92–.97, P &amp;lt; .0001).In conclusion, plasma K/T ratio is a sensitive blood-based diagnostic test for active TB disease in pregnant women living with HIV. Plasma K/T ratio should be further evaluated as an initial TB diagnostic test to determine its impact on patient care.","container-title":"Clinical Infectious Diseases","DOI":"10.1093/cid/ciab232","ISSN":"1058-4838","issue":"6","journalAbbreviation":"Clinical Infectious Diseases","page":"1027-1036","source":"Silverchair","title":"Plasma Kynurenine-to-Tryptophan Ratio, a Highly Sensitive Blood-Based Diagnostic Tool for Tuberculosis in Pregnant Women Living With Human Immunodeficiency Virus (HIV)","volume":"73","author":[{"family":"Adu-Gyamfi","given":"Clement"},{"family":"Savulescu","given":"Dana"},{"family":"Mikhathani","given":"Lillian"},{"family":"Otwombe","given":"Kennedy"},{"family":"Salazar-Austin","given":"Nicole"},{"family":"Chaisson","given":"Richard"},{"family":"Martinson","given":"Neil"},{"family":"George","given":"Jaya"},{"family":"Suchard","given":"Melinda"}],"issued":{"date-parts":[["2021",9,15]]}}}],"schema":"https://github.com/citation-style-language/schema/raw/master/csl-citation.json"} </w:instrText>
            </w:r>
            <w:r w:rsidR="00B96B67">
              <w:rPr>
                <w:rFonts w:ascii="Calibri" w:eastAsia="Times New Roman" w:hAnsi="Calibri" w:cs="Calibri"/>
                <w:color w:val="000000"/>
                <w:lang w:val="en-ZA" w:eastAsia="en-ZA"/>
              </w:rPr>
              <w:fldChar w:fldCharType="separate"/>
            </w:r>
            <w:r w:rsidR="00B96B67" w:rsidRPr="00B96B67">
              <w:rPr>
                <w:rFonts w:ascii="Calibri" w:hAnsi="Calibri" w:cs="Calibri"/>
              </w:rPr>
              <w:t>(2)</w:t>
            </w:r>
            <w:r w:rsidR="00B96B67">
              <w:rPr>
                <w:rFonts w:ascii="Calibri" w:eastAsia="Times New Roman" w:hAnsi="Calibri" w:cs="Calibri"/>
                <w:color w:val="000000"/>
                <w:lang w:val="en-ZA" w:eastAsia="en-ZA"/>
              </w:rPr>
              <w:fldChar w:fldCharType="end"/>
            </w:r>
          </w:p>
        </w:tc>
        <w:tc>
          <w:tcPr>
            <w:tcW w:w="1464" w:type="dxa"/>
            <w:noWrap/>
            <w:hideMark/>
          </w:tcPr>
          <w:p w14:paraId="0D75068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5822E61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B8BFF92" w14:textId="77777777" w:rsidTr="00366ACD">
        <w:trPr>
          <w:trHeight w:val="270"/>
        </w:trPr>
        <w:tc>
          <w:tcPr>
            <w:tcW w:w="2703" w:type="dxa"/>
            <w:noWrap/>
            <w:hideMark/>
          </w:tcPr>
          <w:p w14:paraId="432478B4" w14:textId="4E7B5ED9" w:rsidR="00696AF0" w:rsidRPr="00696AF0" w:rsidRDefault="00696AF0" w:rsidP="00F36E7D">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Ahmad </w:t>
            </w:r>
            <w:r w:rsidR="000620EA">
              <w:rPr>
                <w:rFonts w:ascii="Calibri" w:eastAsia="Times New Roman" w:hAnsi="Calibri" w:cs="Calibri"/>
                <w:color w:val="000000"/>
                <w:lang w:val="en-ZA" w:eastAsia="en-ZA"/>
              </w:rPr>
              <w:t>et al.</w:t>
            </w:r>
            <w:r w:rsidR="00F36E7D">
              <w:rPr>
                <w:rFonts w:ascii="Calibri" w:eastAsia="Times New Roman" w:hAnsi="Calibri" w:cs="Calibri"/>
                <w:color w:val="000000"/>
                <w:lang w:val="en-ZA" w:eastAsia="en-ZA"/>
              </w:rPr>
              <w:t xml:space="preserve"> </w:t>
            </w:r>
            <w:r w:rsidR="00F36E7D">
              <w:rPr>
                <w:rFonts w:ascii="Calibri" w:eastAsia="Times New Roman" w:hAnsi="Calibri" w:cs="Calibri"/>
                <w:color w:val="000000"/>
                <w:lang w:val="en-ZA" w:eastAsia="en-ZA"/>
              </w:rPr>
              <w:fldChar w:fldCharType="begin"/>
            </w:r>
            <w:r w:rsidR="00F36E7D">
              <w:rPr>
                <w:rFonts w:ascii="Calibri" w:eastAsia="Times New Roman" w:hAnsi="Calibri" w:cs="Calibri"/>
                <w:color w:val="000000"/>
                <w:lang w:val="en-ZA" w:eastAsia="en-ZA"/>
              </w:rPr>
              <w:instrText xml:space="preserve"> ADDIN ZOTERO_ITEM CSL_CITATION {"citationID":"Ep4u1ozs","properties":{"formattedCitation":"(3)","plainCitation":"(3)","noteIndex":0},"citationItems":[{"id":12285,"uris":["http://zotero.org/users/6216265/items/CFWIB3N4"],"itemData":{"id":12285,"type":"article-journal","abstract":"Improved tuberculosis (TB) prevention and control depend critically on the development of a simple, readily accessible rapid triage test to stratify TB risk. We hypothesized that a blood protein-based host response signature for active TB (ATB) could distinguish it from other TB-like disease (OTD) in adult patients with persistent cough, thereby providing a foundation for a point-of-care (POC) triage test for ATB. Three adult cohorts consisting of ATB suspects were recruited. A bead-based immunoassay and machine learning algorithms identified a panel of four host blood proteins, interleukin-6 (IL-6), IL-8, IL-18, and vascular endothelial growth factor (VEGF), that distinguished ATB from OTD. An ultrasensitive POC-amenable single-molecule array (Simoa) panel was configured, and the ATB diagnostic algorithm underwent blind validation in an independent, multinational cohort in which ATB was distinguished from OTD with receiver operator characteristic–area under the curve (ROC-AUC) of 0.80 [95% confidence interval (CI), 0.75 to 0.85], 80% sensitivity (95% CI, 73 to 85%), and 65% specificity (95% CI, 57 to 71%). When host antibodies against TB antigen Ag85B were added to the panel, performance improved to 86% sensitivity and 69% specificity. A blood-based host response panel consisting of four proteins and antibodies to one TB antigen can help to differentiate ATB from other causes of persistent cough in patients with and without HIV infection from Africa, Asia, and South America. Performance characteristics approach World Health Organization (WHO) target product profile accuracy requirements and may provide the foundation for an urgently needed blood-based POC TB triage test.","container-title":"Science Translational Medicine","DOI":"10.1126/scitranslmed.aaw8287","issue":"515","note":"publisher: American Association for the Advancement of Science","page":"eaaw8287","source":"science.org (Atypon)","title":"A rapid triage test for active pulmonary tuberculosis in adult patients with persistent cough","volume":"11","author":[{"family":"Ahmad","given":"Rushdy"},{"family":"Xie","given":"Liangxia"},{"family":"Pyle","given":"Margaret"},{"family":"Suarez","given":"Marta F."},{"family":"Broger","given":"Tobias"},{"family":"Steinberg","given":"Dan"},{"family":"Ame","given":"Shaali M."},{"family":"Lucero","given":"Marilla G."},{"family":"Szucs","given":"Matthew J."},{"family":"MacMullan","given":"Melanie"},{"family":"Berven","given":"Frode S."},{"family":"Dutta","given":"Arup"},{"family":"Sanvictores","given":"Diozele M."},{"family":"Tallo","given":"Veronica L."},{"family":"Bencher","given":"Robert"},{"family":"Eisinger","given":"Dominic P."},{"family":"Dhingra","given":"Usha"},{"family":"Deb","given":"Saikat"},{"family":"Ali","given":"Said M."},{"family":"Mehta","given":"Saurabh"},{"family":"Fawzi","given":"Wafaie W."},{"family":"Riley","given":"Ian D."},{"family":"Sazawal","given":"Sunil"},{"family":"Premji","given":"Zul"},{"family":"Black","given":"Robert"},{"family":"Murray","given":"Christopher J. L."},{"family":"Rodriguez","given":"Bill"},{"family":"Carr","given":"Steven A."},{"family":"Walt","given":"David R."},{"family":"Gillette","given":"Michael A."}],"issued":{"date-parts":[["2019",10,23]]}}}],"schema":"https://github.com/citation-style-language/schema/raw/master/csl-citation.json"} </w:instrText>
            </w:r>
            <w:r w:rsidR="00F36E7D">
              <w:rPr>
                <w:rFonts w:ascii="Calibri" w:eastAsia="Times New Roman" w:hAnsi="Calibri" w:cs="Calibri"/>
                <w:color w:val="000000"/>
                <w:lang w:val="en-ZA" w:eastAsia="en-ZA"/>
              </w:rPr>
              <w:fldChar w:fldCharType="separate"/>
            </w:r>
            <w:r w:rsidR="00F36E7D" w:rsidRPr="00F36E7D">
              <w:rPr>
                <w:rFonts w:ascii="Calibri" w:hAnsi="Calibri" w:cs="Calibri"/>
              </w:rPr>
              <w:t>(3)</w:t>
            </w:r>
            <w:r w:rsidR="00F36E7D">
              <w:rPr>
                <w:rFonts w:ascii="Calibri" w:eastAsia="Times New Roman" w:hAnsi="Calibri" w:cs="Calibri"/>
                <w:color w:val="000000"/>
                <w:lang w:val="en-ZA" w:eastAsia="en-ZA"/>
              </w:rPr>
              <w:fldChar w:fldCharType="end"/>
            </w:r>
          </w:p>
        </w:tc>
        <w:tc>
          <w:tcPr>
            <w:tcW w:w="1464" w:type="dxa"/>
            <w:noWrap/>
            <w:hideMark/>
          </w:tcPr>
          <w:p w14:paraId="69375918"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45F733A8"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8A5238C" w14:textId="77777777" w:rsidTr="00366ACD">
        <w:trPr>
          <w:trHeight w:val="270"/>
        </w:trPr>
        <w:tc>
          <w:tcPr>
            <w:tcW w:w="2703" w:type="dxa"/>
            <w:noWrap/>
            <w:hideMark/>
          </w:tcPr>
          <w:p w14:paraId="64D84F44" w14:textId="6DF293BB" w:rsidR="00696AF0" w:rsidRPr="00696AF0" w:rsidRDefault="00696AF0" w:rsidP="00F36E7D">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Alonzo </w:t>
            </w:r>
            <w:r w:rsidR="000620EA">
              <w:rPr>
                <w:rFonts w:ascii="Calibri" w:eastAsia="Times New Roman" w:hAnsi="Calibri" w:cs="Calibri"/>
                <w:color w:val="000000"/>
                <w:lang w:val="en-ZA" w:eastAsia="en-ZA"/>
              </w:rPr>
              <w:t>et al.</w:t>
            </w:r>
            <w:r w:rsidR="00F36E7D">
              <w:rPr>
                <w:rFonts w:ascii="Calibri" w:eastAsia="Times New Roman" w:hAnsi="Calibri" w:cs="Calibri"/>
                <w:color w:val="000000"/>
                <w:lang w:val="en-ZA" w:eastAsia="en-ZA"/>
              </w:rPr>
              <w:t xml:space="preserve"> </w:t>
            </w:r>
            <w:r w:rsidR="00F36E7D">
              <w:rPr>
                <w:rFonts w:ascii="Calibri" w:eastAsia="Times New Roman" w:hAnsi="Calibri" w:cs="Calibri"/>
                <w:color w:val="000000"/>
                <w:lang w:val="en-ZA" w:eastAsia="en-ZA"/>
              </w:rPr>
              <w:fldChar w:fldCharType="begin"/>
            </w:r>
            <w:r w:rsidR="00F36E7D">
              <w:rPr>
                <w:rFonts w:ascii="Calibri" w:eastAsia="Times New Roman" w:hAnsi="Calibri" w:cs="Calibri"/>
                <w:color w:val="000000"/>
                <w:lang w:val="en-ZA" w:eastAsia="en-ZA"/>
              </w:rPr>
              <w:instrText xml:space="preserve"> ADDIN ZOTERO_ITEM CSL_CITATION {"citationID":"HyXoXqjg","properties":{"formattedCitation":"(4)","plainCitation":"(4)","noteIndex":0},"citationItems":[{"id":12287,"uris":["http://zotero.org/users/6216265/items/BJ9I5EV2"],"itemData":{"id":12287,"type":"article-journal","abstract":"Inadequate drinking water quality is among the major causes of preventable mortality, predominantly in young children. Identifying contaminated water sources remains a significant challenge, especially where resources are limited. The current methods for measuring Escherichia coli (E. coli), the WHO preferred indicator for measuring fecal contamination of water, involve overnight incubation and require specialized training. In 2016, UNICEF released a Target Product Profile (TPP) to incentivize product innovations to detect low levels of viable E. coli in water samples in the field in less than 6 h. Driven by this challenge, we developed a phage-based assay to detect and semi-quantify E. coli. We formulated a phage cocktail containing a total of 8 phages selected against an extensive bacterial strain library and recombined with the sensitive NanoLuc luciferase reporter. The assay was optimized to be processed in a microfluidic chip designed in-house and was tested against locally sourced sewage samples and on drinking water sources in Nairobi, Kenya. With this assay, combined with the microfluidic chip platform, we propose a complete automated solution to detect and semi-quantify E. coli at less than 10 MPN/100 mL in 5.5 h by minimally trained personnel.","container-title":"Scientific Reports","DOI":"10.1038/s41598-022-11468-2","ISSN":"2045-2322","issue":"1","journalAbbreviation":"Sci Rep","language":"en","license":"2022 The Author(s)","note":"number: 1\npublisher: Nature Publishing Group","page":"7741","source":"www.nature.com","title":"Rapid, sensitive, and low-cost detection of Escherichia coli bacteria in contaminated water samples using a phage-based assay","volume":"12","author":[{"family":"Alonzo","given":"Luis F."},{"family":"Jain","given":"Paras"},{"family":"Hinkley","given":"Troy"},{"family":"Clute-Reinig","given":"Nick"},{"family":"Garing","given":"Spencer"},{"family":"Spencer","given":"Ethan"},{"family":"Dinh","given":"Van T. T."},{"family":"Bell","given":"David"},{"family":"Nugen","given":"Sam"},{"family":"Nichols","given":"Kevin P."},{"family":"Le Ny","given":"Anne-Laure M."}],"issued":{"date-parts":[["2022",5,11]]}}}],"schema":"https://github.com/citation-style-language/schema/raw/master/csl-citation.json"} </w:instrText>
            </w:r>
            <w:r w:rsidR="00F36E7D">
              <w:rPr>
                <w:rFonts w:ascii="Calibri" w:eastAsia="Times New Roman" w:hAnsi="Calibri" w:cs="Calibri"/>
                <w:color w:val="000000"/>
                <w:lang w:val="en-ZA" w:eastAsia="en-ZA"/>
              </w:rPr>
              <w:fldChar w:fldCharType="separate"/>
            </w:r>
            <w:r w:rsidR="00F36E7D" w:rsidRPr="00F36E7D">
              <w:rPr>
                <w:rFonts w:ascii="Calibri" w:hAnsi="Calibri" w:cs="Calibri"/>
              </w:rPr>
              <w:t>(4)</w:t>
            </w:r>
            <w:r w:rsidR="00F36E7D">
              <w:rPr>
                <w:rFonts w:ascii="Calibri" w:eastAsia="Times New Roman" w:hAnsi="Calibri" w:cs="Calibri"/>
                <w:color w:val="000000"/>
                <w:lang w:val="en-ZA" w:eastAsia="en-ZA"/>
              </w:rPr>
              <w:fldChar w:fldCharType="end"/>
            </w:r>
          </w:p>
        </w:tc>
        <w:tc>
          <w:tcPr>
            <w:tcW w:w="1464" w:type="dxa"/>
            <w:noWrap/>
            <w:hideMark/>
          </w:tcPr>
          <w:p w14:paraId="5965CBA1"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4110C175"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B865701" w14:textId="77777777" w:rsidTr="00366ACD">
        <w:trPr>
          <w:trHeight w:val="270"/>
        </w:trPr>
        <w:tc>
          <w:tcPr>
            <w:tcW w:w="2703" w:type="dxa"/>
            <w:noWrap/>
            <w:hideMark/>
          </w:tcPr>
          <w:p w14:paraId="2251A51A" w14:textId="0E1A522A" w:rsidR="00696AF0" w:rsidRPr="00696AF0" w:rsidRDefault="00696AF0" w:rsidP="00D27165">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Armistead </w:t>
            </w:r>
            <w:r w:rsidR="000620EA">
              <w:rPr>
                <w:rFonts w:ascii="Calibri" w:eastAsia="Times New Roman" w:hAnsi="Calibri" w:cs="Calibri"/>
                <w:color w:val="000000"/>
                <w:lang w:val="en-ZA" w:eastAsia="en-ZA"/>
              </w:rPr>
              <w:t>et al.</w:t>
            </w:r>
            <w:r w:rsidR="00D27165">
              <w:rPr>
                <w:rFonts w:ascii="Calibri" w:eastAsia="Times New Roman" w:hAnsi="Calibri" w:cs="Calibri"/>
                <w:color w:val="000000"/>
                <w:lang w:val="en-ZA" w:eastAsia="en-ZA"/>
              </w:rPr>
              <w:t xml:space="preserve"> </w:t>
            </w:r>
            <w:r w:rsidR="00D27165">
              <w:rPr>
                <w:rFonts w:ascii="Calibri" w:eastAsia="Times New Roman" w:hAnsi="Calibri" w:cs="Calibri"/>
                <w:color w:val="000000"/>
                <w:lang w:val="en-ZA" w:eastAsia="en-ZA"/>
              </w:rPr>
              <w:fldChar w:fldCharType="begin"/>
            </w:r>
            <w:r w:rsidR="00D27165">
              <w:rPr>
                <w:rFonts w:ascii="Calibri" w:eastAsia="Times New Roman" w:hAnsi="Calibri" w:cs="Calibri"/>
                <w:color w:val="000000"/>
                <w:lang w:val="en-ZA" w:eastAsia="en-ZA"/>
              </w:rPr>
              <w:instrText xml:space="preserve"> ADDIN ZOTERO_ITEM CSL_CITATION {"citationID":"Nc9jk5Kx","properties":{"formattedCitation":"(5)","plainCitation":"(5)","noteIndex":0},"citationItems":[{"id":12289,"uris":["http://zotero.org/users/6216265/items/9JRXUITW"],"itemData":{"id":12289,"type":"article-journal","abstract":"Malaria transmission-blocking vaccines (TBVs) represent a promising approach for the elimination and eradication of this disease. AnAPN1 is a lead TBV candidate that targets a surface antigen on the midgut of the obligate vector of the Plasmodium parasite, the Anopheles mosquito. In this study, we demonstrated that antibodies targeting AnAPN1 block transmission of Plasmodium falciparum and Plasmodium vivax across distantly related anopheline species in countries to which malaria is endemic. Using a biochemical and immunological approach, we determined that the mechanism of action for this phenomenon stems from antibody recognition of a single protective epitope on AnAPN1, which we found to be immunogenic in murine and nonhuman primate models and highly conserved among anophelines. These data indicate that AnAPN1 meets the established target product profile for TBVs and suggest a potential key role for an AnAPN1-based panmalaria TBV in the effort to eradicate malaria.","container-title":"Infection and Immunity","DOI":"10.1128/iai.01222-13","issue":"2","note":"publisher: American Society for Microbiology","page":"818-829","source":"journals.asm.org (Atypon)","title":"Antibodies to a Single, Conserved Epitope in Anopheles APN1 Inhibit Universal Transmission of Plasmodium falciparum and Plasmodium vivax Malaria","volume":"82","author":[{"family":"Armistead","given":"Jennifer S."},{"family":"Morlais","given":"Isabelle"},{"family":"Mathias","given":"Derrick K."},{"family":"Jardim","given":"Juliette G."},{"family":"Joy","given":"Jaimy"},{"family":"Fridman","given":"Arthur"},{"family":"Finnefrock","given":"Adam C."},{"family":"Bagchi","given":"Ansu"},{"family":"Plebanski","given":"Magdalena"},{"family":"Scorpio","given":"Diana G."},{"family":"Churcher","given":"Thomas S."},{"family":"Borg","given":"Natalie A."},{"family":"Sattabongkot","given":"Jetsumon"},{"family":"Dinglasan","given":"Rhoel R."}],"issued":{"date-parts":[["2014",1,22]]}}}],"schema":"https://github.com/citation-style-language/schema/raw/master/csl-citation.json"} </w:instrText>
            </w:r>
            <w:r w:rsidR="00D27165">
              <w:rPr>
                <w:rFonts w:ascii="Calibri" w:eastAsia="Times New Roman" w:hAnsi="Calibri" w:cs="Calibri"/>
                <w:color w:val="000000"/>
                <w:lang w:val="en-ZA" w:eastAsia="en-ZA"/>
              </w:rPr>
              <w:fldChar w:fldCharType="separate"/>
            </w:r>
            <w:r w:rsidR="00D27165" w:rsidRPr="00D27165">
              <w:rPr>
                <w:rFonts w:ascii="Calibri" w:hAnsi="Calibri" w:cs="Calibri"/>
              </w:rPr>
              <w:t>(5)</w:t>
            </w:r>
            <w:r w:rsidR="00D27165">
              <w:rPr>
                <w:rFonts w:ascii="Calibri" w:eastAsia="Times New Roman" w:hAnsi="Calibri" w:cs="Calibri"/>
                <w:color w:val="000000"/>
                <w:lang w:val="en-ZA" w:eastAsia="en-ZA"/>
              </w:rPr>
              <w:fldChar w:fldCharType="end"/>
            </w:r>
          </w:p>
        </w:tc>
        <w:tc>
          <w:tcPr>
            <w:tcW w:w="1464" w:type="dxa"/>
            <w:noWrap/>
            <w:hideMark/>
          </w:tcPr>
          <w:p w14:paraId="313797D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2014</w:t>
            </w:r>
          </w:p>
        </w:tc>
        <w:tc>
          <w:tcPr>
            <w:tcW w:w="2043" w:type="dxa"/>
            <w:noWrap/>
            <w:hideMark/>
          </w:tcPr>
          <w:p w14:paraId="1D8002D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B10DC0D" w14:textId="77777777" w:rsidTr="00366ACD">
        <w:trPr>
          <w:trHeight w:val="270"/>
        </w:trPr>
        <w:tc>
          <w:tcPr>
            <w:tcW w:w="2703" w:type="dxa"/>
            <w:noWrap/>
            <w:hideMark/>
          </w:tcPr>
          <w:p w14:paraId="7BC49115" w14:textId="22CED805" w:rsidR="00696AF0" w:rsidRPr="00696AF0" w:rsidRDefault="00696AF0" w:rsidP="00D27165">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Azimi</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D27165">
              <w:rPr>
                <w:rFonts w:ascii="Calibri" w:eastAsia="Times New Roman" w:hAnsi="Calibri" w:cs="Calibri"/>
                <w:color w:val="000000"/>
                <w:lang w:val="en-ZA" w:eastAsia="en-ZA"/>
              </w:rPr>
              <w:t xml:space="preserve"> </w:t>
            </w:r>
            <w:r w:rsidR="00D27165">
              <w:rPr>
                <w:rFonts w:ascii="Calibri" w:eastAsia="Times New Roman" w:hAnsi="Calibri" w:cs="Calibri"/>
                <w:color w:val="000000"/>
                <w:lang w:val="en-ZA" w:eastAsia="en-ZA"/>
              </w:rPr>
              <w:fldChar w:fldCharType="begin"/>
            </w:r>
            <w:r w:rsidR="00D27165">
              <w:rPr>
                <w:rFonts w:ascii="Calibri" w:eastAsia="Times New Roman" w:hAnsi="Calibri" w:cs="Calibri"/>
                <w:color w:val="000000"/>
                <w:lang w:val="en-ZA" w:eastAsia="en-ZA"/>
              </w:rPr>
              <w:instrText xml:space="preserve"> ADDIN ZOTERO_ITEM CSL_CITATION {"citationID":"i23jqsaw","properties":{"formattedCitation":"(6)","plainCitation":"(6)","noteIndex":0},"citationItems":[{"id":12291,"uris":["http://zotero.org/users/6216265/items/BNZBXEYW"],"itemData":{"id":12291,"type":"article-journal","abstract":"Gavi, the Vaccine Alliance, supports immunisation programmes in eligible countries to reach children with lifesaving vaccines. Dramatic improvement in the scale and performance of current cold chain systems is required to extend the reach of immunisation services - especially for children living in remote locations - to advance progress towards full vaccine coverage. Achieving these improvements will require a healthier market for cold chain equipment where the products meet user needs, are sustainably priced, and are available in sufficient quantities to meet demand. Yet evidence suggests that the cold chain market has suffered from several failures including limited demand visibility, fragmented procurement, and insufficient information exchange between manufacturers and buyers on needs and equipment performance. One of Gavi’s strategic goals is to shape markets for vaccines and other immunisation products, including cold chain equipment and in 2015, Gavi created a new mechanism – the Cold Chain Equipment (CCE) Optimisation Platform - to strengthen country cold chain systems by offering financial support and incentives for higher performing CCE. The main objective of the CCE Platform is to get more equipment that is efficient, sustainable, and better performing deployed to every health facility where it is required at an affordable price. To achieve these objectives, Gavi is putting in place tested market shaping approaches and tools adapted for the CCE market: the development of market strategies or ‘roadmaps’; improvement of product performance through the development of target product profiles (TPPs); strategic engagement with CCE manufacturers and countries to enhance information sharing; and tailoring procurement tactics to the CCE market. These approaches and tools will allow for increased demand and supply of higher-performing, cost-effective and quality products. By strengthening immunisation systems with improved cold chain equipment, Gavi countries can begin to address the underlying problems limiting vaccine availability and improve the coverage and equity of vaccines.","collection-title":"Building Next Generation Immunization Supply Chains","container-title":"Vaccine","DOI":"10.1016/j.vaccine.2016.12.073","ISSN":"0264-410X","issue":"17","journalAbbreviation":"Vaccine","page":"2260-2264","source":"ScienceDirect","title":"Seizing market shaping opportunities for vaccine cold chain equipment","volume":"35","author":[{"family":"Azimi","given":"Tara"},{"family":"Franzel","given":"Lauren"},{"family":"Probst","given":"Nina"}],"issued":{"date-parts":[["2017",4,19]]}}}],"schema":"https://github.com/citation-style-language/schema/raw/master/csl-citation.json"} </w:instrText>
            </w:r>
            <w:r w:rsidR="00D27165">
              <w:rPr>
                <w:rFonts w:ascii="Calibri" w:eastAsia="Times New Roman" w:hAnsi="Calibri" w:cs="Calibri"/>
                <w:color w:val="000000"/>
                <w:lang w:val="en-ZA" w:eastAsia="en-ZA"/>
              </w:rPr>
              <w:fldChar w:fldCharType="separate"/>
            </w:r>
            <w:r w:rsidR="00D27165" w:rsidRPr="00D27165">
              <w:rPr>
                <w:rFonts w:ascii="Calibri" w:hAnsi="Calibri" w:cs="Calibri"/>
              </w:rPr>
              <w:t>(6)</w:t>
            </w:r>
            <w:r w:rsidR="00D27165">
              <w:rPr>
                <w:rFonts w:ascii="Calibri" w:eastAsia="Times New Roman" w:hAnsi="Calibri" w:cs="Calibri"/>
                <w:color w:val="000000"/>
                <w:lang w:val="en-ZA" w:eastAsia="en-ZA"/>
              </w:rPr>
              <w:fldChar w:fldCharType="end"/>
            </w:r>
          </w:p>
        </w:tc>
        <w:tc>
          <w:tcPr>
            <w:tcW w:w="1464" w:type="dxa"/>
            <w:noWrap/>
            <w:hideMark/>
          </w:tcPr>
          <w:p w14:paraId="3EFEDD0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2017</w:t>
            </w:r>
          </w:p>
        </w:tc>
        <w:tc>
          <w:tcPr>
            <w:tcW w:w="2043" w:type="dxa"/>
            <w:noWrap/>
            <w:hideMark/>
          </w:tcPr>
          <w:p w14:paraId="78E5781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78F7C8A9" w14:textId="77777777" w:rsidTr="00366ACD">
        <w:trPr>
          <w:trHeight w:val="270"/>
        </w:trPr>
        <w:tc>
          <w:tcPr>
            <w:tcW w:w="2703" w:type="dxa"/>
            <w:noWrap/>
            <w:hideMark/>
          </w:tcPr>
          <w:p w14:paraId="30D6D2B7" w14:textId="74420B95" w:rsidR="00696AF0" w:rsidRPr="00696AF0" w:rsidRDefault="00696AF0" w:rsidP="00D27165">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Bachman </w:t>
            </w:r>
            <w:r w:rsidR="000620EA">
              <w:rPr>
                <w:rFonts w:ascii="Calibri" w:eastAsia="Times New Roman" w:hAnsi="Calibri" w:cs="Calibri"/>
                <w:color w:val="000000"/>
                <w:lang w:val="en-ZA" w:eastAsia="en-ZA"/>
              </w:rPr>
              <w:t>et al.</w:t>
            </w:r>
            <w:r w:rsidR="00D27165">
              <w:rPr>
                <w:rFonts w:ascii="Calibri" w:eastAsia="Times New Roman" w:hAnsi="Calibri" w:cs="Calibri"/>
                <w:color w:val="000000"/>
                <w:lang w:val="en-ZA" w:eastAsia="en-ZA"/>
              </w:rPr>
              <w:t xml:space="preserve"> </w:t>
            </w:r>
            <w:r w:rsidR="00D27165">
              <w:rPr>
                <w:rFonts w:ascii="Calibri" w:eastAsia="Times New Roman" w:hAnsi="Calibri" w:cs="Calibri"/>
                <w:color w:val="000000"/>
                <w:lang w:val="en-ZA" w:eastAsia="en-ZA"/>
              </w:rPr>
              <w:fldChar w:fldCharType="begin"/>
            </w:r>
            <w:r w:rsidR="00D27165">
              <w:rPr>
                <w:rFonts w:ascii="Calibri" w:eastAsia="Times New Roman" w:hAnsi="Calibri" w:cs="Calibri"/>
                <w:color w:val="000000"/>
                <w:lang w:val="en-ZA" w:eastAsia="en-ZA"/>
              </w:rPr>
              <w:instrText xml:space="preserve"> ADDIN ZOTERO_ITEM CSL_CITATION {"citationID":"0pFRUFg7","properties":{"formattedCitation":"(7)","plainCitation":"(7)","noteIndex":0},"citationItems":[{"id":12306,"uris":["http://zotero.org/users/6216265/items/85YK7R6C"],"itemData":{"id":12306,"type":"article-journal","abstract":"Rapid tests for SARS-COV-2 infection are important tools for pandemic control, but current rapid tests are based on proprietary designs and reagents. We report clinical validation results of an open-access lateral flow assay (OA-LFA) design using commercially available materials and reagents, along with RT-qPCR and commercially available comparators (BinaxNOW® and Sofia®). Adult patients with suspected COVID-19 based on clinical signs and symptoms, and with symptoms ≤7 days duration, underwent anterior nares (AN) sampling for the OA-LFA, Sofia®, BinaxNOW ™, and RT-qPCR, along with nasopharyngeal (NP) RT-qPCR. Results indicate a positive predictive agreement with NP sampling as 69% (60% -78%) OA-LFA, 74% (64% - 82%) Sofia®, and 82% (73% - 88%) BinaxNOW™. The implication for these results is that we provide an open-access LFA design that meets the minimum WHO target product profile for a rapid test, that virtually any diagnostic manufacturer could produce.","container-title":"PLOS ONE","DOI":"10.1371/journal.pone.0256352","ISSN":"1932-6203","issue":"8","journalAbbreviation":"PLOS ONE","language":"en","note":"publisher: Public Library of Science","page":"e0256352","source":"PLoS Journals","title":"Clinical validation of an open-access SARS-COV-2 antigen detection lateral flow assay, compared to commercially available assays","volume":"16","author":[{"family":"Bachman","given":"Christine M."},{"family":"Grant","given":"Benjamin D."},{"family":"Anderson","given":"Caitlin E."},{"family":"Alonzo","given":"Luis F."},{"family":"Garing","given":"Spencer"},{"family":"Byrnes","given":"Sam A."},{"family":"Rivera","given":"Rafael"},{"family":"Burkot","given":"Stephen"},{"family":"Ball","given":"Alexey"},{"family":"Stafford","given":"James W."},{"family":"Wang","given":"Wenbo"},{"family":"Banik","given":"Dipayan"},{"family":"Keller","given":"Matthew D."},{"family":"Cate","given":"David M."},{"family":"Nichols","given":"Kevin P."},{"family":"Weigl","given":"Bernhard H."},{"family":"Dewan","given":"Puneet"}],"issued":{"date-parts":[["2021",8,17]]}}}],"schema":"https://github.com/citation-style-language/schema/raw/master/csl-citation.json"} </w:instrText>
            </w:r>
            <w:r w:rsidR="00D27165">
              <w:rPr>
                <w:rFonts w:ascii="Calibri" w:eastAsia="Times New Roman" w:hAnsi="Calibri" w:cs="Calibri"/>
                <w:color w:val="000000"/>
                <w:lang w:val="en-ZA" w:eastAsia="en-ZA"/>
              </w:rPr>
              <w:fldChar w:fldCharType="separate"/>
            </w:r>
            <w:r w:rsidR="00D27165" w:rsidRPr="00D27165">
              <w:rPr>
                <w:rFonts w:ascii="Calibri" w:hAnsi="Calibri" w:cs="Calibri"/>
              </w:rPr>
              <w:t>(7)</w:t>
            </w:r>
            <w:r w:rsidR="00D27165">
              <w:rPr>
                <w:rFonts w:ascii="Calibri" w:eastAsia="Times New Roman" w:hAnsi="Calibri" w:cs="Calibri"/>
                <w:color w:val="000000"/>
                <w:lang w:val="en-ZA" w:eastAsia="en-ZA"/>
              </w:rPr>
              <w:fldChar w:fldCharType="end"/>
            </w:r>
          </w:p>
        </w:tc>
        <w:tc>
          <w:tcPr>
            <w:tcW w:w="1464" w:type="dxa"/>
            <w:noWrap/>
            <w:hideMark/>
          </w:tcPr>
          <w:p w14:paraId="3C5E70DA"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6848AD2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E1DFAA0" w14:textId="77777777" w:rsidTr="00366ACD">
        <w:trPr>
          <w:trHeight w:val="270"/>
        </w:trPr>
        <w:tc>
          <w:tcPr>
            <w:tcW w:w="2703" w:type="dxa"/>
            <w:noWrap/>
            <w:hideMark/>
          </w:tcPr>
          <w:p w14:paraId="54DA0436" w14:textId="24C3562E" w:rsidR="00696AF0" w:rsidRPr="00696AF0" w:rsidRDefault="00696AF0" w:rsidP="007D5E8E">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Balaña-Fouce</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7D5E8E">
              <w:rPr>
                <w:rFonts w:ascii="Calibri" w:eastAsia="Times New Roman" w:hAnsi="Calibri" w:cs="Calibri"/>
                <w:color w:val="000000"/>
                <w:lang w:val="en-ZA" w:eastAsia="en-ZA"/>
              </w:rPr>
              <w:t xml:space="preserve"> </w:t>
            </w:r>
            <w:r w:rsidR="007D5E8E">
              <w:rPr>
                <w:rFonts w:ascii="Calibri" w:eastAsia="Times New Roman" w:hAnsi="Calibri" w:cs="Calibri"/>
                <w:color w:val="000000"/>
                <w:lang w:val="en-ZA" w:eastAsia="en-ZA"/>
              </w:rPr>
              <w:fldChar w:fldCharType="begin"/>
            </w:r>
            <w:r w:rsidR="007D5E8E">
              <w:rPr>
                <w:rFonts w:ascii="Calibri" w:eastAsia="Times New Roman" w:hAnsi="Calibri" w:cs="Calibri"/>
                <w:color w:val="000000"/>
                <w:lang w:val="en-ZA" w:eastAsia="en-ZA"/>
              </w:rPr>
              <w:instrText xml:space="preserve"> ADDIN ZOTERO_ITEM CSL_CITATION {"citationID":"8zsRnEuG","properties":{"formattedCitation":"(8)","plainCitation":"(8)","noteIndex":0},"citationItems":[{"id":12295,"uris":["http://zotero.org/users/6216265/items/W2X6WFBL"],"itemData":{"id":12295,"type":"article-journal","abstract":"The current commitment of the pharma industry, nongovernmental organizations and academia to find better treatments against neglected tropical diseases should end decades of challenge caused by these global scourges. The initial result of these efforts has been the introduction of enhanced combinations of drugs, currently in clinical use, or formulations thereof. Phenotypic screening based on intracellular parasite infections has been revealed as the first key tool of antileishmanial drug discovery, because most first-in-class drugs entering Phase I trials were discovered this way. The professional commitment among stakeholders has enabled the availability of a plethora of new chemical entities that fit the target product profile for these diseases. However, the rate of hit discovery in leishmaniasis is far behind that for other neglected diseases. This review defends the need to develop new screening methods that consider the part played not only by intracellular parasites but also by the host's immune system to generate disease-relevant assays and improve clinical outcomes.","container-title":"Drug Discovery Today","DOI":"10.1016/j.drudis.2019.03.007","ISSN":"1878-5832","issue":"5","journalAbbreviation":"Drug Discov Today","language":"eng","note":"PMID: 30876846","page":"1209-1216","source":"PubMed","title":"Walking a tightrope: drug discovery in visceral leishmaniasis","title-short":"Walking a tightrope","volume":"24","author":[{"family":"Balaña-Fouce","given":"Rafael"},{"family":"Pérez Pertejo","given":"M. Yolanda"},{"family":"Domínguez-Asenjo","given":"Bárbara"},{"family":"Gutiérrez-Corbo","given":"Camino"},{"family":"Reguera","given":"Rosa M."}],"issued":{"date-parts":[["2019",5]]}}}],"schema":"https://github.com/citation-style-language/schema/raw/master/csl-citation.json"} </w:instrText>
            </w:r>
            <w:r w:rsidR="007D5E8E">
              <w:rPr>
                <w:rFonts w:ascii="Calibri" w:eastAsia="Times New Roman" w:hAnsi="Calibri" w:cs="Calibri"/>
                <w:color w:val="000000"/>
                <w:lang w:val="en-ZA" w:eastAsia="en-ZA"/>
              </w:rPr>
              <w:fldChar w:fldCharType="separate"/>
            </w:r>
            <w:r w:rsidR="007D5E8E" w:rsidRPr="007D5E8E">
              <w:rPr>
                <w:rFonts w:ascii="Calibri" w:hAnsi="Calibri" w:cs="Calibri"/>
              </w:rPr>
              <w:t>(8)</w:t>
            </w:r>
            <w:r w:rsidR="007D5E8E">
              <w:rPr>
                <w:rFonts w:ascii="Calibri" w:eastAsia="Times New Roman" w:hAnsi="Calibri" w:cs="Calibri"/>
                <w:color w:val="000000"/>
                <w:lang w:val="en-ZA" w:eastAsia="en-ZA"/>
              </w:rPr>
              <w:fldChar w:fldCharType="end"/>
            </w:r>
          </w:p>
        </w:tc>
        <w:tc>
          <w:tcPr>
            <w:tcW w:w="1464" w:type="dxa"/>
            <w:noWrap/>
            <w:hideMark/>
          </w:tcPr>
          <w:p w14:paraId="4AE07F88"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2DEE88B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A81A3B3" w14:textId="77777777" w:rsidTr="00366ACD">
        <w:trPr>
          <w:trHeight w:val="270"/>
        </w:trPr>
        <w:tc>
          <w:tcPr>
            <w:tcW w:w="2703" w:type="dxa"/>
            <w:noWrap/>
            <w:hideMark/>
          </w:tcPr>
          <w:p w14:paraId="0F24C1C4" w14:textId="74CDF0B5" w:rsidR="00696AF0" w:rsidRPr="00696AF0" w:rsidRDefault="00696AF0" w:rsidP="007D5E8E">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Bardon </w:t>
            </w:r>
            <w:r w:rsidR="000620EA">
              <w:rPr>
                <w:rFonts w:ascii="Calibri" w:eastAsia="Times New Roman" w:hAnsi="Calibri" w:cs="Calibri"/>
                <w:color w:val="000000"/>
                <w:lang w:val="en-ZA" w:eastAsia="en-ZA"/>
              </w:rPr>
              <w:t>et al.</w:t>
            </w:r>
            <w:r w:rsidR="007D5E8E">
              <w:rPr>
                <w:rFonts w:ascii="Calibri" w:eastAsia="Times New Roman" w:hAnsi="Calibri" w:cs="Calibri"/>
                <w:color w:val="000000"/>
                <w:lang w:val="en-ZA" w:eastAsia="en-ZA"/>
              </w:rPr>
              <w:t xml:space="preserve"> </w:t>
            </w:r>
            <w:r w:rsidR="007D5E8E">
              <w:rPr>
                <w:rFonts w:ascii="Calibri" w:eastAsia="Times New Roman" w:hAnsi="Calibri" w:cs="Calibri"/>
                <w:color w:val="000000"/>
                <w:lang w:val="en-ZA" w:eastAsia="en-ZA"/>
              </w:rPr>
              <w:fldChar w:fldCharType="begin"/>
            </w:r>
            <w:r w:rsidR="007D5E8E">
              <w:rPr>
                <w:rFonts w:ascii="Calibri" w:eastAsia="Times New Roman" w:hAnsi="Calibri" w:cs="Calibri"/>
                <w:color w:val="000000"/>
                <w:lang w:val="en-ZA" w:eastAsia="en-ZA"/>
              </w:rPr>
              <w:instrText xml:space="preserve"> ADDIN ZOTERO_ITEM CSL_CITATION {"citationID":"G74UrdjY","properties":{"formattedCitation":"(9)","plainCitation":"(9)","noteIndex":0},"citationItems":[{"id":12297,"uris":["http://zotero.org/users/6216265/items/YKV287MU"],"itemData":{"id":12297,"type":"article-journal","abstract":"BACKGROUND: Real-time, objective measures of adherence to antiretroviral therapy (ART) and pre-exposure prophylaxis (PrEP) are needed to better assess adherence levels and to expedite clinical response for those with suboptimal adherence. Point-of-care tenofovir (POC-TFV) testing has been proposed as a solution to facilitate real-time antiretroviral adherence monitoring, but little is known about how health care providers, people living with HIV (PLWH) receiving ART, and people receiving PrEP will perceive POC-TFV testing.\nMETHODS: We conducted an exploratory qualitative study to assess perspectives on the utility and interest in POC-TFV testing from potential end users. We conducted three focus group discussions (FGDs) among 17 PLWH receiving ART and four individuals receiving PrEP, as well as eight in-depth interviews (IDIs) with health care providers in the Seattle area and presented participants with a hypothetical urine-based POC-TFV test. FGDs and IDIs were audio recorded, transcribed, coded, and analyzed to describe emerging themes.\nRESULTS: Overall, study participants demonstrated divergent opinions about the POC-TFV test. Among study participants, PLWH were most ambivalent about POC-TFV testing, first demonstrating reluctance to TFV-level monitoring and shifting positions during the FGDs. However, all PLWH participants were receptive to POC-TFV testing if requested by their provider. PrEP participants were generally supportive of POC-TFV testing for routine adherence monitoring and emphasized potential value in self-administered testing. Providers' perceptions were equally divided - half suggested POC-TFV testing would be valuable, particularly for people receiving PrEP, while half indicated the test would have little benefit for most individuals receiving ART or PrEP in the U.S. All providers agreed that POC-TFV test results could be beneficial for assessing discrepancies in viral load results and self-reported adherence among PLWH. The study also revealed that a low-cost, non-urine-based POC-TFV test with a long-term limit of detection would be preferred over the hypothetical urine-based test.\nCONCLUSIONS: Our findings indicate POC-TFV testing may be beneficial for routine, clinic-based adherence monitoring, particularly for individuals receiving PrEP or for PLWH with persistent viremia or following recent ART initiation. These findings should also be used to formulate a target product profile for a POC-TFV test and to guide further developments in tools for objective antiretroviral adherence monitoring.","container-title":"AIDS research and therapy","DOI":"10.1186/s12981-020-00308-w","ISSN":"1742-6405","issue":"1","journalAbbreviation":"AIDS Res Ther","language":"eng","note":"PMID: 32762713\nPMCID: PMC7412814","page":"50","source":"PubMed","title":"Perspectives on the utility and interest in a point-of-care urine tenofovir test for adherence to HIV pre-exposure prophylaxis and antiretroviral therapy: an exploratory qualitative assessment among U.S. clients and providers","title-short":"Perspectives on the utility and interest in a point-of-care urine tenofovir test for adherence to HIV pre-exposure prophylaxis and antiretroviral therapy","volume":"17","author":[{"family":"Bardon","given":"Ashley R."},{"family":"Simoni","given":"Jane M."},{"family":"Layman","given":"Leif M."},{"family":"Stekler","given":"Joanne D."},{"family":"Drain","given":"Paul K."}],"issued":{"date-parts":[["2020",8,6]]}}}],"schema":"https://github.com/citation-style-language/schema/raw/master/csl-citation.json"} </w:instrText>
            </w:r>
            <w:r w:rsidR="007D5E8E">
              <w:rPr>
                <w:rFonts w:ascii="Calibri" w:eastAsia="Times New Roman" w:hAnsi="Calibri" w:cs="Calibri"/>
                <w:color w:val="000000"/>
                <w:lang w:val="en-ZA" w:eastAsia="en-ZA"/>
              </w:rPr>
              <w:fldChar w:fldCharType="separate"/>
            </w:r>
            <w:r w:rsidR="007D5E8E" w:rsidRPr="007D5E8E">
              <w:rPr>
                <w:rFonts w:ascii="Calibri" w:hAnsi="Calibri" w:cs="Calibri"/>
              </w:rPr>
              <w:t>(9)</w:t>
            </w:r>
            <w:r w:rsidR="007D5E8E">
              <w:rPr>
                <w:rFonts w:ascii="Calibri" w:eastAsia="Times New Roman" w:hAnsi="Calibri" w:cs="Calibri"/>
                <w:color w:val="000000"/>
                <w:lang w:val="en-ZA" w:eastAsia="en-ZA"/>
              </w:rPr>
              <w:fldChar w:fldCharType="end"/>
            </w:r>
          </w:p>
        </w:tc>
        <w:tc>
          <w:tcPr>
            <w:tcW w:w="1464" w:type="dxa"/>
            <w:noWrap/>
            <w:hideMark/>
          </w:tcPr>
          <w:p w14:paraId="102A369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4647806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0F6FFC5" w14:textId="77777777" w:rsidTr="00366ACD">
        <w:trPr>
          <w:trHeight w:val="270"/>
        </w:trPr>
        <w:tc>
          <w:tcPr>
            <w:tcW w:w="2703" w:type="dxa"/>
            <w:noWrap/>
            <w:hideMark/>
          </w:tcPr>
          <w:p w14:paraId="6A71EC7B" w14:textId="1B985355" w:rsidR="00696AF0" w:rsidRPr="00696AF0" w:rsidRDefault="00696AF0" w:rsidP="00565BA5">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Bartsch </w:t>
            </w:r>
            <w:r w:rsidR="000620EA">
              <w:rPr>
                <w:rFonts w:ascii="Calibri" w:eastAsia="Times New Roman" w:hAnsi="Calibri" w:cs="Calibri"/>
                <w:color w:val="000000"/>
                <w:lang w:val="en-ZA" w:eastAsia="en-ZA"/>
              </w:rPr>
              <w:t>et al.</w:t>
            </w:r>
            <w:r w:rsidR="00565BA5">
              <w:rPr>
                <w:rFonts w:ascii="Calibri" w:eastAsia="Times New Roman" w:hAnsi="Calibri" w:cs="Calibri"/>
                <w:color w:val="000000"/>
                <w:lang w:val="en-ZA" w:eastAsia="en-ZA"/>
              </w:rPr>
              <w:t xml:space="preserve"> </w:t>
            </w:r>
            <w:r w:rsidR="00565BA5">
              <w:rPr>
                <w:rFonts w:ascii="Calibri" w:eastAsia="Times New Roman" w:hAnsi="Calibri" w:cs="Calibri"/>
                <w:color w:val="000000"/>
                <w:lang w:val="en-ZA" w:eastAsia="en-ZA"/>
              </w:rPr>
              <w:fldChar w:fldCharType="begin"/>
            </w:r>
            <w:r w:rsidR="00565BA5">
              <w:rPr>
                <w:rFonts w:ascii="Calibri" w:eastAsia="Times New Roman" w:hAnsi="Calibri" w:cs="Calibri"/>
                <w:color w:val="000000"/>
                <w:lang w:val="en-ZA" w:eastAsia="en-ZA"/>
              </w:rPr>
              <w:instrText xml:space="preserve"> ADDIN ZOTERO_ITEM CSL_CITATION {"citationID":"DLwqo4qZ","properties":{"formattedCitation":"(10)","plainCitation":"(10)","noteIndex":0},"citationItems":[{"id":12300,"uris":["http://zotero.org/users/6216265/items/G8DHR5AE"],"itemData":{"id":12300,"type":"article-journal","abstract":"Background\nAlthough mass drug administration (MDA) has helped reduce morbidity attributed to soil-transmitted helminth infections in children, its limitations for hookworm infection have motivated the development of a human hookworm vaccine to both improve morbidity control and ultimately help block hookworm transmission leading to elimination. However, the potential economic and epidemiologic impact of a preventive vaccine has not been fully evaluated.\nMethods\nWe developed a dynamic compartment model coupled to a clinical and economics outcomes model representing both the human and hookworm populations in a high transmission region of Brazil. Experiments simulated different implementation scenarios of MDA and vaccination under varying circumstances.\nResults\nConsidering only intervention costs, both annual MDA and vaccination were highly cost-effective (ICERs ≤$790/DALY averted) compared to no intervention, with vaccination resulting in lower incremental cost-effectiveness ratios (ICERs ≤$444/DALY averted). From the societal perspective, vaccination was economically dominant (i.e., less costly and more effective) versus annual MDA in all tested scenarios, except when vaccination was less efficacious (20% efficacy, 5 year duration) and MDA coverage was 75%. Increasing the vaccine's duration of protection and efficacy, and including a booster injection in adulthood all increased the benefits of vaccination (i.e., resulted in lower hookworm prevalence, averted more disability-adjusted life years, and saved more costs). Assuming its target product profile, a pediatric hookworm vaccine drastically decreased hookworm prevalence in children to 14.6% after 20 years, compared to 57.2% with no intervention and 54.1% with MDA. The addition of a booster in adulthood further reduced the overall prevalence from 68.0% to 36.0% and nearly eliminated hookworm infection in children.\nConclusion\nUsing a human hookworm vaccine would be cost-effective and in many cases economically dominant, providing both health benefits and cost-savings. It could become a key technology in effecting control and elimination efforts for hookworm globally.","container-title":"Vaccine","DOI":"10.1016/j.vaccine.2016.03.018","ISSN":"0264-410X","issue":"19","journalAbbreviation":"Vaccine","page":"2197-2206","source":"ScienceDirect","title":"Modeling the economic and epidemiologic impact of hookworm vaccine and mass drug administration (MDA) in Brazil, a high transmission setting","volume":"34","author":[{"family":"Bartsch","given":"Sarah M."},{"family":"Hotez","given":"Peter J."},{"family":"Hertenstein","given":"Daniel L."},{"family":"Diemert","given":"David J."},{"family":"Zapf","given":"Kristina M."},{"family":"Bottazzi","given":"Maria Elena"},{"family":"Bethony","given":"Jeffrey M."},{"family":"Brown","given":"Shawn T."},{"family":"Lee","given":"Bruce Y."}],"issued":{"date-parts":[["2016",4,27]]}}}],"schema":"https://github.com/citation-style-language/schema/raw/master/csl-citation.json"} </w:instrText>
            </w:r>
            <w:r w:rsidR="00565BA5">
              <w:rPr>
                <w:rFonts w:ascii="Calibri" w:eastAsia="Times New Roman" w:hAnsi="Calibri" w:cs="Calibri"/>
                <w:color w:val="000000"/>
                <w:lang w:val="en-ZA" w:eastAsia="en-ZA"/>
              </w:rPr>
              <w:fldChar w:fldCharType="separate"/>
            </w:r>
            <w:r w:rsidR="00565BA5" w:rsidRPr="00565BA5">
              <w:rPr>
                <w:rFonts w:ascii="Calibri" w:hAnsi="Calibri" w:cs="Calibri"/>
              </w:rPr>
              <w:t>(10)</w:t>
            </w:r>
            <w:r w:rsidR="00565BA5">
              <w:rPr>
                <w:rFonts w:ascii="Calibri" w:eastAsia="Times New Roman" w:hAnsi="Calibri" w:cs="Calibri"/>
                <w:color w:val="000000"/>
                <w:lang w:val="en-ZA" w:eastAsia="en-ZA"/>
              </w:rPr>
              <w:fldChar w:fldCharType="end"/>
            </w:r>
          </w:p>
        </w:tc>
        <w:tc>
          <w:tcPr>
            <w:tcW w:w="1464" w:type="dxa"/>
            <w:noWrap/>
            <w:hideMark/>
          </w:tcPr>
          <w:p w14:paraId="2F8A1E7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2016</w:t>
            </w:r>
          </w:p>
        </w:tc>
        <w:tc>
          <w:tcPr>
            <w:tcW w:w="2043" w:type="dxa"/>
            <w:noWrap/>
            <w:hideMark/>
          </w:tcPr>
          <w:p w14:paraId="17AE2642"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00D77B5" w14:textId="77777777" w:rsidTr="00366ACD">
        <w:trPr>
          <w:trHeight w:val="270"/>
        </w:trPr>
        <w:tc>
          <w:tcPr>
            <w:tcW w:w="2703" w:type="dxa"/>
            <w:noWrap/>
            <w:hideMark/>
          </w:tcPr>
          <w:p w14:paraId="2EBEFAB0" w14:textId="3DC195DB" w:rsidR="00696AF0" w:rsidRPr="00696AF0" w:rsidRDefault="00696AF0" w:rsidP="005039DE">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Basilico </w:t>
            </w:r>
            <w:r w:rsidR="000620EA">
              <w:rPr>
                <w:rFonts w:ascii="Calibri" w:eastAsia="Times New Roman" w:hAnsi="Calibri" w:cs="Calibri"/>
                <w:color w:val="000000"/>
                <w:lang w:val="en-ZA" w:eastAsia="en-ZA"/>
              </w:rPr>
              <w:t>et al.</w:t>
            </w:r>
            <w:r w:rsidR="005039DE">
              <w:rPr>
                <w:rFonts w:ascii="Calibri" w:eastAsia="Times New Roman" w:hAnsi="Calibri" w:cs="Calibri"/>
                <w:color w:val="000000"/>
                <w:lang w:val="en-ZA" w:eastAsia="en-ZA"/>
              </w:rPr>
              <w:t xml:space="preserve"> </w:t>
            </w:r>
            <w:r w:rsidR="005039DE">
              <w:rPr>
                <w:rFonts w:ascii="Calibri" w:eastAsia="Times New Roman" w:hAnsi="Calibri" w:cs="Calibri"/>
                <w:color w:val="000000"/>
                <w:lang w:val="en-ZA" w:eastAsia="en-ZA"/>
              </w:rPr>
              <w:fldChar w:fldCharType="begin"/>
            </w:r>
            <w:r w:rsidR="005039DE">
              <w:rPr>
                <w:rFonts w:ascii="Calibri" w:eastAsia="Times New Roman" w:hAnsi="Calibri" w:cs="Calibri"/>
                <w:color w:val="000000"/>
                <w:lang w:val="en-ZA" w:eastAsia="en-ZA"/>
              </w:rPr>
              <w:instrText xml:space="preserve"> ADDIN ZOTERO_ITEM CSL_CITATION {"citationID":"Whcrz7mN","properties":{"formattedCitation":"(11)","plainCitation":"(11)","noteIndex":0},"citationItems":[{"id":12303,"uris":["http://zotero.org/users/6216265/items/IJRQC4HF"],"itemData":{"id":12303,"type":"article-journal","abstract":"Natural products are a prolific source for the identification of new biologically active compounds. In the present work, we studied the in vitro and in vivo antimalarial efficacy and ADME-Tox profile of a molecular hybrid (AM1) between 4-aminoquinoline and a quinolizidine moiety derived from lupinine (Lupinus luteus). The aim was to find a compound endowed with the target product profile-1 (TCP-1: molecules that clear asexual blood-stage parasitaemia), proposed by the Medicine for Malaria Venture to accomplish the goal of malaria elimination/eradication. AM1 displayed a very attractive profile in terms of both in vitro and in vivo activity. By using standard in vitro antimalarial assays, AM1 showed low nanomolar inhibitory activity against chloroquine-sensitive and resistant P. falciparum strains (range IC50 16-53 nM), matched with a high potency against P. vivax field isolates (Mean IC50 29 nM). Low toxicity and additivity with artemisinin derivatives were also demonstrated in vitro. High in vivo oral efficacy was observed in both P.berghei and P. yoelii mouse models with IC50 values comparable or better than those of chloroquine. The metabolic stability in different species and the pharmacokinetic profile in the mouse model makes AM1 a compound worth further investigation as a potential novel schizonticidal agent.","container-title":"Molecules (Basel, Switzerland)","DOI":"10.3390/molecules22122102","ISSN":"1420-3049","issue":"12","journalAbbreviation":"Molecules","language":"eng","note":"PMID: 29194347\nPMCID: PMC6149971","page":"2102","source":"PubMed","title":"In Vivo and In Vitro Activities and ADME-Tox Profile of a Quinolizidine-Modified 4-Aminoquinoline: A Potent Anti-P. falciparum and Anti-P. vivax Blood-Stage Antimalarial","title-short":"In Vivo and In Vitro Activities and ADME-Tox Profile of a Quinolizidine-Modified 4-Aminoquinoline","volume":"22","author":[{"family":"Basilico","given":"Nicoletta"},{"family":"Parapini","given":"Silvia"},{"family":"Sparatore","given":"Anna"},{"family":"Romeo","given":"Sergio"},{"family":"Misiano","given":"Paola"},{"family":"Vivas","given":"Livia"},{"family":"Yardley","given":"Vanessa"},{"family":"Croft","given":"Simon L."},{"family":"Habluetzel","given":"Annette"},{"family":"Lucantoni","given":"Leonardo"},{"family":"Renia","given":"Laurent"},{"family":"Russell","given":"Bruce"},{"family":"Suwanarusk","given":"Rossarin"},{"family":"Nosten","given":"Francois"},{"family":"Dondio","given":"Giulio"},{"family":"Bigogno","given":"Chiara"},{"family":"Jabes","given":"Daniela"},{"family":"Taramelli","given":"Donatella"}],"issued":{"date-parts":[["2017",12,1]]}}}],"schema":"https://github.com/citation-style-language/schema/raw/master/csl-citation.json"} </w:instrText>
            </w:r>
            <w:r w:rsidR="005039DE">
              <w:rPr>
                <w:rFonts w:ascii="Calibri" w:eastAsia="Times New Roman" w:hAnsi="Calibri" w:cs="Calibri"/>
                <w:color w:val="000000"/>
                <w:lang w:val="en-ZA" w:eastAsia="en-ZA"/>
              </w:rPr>
              <w:fldChar w:fldCharType="separate"/>
            </w:r>
            <w:r w:rsidR="005039DE" w:rsidRPr="005039DE">
              <w:rPr>
                <w:rFonts w:ascii="Calibri" w:hAnsi="Calibri" w:cs="Calibri"/>
              </w:rPr>
              <w:t>(11)</w:t>
            </w:r>
            <w:r w:rsidR="005039DE">
              <w:rPr>
                <w:rFonts w:ascii="Calibri" w:eastAsia="Times New Roman" w:hAnsi="Calibri" w:cs="Calibri"/>
                <w:color w:val="000000"/>
                <w:lang w:val="en-ZA" w:eastAsia="en-ZA"/>
              </w:rPr>
              <w:fldChar w:fldCharType="end"/>
            </w:r>
          </w:p>
        </w:tc>
        <w:tc>
          <w:tcPr>
            <w:tcW w:w="1464" w:type="dxa"/>
            <w:noWrap/>
            <w:hideMark/>
          </w:tcPr>
          <w:p w14:paraId="6FA40EC5"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2017</w:t>
            </w:r>
          </w:p>
        </w:tc>
        <w:tc>
          <w:tcPr>
            <w:tcW w:w="2043" w:type="dxa"/>
            <w:noWrap/>
            <w:hideMark/>
          </w:tcPr>
          <w:p w14:paraId="01CD42E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0A3F4A7" w14:textId="77777777" w:rsidTr="00366ACD">
        <w:trPr>
          <w:trHeight w:val="270"/>
        </w:trPr>
        <w:tc>
          <w:tcPr>
            <w:tcW w:w="2703" w:type="dxa"/>
            <w:noWrap/>
            <w:hideMark/>
          </w:tcPr>
          <w:p w14:paraId="0FB62BE8" w14:textId="469ED251" w:rsidR="00696AF0" w:rsidRPr="00696AF0" w:rsidRDefault="00696AF0" w:rsidP="005039DE">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Bayaa</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5039DE">
              <w:rPr>
                <w:rFonts w:ascii="Calibri" w:eastAsia="Times New Roman" w:hAnsi="Calibri" w:cs="Calibri"/>
                <w:color w:val="000000"/>
                <w:lang w:val="en-ZA" w:eastAsia="en-ZA"/>
              </w:rPr>
              <w:t xml:space="preserve"> </w:t>
            </w:r>
            <w:r w:rsidR="005039DE">
              <w:rPr>
                <w:rFonts w:ascii="Calibri" w:eastAsia="Times New Roman" w:hAnsi="Calibri" w:cs="Calibri"/>
                <w:color w:val="000000"/>
                <w:lang w:val="en-ZA" w:eastAsia="en-ZA"/>
              </w:rPr>
              <w:fldChar w:fldCharType="begin"/>
            </w:r>
            <w:r w:rsidR="005039DE">
              <w:rPr>
                <w:rFonts w:ascii="Calibri" w:eastAsia="Times New Roman" w:hAnsi="Calibri" w:cs="Calibri"/>
                <w:color w:val="000000"/>
                <w:lang w:val="en-ZA" w:eastAsia="en-ZA"/>
              </w:rPr>
              <w:instrText xml:space="preserve"> ADDIN ZOTERO_ITEM CSL_CITATION {"citationID":"Oq3k3xbR","properties":{"formattedCitation":"(12)","plainCitation":"(12)","noteIndex":0},"citationItems":[{"id":12308,"uris":["http://zotero.org/users/6216265/items/UKE2LX8K"],"itemData":{"id":12308,"type":"article-journal","abstract":"There is a crucial need for non-sputum-based TB tests. Here, we evaluate the performance of RISK6, a human-blood transcriptomic signature, for TB screening, triage and treatment monitoring. RISK6 performance was also compared to that of two IGRAs: one based on RD1 antigens (QuantiFERON-TB Gold Plus, QFT-P, Qiagen) and one on recombinant M. tuberculosis HBHA expressed in Mycobacterium smegmatis (IGRA-rmsHBHA). In this multicenter prospective nested case–control study conducted in Bangladesh, Georgia, Lebanon and Madagascar, adult non-immunocompromised patients with bacteriologically confirmed active pulmonary TB (ATB), latent TB infection (LTBI) and healthy donors (HD) were enrolled. ATB patients were followed-up during and after treatment. Blood RISK6 scores were assessed using quantitative real-time PCR and evaluated by area under the receiver-operating characteristic curve (ROC AUC). RISK6 performance to discriminate ATB from HD reached an AUC of 0.94 (95% CI 0.89–0.99), with 90.9% sensitivity and 87.8% specificity, thus achieving the minimal WHO target product profile for a non-sputum-based TB screening test. Besides, RISK6 yielded an AUC of 0.93 (95% CI 0.85–1) with 90.9% sensitivity and 88.5% specificity for discriminating ATB from LTBI. Moreover, RISK6 showed higher performance (AUC 0.90, 95% CI 0.85–0.94) than IGRA-rmsHBHA (AUC 0.75, 95% CI 0.69–0.82) to differentiate TB infection stages. Finally, RISK6 signature scores significantly decreased after 2 months of TB treatment and continued to decrease gradually until the end of treatment reaching scores obtained in HD. We confirmed the performance of RISK6 signature as a triage TB test and its utility for treatment monitoring.","container-title":"Scientific Reports","DOI":"10.1038/s41598-021-93059-1","ISSN":"2045-2322","issue":"1","journalAbbreviation":"Sci Rep","language":"en","license":"2021 The Author(s)","note":"number: 1\npublisher: Nature Publishing Group","page":"13646","source":"www.nature.com","title":"Multi-country evaluation of RISK6, a 6-gene blood transcriptomic signature, for tuberculosis diagnosis and treatment monitoring","volume":"11","author":[{"family":"Bayaa","given":"Rim"},{"family":"Ndiaye","given":"Mame Diarra Bousso"},{"family":"Chedid","given":"Carole"},{"family":"Kokhreidze","given":"Eka"},{"family":"Tukvadze","given":"Nestani"},{"family":"Banu","given":"Sayera"},{"family":"Uddin","given":"Mohammad Khaja Mafij"},{"family":"Biswas","given":"Samanta"},{"family":"Nasrin","given":"Rumana"},{"family":"Ranaivomanana","given":"Paulo"},{"family":"Raherinandrasana","given":"Antso Hasina"},{"family":"Rakotonirina","given":"Julio"},{"family":"Rasolofo","given":"Voahangy"},{"family":"Delogu","given":"Giovanni"},{"family":"De Maio","given":"Flavio"},{"family":"Goletti","given":"Delia"},{"family":"Endtz","given":"Hubert"},{"family":"Ader","given":"Florence"},{"family":"Hamze","given":"Monzer"},{"family":"Ismail","given":"Mohamad Bachar"},{"family":"Pouzol","given":"Stéphane"},{"family":"Rakotosamimanana","given":"Niaina"},{"family":"Hoffmann","given":"Jonathan"}],"issued":{"date-parts":[["2021",7,1]]}}}],"schema":"https://github.com/citation-style-language/schema/raw/master/csl-citation.json"} </w:instrText>
            </w:r>
            <w:r w:rsidR="005039DE">
              <w:rPr>
                <w:rFonts w:ascii="Calibri" w:eastAsia="Times New Roman" w:hAnsi="Calibri" w:cs="Calibri"/>
                <w:color w:val="000000"/>
                <w:lang w:val="en-ZA" w:eastAsia="en-ZA"/>
              </w:rPr>
              <w:fldChar w:fldCharType="separate"/>
            </w:r>
            <w:r w:rsidR="005039DE" w:rsidRPr="005039DE">
              <w:rPr>
                <w:rFonts w:ascii="Calibri" w:hAnsi="Calibri" w:cs="Calibri"/>
              </w:rPr>
              <w:t>(12)</w:t>
            </w:r>
            <w:r w:rsidR="005039DE">
              <w:rPr>
                <w:rFonts w:ascii="Calibri" w:eastAsia="Times New Roman" w:hAnsi="Calibri" w:cs="Calibri"/>
                <w:color w:val="000000"/>
                <w:lang w:val="en-ZA" w:eastAsia="en-ZA"/>
              </w:rPr>
              <w:fldChar w:fldCharType="end"/>
            </w:r>
          </w:p>
        </w:tc>
        <w:tc>
          <w:tcPr>
            <w:tcW w:w="1464" w:type="dxa"/>
            <w:noWrap/>
            <w:hideMark/>
          </w:tcPr>
          <w:p w14:paraId="5ABF0BE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7886AB0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15FD6C3" w14:textId="77777777" w:rsidTr="00366ACD">
        <w:trPr>
          <w:trHeight w:val="270"/>
        </w:trPr>
        <w:tc>
          <w:tcPr>
            <w:tcW w:w="2703" w:type="dxa"/>
            <w:noWrap/>
            <w:hideMark/>
          </w:tcPr>
          <w:p w14:paraId="6CED790A" w14:textId="08ABA3CF" w:rsidR="00696AF0" w:rsidRPr="00696AF0" w:rsidRDefault="00696AF0" w:rsidP="008B15AA">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Beck and Liu</w:t>
            </w:r>
            <w:r w:rsidR="008B15AA">
              <w:rPr>
                <w:rFonts w:ascii="Calibri" w:eastAsia="Times New Roman" w:hAnsi="Calibri" w:cs="Calibri"/>
                <w:color w:val="000000"/>
                <w:lang w:val="en-ZA" w:eastAsia="en-ZA"/>
              </w:rPr>
              <w:t xml:space="preserve"> </w:t>
            </w:r>
            <w:r w:rsidR="008B15AA">
              <w:rPr>
                <w:rFonts w:ascii="Calibri" w:eastAsia="Times New Roman" w:hAnsi="Calibri" w:cs="Calibri"/>
                <w:color w:val="000000"/>
                <w:lang w:val="en-ZA" w:eastAsia="en-ZA"/>
              </w:rPr>
              <w:fldChar w:fldCharType="begin"/>
            </w:r>
            <w:r w:rsidR="008B15AA">
              <w:rPr>
                <w:rFonts w:ascii="Calibri" w:eastAsia="Times New Roman" w:hAnsi="Calibri" w:cs="Calibri"/>
                <w:color w:val="000000"/>
                <w:lang w:val="en-ZA" w:eastAsia="en-ZA"/>
              </w:rPr>
              <w:instrText xml:space="preserve"> ADDIN ZOTERO_ITEM CSL_CITATION {"citationID":"OuLIymHm","properties":{"formattedCitation":"(13)","plainCitation":"(13)","noteIndex":0},"citationItems":[{"id":12310,"uris":["http://zotero.org/users/6216265/items/IRUS4V55"],"itemData":{"id":12310,"type":"article-journal","abstract":"Recombinant monoclonal antibodies (mAbs) intended for therapeutic usage are required to be thoroughly characterized, which has promoted an extensive effort towards the understanding of the structures and heterogeneity of this major class of molecules. Batch consistency and comparability are highly relevant to the successful pharmaceutical development of mAbs and related products. Small structural modifications that contribute to molecule variants (or proteoforms) differing in size, charge or hydrophobicity have been identified. These modifications may impact (or not) the stability, pharmacokinetics, and efficacy of mAbs. The presence of the same type of modifications as found in endogenous immunoglobulin G (IgG) can substantially lower the safety risks of mAbs. The knowledge of modifications is also critical to the ranking of critical quality attributes (CQAs) of the drug and define the Quality Target Product Profile (QTPP). This review provides a summary of the current understanding of post-translational and physico-chemical modifications identified in recombinant mAbs and endogenous IgGs at physiological conditions.","container-title":"Antibodies","DOI":"10.3390/antib8010018","ISSN":"2073-4468","issue":"1","language":"en","license":"http://creativecommons.org/licenses/by/3.0/","note":"number: 1\npublisher: Multidisciplinary Digital Publishing Institute","page":"18","source":"www.mdpi.com","title":"Macro- and Micro-Heterogeneity of Natural and Recombinant IgG Antibodies","volume":"8","author":[{"family":"Beck","given":"Alain"},{"family":"Liu","given":"Hongcheng"}],"issued":{"date-parts":[["2019",3]]}}}],"schema":"https://github.com/citation-style-language/schema/raw/master/csl-citation.json"} </w:instrText>
            </w:r>
            <w:r w:rsidR="008B15AA">
              <w:rPr>
                <w:rFonts w:ascii="Calibri" w:eastAsia="Times New Roman" w:hAnsi="Calibri" w:cs="Calibri"/>
                <w:color w:val="000000"/>
                <w:lang w:val="en-ZA" w:eastAsia="en-ZA"/>
              </w:rPr>
              <w:fldChar w:fldCharType="separate"/>
            </w:r>
            <w:r w:rsidR="008B15AA" w:rsidRPr="008B15AA">
              <w:rPr>
                <w:rFonts w:ascii="Calibri" w:hAnsi="Calibri" w:cs="Calibri"/>
              </w:rPr>
              <w:t>(13)</w:t>
            </w:r>
            <w:r w:rsidR="008B15AA">
              <w:rPr>
                <w:rFonts w:ascii="Calibri" w:eastAsia="Times New Roman" w:hAnsi="Calibri" w:cs="Calibri"/>
                <w:color w:val="000000"/>
                <w:lang w:val="en-ZA" w:eastAsia="en-ZA"/>
              </w:rPr>
              <w:fldChar w:fldCharType="end"/>
            </w:r>
          </w:p>
        </w:tc>
        <w:tc>
          <w:tcPr>
            <w:tcW w:w="1464" w:type="dxa"/>
            <w:noWrap/>
            <w:hideMark/>
          </w:tcPr>
          <w:p w14:paraId="6D4974A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5CE3530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08D58DF" w14:textId="77777777" w:rsidTr="00366ACD">
        <w:trPr>
          <w:trHeight w:val="270"/>
        </w:trPr>
        <w:tc>
          <w:tcPr>
            <w:tcW w:w="2703" w:type="dxa"/>
            <w:noWrap/>
            <w:hideMark/>
          </w:tcPr>
          <w:p w14:paraId="34BEE8E2" w14:textId="55F74C82" w:rsidR="00696AF0" w:rsidRPr="00696AF0" w:rsidRDefault="00696AF0" w:rsidP="008B15AA">
            <w:pPr>
              <w:rPr>
                <w:rFonts w:ascii="Calibri" w:eastAsia="Times New Roman" w:hAnsi="Calibri" w:cs="Calibri"/>
                <w:color w:val="000000"/>
                <w:lang w:val="nl-NL" w:eastAsia="en-ZA"/>
              </w:rPr>
            </w:pPr>
            <w:r w:rsidRPr="00696AF0">
              <w:rPr>
                <w:rFonts w:ascii="Calibri" w:eastAsia="Times New Roman" w:hAnsi="Calibri" w:cs="Calibri"/>
                <w:color w:val="000000"/>
                <w:lang w:val="nl-NL" w:eastAsia="en-ZA"/>
              </w:rPr>
              <w:t>Hong-</w:t>
            </w:r>
            <w:proofErr w:type="spellStart"/>
            <w:r w:rsidRPr="00696AF0">
              <w:rPr>
                <w:rFonts w:ascii="Calibri" w:eastAsia="Times New Roman" w:hAnsi="Calibri" w:cs="Calibri"/>
                <w:color w:val="000000"/>
                <w:lang w:val="nl-NL" w:eastAsia="en-ZA"/>
              </w:rPr>
              <w:t>Geller</w:t>
            </w:r>
            <w:proofErr w:type="spellEnd"/>
            <w:r w:rsidRPr="00696AF0">
              <w:rPr>
                <w:rFonts w:ascii="Calibri" w:eastAsia="Times New Roman" w:hAnsi="Calibri" w:cs="Calibri"/>
                <w:color w:val="000000"/>
                <w:lang w:val="nl-NL" w:eastAsia="en-ZA"/>
              </w:rPr>
              <w:t xml:space="preserve"> </w:t>
            </w:r>
            <w:r w:rsidR="000620EA">
              <w:rPr>
                <w:rFonts w:ascii="Calibri" w:eastAsia="Times New Roman" w:hAnsi="Calibri" w:cs="Calibri"/>
                <w:color w:val="000000"/>
                <w:lang w:val="nl-NL" w:eastAsia="en-ZA"/>
              </w:rPr>
              <w:t>et al.</w:t>
            </w:r>
            <w:r w:rsidR="008B15AA" w:rsidRPr="008B15AA">
              <w:rPr>
                <w:rFonts w:ascii="Calibri" w:eastAsia="Times New Roman" w:hAnsi="Calibri" w:cs="Calibri"/>
                <w:color w:val="000000"/>
                <w:lang w:val="nl-NL" w:eastAsia="en-ZA"/>
              </w:rPr>
              <w:t xml:space="preserve"> </w:t>
            </w:r>
            <w:r w:rsidR="008B15AA">
              <w:rPr>
                <w:rFonts w:ascii="Calibri" w:eastAsia="Times New Roman" w:hAnsi="Calibri" w:cs="Calibri"/>
                <w:color w:val="000000"/>
                <w:lang w:val="en-ZA" w:eastAsia="en-ZA"/>
              </w:rPr>
              <w:fldChar w:fldCharType="begin"/>
            </w:r>
            <w:r w:rsidR="008B15AA">
              <w:rPr>
                <w:rFonts w:ascii="Calibri" w:eastAsia="Times New Roman" w:hAnsi="Calibri" w:cs="Calibri"/>
                <w:color w:val="000000"/>
                <w:lang w:val="nl-NL" w:eastAsia="en-ZA"/>
              </w:rPr>
              <w:instrText xml:space="preserve"> ADDIN ZOTERO_ITEM CSL_CITATION {"citationID":"tYq7BRCy","properties":{"formattedCitation":"(14)","plainCitation":"(14)","noteIndex":0},"citationItems":[{"id":12320,"uris":["http://zotero.org/users/6216265/items/ZWA6R3MY"],"itemData":{"id":12320,"type":"article-journal","container-title":"Current Drug Discovery Technologies","DOI":"10.2174/157016310793180558","ISSN":"15701638","issue":"3","journalAbbreviation":"CDDT","language":"en","page":"143-153","source":"DOI.org (Crossref)","title":"Integration of Physicochemical and Pharmacokinetic Parameters in Lead Optimization: A Physiological Pharmacokinetic Model Based Approach","title-short":"Integration of Physicochemical and Pharmacokinetic Parameters in Lead Optimization","volume":"7","author":[{"family":"Hong-Geller","given":"Elizabeth"},{"family":"Micheva-Viteva","given":"Sofiya"},{"family":"Benjamin","given":"Biju"},{"family":"Kanta Barman","given":"Tarani"},{"family":"Chaira","given":"Tridib"},{"family":"K. Paliwal","given":"Jyoti"}],"issued":{"date-parts":[["2010",9,1]]}}}],"schema":"https://github.com/citation-style-language/schema/raw/master/csl-citation.json"} </w:instrText>
            </w:r>
            <w:r w:rsidR="008B15AA">
              <w:rPr>
                <w:rFonts w:ascii="Calibri" w:eastAsia="Times New Roman" w:hAnsi="Calibri" w:cs="Calibri"/>
                <w:color w:val="000000"/>
                <w:lang w:val="en-ZA" w:eastAsia="en-ZA"/>
              </w:rPr>
              <w:fldChar w:fldCharType="separate"/>
            </w:r>
            <w:r w:rsidR="008B15AA" w:rsidRPr="008B15AA">
              <w:rPr>
                <w:rFonts w:ascii="Calibri" w:hAnsi="Calibri" w:cs="Calibri"/>
                <w:lang w:val="nl-NL"/>
              </w:rPr>
              <w:t>(14)</w:t>
            </w:r>
            <w:r w:rsidR="008B15AA">
              <w:rPr>
                <w:rFonts w:ascii="Calibri" w:eastAsia="Times New Roman" w:hAnsi="Calibri" w:cs="Calibri"/>
                <w:color w:val="000000"/>
                <w:lang w:val="en-ZA" w:eastAsia="en-ZA"/>
              </w:rPr>
              <w:fldChar w:fldCharType="end"/>
            </w:r>
          </w:p>
        </w:tc>
        <w:tc>
          <w:tcPr>
            <w:tcW w:w="1464" w:type="dxa"/>
            <w:noWrap/>
            <w:hideMark/>
          </w:tcPr>
          <w:p w14:paraId="1AF8EB1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2010</w:t>
            </w:r>
          </w:p>
        </w:tc>
        <w:tc>
          <w:tcPr>
            <w:tcW w:w="2043" w:type="dxa"/>
            <w:noWrap/>
            <w:hideMark/>
          </w:tcPr>
          <w:p w14:paraId="41A2707E"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09B13A1" w14:textId="77777777" w:rsidTr="00366ACD">
        <w:trPr>
          <w:trHeight w:val="270"/>
        </w:trPr>
        <w:tc>
          <w:tcPr>
            <w:tcW w:w="2703" w:type="dxa"/>
            <w:noWrap/>
            <w:hideMark/>
          </w:tcPr>
          <w:p w14:paraId="39973B21" w14:textId="0B3F0453" w:rsidR="00696AF0" w:rsidRPr="00696AF0" w:rsidRDefault="00696AF0" w:rsidP="00E41D79">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Bhargav </w:t>
            </w:r>
            <w:r w:rsidR="000620EA">
              <w:rPr>
                <w:rFonts w:ascii="Calibri" w:eastAsia="Times New Roman" w:hAnsi="Calibri" w:cs="Calibri"/>
                <w:color w:val="000000"/>
                <w:lang w:val="en-ZA" w:eastAsia="en-ZA"/>
              </w:rPr>
              <w:t>et al.</w:t>
            </w:r>
            <w:r w:rsidR="00E41D79">
              <w:rPr>
                <w:rFonts w:ascii="Calibri" w:eastAsia="Times New Roman" w:hAnsi="Calibri" w:cs="Calibri"/>
                <w:color w:val="000000"/>
                <w:lang w:val="en-ZA" w:eastAsia="en-ZA"/>
              </w:rPr>
              <w:t xml:space="preserve"> </w:t>
            </w:r>
            <w:r w:rsidR="00E41D79">
              <w:rPr>
                <w:rFonts w:ascii="Calibri" w:eastAsia="Times New Roman" w:hAnsi="Calibri" w:cs="Calibri"/>
                <w:color w:val="000000"/>
                <w:lang w:val="en-ZA" w:eastAsia="en-ZA"/>
              </w:rPr>
              <w:fldChar w:fldCharType="begin"/>
            </w:r>
            <w:r w:rsidR="00E41D79">
              <w:rPr>
                <w:rFonts w:ascii="Calibri" w:eastAsia="Times New Roman" w:hAnsi="Calibri" w:cs="Calibri"/>
                <w:color w:val="000000"/>
                <w:lang w:val="en-ZA" w:eastAsia="en-ZA"/>
              </w:rPr>
              <w:instrText xml:space="preserve"> ADDIN ZOTERO_ITEM CSL_CITATION {"citationID":"Zh5uSz1v","properties":{"formattedCitation":"(15)","plainCitation":"(15)","noteIndex":0},"citationItems":[{"id":12318,"uris":["http://zotero.org/users/6216265/items/GJZ2SHCC"],"itemData":{"id":12318,"type":"article-journal","abstract":"Aims:\n              The present study was aimed to improve the permeability of Luliconazole (LZ)\nand to localize high drug concentrations at skin layers by Quality by Design (QbD) based Nanostructured\nlipid carriers (NC) based gel.\n            \n            \n              Methods:\n              \n                Quality Target Product Profile was set, and Critical Quality attributes were identified.\nFT-IR and DSC studies confirmed compatibility. Risk assessment was carried out by screening the\nfactors using 2\n                IV\n                7-2\n                fractional factorial design and optimization by Box Behnken design. Cholesterol:\nCetyl Palmitate, PEG 200 and probe sonication time were identified as factors, Particle size (&lt;200\nnm), PDI (0.4), % Entrapment efficiency (% EE, &gt;80%) and % Cumulative Drug release (% CDR,\n&gt;95%) as responses. Contour plots, overlay plots and desirability, were utilized to create design\nspace.\n              \n            \n            \n              Results:\n              \n                The quadratic polynomial equations showed increased lipid content, PEG 200 and optimum\nsonication time reduced particle size, PDI, improved % EE and % CDR. The optimized formula\nwas formulated into a gel. Ex-vivo permeation studies performed using pig ear pinna skin revealed\nthat developed LZ NC gel exhibited greater permeation 272.98±8.57 (μg/cm\n                2\n                ) and 32.11\n±4.7 (μg/cm\n                2\n                /h) flux than plain drug dispersed gel. Dermatokinetic parameters of LZ NC gel revealed\nthat a highly significant amount of LZ was permeated, distributed and transported through\nthe skin layers. The better linear correlations were obtained by LZ permeation through a synthetic\nmembrane (in-vitro) and pig ear pinna skin (ex-vivo).\n              \n            \n            \n              Conclusion:\n              The above findings revealed that developed LZ NC gel exhibited better permeation\nand localization at skin layers in treating fungal infections.","container-title":"Current Drug Delivery","DOI":"10.2174/1567201818666201214145818","ISSN":"15672018","issue":"7","journalAbbreviation":"CDD","language":"en","page":"1041-1053","source":"DOI.org (Crossref)","title":"Development and Optimization of Luliconazole Nanostructured Lipid Carriers Based Gel by Quality by Design its Skin Distribution Studies, Dermatokinetic Modeling &amp; In-Vitro and Ex-Vivo Correlation","volume":"18","author":[{"family":"Bhargav","given":"Eranti"},{"family":"Reddy","given":"Yiragamreddy Padmanabha"},{"family":"Koteshwara","given":"Kunnatur B"}],"issued":{"date-parts":[["2021",8]]}}}],"schema":"https://github.com/citation-style-language/schema/raw/master/csl-citation.json"} </w:instrText>
            </w:r>
            <w:r w:rsidR="00E41D79">
              <w:rPr>
                <w:rFonts w:ascii="Calibri" w:eastAsia="Times New Roman" w:hAnsi="Calibri" w:cs="Calibri"/>
                <w:color w:val="000000"/>
                <w:lang w:val="en-ZA" w:eastAsia="en-ZA"/>
              </w:rPr>
              <w:fldChar w:fldCharType="separate"/>
            </w:r>
            <w:r w:rsidR="00E41D79" w:rsidRPr="00E41D79">
              <w:rPr>
                <w:rFonts w:ascii="Calibri" w:hAnsi="Calibri" w:cs="Calibri"/>
              </w:rPr>
              <w:t>(15)</w:t>
            </w:r>
            <w:r w:rsidR="00E41D79">
              <w:rPr>
                <w:rFonts w:ascii="Calibri" w:eastAsia="Times New Roman" w:hAnsi="Calibri" w:cs="Calibri"/>
                <w:color w:val="000000"/>
                <w:lang w:val="en-ZA" w:eastAsia="en-ZA"/>
              </w:rPr>
              <w:fldChar w:fldCharType="end"/>
            </w:r>
          </w:p>
        </w:tc>
        <w:tc>
          <w:tcPr>
            <w:tcW w:w="1464" w:type="dxa"/>
            <w:noWrap/>
            <w:hideMark/>
          </w:tcPr>
          <w:p w14:paraId="79C42BD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317E8758"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7829714" w14:textId="77777777" w:rsidTr="00366ACD">
        <w:trPr>
          <w:trHeight w:val="270"/>
        </w:trPr>
        <w:tc>
          <w:tcPr>
            <w:tcW w:w="2703" w:type="dxa"/>
            <w:noWrap/>
            <w:hideMark/>
          </w:tcPr>
          <w:p w14:paraId="684CE047" w14:textId="0B95A99D" w:rsidR="00696AF0" w:rsidRPr="00696AF0" w:rsidRDefault="00696AF0" w:rsidP="00E41D79">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Biagini</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E41D79">
              <w:rPr>
                <w:rFonts w:ascii="Calibri" w:eastAsia="Times New Roman" w:hAnsi="Calibri" w:cs="Calibri"/>
                <w:color w:val="000000"/>
                <w:lang w:val="en-ZA" w:eastAsia="en-ZA"/>
              </w:rPr>
              <w:t xml:space="preserve"> </w:t>
            </w:r>
            <w:r w:rsidR="00E41D79">
              <w:rPr>
                <w:rFonts w:ascii="Calibri" w:eastAsia="Times New Roman" w:hAnsi="Calibri" w:cs="Calibri"/>
                <w:color w:val="000000"/>
                <w:lang w:val="en-ZA" w:eastAsia="en-ZA"/>
              </w:rPr>
              <w:fldChar w:fldCharType="begin"/>
            </w:r>
            <w:r w:rsidR="00E41D79">
              <w:rPr>
                <w:rFonts w:ascii="Calibri" w:eastAsia="Times New Roman" w:hAnsi="Calibri" w:cs="Calibri"/>
                <w:color w:val="000000"/>
                <w:lang w:val="en-ZA" w:eastAsia="en-ZA"/>
              </w:rPr>
              <w:instrText xml:space="preserve"> ADDIN ZOTERO_ITEM CSL_CITATION {"citationID":"2jPowj0S","properties":{"formattedCitation":"(16)","plainCitation":"(16)","noteIndex":0},"citationItems":[{"id":12317,"uris":["http://zotero.org/users/6216265/items/TWIHXM6T"],"itemData":{"id":12317,"type":"article-journal","abstract":"There is an urgent need for new antimalarial drugs with novel mechanisms of action to deliver effective control and eradication programs. Parasite resistance to all existing antimalarial classes, including the artemisinins, has been reported during their clinical use. A failure to generate new antimalarials with novel mechanisms of action that circumvent the current resistance challenges will contribute to a resurgence in the disease which would represent a global health emergency. Here we present a unique generation of quinolone lead antimalarials with a dual mechanism of action against two respiratory enzymes, NADH:ubiquinone oxidoreductase (\n              Plasmodium falciparum\n              NDH2) and cytochrome\n              bc\n              1\n              . Inhibitor specificity for the two enzymes can be controlled subtly by manipulation of the privileged quinolone core at the 2 or 3 position. Inhibitors display potent (nanomolar) activity against both parasite enzymes and against multidrug-resistant\n              P. falciparum\n              parasites as evidenced by rapid and selective depolarization of the parasite mitochondrial membrane potential, leading to a disruption of pyrimidine metabolism and parasite death. Several analogs also display activity against liver-stage parasites (\n              Plasmodium cynomolgi\n              ) as well as transmission-blocking properties. Lead optimized molecules also display potent oral antimalarial activity in the\n              Plasmodium berghei\n              mouse malaria model associated with favorable pharmacokinetic features that are aligned with a single-dose treatment. The ease and low cost of synthesis of these inhibitors fulfill the target product profile for the generation of a potent, safe, and inexpensive drug with the potential for eventual clinical deployment in the control and eradication of falciparum malaria.","container-title":"Proceedings of the National Academy of Sciences","DOI":"10.1073/pnas.1205651109","ISSN":"0027-8424, 1091-6490","issue":"21","journalAbbreviation":"Proc. Natl. Acad. Sci. U.S.A.","language":"en","page":"8298-8303","source":"DOI.org (Crossref)","title":"Generation of quinolone antimalarials targeting the &lt;i&gt;Plasmodium falciparum&lt;/i&gt; mitochondrial respiratory chain for the treatment and prophylaxis of malaria","volume":"109","author":[{"family":"Biagini","given":"Giancarlo A."},{"family":"Fisher","given":"Nicholas"},{"family":"Shone","given":"Alison E."},{"family":"Mubaraki","given":"Murad A."},{"family":"Srivastava","given":"Abhishek"},{"family":"Hill","given":"Alisdair"},{"family":"Antoine","given":"Thomas"},{"family":"Warman","given":"Ashley J."},{"family":"Davies","given":"Jill"},{"family":"Pidathala","given":"Chandrakala"},{"family":"Amewu","given":"Richard K."},{"family":"Leung","given":"Suet C."},{"family":"Sharma","given":"Raman"},{"family":"Gibbons","given":"Peter"},{"family":"Hong","given":"David W."},{"family":"Pacorel","given":"Bénédicte"},{"family":"Lawrenson","given":"Alexandre S."},{"family":"Charoensutthivarakul","given":"Sitthivut"},{"family":"Taylor","given":"Lee"},{"family":"Berger","given":"Olivier"},{"family":"Mbekeani","given":"Alison"},{"family":"Stocks","given":"Paul A."},{"family":"Nixon","given":"Gemma L."},{"family":"Chadwick","given":"James"},{"family":"Hemingway","given":"Janet"},{"family":"Delves","given":"Michael J."},{"family":"Sinden","given":"Robert E."},{"family":"Zeeman","given":"Anne-Marie"},{"family":"Kocken","given":"Clemens H. M."},{"family":"Berry","given":"Neil G."},{"family":"O’Neill","given":"Paul M."},{"family":"Ward","given":"Stephen A."}],"issued":{"date-parts":[["2012",5,22]]}}}],"schema":"https://github.com/citation-style-language/schema/raw/master/csl-citation.json"} </w:instrText>
            </w:r>
            <w:r w:rsidR="00E41D79">
              <w:rPr>
                <w:rFonts w:ascii="Calibri" w:eastAsia="Times New Roman" w:hAnsi="Calibri" w:cs="Calibri"/>
                <w:color w:val="000000"/>
                <w:lang w:val="en-ZA" w:eastAsia="en-ZA"/>
              </w:rPr>
              <w:fldChar w:fldCharType="separate"/>
            </w:r>
            <w:r w:rsidR="00E41D79" w:rsidRPr="00E41D79">
              <w:rPr>
                <w:rFonts w:ascii="Calibri" w:hAnsi="Calibri" w:cs="Calibri"/>
              </w:rPr>
              <w:t>(16)</w:t>
            </w:r>
            <w:r w:rsidR="00E41D79">
              <w:rPr>
                <w:rFonts w:ascii="Calibri" w:eastAsia="Times New Roman" w:hAnsi="Calibri" w:cs="Calibri"/>
                <w:color w:val="000000"/>
                <w:lang w:val="en-ZA" w:eastAsia="en-ZA"/>
              </w:rPr>
              <w:fldChar w:fldCharType="end"/>
            </w:r>
          </w:p>
        </w:tc>
        <w:tc>
          <w:tcPr>
            <w:tcW w:w="1464" w:type="dxa"/>
            <w:noWrap/>
            <w:hideMark/>
          </w:tcPr>
          <w:p w14:paraId="6844E6F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2012</w:t>
            </w:r>
          </w:p>
        </w:tc>
        <w:tc>
          <w:tcPr>
            <w:tcW w:w="2043" w:type="dxa"/>
            <w:noWrap/>
            <w:hideMark/>
          </w:tcPr>
          <w:p w14:paraId="69C6DF6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09856E0E" w14:textId="77777777" w:rsidTr="00366ACD">
        <w:trPr>
          <w:trHeight w:val="270"/>
        </w:trPr>
        <w:tc>
          <w:tcPr>
            <w:tcW w:w="2703" w:type="dxa"/>
            <w:noWrap/>
            <w:hideMark/>
          </w:tcPr>
          <w:p w14:paraId="17EAC74A" w14:textId="0798AE20" w:rsidR="00696AF0" w:rsidRPr="00696AF0" w:rsidRDefault="00696AF0" w:rsidP="00AB00D7">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Biter </w:t>
            </w:r>
            <w:r w:rsidR="000620EA">
              <w:rPr>
                <w:rFonts w:ascii="Calibri" w:eastAsia="Times New Roman" w:hAnsi="Calibri" w:cs="Calibri"/>
                <w:color w:val="000000"/>
                <w:lang w:val="en-ZA" w:eastAsia="en-ZA"/>
              </w:rPr>
              <w:t>et al.</w:t>
            </w:r>
            <w:r w:rsidR="00AB00D7">
              <w:rPr>
                <w:rFonts w:ascii="Calibri" w:eastAsia="Times New Roman" w:hAnsi="Calibri" w:cs="Calibri"/>
                <w:color w:val="000000"/>
                <w:lang w:val="en-ZA" w:eastAsia="en-ZA"/>
              </w:rPr>
              <w:t xml:space="preserve"> </w:t>
            </w:r>
            <w:r w:rsidR="00AB00D7">
              <w:rPr>
                <w:rFonts w:ascii="Calibri" w:eastAsia="Times New Roman" w:hAnsi="Calibri" w:cs="Calibri"/>
                <w:color w:val="000000"/>
                <w:lang w:val="en-ZA" w:eastAsia="en-ZA"/>
              </w:rPr>
              <w:fldChar w:fldCharType="begin"/>
            </w:r>
            <w:r w:rsidR="00AB00D7">
              <w:rPr>
                <w:rFonts w:ascii="Calibri" w:eastAsia="Times New Roman" w:hAnsi="Calibri" w:cs="Calibri"/>
                <w:color w:val="000000"/>
                <w:lang w:val="en-ZA" w:eastAsia="en-ZA"/>
              </w:rPr>
              <w:instrText xml:space="preserve"> ADDIN ZOTERO_ITEM CSL_CITATION {"citationID":"eBt8wg0v","properties":{"formattedCitation":"(17)","plainCitation":"(17)","noteIndex":0},"citationItems":[{"id":12321,"uris":["http://zotero.org/users/6216265/items/V6BG38B5"],"itemData":{"id":12321,"type":"article-journal","container-title":"Journal of Pharmaceutical Sciences","DOI":"10.1016/j.xphs.2017.12.014","ISSN":"00223549","issue":"5","journalAbbreviation":"Journal of Pharmaceutical Sciences","language":"en","page":"1468-1473","source":"DOI.org (Crossref)","title":"Characterization and Stability of Trypanosoma cruzi 24-C4 (Tc24-C4), a Candidate Antigen for a Therapeutic Vaccine Against Chagas Disease","volume":"107","author":[{"family":"Biter","given":"Amadeo B."},{"family":"Weltje","given":"Sarah"},{"family":"Hudspeth","given":"Elissa M."},{"family":"Seid","given":"Christopher A."},{"family":"McAtee","given":"C. Patrick"},{"family":"Chen","given":"Wen-Hsiang"},{"family":"Pollet","given":"Jeroen B."},{"family":"Strych","given":"Ulrich"},{"family":"Hotez","given":"Peter J."},{"family":"Bottazzi","given":"Maria Elena"}],"issued":{"date-parts":[["2018",5]]}}}],"schema":"https://github.com/citation-style-language/schema/raw/master/csl-citation.json"} </w:instrText>
            </w:r>
            <w:r w:rsidR="00AB00D7">
              <w:rPr>
                <w:rFonts w:ascii="Calibri" w:eastAsia="Times New Roman" w:hAnsi="Calibri" w:cs="Calibri"/>
                <w:color w:val="000000"/>
                <w:lang w:val="en-ZA" w:eastAsia="en-ZA"/>
              </w:rPr>
              <w:fldChar w:fldCharType="separate"/>
            </w:r>
            <w:r w:rsidR="00AB00D7" w:rsidRPr="00AB00D7">
              <w:rPr>
                <w:rFonts w:ascii="Calibri" w:hAnsi="Calibri" w:cs="Calibri"/>
              </w:rPr>
              <w:t>(17)</w:t>
            </w:r>
            <w:r w:rsidR="00AB00D7">
              <w:rPr>
                <w:rFonts w:ascii="Calibri" w:eastAsia="Times New Roman" w:hAnsi="Calibri" w:cs="Calibri"/>
                <w:color w:val="000000"/>
                <w:lang w:val="en-ZA" w:eastAsia="en-ZA"/>
              </w:rPr>
              <w:fldChar w:fldCharType="end"/>
            </w:r>
          </w:p>
        </w:tc>
        <w:tc>
          <w:tcPr>
            <w:tcW w:w="1464" w:type="dxa"/>
            <w:noWrap/>
            <w:hideMark/>
          </w:tcPr>
          <w:p w14:paraId="24EC206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2018</w:t>
            </w:r>
          </w:p>
        </w:tc>
        <w:tc>
          <w:tcPr>
            <w:tcW w:w="2043" w:type="dxa"/>
            <w:noWrap/>
            <w:hideMark/>
          </w:tcPr>
          <w:p w14:paraId="2D090C0A"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0EDA7D7A" w14:textId="77777777" w:rsidTr="00366ACD">
        <w:trPr>
          <w:trHeight w:val="270"/>
        </w:trPr>
        <w:tc>
          <w:tcPr>
            <w:tcW w:w="2703" w:type="dxa"/>
            <w:noWrap/>
            <w:hideMark/>
          </w:tcPr>
          <w:p w14:paraId="5EDBB66C" w14:textId="075CBD0C" w:rsidR="00696AF0" w:rsidRPr="00696AF0" w:rsidRDefault="00696AF0" w:rsidP="00AB00D7">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Bolla</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AB00D7">
              <w:rPr>
                <w:rFonts w:ascii="Calibri" w:eastAsia="Times New Roman" w:hAnsi="Calibri" w:cs="Calibri"/>
                <w:color w:val="000000"/>
                <w:lang w:val="en-ZA" w:eastAsia="en-ZA"/>
              </w:rPr>
              <w:t xml:space="preserve"> </w:t>
            </w:r>
            <w:r w:rsidR="00AB00D7">
              <w:rPr>
                <w:rFonts w:ascii="Calibri" w:eastAsia="Times New Roman" w:hAnsi="Calibri" w:cs="Calibri"/>
                <w:color w:val="000000"/>
                <w:lang w:val="en-ZA" w:eastAsia="en-ZA"/>
              </w:rPr>
              <w:fldChar w:fldCharType="begin"/>
            </w:r>
            <w:r w:rsidR="00AB00D7">
              <w:rPr>
                <w:rFonts w:ascii="Calibri" w:eastAsia="Times New Roman" w:hAnsi="Calibri" w:cs="Calibri"/>
                <w:color w:val="000000"/>
                <w:lang w:val="en-ZA" w:eastAsia="en-ZA"/>
              </w:rPr>
              <w:instrText xml:space="preserve"> ADDIN ZOTERO_ITEM CSL_CITATION {"citationID":"QZL9IEHk","properties":{"formattedCitation":"(18)","plainCitation":"(18)","noteIndex":0},"citationItems":[{"id":12322,"uris":["http://zotero.org/users/6216265/items/AIHZSVN4"],"itemData":{"id":12322,"type":"article-journal","abstract":"Topical drug delivery is an attractive alternative to conventional methods because of advantages such as non-invasive delivery, by-pass of first pass metabolism, and improved patient compliance. However, several factors such as skin, physicochemical properties of the drug, and vehicle characteristics influence the permeation. Within a formulation, critical factors such as concentration of drug, physical state of drug in the formulation, and organoleptic properties affect the flux across the skin. The aim of the study was to develop and investigate topical semisolid preparations (creams and gels) with ibuprofen as the model drug and investigate the effect of various formulation parameters on the in-vitro performance across the Strat-M® membrane using flow-through cells. In addition, the physical stability of the developed formulations was investigated by studying viscosity, pH, and appearance. All the formulations developed in the study had appealing appearance with smooth texture and no signs of separation. Viscosity and pH of the formulations were acceptable. Cumulative amount of drug permeated at the end of 24 h was highest for clear gel (3% w/w ibuprofen; F6: 739.6 ± 36.1 µg/cm2) followed by cream with high concentration of ibuprofen in suspended form (5% w/w; F3: 320.8 ± 17.53 µg/cm2), emulgel (3% w/w ibuprofen; F5: 178.5 ± 34.5 µg/cm2), and cream with solubilized ibuprofen (3% w/w; F2A: 163.2 ± 9.36 µg/cm2). Results from this study showed that permeation of ibuprofen was significantly influenced by formulation parameters such as concentration of ibuprofen (3% vs. 5% w/w), physical state of ibuprofen (solubilized vs. suspended), formulation type (cream vs. gel), mucoadhesive agents, and viscosity (high vs. low). Thus, findings from this study indicate that pharmaceutical formulation scientists should explore these critical factors during the early development of any new topical drug product in order to meet pre-determined quality target product profile.","container-title":"Pharmaceutics","DOI":"10.3390/pharmaceutics12020151","ISSN":"1999-4923","issue":"2","journalAbbreviation":"Pharmaceutics","language":"en","page":"151","source":"DOI.org (Crossref)","title":"Evaluation of Formulation Parameters on Permeation of Ibuprofen from Topical Formulations Using Strat-M® Membrane","volume":"12","author":[{"family":"Bolla","given":"Pradeep Kumar"},{"family":"Clark","given":"Bradley A."},{"family":"Juluri","given":"Abhishek"},{"family":"Cheruvu","given":"Hanumanth Srikanth"},{"family":"Renukuntla","given":"Jwala"}],"issued":{"date-parts":[["2020",2,13]]}}}],"schema":"https://github.com/citation-style-language/schema/raw/master/csl-citation.json"} </w:instrText>
            </w:r>
            <w:r w:rsidR="00AB00D7">
              <w:rPr>
                <w:rFonts w:ascii="Calibri" w:eastAsia="Times New Roman" w:hAnsi="Calibri" w:cs="Calibri"/>
                <w:color w:val="000000"/>
                <w:lang w:val="en-ZA" w:eastAsia="en-ZA"/>
              </w:rPr>
              <w:fldChar w:fldCharType="separate"/>
            </w:r>
            <w:r w:rsidR="00AB00D7" w:rsidRPr="00AB00D7">
              <w:rPr>
                <w:rFonts w:ascii="Calibri" w:hAnsi="Calibri" w:cs="Calibri"/>
              </w:rPr>
              <w:t>(18)</w:t>
            </w:r>
            <w:r w:rsidR="00AB00D7">
              <w:rPr>
                <w:rFonts w:ascii="Calibri" w:eastAsia="Times New Roman" w:hAnsi="Calibri" w:cs="Calibri"/>
                <w:color w:val="000000"/>
                <w:lang w:val="en-ZA" w:eastAsia="en-ZA"/>
              </w:rPr>
              <w:fldChar w:fldCharType="end"/>
            </w:r>
          </w:p>
        </w:tc>
        <w:tc>
          <w:tcPr>
            <w:tcW w:w="1464" w:type="dxa"/>
            <w:noWrap/>
            <w:hideMark/>
          </w:tcPr>
          <w:p w14:paraId="2DF234F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66DDC79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3084D2C" w14:textId="77777777" w:rsidTr="00366ACD">
        <w:trPr>
          <w:trHeight w:val="270"/>
        </w:trPr>
        <w:tc>
          <w:tcPr>
            <w:tcW w:w="2703" w:type="dxa"/>
            <w:noWrap/>
            <w:hideMark/>
          </w:tcPr>
          <w:p w14:paraId="6F0C6F49" w14:textId="0BCD2A6A" w:rsidR="00696AF0" w:rsidRPr="00696AF0" w:rsidRDefault="00696AF0" w:rsidP="00AB00D7">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Bolton </w:t>
            </w:r>
            <w:r w:rsidR="000620EA">
              <w:rPr>
                <w:rFonts w:ascii="Calibri" w:eastAsia="Times New Roman" w:hAnsi="Calibri" w:cs="Calibri"/>
                <w:color w:val="000000"/>
                <w:lang w:val="en-ZA" w:eastAsia="en-ZA"/>
              </w:rPr>
              <w:t>et al.</w:t>
            </w:r>
            <w:r w:rsidR="00AB00D7">
              <w:rPr>
                <w:rFonts w:ascii="Calibri" w:eastAsia="Times New Roman" w:hAnsi="Calibri" w:cs="Calibri"/>
                <w:color w:val="000000"/>
                <w:lang w:val="en-ZA" w:eastAsia="en-ZA"/>
              </w:rPr>
              <w:t xml:space="preserve"> </w:t>
            </w:r>
            <w:r w:rsidR="00AB00D7">
              <w:rPr>
                <w:rFonts w:ascii="Calibri" w:eastAsia="Times New Roman" w:hAnsi="Calibri" w:cs="Calibri"/>
                <w:color w:val="000000"/>
                <w:lang w:val="en-ZA" w:eastAsia="en-ZA"/>
              </w:rPr>
              <w:fldChar w:fldCharType="begin"/>
            </w:r>
            <w:r w:rsidR="00AB00D7">
              <w:rPr>
                <w:rFonts w:ascii="Calibri" w:eastAsia="Times New Roman" w:hAnsi="Calibri" w:cs="Calibri"/>
                <w:color w:val="000000"/>
                <w:lang w:val="en-ZA" w:eastAsia="en-ZA"/>
              </w:rPr>
              <w:instrText xml:space="preserve"> ADDIN ZOTERO_ITEM CSL_CITATION {"citationID":"cLAPYKoo","properties":{"formattedCitation":"(19)","plainCitation":"(19)","noteIndex":0},"citationItems":[{"id":12324,"uris":["http://zotero.org/users/6216265/items/VXE75JYL"],"itemData":{"id":12324,"type":"article-journal","abstract":"Abstract\n            Formulation of protein biopharmaceuticals as highly concentrated liquids can improve the drug substance storage and supply chain, improve the target product profile, and allow greater flexibility in dosing methods. The Donnan effect can cause a large offset in pH from the target value established with the diafiltration buffer during the concentration and diafiltration of charged proteins with ultrafiltration membranes. For neutral formulations, the pH will typically increase above the diafiltration buffer pH for basic monoclonal antibodies and decline below the diafiltration buffer pH for acidic Fc‐fusion proteins. In this study, new equations for the Donnan effect during the diafiltration and concentration of proteins in solutions containing monovalent and divalent ions were derived. The new Donnan models obey mass conservation laws, account for the buffering capacity of proteins, and account for protein‐ion binding. Data for the pH offsets of an Fc‐fusion protein and a monoclonal antibody were predicted in both monovalent and divalent buffers using these equations. To compensate for the pH offset caused by the Donnan effect, diafiltration buffers with pH and excipient values offset from the ultrafiltrate pool specifications can be used. The Donnan offset observed during the concentration of an acidic Fc‐fusion protein was mitigated by operating at low temperature. It is important to account for the Donnan effect during preformulation studies. The excipients levels in an ultrafiltration pool may differ from the levels in a protein solution obtained by adding buffers into concentrated protein solutions due to the Donnan effect. © 2010 American Institute of Chemical Engineers Biotechnol. Prog., 2011","container-title":"Biotechnology Progress","DOI":"10.1002/btpr.523","ISSN":"8756-7938, 1520-6033","issue":"1","journalAbbreviation":"Biotechnology Progress","language":"en","page":"140-152","source":"DOI.org (Crossref)","title":"Effect of protein and solution properties on the donnan effect during the ultrafiltration of proteins","volume":"27","author":[{"family":"Bolton","given":"Glen R."},{"family":"Boesch","given":"Austin W."},{"family":"Basha","given":"Jonida"},{"family":"LaCasse","given":"Daniel P."},{"family":"Kelley","given":"Brian D."},{"family":"Acharya","given":"Hari"}],"issued":{"date-parts":[["2011",1]]}}}],"schema":"https://github.com/citation-style-language/schema/raw/master/csl-citation.json"} </w:instrText>
            </w:r>
            <w:r w:rsidR="00AB00D7">
              <w:rPr>
                <w:rFonts w:ascii="Calibri" w:eastAsia="Times New Roman" w:hAnsi="Calibri" w:cs="Calibri"/>
                <w:color w:val="000000"/>
                <w:lang w:val="en-ZA" w:eastAsia="en-ZA"/>
              </w:rPr>
              <w:fldChar w:fldCharType="separate"/>
            </w:r>
            <w:r w:rsidR="00AB00D7" w:rsidRPr="00AB00D7">
              <w:rPr>
                <w:rFonts w:ascii="Calibri" w:hAnsi="Calibri" w:cs="Calibri"/>
              </w:rPr>
              <w:t>(19)</w:t>
            </w:r>
            <w:r w:rsidR="00AB00D7">
              <w:rPr>
                <w:rFonts w:ascii="Calibri" w:eastAsia="Times New Roman" w:hAnsi="Calibri" w:cs="Calibri"/>
                <w:color w:val="000000"/>
                <w:lang w:val="en-ZA" w:eastAsia="en-ZA"/>
              </w:rPr>
              <w:fldChar w:fldCharType="end"/>
            </w:r>
          </w:p>
        </w:tc>
        <w:tc>
          <w:tcPr>
            <w:tcW w:w="1464" w:type="dxa"/>
            <w:noWrap/>
            <w:hideMark/>
          </w:tcPr>
          <w:p w14:paraId="4B1625A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2011</w:t>
            </w:r>
          </w:p>
        </w:tc>
        <w:tc>
          <w:tcPr>
            <w:tcW w:w="2043" w:type="dxa"/>
            <w:noWrap/>
            <w:hideMark/>
          </w:tcPr>
          <w:p w14:paraId="22102FB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0E754419" w14:textId="77777777" w:rsidTr="00366ACD">
        <w:trPr>
          <w:trHeight w:val="270"/>
        </w:trPr>
        <w:tc>
          <w:tcPr>
            <w:tcW w:w="2703" w:type="dxa"/>
            <w:noWrap/>
            <w:hideMark/>
          </w:tcPr>
          <w:p w14:paraId="60856487" w14:textId="58E0C8B2" w:rsidR="00696AF0" w:rsidRPr="00696AF0" w:rsidRDefault="00696AF0" w:rsidP="00015C87">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Borges </w:t>
            </w:r>
            <w:r w:rsidR="000620EA">
              <w:rPr>
                <w:rFonts w:ascii="Calibri" w:eastAsia="Times New Roman" w:hAnsi="Calibri" w:cs="Calibri"/>
                <w:color w:val="000000"/>
                <w:lang w:val="en-ZA" w:eastAsia="en-ZA"/>
              </w:rPr>
              <w:t>et al.</w:t>
            </w:r>
            <w:r w:rsidR="00015C87">
              <w:rPr>
                <w:rFonts w:ascii="Calibri" w:eastAsia="Times New Roman" w:hAnsi="Calibri" w:cs="Calibri"/>
                <w:color w:val="000000"/>
                <w:lang w:val="en-ZA" w:eastAsia="en-ZA"/>
              </w:rPr>
              <w:t xml:space="preserve"> </w:t>
            </w:r>
            <w:r w:rsidR="00015C87">
              <w:rPr>
                <w:rFonts w:ascii="Calibri" w:eastAsia="Times New Roman" w:hAnsi="Calibri" w:cs="Calibri"/>
                <w:color w:val="000000"/>
                <w:lang w:val="en-ZA" w:eastAsia="en-ZA"/>
              </w:rPr>
              <w:fldChar w:fldCharType="begin"/>
            </w:r>
            <w:r w:rsidR="00015C87">
              <w:rPr>
                <w:rFonts w:ascii="Calibri" w:eastAsia="Times New Roman" w:hAnsi="Calibri" w:cs="Calibri"/>
                <w:color w:val="000000"/>
                <w:lang w:val="en-ZA" w:eastAsia="en-ZA"/>
              </w:rPr>
              <w:instrText xml:space="preserve"> ADDIN ZOTERO_ITEM CSL_CITATION {"citationID":"xGsgRtYA","properties":{"formattedCitation":"(20)","plainCitation":"(20)","noteIndex":0},"citationItems":[{"id":12325,"uris":["http://zotero.org/users/6216265/items/AYDBWJGQ"],"itemData":{"id":12325,"type":"article-journal","container-title":"Journal of Pharmaceutical Sciences","DOI":"10.1016/j.xphs.2020.11.032","ISSN":"00223549","issue":"5","journalAbbreviation":"Journal of Pharmaceutical Sciences","language":"en","page":"2047-2062","source":"DOI.org (Crossref)","title":"A Kinetic Model for Spray-Freezing of Pharmaceuticals","volume":"110","author":[{"family":"Borges Sebastião","given":"Israel"},{"family":"Bhatnagar","given":"Bakul"},{"family":"Tchessalov","given":"Serguei"}],"issued":{"date-parts":[["2021",5]]}}}],"schema":"https://github.com/citation-style-language/schema/raw/master/csl-citation.json"} </w:instrText>
            </w:r>
            <w:r w:rsidR="00015C87">
              <w:rPr>
                <w:rFonts w:ascii="Calibri" w:eastAsia="Times New Roman" w:hAnsi="Calibri" w:cs="Calibri"/>
                <w:color w:val="000000"/>
                <w:lang w:val="en-ZA" w:eastAsia="en-ZA"/>
              </w:rPr>
              <w:fldChar w:fldCharType="separate"/>
            </w:r>
            <w:r w:rsidR="00015C87" w:rsidRPr="00015C87">
              <w:rPr>
                <w:rFonts w:ascii="Calibri" w:hAnsi="Calibri" w:cs="Calibri"/>
              </w:rPr>
              <w:t>(20)</w:t>
            </w:r>
            <w:r w:rsidR="00015C87">
              <w:rPr>
                <w:rFonts w:ascii="Calibri" w:eastAsia="Times New Roman" w:hAnsi="Calibri" w:cs="Calibri"/>
                <w:color w:val="000000"/>
                <w:lang w:val="en-ZA" w:eastAsia="en-ZA"/>
              </w:rPr>
              <w:fldChar w:fldCharType="end"/>
            </w:r>
          </w:p>
        </w:tc>
        <w:tc>
          <w:tcPr>
            <w:tcW w:w="1464" w:type="dxa"/>
            <w:noWrap/>
            <w:hideMark/>
          </w:tcPr>
          <w:p w14:paraId="786E7D2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4F1BD8C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3C936FA" w14:textId="77777777" w:rsidTr="00366ACD">
        <w:trPr>
          <w:trHeight w:val="270"/>
        </w:trPr>
        <w:tc>
          <w:tcPr>
            <w:tcW w:w="2703" w:type="dxa"/>
            <w:noWrap/>
            <w:hideMark/>
          </w:tcPr>
          <w:p w14:paraId="43C22A28" w14:textId="42804A9A" w:rsidR="00696AF0" w:rsidRPr="00696AF0" w:rsidRDefault="00696AF0" w:rsidP="00015C87">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Breder</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015C87">
              <w:rPr>
                <w:rFonts w:ascii="Calibri" w:eastAsia="Times New Roman" w:hAnsi="Calibri" w:cs="Calibri"/>
                <w:color w:val="000000"/>
                <w:lang w:val="en-ZA" w:eastAsia="en-ZA"/>
              </w:rPr>
              <w:t xml:space="preserve"> </w:t>
            </w:r>
            <w:r w:rsidR="00015C87">
              <w:rPr>
                <w:rFonts w:ascii="Calibri" w:eastAsia="Times New Roman" w:hAnsi="Calibri" w:cs="Calibri"/>
                <w:color w:val="000000"/>
                <w:lang w:val="en-ZA" w:eastAsia="en-ZA"/>
              </w:rPr>
              <w:fldChar w:fldCharType="begin"/>
            </w:r>
            <w:r w:rsidR="00015C87">
              <w:rPr>
                <w:rFonts w:ascii="Calibri" w:eastAsia="Times New Roman" w:hAnsi="Calibri" w:cs="Calibri"/>
                <w:color w:val="000000"/>
                <w:lang w:val="en-ZA" w:eastAsia="en-ZA"/>
              </w:rPr>
              <w:instrText xml:space="preserve"> ADDIN ZOTERO_ITEM CSL_CITATION {"citationID":"4E5Akumb","properties":{"formattedCitation":"(21)","plainCitation":"(21)","noteIndex":0},"citationItems":[{"id":12326,"uris":["http://zotero.org/users/6216265/items/H7C7E3BN"],"itemData":{"id":12326,"type":"article-journal","container-title":"Trends in Biotechnology","DOI":"10.1016/j.tibtech.2017.02.011","ISSN":"01677799","issue":"7","journalAbbreviation":"Trends in Biotechnology","language":"en","page":"576-579","source":"DOI.org (Crossref)","title":"What’s the Regulatory Value of a Target Product Profile?","volume":"35","author":[{"family":"Breder","given":"Christopher D."},{"family":"Du","given":"Wenny"},{"family":"Tyndall","given":"Adria"}],"issued":{"date-parts":[["2017",7]]}}}],"schema":"https://github.com/citation-style-language/schema/raw/master/csl-citation.json"} </w:instrText>
            </w:r>
            <w:r w:rsidR="00015C87">
              <w:rPr>
                <w:rFonts w:ascii="Calibri" w:eastAsia="Times New Roman" w:hAnsi="Calibri" w:cs="Calibri"/>
                <w:color w:val="000000"/>
                <w:lang w:val="en-ZA" w:eastAsia="en-ZA"/>
              </w:rPr>
              <w:fldChar w:fldCharType="separate"/>
            </w:r>
            <w:r w:rsidR="00015C87" w:rsidRPr="00015C87">
              <w:rPr>
                <w:rFonts w:ascii="Calibri" w:hAnsi="Calibri" w:cs="Calibri"/>
              </w:rPr>
              <w:t>(21)</w:t>
            </w:r>
            <w:r w:rsidR="00015C87">
              <w:rPr>
                <w:rFonts w:ascii="Calibri" w:eastAsia="Times New Roman" w:hAnsi="Calibri" w:cs="Calibri"/>
                <w:color w:val="000000"/>
                <w:lang w:val="en-ZA" w:eastAsia="en-ZA"/>
              </w:rPr>
              <w:fldChar w:fldCharType="end"/>
            </w:r>
          </w:p>
        </w:tc>
        <w:tc>
          <w:tcPr>
            <w:tcW w:w="1464" w:type="dxa"/>
            <w:noWrap/>
            <w:hideMark/>
          </w:tcPr>
          <w:p w14:paraId="0AD8076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2017</w:t>
            </w:r>
          </w:p>
        </w:tc>
        <w:tc>
          <w:tcPr>
            <w:tcW w:w="2043" w:type="dxa"/>
            <w:noWrap/>
            <w:hideMark/>
          </w:tcPr>
          <w:p w14:paraId="7143BE2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27E8AB3" w14:textId="77777777" w:rsidTr="00366ACD">
        <w:trPr>
          <w:trHeight w:val="270"/>
        </w:trPr>
        <w:tc>
          <w:tcPr>
            <w:tcW w:w="2703" w:type="dxa"/>
            <w:noWrap/>
            <w:hideMark/>
          </w:tcPr>
          <w:p w14:paraId="194EE37F" w14:textId="4EBACC0A" w:rsidR="00696AF0" w:rsidRPr="00696AF0" w:rsidRDefault="00696AF0" w:rsidP="007E6D17">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Broger</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7E6D17">
              <w:rPr>
                <w:rFonts w:ascii="Calibri" w:eastAsia="Times New Roman" w:hAnsi="Calibri" w:cs="Calibri"/>
                <w:color w:val="000000"/>
                <w:lang w:val="en-ZA" w:eastAsia="en-ZA"/>
              </w:rPr>
              <w:t xml:space="preserve"> </w:t>
            </w:r>
            <w:r w:rsidR="007E6D17">
              <w:rPr>
                <w:rFonts w:ascii="Calibri" w:eastAsia="Times New Roman" w:hAnsi="Calibri" w:cs="Calibri"/>
                <w:color w:val="000000"/>
                <w:lang w:val="en-ZA" w:eastAsia="en-ZA"/>
              </w:rPr>
              <w:fldChar w:fldCharType="begin"/>
            </w:r>
            <w:r w:rsidR="007E6D17">
              <w:rPr>
                <w:rFonts w:ascii="Calibri" w:eastAsia="Times New Roman" w:hAnsi="Calibri" w:cs="Calibri"/>
                <w:color w:val="000000"/>
                <w:lang w:val="en-ZA" w:eastAsia="en-ZA"/>
              </w:rPr>
              <w:instrText xml:space="preserve"> ADDIN ZOTERO_ITEM CSL_CITATION {"citationID":"6lX0EEDn","properties":{"formattedCitation":"(22)","plainCitation":"(22)","noteIndex":0},"citationItems":[{"id":12327,"uris":["http://zotero.org/users/6216265/items/EXD8HRAB"],"itemData":{"id":12327,"type":"article-journal","container-title":"Clinical Infectious Diseases","DOI":"10.1093/cid/cix023","ISSN":"1058-4838, 1537-6591","issue":"7","language":"en","page":"947-955","source":"DOI.org (Crossref)","title":"Diagnostic Performance of Tuberculosis-Specific IgG Antibody Profiles in Patients with Presumptive Tuberculosis from Two Continents","volume":"64","author":[{"family":"Broger","given":"Tobias"},{"family":"Basu Roy","given":"Robindra"},{"family":"Filomena","given":"Angela"},{"family":"Greef","given":"Charles H."},{"family":"Rimmele","given":"Stefanie"},{"family":"Havumaki","given":"Joshua"},{"family":"Danks","given":"David"},{"family":"Schneiderhan-Marra","given":"Nicole"},{"family":"Gray","given":"Christen M."},{"family":"Singh","given":"Mahavir"},{"family":"Rosenkrands","given":"Ida"},{"family":"Andersen","given":"Peter"},{"family":"Husar","given":"Gregory M."},{"family":"Joos","given":"Thomas O."},{"family":"Gennaro","given":"Maria L."},{"family":"Lochhead","given":"Michael J."},{"family":"Denkinger","given":"Claudia M."},{"family":"Perkins","given":"Mark D."}],"issued":{"date-parts":[["2017",4,1]]}}}],"schema":"https://github.com/citation-style-language/schema/raw/master/csl-citation.json"} </w:instrText>
            </w:r>
            <w:r w:rsidR="007E6D17">
              <w:rPr>
                <w:rFonts w:ascii="Calibri" w:eastAsia="Times New Roman" w:hAnsi="Calibri" w:cs="Calibri"/>
                <w:color w:val="000000"/>
                <w:lang w:val="en-ZA" w:eastAsia="en-ZA"/>
              </w:rPr>
              <w:fldChar w:fldCharType="separate"/>
            </w:r>
            <w:r w:rsidR="007E6D17" w:rsidRPr="007E6D17">
              <w:rPr>
                <w:rFonts w:ascii="Calibri" w:hAnsi="Calibri" w:cs="Calibri"/>
              </w:rPr>
              <w:t>(22)</w:t>
            </w:r>
            <w:r w:rsidR="007E6D17">
              <w:rPr>
                <w:rFonts w:ascii="Calibri" w:eastAsia="Times New Roman" w:hAnsi="Calibri" w:cs="Calibri"/>
                <w:color w:val="000000"/>
                <w:lang w:val="en-ZA" w:eastAsia="en-ZA"/>
              </w:rPr>
              <w:fldChar w:fldCharType="end"/>
            </w:r>
          </w:p>
        </w:tc>
        <w:tc>
          <w:tcPr>
            <w:tcW w:w="1464" w:type="dxa"/>
            <w:noWrap/>
            <w:hideMark/>
          </w:tcPr>
          <w:p w14:paraId="027A4E5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2017</w:t>
            </w:r>
          </w:p>
        </w:tc>
        <w:tc>
          <w:tcPr>
            <w:tcW w:w="2043" w:type="dxa"/>
            <w:noWrap/>
            <w:hideMark/>
          </w:tcPr>
          <w:p w14:paraId="350C3EB1"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14E81CA" w14:textId="77777777" w:rsidTr="00366ACD">
        <w:trPr>
          <w:trHeight w:val="270"/>
        </w:trPr>
        <w:tc>
          <w:tcPr>
            <w:tcW w:w="2703" w:type="dxa"/>
            <w:noWrap/>
            <w:hideMark/>
          </w:tcPr>
          <w:p w14:paraId="0B9BCC2C" w14:textId="6F326A28" w:rsidR="00696AF0" w:rsidRPr="00696AF0" w:rsidRDefault="00696AF0" w:rsidP="00E63BE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Brussee </w:t>
            </w:r>
            <w:r w:rsidR="000620EA">
              <w:rPr>
                <w:rFonts w:ascii="Calibri" w:eastAsia="Times New Roman" w:hAnsi="Calibri" w:cs="Calibri"/>
                <w:color w:val="000000"/>
                <w:lang w:val="en-ZA" w:eastAsia="en-ZA"/>
              </w:rPr>
              <w:t>et al.</w:t>
            </w:r>
            <w:r w:rsidR="00E63BE0">
              <w:rPr>
                <w:rFonts w:ascii="Calibri" w:eastAsia="Times New Roman" w:hAnsi="Calibri" w:cs="Calibri"/>
                <w:color w:val="000000"/>
                <w:lang w:val="en-ZA" w:eastAsia="en-ZA"/>
              </w:rPr>
              <w:t xml:space="preserve"> </w:t>
            </w:r>
            <w:r w:rsidR="00E63BE0">
              <w:rPr>
                <w:rFonts w:ascii="Calibri" w:eastAsia="Times New Roman" w:hAnsi="Calibri" w:cs="Calibri"/>
                <w:color w:val="000000"/>
                <w:lang w:val="en-ZA" w:eastAsia="en-ZA"/>
              </w:rPr>
              <w:fldChar w:fldCharType="begin"/>
            </w:r>
            <w:r w:rsidR="00E63BE0">
              <w:rPr>
                <w:rFonts w:ascii="Calibri" w:eastAsia="Times New Roman" w:hAnsi="Calibri" w:cs="Calibri"/>
                <w:color w:val="000000"/>
                <w:lang w:val="en-ZA" w:eastAsia="en-ZA"/>
              </w:rPr>
              <w:instrText xml:space="preserve"> ADDIN ZOTERO_ITEM CSL_CITATION {"citationID":"DIo832Ob","properties":{"formattedCitation":"(23)","plainCitation":"(23)","noteIndex":0},"citationItems":[{"id":12328,"uris":["http://zotero.org/users/6216265/items/4WPNW7MN"],"itemData":{"id":12328,"type":"article-journal","abstract":"In the treatment of hookworm infections, pharmacotherapy has been only moderately successful and drug resistance is a threat. Therefore, novel treatment options including combination therapies should be considered, in which tribendimidine could play a role. Our aims were to (i) characterize the pharmacokinetics of tribendimidine’s metabolites in adolescents receiving tribendimidine monotherapy or in combination with ivermectin or oxantel pamoate, (ii) evaluate possible drug-drug interactions (DDI), (iii) link exposure to response, and (iv) identify a treatment strategy associated with high efficacy, i.\n          , \n            ABSTRACT\n            \n              In the treatment of hookworm infections, pharmacotherapy has been only moderately successful and drug resistance is a threat. Therefore, novel treatment options including combination therapies should be considered, in which tribendimidine could play a role. Our aims were to (i) characterize the pharmacokinetics of tribendimidine’s metabolites in adolescents receiving tribendimidine monotherapy or in combination with ivermectin or oxantel pamoate, (ii) evaluate possible drug-drug interactions (DDI), (iii) link exposure to response, and (iv) identify a treatment strategy associated with high efficacy, i.e., &gt;90% cure rates (CRs), utilizing model-based simulations. A population pharmacokinetic model was developed for tribendimidine’s primary and secondary metabolites, dADT and adADT, in 54 hookworm-positive adolescents, with combination therapy evaluated as a possible covariate. Subsequently, an exposure-response analysis was performed utilizing CRs as response markers. Simulations were performed to identify a treatment strategy to achieve &gt;90% CRs. A two-compartmental model best described metabolite disposition. No pharmacokinetic DDI was identified with ivermectin or oxantel pamoate. All participants receiving tribendimidine plus ivermectin were cured. For the monotherapy arm and the arm including the combination with oxantel pamoate,\n              E\n              max\n              models adequately described the correlation between dADT exposure and probability of being cured, with required exposures to achieve 50% of maximum effect of 39.6 and 15.6 nmol/ml·h, respectively. Based on our simulations, an unrealistically high monotherapy tribendimidine dose would be necessary to achieve CRs of &gt;90%, while combination therapy with ivermectin would meet this desired target product profile. Further clinical studies should be launched to develop this combination for the treatment of hookworm and other helminth infections.","container-title":"Antimicrobial Agents and Chemotherapy","DOI":"10.1128/AAC.00714-20","ISSN":"0066-4804, 1098-6596","issue":"2","journalAbbreviation":"Antimicrob Agents Chemother","language":"en","page":"e00714-20","source":"DOI.org (Crossref)","title":"Pharmacometric Analysis of Tribendimidine Monotherapy and Combination Therapies To Achieve High Cure Rates in Patients with Hookworm Infections","volume":"65","author":[{"family":"Brussee","given":"Janneke M."},{"family":"Neodo","given":"Anna"},{"family":"Schulz","given":"Jessica D."},{"family":"Coulibaly","given":"Jean T."},{"family":"Pfister","given":"Marc"},{"family":"Keiser","given":"Jennifer"}],"issued":{"date-parts":[["2021",1,20]]}}}],"schema":"https://github.com/citation-style-language/schema/raw/master/csl-citation.json"} </w:instrText>
            </w:r>
            <w:r w:rsidR="00E63BE0">
              <w:rPr>
                <w:rFonts w:ascii="Calibri" w:eastAsia="Times New Roman" w:hAnsi="Calibri" w:cs="Calibri"/>
                <w:color w:val="000000"/>
                <w:lang w:val="en-ZA" w:eastAsia="en-ZA"/>
              </w:rPr>
              <w:fldChar w:fldCharType="separate"/>
            </w:r>
            <w:r w:rsidR="00E63BE0" w:rsidRPr="00E63BE0">
              <w:rPr>
                <w:rFonts w:ascii="Calibri" w:hAnsi="Calibri" w:cs="Calibri"/>
              </w:rPr>
              <w:t>(23)</w:t>
            </w:r>
            <w:r w:rsidR="00E63BE0">
              <w:rPr>
                <w:rFonts w:ascii="Calibri" w:eastAsia="Times New Roman" w:hAnsi="Calibri" w:cs="Calibri"/>
                <w:color w:val="000000"/>
                <w:lang w:val="en-ZA" w:eastAsia="en-ZA"/>
              </w:rPr>
              <w:fldChar w:fldCharType="end"/>
            </w:r>
          </w:p>
        </w:tc>
        <w:tc>
          <w:tcPr>
            <w:tcW w:w="1464" w:type="dxa"/>
            <w:noWrap/>
            <w:hideMark/>
          </w:tcPr>
          <w:p w14:paraId="72F470F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3C146EB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22FBAD20" w14:textId="77777777" w:rsidTr="00366ACD">
        <w:trPr>
          <w:trHeight w:val="270"/>
        </w:trPr>
        <w:tc>
          <w:tcPr>
            <w:tcW w:w="2703" w:type="dxa"/>
            <w:noWrap/>
            <w:hideMark/>
          </w:tcPr>
          <w:p w14:paraId="7BD5E6A4" w14:textId="1E934158" w:rsidR="00696AF0" w:rsidRPr="00696AF0" w:rsidRDefault="00696AF0" w:rsidP="00E63BE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Buckner and </w:t>
            </w:r>
            <w:proofErr w:type="spellStart"/>
            <w:r w:rsidRPr="00696AF0">
              <w:rPr>
                <w:rFonts w:ascii="Calibri" w:eastAsia="Times New Roman" w:hAnsi="Calibri" w:cs="Calibri"/>
                <w:color w:val="000000"/>
                <w:lang w:val="en-ZA" w:eastAsia="en-ZA"/>
              </w:rPr>
              <w:t>Navabi</w:t>
            </w:r>
            <w:proofErr w:type="spellEnd"/>
            <w:r w:rsidR="00E63BE0">
              <w:rPr>
                <w:rFonts w:ascii="Calibri" w:eastAsia="Times New Roman" w:hAnsi="Calibri" w:cs="Calibri"/>
                <w:color w:val="000000"/>
                <w:lang w:val="en-ZA" w:eastAsia="en-ZA"/>
              </w:rPr>
              <w:t xml:space="preserve"> </w:t>
            </w:r>
            <w:r w:rsidR="00E63BE0">
              <w:rPr>
                <w:rFonts w:ascii="Calibri" w:eastAsia="Times New Roman" w:hAnsi="Calibri" w:cs="Calibri"/>
                <w:color w:val="000000"/>
                <w:lang w:val="en-ZA" w:eastAsia="en-ZA"/>
              </w:rPr>
              <w:fldChar w:fldCharType="begin"/>
            </w:r>
            <w:r w:rsidR="00E63BE0">
              <w:rPr>
                <w:rFonts w:ascii="Calibri" w:eastAsia="Times New Roman" w:hAnsi="Calibri" w:cs="Calibri"/>
                <w:color w:val="000000"/>
                <w:lang w:val="en-ZA" w:eastAsia="en-ZA"/>
              </w:rPr>
              <w:instrText xml:space="preserve"> ADDIN ZOTERO_ITEM CSL_CITATION {"citationID":"RLCMy25W","properties":{"formattedCitation":"(24)","plainCitation":"(24)","noteIndex":0},"citationItems":[{"id":12329,"uris":["http://zotero.org/users/6216265/items/SHRIX55N"],"itemData":{"id":12329,"type":"article-journal","container-title":"Current Opinion in Infectious Diseases","DOI":"10.1097/QCO.0b013e3283402956","ISSN":"0951-7375","issue":"6","journalAbbreviation":"Current Opinion in Infectious Diseases","language":"en","page":"609-616","source":"DOI.org (Crossref)","title":"Advances in Chagas disease drug development: 2009–2010:","title-short":"Advances in Chagas disease drug development","volume":"23","author":[{"family":"Buckner","given":"Frederick S"},{"family":"Navabi","given":"Nazlee"}],"issued":{"date-parts":[["2010",12]]}}}],"schema":"https://github.com/citation-style-language/schema/raw/master/csl-citation.json"} </w:instrText>
            </w:r>
            <w:r w:rsidR="00E63BE0">
              <w:rPr>
                <w:rFonts w:ascii="Calibri" w:eastAsia="Times New Roman" w:hAnsi="Calibri" w:cs="Calibri"/>
                <w:color w:val="000000"/>
                <w:lang w:val="en-ZA" w:eastAsia="en-ZA"/>
              </w:rPr>
              <w:fldChar w:fldCharType="separate"/>
            </w:r>
            <w:r w:rsidR="00E63BE0" w:rsidRPr="00E63BE0">
              <w:rPr>
                <w:rFonts w:ascii="Calibri" w:hAnsi="Calibri" w:cs="Calibri"/>
              </w:rPr>
              <w:t>(24)</w:t>
            </w:r>
            <w:r w:rsidR="00E63BE0">
              <w:rPr>
                <w:rFonts w:ascii="Calibri" w:eastAsia="Times New Roman" w:hAnsi="Calibri" w:cs="Calibri"/>
                <w:color w:val="000000"/>
                <w:lang w:val="en-ZA" w:eastAsia="en-ZA"/>
              </w:rPr>
              <w:fldChar w:fldCharType="end"/>
            </w:r>
          </w:p>
        </w:tc>
        <w:tc>
          <w:tcPr>
            <w:tcW w:w="1464" w:type="dxa"/>
            <w:noWrap/>
            <w:hideMark/>
          </w:tcPr>
          <w:p w14:paraId="57FE0DA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2010</w:t>
            </w:r>
          </w:p>
        </w:tc>
        <w:tc>
          <w:tcPr>
            <w:tcW w:w="2043" w:type="dxa"/>
            <w:noWrap/>
            <w:hideMark/>
          </w:tcPr>
          <w:p w14:paraId="478E360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B731BAB" w14:textId="77777777" w:rsidTr="00366ACD">
        <w:trPr>
          <w:trHeight w:val="270"/>
        </w:trPr>
        <w:tc>
          <w:tcPr>
            <w:tcW w:w="2703" w:type="dxa"/>
            <w:noWrap/>
            <w:hideMark/>
          </w:tcPr>
          <w:p w14:paraId="2C2D7C11" w14:textId="7C1F6827" w:rsidR="00696AF0" w:rsidRPr="00696AF0" w:rsidRDefault="00696AF0" w:rsidP="000A57FB">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Burrows </w:t>
            </w:r>
            <w:r w:rsidR="000620EA">
              <w:rPr>
                <w:rFonts w:ascii="Calibri" w:eastAsia="Times New Roman" w:hAnsi="Calibri" w:cs="Calibri"/>
                <w:color w:val="000000"/>
                <w:lang w:val="en-ZA" w:eastAsia="en-ZA"/>
              </w:rPr>
              <w:t>et al.</w:t>
            </w:r>
            <w:r w:rsidR="000A57FB">
              <w:rPr>
                <w:rFonts w:ascii="Calibri" w:eastAsia="Times New Roman" w:hAnsi="Calibri" w:cs="Calibri"/>
                <w:color w:val="000000"/>
                <w:lang w:val="en-ZA" w:eastAsia="en-ZA"/>
              </w:rPr>
              <w:t xml:space="preserve"> </w:t>
            </w:r>
            <w:r w:rsidR="000A57FB">
              <w:rPr>
                <w:rFonts w:ascii="Calibri" w:eastAsia="Times New Roman" w:hAnsi="Calibri" w:cs="Calibri"/>
                <w:color w:val="000000"/>
                <w:lang w:val="en-ZA" w:eastAsia="en-ZA"/>
              </w:rPr>
              <w:fldChar w:fldCharType="begin"/>
            </w:r>
            <w:r w:rsidR="000A57FB">
              <w:rPr>
                <w:rFonts w:ascii="Calibri" w:eastAsia="Times New Roman" w:hAnsi="Calibri" w:cs="Calibri"/>
                <w:color w:val="000000"/>
                <w:lang w:val="en-ZA" w:eastAsia="en-ZA"/>
              </w:rPr>
              <w:instrText xml:space="preserve"> ADDIN ZOTERO_ITEM CSL_CITATION {"citationID":"I2h57TVw","properties":{"formattedCitation":"(25)","plainCitation":"(25)","noteIndex":0},"citationItems":[{"id":12333,"uris":["http://zotero.org/users/6216265/items/XT5WFPFT"],"itemData":{"id":12333,"type":"article-journal","container-title":"Malaria Journal","DOI":"10.1186/s12936-016-1675-x","ISSN":"1475-2875","issue":"1","journalAbbreviation":"Malar J","language":"en","page":"26","source":"DOI.org (Crossref)","title":"New developments in anti-malarial target candidate and product profiles","volume":"16","author":[{"family":"Burrows","given":"Jeremy N."},{"family":"Duparc","given":"Stephan"},{"family":"Gutteridge","given":"Winston E."},{"family":"Hooft Van Huijsduijnen","given":"Rob"},{"family":"Kaszubska","given":"Wiweka"},{"family":"Macintyre","given":"Fiona"},{"family":"Mazzuri","given":"Sébastien"},{"family":"Möhrle","given":"Jörg J."},{"family":"Wells","given":"Timothy N. C."}],"issued":{"date-parts":[["2017",12]]}}}],"schema":"https://github.com/citation-style-language/schema/raw/master/csl-citation.json"} </w:instrText>
            </w:r>
            <w:r w:rsidR="000A57FB">
              <w:rPr>
                <w:rFonts w:ascii="Calibri" w:eastAsia="Times New Roman" w:hAnsi="Calibri" w:cs="Calibri"/>
                <w:color w:val="000000"/>
                <w:lang w:val="en-ZA" w:eastAsia="en-ZA"/>
              </w:rPr>
              <w:fldChar w:fldCharType="separate"/>
            </w:r>
            <w:r w:rsidR="000A57FB" w:rsidRPr="000A57FB">
              <w:rPr>
                <w:rFonts w:ascii="Calibri" w:hAnsi="Calibri" w:cs="Calibri"/>
              </w:rPr>
              <w:t>(25)</w:t>
            </w:r>
            <w:r w:rsidR="000A57FB">
              <w:rPr>
                <w:rFonts w:ascii="Calibri" w:eastAsia="Times New Roman" w:hAnsi="Calibri" w:cs="Calibri"/>
                <w:color w:val="000000"/>
                <w:lang w:val="en-ZA" w:eastAsia="en-ZA"/>
              </w:rPr>
              <w:fldChar w:fldCharType="end"/>
            </w:r>
          </w:p>
        </w:tc>
        <w:tc>
          <w:tcPr>
            <w:tcW w:w="1464" w:type="dxa"/>
            <w:noWrap/>
            <w:hideMark/>
          </w:tcPr>
          <w:p w14:paraId="67FD710A"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2468A57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0564B86" w14:textId="77777777" w:rsidTr="00366ACD">
        <w:trPr>
          <w:trHeight w:val="270"/>
        </w:trPr>
        <w:tc>
          <w:tcPr>
            <w:tcW w:w="2703" w:type="dxa"/>
            <w:noWrap/>
            <w:hideMark/>
          </w:tcPr>
          <w:p w14:paraId="19F9490A" w14:textId="5BEBA876" w:rsidR="00696AF0" w:rsidRPr="00696AF0" w:rsidRDefault="00696AF0" w:rsidP="000A57FB">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Callahan </w:t>
            </w:r>
            <w:r w:rsidR="000620EA">
              <w:rPr>
                <w:rFonts w:ascii="Calibri" w:eastAsia="Times New Roman" w:hAnsi="Calibri" w:cs="Calibri"/>
                <w:color w:val="000000"/>
                <w:lang w:val="en-ZA" w:eastAsia="en-ZA"/>
              </w:rPr>
              <w:t>et al.</w:t>
            </w:r>
            <w:r w:rsidR="000A57FB">
              <w:rPr>
                <w:rFonts w:ascii="Calibri" w:eastAsia="Times New Roman" w:hAnsi="Calibri" w:cs="Calibri"/>
                <w:color w:val="000000"/>
                <w:lang w:val="en-ZA" w:eastAsia="en-ZA"/>
              </w:rPr>
              <w:t xml:space="preserve"> </w:t>
            </w:r>
            <w:r w:rsidR="000A57FB">
              <w:rPr>
                <w:rFonts w:ascii="Calibri" w:eastAsia="Times New Roman" w:hAnsi="Calibri" w:cs="Calibri"/>
                <w:color w:val="000000"/>
                <w:lang w:val="en-ZA" w:eastAsia="en-ZA"/>
              </w:rPr>
              <w:fldChar w:fldCharType="begin"/>
            </w:r>
            <w:r w:rsidR="000A57FB">
              <w:rPr>
                <w:rFonts w:ascii="Calibri" w:eastAsia="Times New Roman" w:hAnsi="Calibri" w:cs="Calibri"/>
                <w:color w:val="000000"/>
                <w:lang w:val="en-ZA" w:eastAsia="en-ZA"/>
              </w:rPr>
              <w:instrText xml:space="preserve"> ADDIN ZOTERO_ITEM CSL_CITATION {"citationID":"kchvM0Ss","properties":{"formattedCitation":"(26)","plainCitation":"(26)","noteIndex":0},"citationItems":[{"id":12335,"uris":["http://zotero.org/users/6216265/items/5MIP8QC8"],"itemData":{"id":12335,"type":"article-journal","abstract":"Abstract\n            A significant global unmet need for new contraceptive options for both women and men remains due to side effect profiles, medical concerns, and inconvenience of many currently available products. The pharmaceutical industry has largely abandoned early research and development for contraception and will not likely engage to bring new products to the market unless they have been significantly de-risked by showing promise in early phase clinical trials. This lack of interest by big pharma comes at a time when scientific and technological advances in biology and medicine are creating more opportunities than ever for the development of new and innovative drug products. Novel partnerships between the academic sector, small biotechnology companies, foundations, non-government organizations (NGOs), and the federal government could accelerate the development of new contraceptive products. We discuss the challenges and opportunities that we have encountered as an NGO with a mission to develop novel contraceptive products for low- and middle-income countries and how it differs from developing products for higher-income markets. We hope that our experiences and “lessons learned” will be of value to others as they proceed down the product development path, be it for female or male or for hormonal or nonhormonal contraceptives.","container-title":"Biology of Reproduction","DOI":"10.1093/biolre/ioaa067","ISSN":"0006-3363, 1529-7268","issue":"2","language":"en","page":"157-166","source":"DOI.org (Crossref)","title":"The new contraceptive revolution: developing innovative products outside of industry†,‡","title-short":"The new contraceptive revolution","volume":"103","author":[{"family":"Callahan","given":"Rebecca L"},{"family":"Mehta","given":"Neha J"},{"family":"Nanda","given":"Kavita"},{"family":"Kopf","given":"Gregory S"}],"issued":{"date-parts":[["2020",8,4]]}}}],"schema":"https://github.com/citation-style-language/schema/raw/master/csl-citation.json"} </w:instrText>
            </w:r>
            <w:r w:rsidR="000A57FB">
              <w:rPr>
                <w:rFonts w:ascii="Calibri" w:eastAsia="Times New Roman" w:hAnsi="Calibri" w:cs="Calibri"/>
                <w:color w:val="000000"/>
                <w:lang w:val="en-ZA" w:eastAsia="en-ZA"/>
              </w:rPr>
              <w:fldChar w:fldCharType="separate"/>
            </w:r>
            <w:r w:rsidR="000A57FB" w:rsidRPr="000A57FB">
              <w:rPr>
                <w:rFonts w:ascii="Calibri" w:hAnsi="Calibri" w:cs="Calibri"/>
              </w:rPr>
              <w:t>(26)</w:t>
            </w:r>
            <w:r w:rsidR="000A57FB">
              <w:rPr>
                <w:rFonts w:ascii="Calibri" w:eastAsia="Times New Roman" w:hAnsi="Calibri" w:cs="Calibri"/>
                <w:color w:val="000000"/>
                <w:lang w:val="en-ZA" w:eastAsia="en-ZA"/>
              </w:rPr>
              <w:fldChar w:fldCharType="end"/>
            </w:r>
          </w:p>
        </w:tc>
        <w:tc>
          <w:tcPr>
            <w:tcW w:w="1464" w:type="dxa"/>
            <w:noWrap/>
            <w:hideMark/>
          </w:tcPr>
          <w:p w14:paraId="0B73B6EA"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471A289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3567F39" w14:textId="77777777" w:rsidTr="00366ACD">
        <w:trPr>
          <w:trHeight w:val="270"/>
        </w:trPr>
        <w:tc>
          <w:tcPr>
            <w:tcW w:w="2703" w:type="dxa"/>
            <w:noWrap/>
            <w:hideMark/>
          </w:tcPr>
          <w:p w14:paraId="199C3251" w14:textId="7AAAA04A" w:rsidR="00696AF0" w:rsidRPr="00696AF0" w:rsidRDefault="00696AF0" w:rsidP="00035A35">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Calvet</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035A35">
              <w:rPr>
                <w:rFonts w:ascii="Calibri" w:eastAsia="Times New Roman" w:hAnsi="Calibri" w:cs="Calibri"/>
                <w:color w:val="000000"/>
                <w:lang w:val="en-ZA" w:eastAsia="en-ZA"/>
              </w:rPr>
              <w:t xml:space="preserve"> </w:t>
            </w:r>
            <w:r w:rsidR="00035A35">
              <w:rPr>
                <w:rFonts w:ascii="Calibri" w:eastAsia="Times New Roman" w:hAnsi="Calibri" w:cs="Calibri"/>
                <w:color w:val="000000"/>
                <w:lang w:val="en-ZA" w:eastAsia="en-ZA"/>
              </w:rPr>
              <w:fldChar w:fldCharType="begin"/>
            </w:r>
            <w:r w:rsidR="00035A35">
              <w:rPr>
                <w:rFonts w:ascii="Calibri" w:eastAsia="Times New Roman" w:hAnsi="Calibri" w:cs="Calibri"/>
                <w:color w:val="000000"/>
                <w:lang w:val="en-ZA" w:eastAsia="en-ZA"/>
              </w:rPr>
              <w:instrText xml:space="preserve"> ADDIN ZOTERO_ITEM CSL_CITATION {"citationID":"bFkQshlo","properties":{"formattedCitation":"(27)","plainCitation":"(27)","noteIndex":0},"citationItems":[{"id":12337,"uris":["http://zotero.org/users/6216265/items/7PYBAMLN"],"itemData":{"id":12337,"type":"article-journal","container-title":"PLOS Neglected Tropical Diseases","DOI":"10.1371/journal.pntd.0006132","ISSN":"1935-2735","issue":"12","journalAbbreviation":"PLoS Negl Trop Dis","language":"en","page":"e0006132","source":"DOI.org (Crossref)","title":"4-aminopyridyl-based lead compounds targeting CYP51 prevent spontaneous parasite relapse in a chronic model and improve cardiac pathology in an acute model of Trypanosoma cruzi infection","volume":"11","author":[{"family":"Calvet","given":"Claudia Magalhaes"},{"family":"Choi","given":"Jun Yong"},{"family":"Thomas","given":"Diane"},{"family":"Suzuki","given":"Brian"},{"family":"Hirata","given":"Ken"},{"family":"Lostracco-Johnson","given":"Sharon"},{"family":"De Mesquita","given":"Liliane Batista"},{"family":"Nogueira","given":"Alanderson"},{"family":"Meuser-Batista","given":"Marcelo"},{"family":"Silva","given":"Tatiana Araujo"},{"family":"Siqueira-Neto","given":"Jair Lage"},{"family":"Roush","given":"William R."},{"family":"De Souza Pereira","given":"Mirian Claudia"},{"family":"McKerrow","given":"James H."},{"family":"Podust","given":"Larissa M."}],"editor":[{"family":"Almeida","given":"Igor C."}],"issued":{"date-parts":[["2017",12,27]]}}}],"schema":"https://github.com/citation-style-language/schema/raw/master/csl-citation.json"} </w:instrText>
            </w:r>
            <w:r w:rsidR="00035A35">
              <w:rPr>
                <w:rFonts w:ascii="Calibri" w:eastAsia="Times New Roman" w:hAnsi="Calibri" w:cs="Calibri"/>
                <w:color w:val="000000"/>
                <w:lang w:val="en-ZA" w:eastAsia="en-ZA"/>
              </w:rPr>
              <w:fldChar w:fldCharType="separate"/>
            </w:r>
            <w:r w:rsidR="00035A35" w:rsidRPr="00035A35">
              <w:rPr>
                <w:rFonts w:ascii="Calibri" w:hAnsi="Calibri" w:cs="Calibri"/>
              </w:rPr>
              <w:t>(27)</w:t>
            </w:r>
            <w:r w:rsidR="00035A35">
              <w:rPr>
                <w:rFonts w:ascii="Calibri" w:eastAsia="Times New Roman" w:hAnsi="Calibri" w:cs="Calibri"/>
                <w:color w:val="000000"/>
                <w:lang w:val="en-ZA" w:eastAsia="en-ZA"/>
              </w:rPr>
              <w:fldChar w:fldCharType="end"/>
            </w:r>
          </w:p>
        </w:tc>
        <w:tc>
          <w:tcPr>
            <w:tcW w:w="1464" w:type="dxa"/>
            <w:noWrap/>
            <w:hideMark/>
          </w:tcPr>
          <w:p w14:paraId="184310B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2017</w:t>
            </w:r>
          </w:p>
        </w:tc>
        <w:tc>
          <w:tcPr>
            <w:tcW w:w="2043" w:type="dxa"/>
            <w:noWrap/>
            <w:hideMark/>
          </w:tcPr>
          <w:p w14:paraId="6D7D142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2D87EE59" w14:textId="77777777" w:rsidTr="00366ACD">
        <w:trPr>
          <w:trHeight w:val="270"/>
        </w:trPr>
        <w:tc>
          <w:tcPr>
            <w:tcW w:w="2703" w:type="dxa"/>
            <w:noWrap/>
            <w:hideMark/>
          </w:tcPr>
          <w:p w14:paraId="785B7410" w14:textId="6F3D5BC5" w:rsidR="00696AF0" w:rsidRPr="00696AF0" w:rsidRDefault="00696AF0" w:rsidP="00035A35">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Campbell</w:t>
            </w:r>
            <w:r w:rsidR="00035A35">
              <w:rPr>
                <w:rFonts w:ascii="Calibri" w:eastAsia="Times New Roman" w:hAnsi="Calibri" w:cs="Calibri"/>
                <w:color w:val="000000"/>
                <w:lang w:val="en-ZA" w:eastAsia="en-ZA"/>
              </w:rPr>
              <w:t xml:space="preserve"> </w:t>
            </w:r>
            <w:r w:rsidR="00035A35">
              <w:rPr>
                <w:rFonts w:ascii="Calibri" w:eastAsia="Times New Roman" w:hAnsi="Calibri" w:cs="Calibri"/>
                <w:color w:val="000000"/>
                <w:lang w:val="en-ZA" w:eastAsia="en-ZA"/>
              </w:rPr>
              <w:fldChar w:fldCharType="begin"/>
            </w:r>
            <w:r w:rsidR="00035A35">
              <w:rPr>
                <w:rFonts w:ascii="Calibri" w:eastAsia="Times New Roman" w:hAnsi="Calibri" w:cs="Calibri"/>
                <w:color w:val="000000"/>
                <w:lang w:val="en-ZA" w:eastAsia="en-ZA"/>
              </w:rPr>
              <w:instrText xml:space="preserve"> ADDIN ZOTERO_ITEM CSL_CITATION {"citationID":"s1lAFVFQ","properties":{"formattedCitation":"(28)","plainCitation":"(28)","noteIndex":0},"citationItems":[{"id":12339,"uris":["http://zotero.org/users/6216265/items/QPR47QH2"],"itemData":{"id":12339,"type":"article-journal","container-title":"PDA Journal of Pharmaceutical Science and Technology","DOI":"10.5731/pdajpst.2014.00972","ISSN":"1079-7440","issue":"2","journalAbbreviation":"PDA Journal of Pharmaceutical Science and Technology","language":"en","page":"185-191","source":"DOI.org (Crossref)","title":"FDA 2011 Process Validation Guidance: Lifecycle Compliance Model","title-short":"FDA 2011 Process Validation Guidance","volume":"68","author":[{"family":"Campbell","given":"C."}],"issued":{"date-parts":[["2014",3,1]]}}}],"schema":"https://github.com/citation-style-language/schema/raw/master/csl-citation.json"} </w:instrText>
            </w:r>
            <w:r w:rsidR="00035A35">
              <w:rPr>
                <w:rFonts w:ascii="Calibri" w:eastAsia="Times New Roman" w:hAnsi="Calibri" w:cs="Calibri"/>
                <w:color w:val="000000"/>
                <w:lang w:val="en-ZA" w:eastAsia="en-ZA"/>
              </w:rPr>
              <w:fldChar w:fldCharType="separate"/>
            </w:r>
            <w:r w:rsidR="00035A35" w:rsidRPr="00035A35">
              <w:rPr>
                <w:rFonts w:ascii="Calibri" w:hAnsi="Calibri" w:cs="Calibri"/>
              </w:rPr>
              <w:t>(28)</w:t>
            </w:r>
            <w:r w:rsidR="00035A35">
              <w:rPr>
                <w:rFonts w:ascii="Calibri" w:eastAsia="Times New Roman" w:hAnsi="Calibri" w:cs="Calibri"/>
                <w:color w:val="000000"/>
                <w:lang w:val="en-ZA" w:eastAsia="en-ZA"/>
              </w:rPr>
              <w:fldChar w:fldCharType="end"/>
            </w:r>
          </w:p>
        </w:tc>
        <w:tc>
          <w:tcPr>
            <w:tcW w:w="1464" w:type="dxa"/>
            <w:noWrap/>
            <w:hideMark/>
          </w:tcPr>
          <w:p w14:paraId="6780792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2014</w:t>
            </w:r>
          </w:p>
        </w:tc>
        <w:tc>
          <w:tcPr>
            <w:tcW w:w="2043" w:type="dxa"/>
            <w:noWrap/>
            <w:hideMark/>
          </w:tcPr>
          <w:p w14:paraId="20C48C5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39A7AEF" w14:textId="77777777" w:rsidTr="00366ACD">
        <w:trPr>
          <w:trHeight w:val="270"/>
        </w:trPr>
        <w:tc>
          <w:tcPr>
            <w:tcW w:w="2703" w:type="dxa"/>
            <w:noWrap/>
            <w:hideMark/>
          </w:tcPr>
          <w:p w14:paraId="52CF8B7F" w14:textId="773DDF36" w:rsidR="00696AF0" w:rsidRPr="00696AF0" w:rsidRDefault="00696AF0" w:rsidP="004E4256">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Campbell and Vallejo</w:t>
            </w:r>
            <w:r w:rsidR="004E4256">
              <w:rPr>
                <w:rFonts w:ascii="Calibri" w:eastAsia="Times New Roman" w:hAnsi="Calibri" w:cs="Calibri"/>
                <w:color w:val="000000"/>
                <w:lang w:val="en-ZA" w:eastAsia="en-ZA"/>
              </w:rPr>
              <w:t xml:space="preserve"> </w:t>
            </w:r>
            <w:r w:rsidR="004E4256">
              <w:rPr>
                <w:rFonts w:ascii="Calibri" w:eastAsia="Times New Roman" w:hAnsi="Calibri" w:cs="Calibri"/>
                <w:color w:val="000000"/>
                <w:lang w:val="en-ZA" w:eastAsia="en-ZA"/>
              </w:rPr>
              <w:fldChar w:fldCharType="begin"/>
            </w:r>
            <w:r w:rsidR="004E4256">
              <w:rPr>
                <w:rFonts w:ascii="Calibri" w:eastAsia="Times New Roman" w:hAnsi="Calibri" w:cs="Calibri"/>
                <w:color w:val="000000"/>
                <w:lang w:val="en-ZA" w:eastAsia="en-ZA"/>
              </w:rPr>
              <w:instrText xml:space="preserve"> ADDIN ZOTERO_ITEM CSL_CITATION {"citationID":"l8ToBAbz","properties":{"formattedCitation":"(29)","plainCitation":"(29)","noteIndex":0},"citationItems":[{"id":12340,"uris":["http://zotero.org/users/6216265/items/VQ5HSQIF"],"itemData":{"id":12340,"type":"article-journal","container-title":"Journal of Pharmaceutical Sciences","DOI":"10.1002/jps.24223","ISSN":"00223549","issue":"1","journalAbbreviation":"Journal of Pharmaceutical Sciences","language":"en","page":"52-62","source":"DOI.org (Crossref)","title":"Primary Packaging Considerations in Developing Medicines for Children: Oral Liquid and Powder for Constitution","title-short":"Primary Packaging Considerations in Developing Medicines for Children","volume":"104","author":[{"family":"Campbell","given":"Gossett A."},{"family":"Vallejo","given":"Erick"}],"issued":{"date-parts":[["2015",1]]}}}],"schema":"https://github.com/citation-style-language/schema/raw/master/csl-citation.json"} </w:instrText>
            </w:r>
            <w:r w:rsidR="004E4256">
              <w:rPr>
                <w:rFonts w:ascii="Calibri" w:eastAsia="Times New Roman" w:hAnsi="Calibri" w:cs="Calibri"/>
                <w:color w:val="000000"/>
                <w:lang w:val="en-ZA" w:eastAsia="en-ZA"/>
              </w:rPr>
              <w:fldChar w:fldCharType="separate"/>
            </w:r>
            <w:r w:rsidR="004E4256" w:rsidRPr="004E4256">
              <w:rPr>
                <w:rFonts w:ascii="Calibri" w:hAnsi="Calibri" w:cs="Calibri"/>
              </w:rPr>
              <w:t>(29)</w:t>
            </w:r>
            <w:r w:rsidR="004E4256">
              <w:rPr>
                <w:rFonts w:ascii="Calibri" w:eastAsia="Times New Roman" w:hAnsi="Calibri" w:cs="Calibri"/>
                <w:color w:val="000000"/>
                <w:lang w:val="en-ZA" w:eastAsia="en-ZA"/>
              </w:rPr>
              <w:fldChar w:fldCharType="end"/>
            </w:r>
          </w:p>
        </w:tc>
        <w:tc>
          <w:tcPr>
            <w:tcW w:w="1464" w:type="dxa"/>
            <w:noWrap/>
            <w:hideMark/>
          </w:tcPr>
          <w:p w14:paraId="7F2765B1"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2015</w:t>
            </w:r>
          </w:p>
        </w:tc>
        <w:tc>
          <w:tcPr>
            <w:tcW w:w="2043" w:type="dxa"/>
            <w:noWrap/>
            <w:hideMark/>
          </w:tcPr>
          <w:p w14:paraId="1E32525A"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F525505" w14:textId="77777777" w:rsidTr="00366ACD">
        <w:trPr>
          <w:trHeight w:val="270"/>
        </w:trPr>
        <w:tc>
          <w:tcPr>
            <w:tcW w:w="2703" w:type="dxa"/>
            <w:noWrap/>
            <w:hideMark/>
          </w:tcPr>
          <w:p w14:paraId="386B1BC2" w14:textId="3AE10BB3" w:rsidR="00696AF0" w:rsidRPr="00696AF0" w:rsidRDefault="00696AF0" w:rsidP="004E4256">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Charoo</w:t>
            </w:r>
            <w:proofErr w:type="spellEnd"/>
            <w:r w:rsidRPr="00696AF0">
              <w:rPr>
                <w:rFonts w:ascii="Calibri" w:eastAsia="Times New Roman" w:hAnsi="Calibri" w:cs="Calibri"/>
                <w:color w:val="000000"/>
                <w:lang w:val="en-ZA" w:eastAsia="en-ZA"/>
              </w:rPr>
              <w:t xml:space="preserve"> and Ali</w:t>
            </w:r>
            <w:r w:rsidR="004E4256">
              <w:rPr>
                <w:rFonts w:ascii="Calibri" w:eastAsia="Times New Roman" w:hAnsi="Calibri" w:cs="Calibri"/>
                <w:color w:val="000000"/>
                <w:lang w:val="en-ZA" w:eastAsia="en-ZA"/>
              </w:rPr>
              <w:t xml:space="preserve"> </w:t>
            </w:r>
            <w:r w:rsidR="004E4256">
              <w:rPr>
                <w:rFonts w:ascii="Calibri" w:eastAsia="Times New Roman" w:hAnsi="Calibri" w:cs="Calibri"/>
                <w:color w:val="000000"/>
                <w:lang w:val="en-ZA" w:eastAsia="en-ZA"/>
              </w:rPr>
              <w:fldChar w:fldCharType="begin"/>
            </w:r>
            <w:r w:rsidR="004E4256">
              <w:rPr>
                <w:rFonts w:ascii="Calibri" w:eastAsia="Times New Roman" w:hAnsi="Calibri" w:cs="Calibri"/>
                <w:color w:val="000000"/>
                <w:lang w:val="en-ZA" w:eastAsia="en-ZA"/>
              </w:rPr>
              <w:instrText xml:space="preserve"> ADDIN ZOTERO_ITEM CSL_CITATION {"citationID":"rcWfnI7p","properties":{"formattedCitation":"(30)","plainCitation":"(30)","noteIndex":0},"citationItems":[{"id":12341,"uris":["http://zotero.org/users/6216265/items/ZIDDLYVI"],"itemData":{"id":12341,"type":"article-journal","container-title":"Drug Development and Industrial Pharmacy","DOI":"10.3109/03639045.2012.699065","ISSN":"0363-9045, 1520-5762","issue":"7","journalAbbreviation":"Drug Development and Industrial Pharmacy","language":"en","page":"947-960","source":"DOI.org (Crossref)","title":"Quality risk management in pharmaceutical development","volume":"39","author":[{"family":"Charoo","given":"Naseem Ahmad"},{"family":"Ali","given":"Areeg Anwer"}],"issued":{"date-parts":[["2013",7]]}}}],"schema":"https://github.com/citation-style-language/schema/raw/master/csl-citation.json"} </w:instrText>
            </w:r>
            <w:r w:rsidR="004E4256">
              <w:rPr>
                <w:rFonts w:ascii="Calibri" w:eastAsia="Times New Roman" w:hAnsi="Calibri" w:cs="Calibri"/>
                <w:color w:val="000000"/>
                <w:lang w:val="en-ZA" w:eastAsia="en-ZA"/>
              </w:rPr>
              <w:fldChar w:fldCharType="separate"/>
            </w:r>
            <w:r w:rsidR="004E4256" w:rsidRPr="004E4256">
              <w:rPr>
                <w:rFonts w:ascii="Calibri" w:hAnsi="Calibri" w:cs="Calibri"/>
              </w:rPr>
              <w:t>(30)</w:t>
            </w:r>
            <w:r w:rsidR="004E4256">
              <w:rPr>
                <w:rFonts w:ascii="Calibri" w:eastAsia="Times New Roman" w:hAnsi="Calibri" w:cs="Calibri"/>
                <w:color w:val="000000"/>
                <w:lang w:val="en-ZA" w:eastAsia="en-ZA"/>
              </w:rPr>
              <w:fldChar w:fldCharType="end"/>
            </w:r>
          </w:p>
        </w:tc>
        <w:tc>
          <w:tcPr>
            <w:tcW w:w="1464" w:type="dxa"/>
            <w:noWrap/>
            <w:hideMark/>
          </w:tcPr>
          <w:p w14:paraId="0014C1C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2013</w:t>
            </w:r>
          </w:p>
        </w:tc>
        <w:tc>
          <w:tcPr>
            <w:tcW w:w="2043" w:type="dxa"/>
            <w:noWrap/>
            <w:hideMark/>
          </w:tcPr>
          <w:p w14:paraId="167CFF1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7B08754" w14:textId="77777777" w:rsidTr="00366ACD">
        <w:trPr>
          <w:trHeight w:val="270"/>
        </w:trPr>
        <w:tc>
          <w:tcPr>
            <w:tcW w:w="2703" w:type="dxa"/>
            <w:noWrap/>
            <w:hideMark/>
          </w:tcPr>
          <w:p w14:paraId="44949D0C" w14:textId="7ED42686" w:rsidR="00696AF0" w:rsidRPr="00696AF0" w:rsidRDefault="00696AF0" w:rsidP="00B537D9">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Chavez </w:t>
            </w:r>
            <w:r w:rsidR="000620EA">
              <w:rPr>
                <w:rFonts w:ascii="Calibri" w:eastAsia="Times New Roman" w:hAnsi="Calibri" w:cs="Calibri"/>
                <w:color w:val="000000"/>
                <w:lang w:val="en-ZA" w:eastAsia="en-ZA"/>
              </w:rPr>
              <w:t>et al.</w:t>
            </w:r>
            <w:r w:rsidR="00B537D9">
              <w:rPr>
                <w:rFonts w:ascii="Calibri" w:eastAsia="Times New Roman" w:hAnsi="Calibri" w:cs="Calibri"/>
                <w:color w:val="000000"/>
                <w:lang w:val="en-ZA" w:eastAsia="en-ZA"/>
              </w:rPr>
              <w:t xml:space="preserve"> </w:t>
            </w:r>
            <w:r w:rsidR="00B537D9">
              <w:rPr>
                <w:rFonts w:ascii="Calibri" w:eastAsia="Times New Roman" w:hAnsi="Calibri" w:cs="Calibri"/>
                <w:color w:val="000000"/>
                <w:lang w:val="en-ZA" w:eastAsia="en-ZA"/>
              </w:rPr>
              <w:fldChar w:fldCharType="begin"/>
            </w:r>
            <w:r w:rsidR="00B537D9">
              <w:rPr>
                <w:rFonts w:ascii="Calibri" w:eastAsia="Times New Roman" w:hAnsi="Calibri" w:cs="Calibri"/>
                <w:color w:val="000000"/>
                <w:lang w:val="en-ZA" w:eastAsia="en-ZA"/>
              </w:rPr>
              <w:instrText xml:space="preserve"> ADDIN ZOTERO_ITEM CSL_CITATION {"citationID":"eONA0idU","properties":{"formattedCitation":"(31)","plainCitation":"(31)","noteIndex":0},"citationItems":[{"id":12342,"uris":["http://zotero.org/users/6216265/items/JQ7X5ZSF"],"itemData":{"id":12342,"type":"article-journal","container-title":"International Journal of Pharmaceutics","DOI":"10.1016/j.ijpharm.2015.03.025","ISSN":"03785173","issue":"1-2","journalAbbreviation":"International Journal of Pharmaceutics","language":"en","page":"13-20","source":"DOI.org (Crossref)","title":"Optimization of a pharmaceutical tablet formulation based on a design space approach and using vibrational spectroscopy as PAT tool","volume":"486","author":[{"family":"Chavez","given":"Pierre-François"},{"family":"Lebrun","given":"Pierre"},{"family":"Sacré","given":"Pierre-Yves"},{"family":"De Bleye","given":"Charlotte"},{"family":"Netchacovitch","given":"Lauranne"},{"family":"Cuypers","given":"Serge"},{"family":"Mantanus","given":"Jérôme"},{"family":"Motte","given":"Henri"},{"family":"Schubert","given":"Martin"},{"family":"Evrard","given":"Brigitte"},{"family":"Hubert","given":"Philippe"},{"family":"Ziemons","given":"Eric"}],"issued":{"date-parts":[["2015",5]]}}}],"schema":"https://github.com/citation-style-language/schema/raw/master/csl-citation.json"} </w:instrText>
            </w:r>
            <w:r w:rsidR="00B537D9">
              <w:rPr>
                <w:rFonts w:ascii="Calibri" w:eastAsia="Times New Roman" w:hAnsi="Calibri" w:cs="Calibri"/>
                <w:color w:val="000000"/>
                <w:lang w:val="en-ZA" w:eastAsia="en-ZA"/>
              </w:rPr>
              <w:fldChar w:fldCharType="separate"/>
            </w:r>
            <w:r w:rsidR="00B537D9" w:rsidRPr="00B537D9">
              <w:rPr>
                <w:rFonts w:ascii="Calibri" w:hAnsi="Calibri" w:cs="Calibri"/>
              </w:rPr>
              <w:t>(31)</w:t>
            </w:r>
            <w:r w:rsidR="00B537D9">
              <w:rPr>
                <w:rFonts w:ascii="Calibri" w:eastAsia="Times New Roman" w:hAnsi="Calibri" w:cs="Calibri"/>
                <w:color w:val="000000"/>
                <w:lang w:val="en-ZA" w:eastAsia="en-ZA"/>
              </w:rPr>
              <w:fldChar w:fldCharType="end"/>
            </w:r>
          </w:p>
        </w:tc>
        <w:tc>
          <w:tcPr>
            <w:tcW w:w="1464" w:type="dxa"/>
            <w:noWrap/>
            <w:hideMark/>
          </w:tcPr>
          <w:p w14:paraId="1459B57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2015</w:t>
            </w:r>
          </w:p>
        </w:tc>
        <w:tc>
          <w:tcPr>
            <w:tcW w:w="2043" w:type="dxa"/>
            <w:noWrap/>
            <w:hideMark/>
          </w:tcPr>
          <w:p w14:paraId="6BBF81B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2EDAC46C" w14:textId="77777777" w:rsidTr="00366ACD">
        <w:trPr>
          <w:trHeight w:val="270"/>
        </w:trPr>
        <w:tc>
          <w:tcPr>
            <w:tcW w:w="2703" w:type="dxa"/>
            <w:noWrap/>
            <w:hideMark/>
          </w:tcPr>
          <w:p w14:paraId="5A448F5C" w14:textId="2BD6D53F" w:rsidR="00696AF0" w:rsidRPr="00696AF0" w:rsidRDefault="00696AF0" w:rsidP="00B537D9">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Chen </w:t>
            </w:r>
            <w:r w:rsidR="000620EA">
              <w:rPr>
                <w:rFonts w:ascii="Calibri" w:eastAsia="Times New Roman" w:hAnsi="Calibri" w:cs="Calibri"/>
                <w:color w:val="000000"/>
                <w:lang w:val="en-ZA" w:eastAsia="en-ZA"/>
              </w:rPr>
              <w:t>et al.</w:t>
            </w:r>
            <w:r w:rsidR="00B537D9">
              <w:rPr>
                <w:rFonts w:ascii="Calibri" w:eastAsia="Times New Roman" w:hAnsi="Calibri" w:cs="Calibri"/>
                <w:color w:val="000000"/>
                <w:lang w:val="en-ZA" w:eastAsia="en-ZA"/>
              </w:rPr>
              <w:t xml:space="preserve"> </w:t>
            </w:r>
            <w:r w:rsidR="00B537D9">
              <w:rPr>
                <w:rFonts w:ascii="Calibri" w:eastAsia="Times New Roman" w:hAnsi="Calibri" w:cs="Calibri"/>
                <w:color w:val="000000"/>
                <w:lang w:val="en-ZA" w:eastAsia="en-ZA"/>
              </w:rPr>
              <w:fldChar w:fldCharType="begin"/>
            </w:r>
            <w:r w:rsidR="00B537D9">
              <w:rPr>
                <w:rFonts w:ascii="Calibri" w:eastAsia="Times New Roman" w:hAnsi="Calibri" w:cs="Calibri"/>
                <w:color w:val="000000"/>
                <w:lang w:val="en-ZA" w:eastAsia="en-ZA"/>
              </w:rPr>
              <w:instrText xml:space="preserve"> ADDIN ZOTERO_ITEM CSL_CITATION {"citationID":"6EX2GqcA","properties":{"formattedCitation":"(32)","plainCitation":"(32)","noteIndex":0},"citationItems":[{"id":12343,"uris":["http://zotero.org/users/6216265/items/52FMFUXG"],"itemData":{"id":12343,"type":"article-journal","container-title":"Current Tropical Medicine Reports","DOI":"10.1007/s40475-020-00201-6","ISSN":"2196-3045","issue":"2","journalAbbreviation":"Curr Trop Med Rep","language":"en","page":"61-64","source":"DOI.org (Crossref)","title":"The SARS-CoV-2 Vaccine Pipeline: an Overview","title-short":"The SARS-CoV-2 Vaccine Pipeline","volume":"7","author":[{"family":"Chen","given":"Wen-Hsiang"},{"family":"Strych","given":"Ulrich"},{"family":"Hotez","given":"Peter J"},{"family":"Bottazzi","given":"Maria Elena"}],"issued":{"date-parts":[["2020",6]]}}}],"schema":"https://github.com/citation-style-language/schema/raw/master/csl-citation.json"} </w:instrText>
            </w:r>
            <w:r w:rsidR="00B537D9">
              <w:rPr>
                <w:rFonts w:ascii="Calibri" w:eastAsia="Times New Roman" w:hAnsi="Calibri" w:cs="Calibri"/>
                <w:color w:val="000000"/>
                <w:lang w:val="en-ZA" w:eastAsia="en-ZA"/>
              </w:rPr>
              <w:fldChar w:fldCharType="separate"/>
            </w:r>
            <w:r w:rsidR="00B537D9" w:rsidRPr="00B537D9">
              <w:rPr>
                <w:rFonts w:ascii="Calibri" w:hAnsi="Calibri" w:cs="Calibri"/>
              </w:rPr>
              <w:t>(32)</w:t>
            </w:r>
            <w:r w:rsidR="00B537D9">
              <w:rPr>
                <w:rFonts w:ascii="Calibri" w:eastAsia="Times New Roman" w:hAnsi="Calibri" w:cs="Calibri"/>
                <w:color w:val="000000"/>
                <w:lang w:val="en-ZA" w:eastAsia="en-ZA"/>
              </w:rPr>
              <w:fldChar w:fldCharType="end"/>
            </w:r>
          </w:p>
        </w:tc>
        <w:tc>
          <w:tcPr>
            <w:tcW w:w="1464" w:type="dxa"/>
            <w:noWrap/>
            <w:hideMark/>
          </w:tcPr>
          <w:p w14:paraId="133CA13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7A7B628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158C8AC" w14:textId="77777777" w:rsidTr="00366ACD">
        <w:trPr>
          <w:trHeight w:val="270"/>
        </w:trPr>
        <w:tc>
          <w:tcPr>
            <w:tcW w:w="2703" w:type="dxa"/>
            <w:noWrap/>
            <w:hideMark/>
          </w:tcPr>
          <w:p w14:paraId="19AE2D1E" w14:textId="6BBFA162" w:rsidR="00696AF0" w:rsidRPr="00696AF0" w:rsidRDefault="00696AF0" w:rsidP="002C155A">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Chirmule</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2C155A">
              <w:rPr>
                <w:rFonts w:ascii="Calibri" w:eastAsia="Times New Roman" w:hAnsi="Calibri" w:cs="Calibri"/>
                <w:color w:val="000000"/>
                <w:lang w:val="en-ZA" w:eastAsia="en-ZA"/>
              </w:rPr>
              <w:t xml:space="preserve"> </w:t>
            </w:r>
            <w:r w:rsidR="002C155A">
              <w:rPr>
                <w:rFonts w:ascii="Calibri" w:eastAsia="Times New Roman" w:hAnsi="Calibri" w:cs="Calibri"/>
                <w:color w:val="000000"/>
                <w:lang w:val="en-ZA" w:eastAsia="en-ZA"/>
              </w:rPr>
              <w:fldChar w:fldCharType="begin"/>
            </w:r>
            <w:r w:rsidR="002C155A">
              <w:rPr>
                <w:rFonts w:ascii="Calibri" w:eastAsia="Times New Roman" w:hAnsi="Calibri" w:cs="Calibri"/>
                <w:color w:val="000000"/>
                <w:lang w:val="en-ZA" w:eastAsia="en-ZA"/>
              </w:rPr>
              <w:instrText xml:space="preserve"> ADDIN ZOTERO_ITEM CSL_CITATION {"citationID":"2bnKYCNC","properties":{"formattedCitation":"(33)","plainCitation":"(33)","noteIndex":0},"citationItems":[{"id":12345,"uris":["http://zotero.org/users/6216265/items/RJYAKB7C"],"itemData":{"id":12345,"type":"article-journal","container-title":"Journal of Pharmaceutical Sciences","DOI":"10.1016/j.xphs.2020.07.019","ISSN":"00223549","issue":"10","journalAbbreviation":"Journal of Pharmaceutical Sciences","language":"en","page":"3214-3222","source":"DOI.org (Crossref)","title":"Failure Mode and Effects Analysis (FMEA) for Immunogenicity of Therapeutic Proteins","volume":"109","author":[{"family":"Chirmule","given":"Narendra"},{"family":"Khare","given":"Ravindra"},{"family":"Khandekar","given":"Atul"},{"family":"Jawa","given":"Vibha"}],"issued":{"date-parts":[["2020",10]]}}}],"schema":"https://github.com/citation-style-language/schema/raw/master/csl-citation.json"} </w:instrText>
            </w:r>
            <w:r w:rsidR="002C155A">
              <w:rPr>
                <w:rFonts w:ascii="Calibri" w:eastAsia="Times New Roman" w:hAnsi="Calibri" w:cs="Calibri"/>
                <w:color w:val="000000"/>
                <w:lang w:val="en-ZA" w:eastAsia="en-ZA"/>
              </w:rPr>
              <w:fldChar w:fldCharType="separate"/>
            </w:r>
            <w:r w:rsidR="002C155A" w:rsidRPr="002C155A">
              <w:rPr>
                <w:rFonts w:ascii="Calibri" w:hAnsi="Calibri" w:cs="Calibri"/>
              </w:rPr>
              <w:t>(33)</w:t>
            </w:r>
            <w:r w:rsidR="002C155A">
              <w:rPr>
                <w:rFonts w:ascii="Calibri" w:eastAsia="Times New Roman" w:hAnsi="Calibri" w:cs="Calibri"/>
                <w:color w:val="000000"/>
                <w:lang w:val="en-ZA" w:eastAsia="en-ZA"/>
              </w:rPr>
              <w:fldChar w:fldCharType="end"/>
            </w:r>
          </w:p>
        </w:tc>
        <w:tc>
          <w:tcPr>
            <w:tcW w:w="1464" w:type="dxa"/>
            <w:noWrap/>
            <w:hideMark/>
          </w:tcPr>
          <w:p w14:paraId="4A058F1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727589C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7B6677D3" w14:textId="77777777" w:rsidTr="00366ACD">
        <w:trPr>
          <w:trHeight w:val="270"/>
        </w:trPr>
        <w:tc>
          <w:tcPr>
            <w:tcW w:w="2703" w:type="dxa"/>
            <w:noWrap/>
            <w:hideMark/>
          </w:tcPr>
          <w:p w14:paraId="36174DF2" w14:textId="319F2217" w:rsidR="00696AF0" w:rsidRPr="00696AF0" w:rsidRDefault="00696AF0" w:rsidP="002C155A">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Cocco</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2C155A">
              <w:rPr>
                <w:rFonts w:ascii="Calibri" w:eastAsia="Times New Roman" w:hAnsi="Calibri" w:cs="Calibri"/>
                <w:color w:val="000000"/>
                <w:lang w:val="en-ZA" w:eastAsia="en-ZA"/>
              </w:rPr>
              <w:t xml:space="preserve"> </w:t>
            </w:r>
            <w:r w:rsidR="002C155A">
              <w:rPr>
                <w:rFonts w:ascii="Calibri" w:eastAsia="Times New Roman" w:hAnsi="Calibri" w:cs="Calibri"/>
                <w:color w:val="000000"/>
                <w:lang w:val="en-ZA" w:eastAsia="en-ZA"/>
              </w:rPr>
              <w:fldChar w:fldCharType="begin"/>
            </w:r>
            <w:r w:rsidR="002C155A">
              <w:rPr>
                <w:rFonts w:ascii="Calibri" w:eastAsia="Times New Roman" w:hAnsi="Calibri" w:cs="Calibri"/>
                <w:color w:val="000000"/>
                <w:lang w:val="en-ZA" w:eastAsia="en-ZA"/>
              </w:rPr>
              <w:instrText xml:space="preserve"> ADDIN ZOTERO_ITEM CSL_CITATION {"citationID":"1li4jjIM","properties":{"formattedCitation":"(34)","plainCitation":"(34)","noteIndex":0},"citationItems":[{"id":12348,"uris":["http://zotero.org/users/6216265/items/WNQHPE36"],"itemData":{"id":12348,"type":"article-journal","abstract":"Abstract\n            \n              Target Product Profiles (TPPs) outline the characteristics that new health technologies require to address an unmet clinical need. To date, published TPPs for medical tests have focused on infectious diseases, mostly in the context of low- and middle-income countries. Recently, there have been calls for a broader use of TPPs as a mechanism to ensure that diagnostic innovation is aligned with clinical needs, yet the methodology underpinning TPP development remains suboptimal. Here, we propose that early economic evaluation (EEE) should be integrated within the TPP methodology to create a more rigorous framework for the development of “fit-for-purpose” tests. We discuss the potential benefits that EEE could bring to the core activities underpinning TPP development—\n              scoping\n              ,\n              drafting, consensus building\n              , and\n              updating\n              —and argue that using EEE to help inform TPPs provides a more objective, evidence-based, and transparent approach to defining test specifications.","container-title":"International Journal of Technology Assessment in Health Care","DOI":"10.1017/S0266462321000374","ISSN":"0266-4623, 1471-6348","issue":"1","journalAbbreviation":"Int J Technol Assess Health Care","language":"en","page":"e68","source":"DOI.org (Crossref)","title":"Integrating Early Economic Evaluation into Target Product Profile development for medical tests: advantages and potential applications","title-short":"Integrating Early Economic Evaluation into Target Product Profile development for medical tests","volume":"37","author":[{"family":"Cocco","given":"Paola"},{"family":"Messenger","given":"Michael Paul"},{"family":"Smith","given":"Alison Florence"},{"family":"West","given":"Robert Michael"},{"family":"Shinkins","given":"Bethany"}],"issued":{"date-parts":[["2021"]]}}}],"schema":"https://github.com/citation-style-language/schema/raw/master/csl-citation.json"} </w:instrText>
            </w:r>
            <w:r w:rsidR="002C155A">
              <w:rPr>
                <w:rFonts w:ascii="Calibri" w:eastAsia="Times New Roman" w:hAnsi="Calibri" w:cs="Calibri"/>
                <w:color w:val="000000"/>
                <w:lang w:val="en-ZA" w:eastAsia="en-ZA"/>
              </w:rPr>
              <w:fldChar w:fldCharType="separate"/>
            </w:r>
            <w:r w:rsidR="002C155A" w:rsidRPr="002C155A">
              <w:rPr>
                <w:rFonts w:ascii="Calibri" w:hAnsi="Calibri" w:cs="Calibri"/>
              </w:rPr>
              <w:t>(34)</w:t>
            </w:r>
            <w:r w:rsidR="002C155A">
              <w:rPr>
                <w:rFonts w:ascii="Calibri" w:eastAsia="Times New Roman" w:hAnsi="Calibri" w:cs="Calibri"/>
                <w:color w:val="000000"/>
                <w:lang w:val="en-ZA" w:eastAsia="en-ZA"/>
              </w:rPr>
              <w:fldChar w:fldCharType="end"/>
            </w:r>
          </w:p>
        </w:tc>
        <w:tc>
          <w:tcPr>
            <w:tcW w:w="1464" w:type="dxa"/>
            <w:noWrap/>
            <w:hideMark/>
          </w:tcPr>
          <w:p w14:paraId="3716002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0CE6FC6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03E086CC" w14:textId="77777777" w:rsidTr="00366ACD">
        <w:trPr>
          <w:trHeight w:val="270"/>
        </w:trPr>
        <w:tc>
          <w:tcPr>
            <w:tcW w:w="2703" w:type="dxa"/>
            <w:noWrap/>
            <w:hideMark/>
          </w:tcPr>
          <w:p w14:paraId="250FD3F0" w14:textId="40EB9F00" w:rsidR="00696AF0" w:rsidRPr="00696AF0" w:rsidRDefault="00696AF0" w:rsidP="000E7304">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Cocco</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0E7304">
              <w:rPr>
                <w:rFonts w:ascii="Calibri" w:eastAsia="Times New Roman" w:hAnsi="Calibri" w:cs="Calibri"/>
                <w:color w:val="000000"/>
                <w:lang w:val="en-ZA" w:eastAsia="en-ZA"/>
              </w:rPr>
              <w:t xml:space="preserve"> </w:t>
            </w:r>
            <w:r w:rsidR="000E7304">
              <w:rPr>
                <w:rFonts w:ascii="Calibri" w:eastAsia="Times New Roman" w:hAnsi="Calibri" w:cs="Calibri"/>
                <w:color w:val="000000"/>
                <w:lang w:val="en-ZA" w:eastAsia="en-ZA"/>
              </w:rPr>
              <w:fldChar w:fldCharType="begin"/>
            </w:r>
            <w:r w:rsidR="000E7304">
              <w:rPr>
                <w:rFonts w:ascii="Calibri" w:eastAsia="Times New Roman" w:hAnsi="Calibri" w:cs="Calibri"/>
                <w:color w:val="000000"/>
                <w:lang w:val="en-ZA" w:eastAsia="en-ZA"/>
              </w:rPr>
              <w:instrText xml:space="preserve"> ADDIN ZOTERO_ITEM CSL_CITATION {"citationID":"jkiPVKib","properties":{"formattedCitation":"(35)","plainCitation":"(35)","noteIndex":0},"citationItems":[{"id":12346,"uris":["http://zotero.org/users/6216265/items/PPRLUUI4"],"itemData":{"id":12346,"type":"article-journal","abstract":"Abstract\n            \n              Background\n              A Target Product Profile (TPP) outlines the necessary characteristics of an innovative product to address an unmet clinical need. TPPs could be used to better guide manufacturers in the development of ‘fit for purpose’ tests, thus increasing the likelihood that novel tests will progress from bench to bedside. However, there is currently no guidance on how to produce a TPP specifically for medical tests.\n            \n            \n              Methods\n              A systematic review was conducted to summarise the methods currently used to develop TPPs for medical tests, the sources used to inform these recommendations and the test characteristics for which targets are made. Database and website searches were conducted in November 2018. TPPs written in English for any medical test were included. Based on an existing framework, test characteristics were clustered into commonly recognised themes.\n            \n            \n              Results\n              Forty-four TPPs were identified, all of which focused on diagnostic tests for infectious diseases. Three core decision-making phases for developing TPPs were identified: scoping, drafting and consensus-building. Consultations with experts and the literature mostly informed the scoping and drafting of TPPs. All TPPs provided information on unmet clinical need and desirable analytical performance, and the majority specified clinical validity characteristics. Few TPPs described specifications for clinical utility, and none included cost-effectiveness.\n            \n            \n              Conclusions\n              We have identified a commonly used framework that could be beneficial for anyone interested in drafting a TPP for a medical test. Currently, key outcomes such as utility and cost-effectiveness are largely overlooked within TPPs though and we foresee this as an area for further improvement.","container-title":"BMC Medicine","DOI":"10.1186/s12916-020-01582-1","ISSN":"1741-7015","issue":"1","journalAbbreviation":"BMC Med","language":"en","page":"119","source":"DOI.org (Crossref)","title":"Target Product Profiles for medical tests: a systematic review of current methods","title-short":"Target Product Profiles for medical tests","volume":"18","author":[{"family":"Cocco","given":"Paola"},{"family":"Ayaz-Shah","given":"Anam"},{"family":"Messenger","given":"Michael Paul"},{"family":"West","given":"Robert Michael"},{"family":"Shinkins","given":"Bethany"}],"issued":{"date-parts":[["2020",12]]}}}],"schema":"https://github.com/citation-style-language/schema/raw/master/csl-citation.json"} </w:instrText>
            </w:r>
            <w:r w:rsidR="000E7304">
              <w:rPr>
                <w:rFonts w:ascii="Calibri" w:eastAsia="Times New Roman" w:hAnsi="Calibri" w:cs="Calibri"/>
                <w:color w:val="000000"/>
                <w:lang w:val="en-ZA" w:eastAsia="en-ZA"/>
              </w:rPr>
              <w:fldChar w:fldCharType="separate"/>
            </w:r>
            <w:r w:rsidR="000E7304" w:rsidRPr="000E7304">
              <w:rPr>
                <w:rFonts w:ascii="Calibri" w:hAnsi="Calibri" w:cs="Calibri"/>
              </w:rPr>
              <w:t>(35)</w:t>
            </w:r>
            <w:r w:rsidR="000E7304">
              <w:rPr>
                <w:rFonts w:ascii="Calibri" w:eastAsia="Times New Roman" w:hAnsi="Calibri" w:cs="Calibri"/>
                <w:color w:val="000000"/>
                <w:lang w:val="en-ZA" w:eastAsia="en-ZA"/>
              </w:rPr>
              <w:fldChar w:fldCharType="end"/>
            </w:r>
          </w:p>
        </w:tc>
        <w:tc>
          <w:tcPr>
            <w:tcW w:w="1464" w:type="dxa"/>
            <w:noWrap/>
            <w:hideMark/>
          </w:tcPr>
          <w:p w14:paraId="6B426272"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40A3D502"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Systematic review</w:t>
            </w:r>
          </w:p>
        </w:tc>
      </w:tr>
      <w:tr w:rsidR="00696AF0" w:rsidRPr="00696AF0" w14:paraId="1A084134" w14:textId="77777777" w:rsidTr="00366ACD">
        <w:trPr>
          <w:trHeight w:val="270"/>
        </w:trPr>
        <w:tc>
          <w:tcPr>
            <w:tcW w:w="2703" w:type="dxa"/>
            <w:noWrap/>
            <w:hideMark/>
          </w:tcPr>
          <w:p w14:paraId="579FFCBA" w14:textId="2A3FAA41" w:rsidR="00696AF0" w:rsidRPr="00696AF0" w:rsidRDefault="00696AF0" w:rsidP="000E7304">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Conde </w:t>
            </w:r>
            <w:r w:rsidR="000620EA">
              <w:rPr>
                <w:rFonts w:ascii="Calibri" w:eastAsia="Times New Roman" w:hAnsi="Calibri" w:cs="Calibri"/>
                <w:color w:val="000000"/>
                <w:lang w:val="en-ZA" w:eastAsia="en-ZA"/>
              </w:rPr>
              <w:t>et al.</w:t>
            </w:r>
            <w:r w:rsidR="000E7304">
              <w:rPr>
                <w:rFonts w:ascii="Calibri" w:eastAsia="Times New Roman" w:hAnsi="Calibri" w:cs="Calibri"/>
                <w:color w:val="000000"/>
                <w:lang w:val="en-ZA" w:eastAsia="en-ZA"/>
              </w:rPr>
              <w:t xml:space="preserve"> </w:t>
            </w:r>
            <w:r w:rsidR="000E7304">
              <w:rPr>
                <w:rFonts w:ascii="Calibri" w:eastAsia="Times New Roman" w:hAnsi="Calibri" w:cs="Calibri"/>
                <w:color w:val="000000"/>
                <w:lang w:val="en-ZA" w:eastAsia="en-ZA"/>
              </w:rPr>
              <w:fldChar w:fldCharType="begin"/>
            </w:r>
            <w:r w:rsidR="000E7304">
              <w:rPr>
                <w:rFonts w:ascii="Calibri" w:eastAsia="Times New Roman" w:hAnsi="Calibri" w:cs="Calibri"/>
                <w:color w:val="000000"/>
                <w:lang w:val="en-ZA" w:eastAsia="en-ZA"/>
              </w:rPr>
              <w:instrText xml:space="preserve"> ADDIN ZOTERO_ITEM CSL_CITATION {"citationID":"Y8XOFNbR","properties":{"formattedCitation":"(36)","plainCitation":"(36)","noteIndex":0},"citationItems":[{"id":12350,"uris":["http://zotero.org/users/6216265/items/8Z6DWSMX"],"itemData":{"id":12350,"type":"article-journal","container-title":"Biomedical Journal","DOI":"10.1016/j.bj.2021.07.006","ISSN":"23194170","issue":"4","journalAbbreviation":"Biomedical Journal","language":"en","page":"654-664","source":"DOI.org (Crossref)","title":"Discovery of serum biomarkers for diagnosis of tuberculosis by NMR metabolomics including cross-validation with a second cohort","volume":"45","author":[{"family":"Conde","given":"R."},{"family":"Laires","given":"R."},{"family":"Gonçalves","given":"L.G."},{"family":"Rizvi","given":"A."},{"family":"Barroso","given":"C."},{"family":"Villar","given":"M."},{"family":"Macedo","given":"R."},{"family":"Simões","given":"M.J."},{"family":"Gaddam","given":"S."},{"family":"Lamosa","given":"P."},{"family":"Puchades-Carrasco","given":"L."},{"family":"Pineda-Lucena","given":"A."},{"family":"Patel","given":"A.B."},{"family":"Mande","given":"S.C."},{"family":"Banerjee","given":"S."},{"family":"Matzapetakis","given":"M."},{"family":"Coelho","given":"A.V."}],"issued":{"date-parts":[["2022",8]]}}}],"schema":"https://github.com/citation-style-language/schema/raw/master/csl-citation.json"} </w:instrText>
            </w:r>
            <w:r w:rsidR="000E7304">
              <w:rPr>
                <w:rFonts w:ascii="Calibri" w:eastAsia="Times New Roman" w:hAnsi="Calibri" w:cs="Calibri"/>
                <w:color w:val="000000"/>
                <w:lang w:val="en-ZA" w:eastAsia="en-ZA"/>
              </w:rPr>
              <w:fldChar w:fldCharType="separate"/>
            </w:r>
            <w:r w:rsidR="000E7304" w:rsidRPr="000E7304">
              <w:rPr>
                <w:rFonts w:ascii="Calibri" w:hAnsi="Calibri" w:cs="Calibri"/>
              </w:rPr>
              <w:t>(36)</w:t>
            </w:r>
            <w:r w:rsidR="000E7304">
              <w:rPr>
                <w:rFonts w:ascii="Calibri" w:eastAsia="Times New Roman" w:hAnsi="Calibri" w:cs="Calibri"/>
                <w:color w:val="000000"/>
                <w:lang w:val="en-ZA" w:eastAsia="en-ZA"/>
              </w:rPr>
              <w:fldChar w:fldCharType="end"/>
            </w:r>
          </w:p>
        </w:tc>
        <w:tc>
          <w:tcPr>
            <w:tcW w:w="1464" w:type="dxa"/>
            <w:noWrap/>
            <w:hideMark/>
          </w:tcPr>
          <w:p w14:paraId="2FAF436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619A664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7B562B2" w14:textId="77777777" w:rsidTr="00366ACD">
        <w:trPr>
          <w:trHeight w:val="270"/>
        </w:trPr>
        <w:tc>
          <w:tcPr>
            <w:tcW w:w="2703" w:type="dxa"/>
            <w:noWrap/>
            <w:hideMark/>
          </w:tcPr>
          <w:p w14:paraId="49BA18AB" w14:textId="67733EA0" w:rsidR="00696AF0" w:rsidRPr="00696AF0" w:rsidRDefault="00696AF0" w:rsidP="00942128">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Cook </w:t>
            </w:r>
            <w:r w:rsidR="000620EA">
              <w:rPr>
                <w:rFonts w:ascii="Calibri" w:eastAsia="Times New Roman" w:hAnsi="Calibri" w:cs="Calibri"/>
                <w:color w:val="000000"/>
                <w:lang w:val="en-ZA" w:eastAsia="en-ZA"/>
              </w:rPr>
              <w:t>et al.</w:t>
            </w:r>
            <w:r w:rsidR="00942128">
              <w:rPr>
                <w:rFonts w:ascii="Calibri" w:eastAsia="Times New Roman" w:hAnsi="Calibri" w:cs="Calibri"/>
                <w:color w:val="000000"/>
                <w:lang w:val="en-ZA" w:eastAsia="en-ZA"/>
              </w:rPr>
              <w:t xml:space="preserve"> </w:t>
            </w:r>
            <w:r w:rsidR="00942128">
              <w:rPr>
                <w:rFonts w:ascii="Calibri" w:eastAsia="Times New Roman" w:hAnsi="Calibri" w:cs="Calibri"/>
                <w:color w:val="000000"/>
                <w:lang w:val="en-ZA" w:eastAsia="en-ZA"/>
              </w:rPr>
              <w:fldChar w:fldCharType="begin"/>
            </w:r>
            <w:r w:rsidR="00942128">
              <w:rPr>
                <w:rFonts w:ascii="Calibri" w:eastAsia="Times New Roman" w:hAnsi="Calibri" w:cs="Calibri"/>
                <w:color w:val="000000"/>
                <w:lang w:val="en-ZA" w:eastAsia="en-ZA"/>
              </w:rPr>
              <w:instrText xml:space="preserve"> ADDIN ZOTERO_ITEM CSL_CITATION {"citationID":"7Nyp7ISu","properties":{"formattedCitation":"(37)","plainCitation":"(37)","noteIndex":0},"citationItems":[{"id":12352,"uris":["http://zotero.org/users/6216265/items/VKAAGWHD"],"itemData":{"id":12352,"type":"article-journal","container-title":"AAPS PharmSciTech","DOI":"10.1208/s12249-013-0043-1","ISSN":"1530-9932","issue":"1","journalAbbreviation":"AAPS PharmSciTech","language":"en","page":"140-148","source":"DOI.org (Crossref)","title":"Quality-by-Design: Are We There Yet?","title-short":"Quality-by-Design","volume":"15","author":[{"family":"Cook","given":"Jack"},{"family":"Cruañes","given":"Maria T."},{"family":"Gupta","given":"Manish"},{"family":"Riley","given":"Steve"},{"family":"Crison","given":"John"}],"issued":{"date-parts":[["2014",2]]}}}],"schema":"https://github.com/citation-style-language/schema/raw/master/csl-citation.json"} </w:instrText>
            </w:r>
            <w:r w:rsidR="00942128">
              <w:rPr>
                <w:rFonts w:ascii="Calibri" w:eastAsia="Times New Roman" w:hAnsi="Calibri" w:cs="Calibri"/>
                <w:color w:val="000000"/>
                <w:lang w:val="en-ZA" w:eastAsia="en-ZA"/>
              </w:rPr>
              <w:fldChar w:fldCharType="separate"/>
            </w:r>
            <w:r w:rsidR="00942128" w:rsidRPr="00942128">
              <w:rPr>
                <w:rFonts w:ascii="Calibri" w:hAnsi="Calibri" w:cs="Calibri"/>
              </w:rPr>
              <w:t>(37)</w:t>
            </w:r>
            <w:r w:rsidR="00942128">
              <w:rPr>
                <w:rFonts w:ascii="Calibri" w:eastAsia="Times New Roman" w:hAnsi="Calibri" w:cs="Calibri"/>
                <w:color w:val="000000"/>
                <w:lang w:val="en-ZA" w:eastAsia="en-ZA"/>
              </w:rPr>
              <w:fldChar w:fldCharType="end"/>
            </w:r>
          </w:p>
        </w:tc>
        <w:tc>
          <w:tcPr>
            <w:tcW w:w="1464" w:type="dxa"/>
            <w:noWrap/>
            <w:hideMark/>
          </w:tcPr>
          <w:p w14:paraId="03513B7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2014</w:t>
            </w:r>
          </w:p>
        </w:tc>
        <w:tc>
          <w:tcPr>
            <w:tcW w:w="2043" w:type="dxa"/>
            <w:noWrap/>
            <w:hideMark/>
          </w:tcPr>
          <w:p w14:paraId="2BEFED2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223FA5B1" w14:textId="77777777" w:rsidTr="00366ACD">
        <w:trPr>
          <w:trHeight w:val="270"/>
        </w:trPr>
        <w:tc>
          <w:tcPr>
            <w:tcW w:w="2703" w:type="dxa"/>
            <w:noWrap/>
            <w:hideMark/>
          </w:tcPr>
          <w:p w14:paraId="24980B4D" w14:textId="4B36771C" w:rsidR="00696AF0" w:rsidRPr="00696AF0" w:rsidRDefault="00696AF0" w:rsidP="00942128">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Craciunas</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942128">
              <w:rPr>
                <w:rFonts w:ascii="Calibri" w:eastAsia="Times New Roman" w:hAnsi="Calibri" w:cs="Calibri"/>
                <w:color w:val="000000"/>
                <w:lang w:val="en-ZA" w:eastAsia="en-ZA"/>
              </w:rPr>
              <w:t xml:space="preserve"> </w:t>
            </w:r>
            <w:r w:rsidR="00942128">
              <w:rPr>
                <w:rFonts w:ascii="Calibri" w:eastAsia="Times New Roman" w:hAnsi="Calibri" w:cs="Calibri"/>
                <w:color w:val="000000"/>
                <w:lang w:val="en-ZA" w:eastAsia="en-ZA"/>
              </w:rPr>
              <w:fldChar w:fldCharType="begin"/>
            </w:r>
            <w:r w:rsidR="00942128">
              <w:rPr>
                <w:rFonts w:ascii="Calibri" w:eastAsia="Times New Roman" w:hAnsi="Calibri" w:cs="Calibri"/>
                <w:color w:val="000000"/>
                <w:lang w:val="en-ZA" w:eastAsia="en-ZA"/>
              </w:rPr>
              <w:instrText xml:space="preserve"> ADDIN ZOTERO_ITEM CSL_CITATION {"citationID":"Wkdg7Vir","properties":{"formattedCitation":"(38)","plainCitation":"(38)","noteIndex":0},"citationItems":[{"id":12354,"uris":["http://zotero.org/users/6216265/items/WLLFKMN9"],"itemData":{"id":12354,"type":"article-journal","container-title":"European Journal of Obstetrics &amp; Gynecology and Reproductive Biology","DOI":"10.1016/j.ejogrb.2020.07.058","ISSN":"03012115","journalAbbreviation":"European Journal of Obstetrics &amp; Gynecology and Reproductive Biology","language":"en","page":"42-47","source":"DOI.org (Crossref)","title":"Target Product Profile for an endometrial receptivity test: women’s perspective","title-short":"Target Product Profile for an endometrial receptivity test","volume":"253","author":[{"family":"Craciunas","given":"Laurentiu"},{"family":"Pickering","given":"Oonagh"},{"family":"Chu","given":"Justin"},{"family":"Žurauskienė","given":"Justina"},{"family":"Coomarasamy","given":"Arri"}],"issued":{"date-parts":[["2020",10]]}}}],"schema":"https://github.com/citation-style-language/schema/raw/master/csl-citation.json"} </w:instrText>
            </w:r>
            <w:r w:rsidR="00942128">
              <w:rPr>
                <w:rFonts w:ascii="Calibri" w:eastAsia="Times New Roman" w:hAnsi="Calibri" w:cs="Calibri"/>
                <w:color w:val="000000"/>
                <w:lang w:val="en-ZA" w:eastAsia="en-ZA"/>
              </w:rPr>
              <w:fldChar w:fldCharType="separate"/>
            </w:r>
            <w:r w:rsidR="00942128" w:rsidRPr="00942128">
              <w:rPr>
                <w:rFonts w:ascii="Calibri" w:hAnsi="Calibri" w:cs="Calibri"/>
              </w:rPr>
              <w:t>(38)</w:t>
            </w:r>
            <w:r w:rsidR="00942128">
              <w:rPr>
                <w:rFonts w:ascii="Calibri" w:eastAsia="Times New Roman" w:hAnsi="Calibri" w:cs="Calibri"/>
                <w:color w:val="000000"/>
                <w:lang w:val="en-ZA" w:eastAsia="en-ZA"/>
              </w:rPr>
              <w:fldChar w:fldCharType="end"/>
            </w:r>
          </w:p>
        </w:tc>
        <w:tc>
          <w:tcPr>
            <w:tcW w:w="1464" w:type="dxa"/>
            <w:noWrap/>
            <w:hideMark/>
          </w:tcPr>
          <w:p w14:paraId="77F64B22"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1780FCE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CA18002" w14:textId="77777777" w:rsidTr="00366ACD">
        <w:trPr>
          <w:trHeight w:val="270"/>
        </w:trPr>
        <w:tc>
          <w:tcPr>
            <w:tcW w:w="2703" w:type="dxa"/>
            <w:noWrap/>
            <w:hideMark/>
          </w:tcPr>
          <w:p w14:paraId="7EC43989" w14:textId="03845819" w:rsidR="00696AF0" w:rsidRPr="00696AF0" w:rsidRDefault="00696AF0" w:rsidP="00F24A1A">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Csóka</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F24A1A">
              <w:rPr>
                <w:rFonts w:ascii="Calibri" w:eastAsia="Times New Roman" w:hAnsi="Calibri" w:cs="Calibri"/>
                <w:color w:val="000000"/>
                <w:lang w:val="en-ZA" w:eastAsia="en-ZA"/>
              </w:rPr>
              <w:t xml:space="preserve"> </w:t>
            </w:r>
            <w:r w:rsidR="00F24A1A">
              <w:rPr>
                <w:rFonts w:ascii="Calibri" w:eastAsia="Times New Roman" w:hAnsi="Calibri" w:cs="Calibri"/>
                <w:color w:val="000000"/>
                <w:lang w:val="en-ZA" w:eastAsia="en-ZA"/>
              </w:rPr>
              <w:fldChar w:fldCharType="begin"/>
            </w:r>
            <w:r w:rsidR="00F24A1A">
              <w:rPr>
                <w:rFonts w:ascii="Calibri" w:eastAsia="Times New Roman" w:hAnsi="Calibri" w:cs="Calibri"/>
                <w:color w:val="000000"/>
                <w:lang w:val="en-ZA" w:eastAsia="en-ZA"/>
              </w:rPr>
              <w:instrText xml:space="preserve"> ADDIN ZOTERO_ITEM CSL_CITATION {"citationID":"x8bB0Mmb","properties":{"formattedCitation":"(39)","plainCitation":"(39)","noteIndex":0},"citationItems":[{"id":12355,"uris":["http://zotero.org/users/6216265/items/VTF6SKNM"],"itemData":{"id":12355,"type":"article-journal","container-title":"Drug Discovery Today","DOI":"10.1016/j.drudis.2018.03.012","ISSN":"13596446","issue":"7","journalAbbreviation":"Drug Discovery Today","language":"en","page":"1340-1343","source":"DOI.org (Crossref)","title":"Extension of quality-by-design concept to the early development phase of pharmaceutical R&amp;D processes","volume":"23","author":[{"family":"Csóka","given":"Ildikó"},{"family":"Pallagi","given":"Edina"},{"family":"Paál","given":"Tamás L."}],"issued":{"date-parts":[["2018",7]]}}}],"schema":"https://github.com/citation-style-language/schema/raw/master/csl-citation.json"} </w:instrText>
            </w:r>
            <w:r w:rsidR="00F24A1A">
              <w:rPr>
                <w:rFonts w:ascii="Calibri" w:eastAsia="Times New Roman" w:hAnsi="Calibri" w:cs="Calibri"/>
                <w:color w:val="000000"/>
                <w:lang w:val="en-ZA" w:eastAsia="en-ZA"/>
              </w:rPr>
              <w:fldChar w:fldCharType="separate"/>
            </w:r>
            <w:r w:rsidR="00F24A1A" w:rsidRPr="00F24A1A">
              <w:rPr>
                <w:rFonts w:ascii="Calibri" w:hAnsi="Calibri" w:cs="Calibri"/>
              </w:rPr>
              <w:t>(39)</w:t>
            </w:r>
            <w:r w:rsidR="00F24A1A">
              <w:rPr>
                <w:rFonts w:ascii="Calibri" w:eastAsia="Times New Roman" w:hAnsi="Calibri" w:cs="Calibri"/>
                <w:color w:val="000000"/>
                <w:lang w:val="en-ZA" w:eastAsia="en-ZA"/>
              </w:rPr>
              <w:fldChar w:fldCharType="end"/>
            </w:r>
          </w:p>
        </w:tc>
        <w:tc>
          <w:tcPr>
            <w:tcW w:w="1464" w:type="dxa"/>
            <w:noWrap/>
            <w:hideMark/>
          </w:tcPr>
          <w:p w14:paraId="48E02C7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2018</w:t>
            </w:r>
          </w:p>
        </w:tc>
        <w:tc>
          <w:tcPr>
            <w:tcW w:w="2043" w:type="dxa"/>
            <w:noWrap/>
            <w:hideMark/>
          </w:tcPr>
          <w:p w14:paraId="312F214E"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7A8977F" w14:textId="77777777" w:rsidTr="00366ACD">
        <w:trPr>
          <w:trHeight w:val="270"/>
        </w:trPr>
        <w:tc>
          <w:tcPr>
            <w:tcW w:w="2703" w:type="dxa"/>
            <w:noWrap/>
            <w:hideMark/>
          </w:tcPr>
          <w:p w14:paraId="7AB89B79" w14:textId="07347247" w:rsidR="00696AF0" w:rsidRPr="00696AF0" w:rsidRDefault="00696AF0" w:rsidP="00F24A1A">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Dartois</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F24A1A">
              <w:rPr>
                <w:rFonts w:ascii="Calibri" w:eastAsia="Times New Roman" w:hAnsi="Calibri" w:cs="Calibri"/>
                <w:color w:val="000000"/>
                <w:lang w:val="en-ZA" w:eastAsia="en-ZA"/>
              </w:rPr>
              <w:t xml:space="preserve"> </w:t>
            </w:r>
            <w:r w:rsidR="00F24A1A">
              <w:rPr>
                <w:rFonts w:ascii="Calibri" w:eastAsia="Times New Roman" w:hAnsi="Calibri" w:cs="Calibri"/>
                <w:color w:val="000000"/>
                <w:lang w:val="en-ZA" w:eastAsia="en-ZA"/>
              </w:rPr>
              <w:fldChar w:fldCharType="begin"/>
            </w:r>
            <w:r w:rsidR="00F24A1A">
              <w:rPr>
                <w:rFonts w:ascii="Calibri" w:eastAsia="Times New Roman" w:hAnsi="Calibri" w:cs="Calibri"/>
                <w:color w:val="000000"/>
                <w:lang w:val="en-ZA" w:eastAsia="en-ZA"/>
              </w:rPr>
              <w:instrText xml:space="preserve"> ADDIN ZOTERO_ITEM CSL_CITATION {"citationID":"970WTsC8","properties":{"formattedCitation":"(40)","plainCitation":"(40)","noteIndex":0},"citationItems":[{"id":12356,"uris":["http://zotero.org/users/6216265/items/3PNMD8N7"],"itemData":{"id":12356,"type":"article-journal","container-title":"Bioorganic &amp; Medicinal Chemistry Letters","DOI":"10.1016/j.bmcl.2013.07.006","ISSN":"0960894X","issue":"17","journalAbbreviation":"Bioorganic &amp; Medicinal Chemistry Letters","language":"en","page":"4741-4750","source":"DOI.org (Crossref)","title":"A medicinal chemists’ guide to the unique difficulties of lead optimization for tuberculosis","volume":"23","author":[{"family":"Dartois","given":"Véronique"},{"family":"Barry","given":"Clifton E."}],"issued":{"date-parts":[["2013",9]]}}}],"schema":"https://github.com/citation-style-language/schema/raw/master/csl-citation.json"} </w:instrText>
            </w:r>
            <w:r w:rsidR="00F24A1A">
              <w:rPr>
                <w:rFonts w:ascii="Calibri" w:eastAsia="Times New Roman" w:hAnsi="Calibri" w:cs="Calibri"/>
                <w:color w:val="000000"/>
                <w:lang w:val="en-ZA" w:eastAsia="en-ZA"/>
              </w:rPr>
              <w:fldChar w:fldCharType="separate"/>
            </w:r>
            <w:r w:rsidR="00F24A1A" w:rsidRPr="00F24A1A">
              <w:rPr>
                <w:rFonts w:ascii="Calibri" w:hAnsi="Calibri" w:cs="Calibri"/>
              </w:rPr>
              <w:t>(40)</w:t>
            </w:r>
            <w:r w:rsidR="00F24A1A">
              <w:rPr>
                <w:rFonts w:ascii="Calibri" w:eastAsia="Times New Roman" w:hAnsi="Calibri" w:cs="Calibri"/>
                <w:color w:val="000000"/>
                <w:lang w:val="en-ZA" w:eastAsia="en-ZA"/>
              </w:rPr>
              <w:fldChar w:fldCharType="end"/>
            </w:r>
          </w:p>
        </w:tc>
        <w:tc>
          <w:tcPr>
            <w:tcW w:w="1464" w:type="dxa"/>
            <w:noWrap/>
            <w:hideMark/>
          </w:tcPr>
          <w:p w14:paraId="17316D7E"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2013</w:t>
            </w:r>
          </w:p>
        </w:tc>
        <w:tc>
          <w:tcPr>
            <w:tcW w:w="2043" w:type="dxa"/>
            <w:noWrap/>
            <w:hideMark/>
          </w:tcPr>
          <w:p w14:paraId="2B54262A"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4902F61" w14:textId="77777777" w:rsidTr="00366ACD">
        <w:trPr>
          <w:trHeight w:val="270"/>
        </w:trPr>
        <w:tc>
          <w:tcPr>
            <w:tcW w:w="2703" w:type="dxa"/>
            <w:noWrap/>
            <w:hideMark/>
          </w:tcPr>
          <w:p w14:paraId="29C8B449" w14:textId="0210D44E" w:rsidR="00696AF0" w:rsidRPr="00696AF0" w:rsidRDefault="00696AF0" w:rsidP="009A5064">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Ding </w:t>
            </w:r>
            <w:r w:rsidR="000620EA">
              <w:rPr>
                <w:rFonts w:ascii="Calibri" w:eastAsia="Times New Roman" w:hAnsi="Calibri" w:cs="Calibri"/>
                <w:color w:val="000000"/>
                <w:lang w:val="en-ZA" w:eastAsia="en-ZA"/>
              </w:rPr>
              <w:t>et al.</w:t>
            </w:r>
            <w:r w:rsidR="009A5064">
              <w:rPr>
                <w:rFonts w:ascii="Calibri" w:eastAsia="Times New Roman" w:hAnsi="Calibri" w:cs="Calibri"/>
                <w:color w:val="000000"/>
                <w:lang w:val="en-ZA" w:eastAsia="en-ZA"/>
              </w:rPr>
              <w:t xml:space="preserve"> </w:t>
            </w:r>
            <w:r w:rsidR="009A5064">
              <w:rPr>
                <w:rFonts w:ascii="Calibri" w:eastAsia="Times New Roman" w:hAnsi="Calibri" w:cs="Calibri"/>
                <w:color w:val="000000"/>
                <w:lang w:val="en-ZA" w:eastAsia="en-ZA"/>
              </w:rPr>
              <w:fldChar w:fldCharType="begin"/>
            </w:r>
            <w:r w:rsidR="009A5064">
              <w:rPr>
                <w:rFonts w:ascii="Calibri" w:eastAsia="Times New Roman" w:hAnsi="Calibri" w:cs="Calibri"/>
                <w:color w:val="000000"/>
                <w:lang w:val="en-ZA" w:eastAsia="en-ZA"/>
              </w:rPr>
              <w:instrText xml:space="preserve"> ADDIN ZOTERO_ITEM CSL_CITATION {"citationID":"iyye2pt5","properties":{"formattedCitation":"(41)","plainCitation":"(41)","noteIndex":0},"citationItems":[{"id":12358,"uris":["http://zotero.org/users/6216265/items/EVPZ6SX4"],"itemData":{"id":12358,"type":"article-journal","abstract":"Capsule-based dry powder inhalers (cDPIs) are widely utilized in the delivery of pharmaceutical powders to the lungs. In these systems, the fundamental nature of the interactions between the drug/formulation powder, the capsules, the inhaler device, and the patient must be fully elucidated in order to develop robust manufacturing procedures and provide reproducible lung deposition of the drug payload. Though many commercially available DPIs utilize a capsule-based dose metering system, an in-depth analysis of the critical factors associated with the use of the capsule component has not yet been performed. This review is intended to provide information on critical factors to be considered for the application of a quality by design (QbD) approach for cDPI development. The quality target product profile (QTPP) defines the critical quality attributes (CQAs) which need to be understood to define the critical material attributes (CMA) and critical process parameters (CPP) for cDPI development as well as manufacturing and control.","container-title":"Pharmaceutics","DOI":"10.3390/pharmaceutics13081213","ISSN":"1999-4923","issue":"8","journalAbbreviation":"Pharmaceutics","language":"en","page":"1213","source":"DOI.org (Crossref)","title":"A Quality by Design Framework for Capsule-Based Dry Powder Inhalers","volume":"13","author":[{"family":"Ding","given":"Li"},{"family":"Brunaugh","given":"Ashlee D."},{"family":"Stegemann","given":"Sven"},{"family":"Jermain","given":"Scott V."},{"family":"Herpin","given":"Matthew J."},{"family":"Kalafat","given":"Justin"},{"family":"Smyth","given":"Hugh D. C."}],"issued":{"date-parts":[["2021",8,6]]}}}],"schema":"https://github.com/citation-style-language/schema/raw/master/csl-citation.json"} </w:instrText>
            </w:r>
            <w:r w:rsidR="009A5064">
              <w:rPr>
                <w:rFonts w:ascii="Calibri" w:eastAsia="Times New Roman" w:hAnsi="Calibri" w:cs="Calibri"/>
                <w:color w:val="000000"/>
                <w:lang w:val="en-ZA" w:eastAsia="en-ZA"/>
              </w:rPr>
              <w:fldChar w:fldCharType="separate"/>
            </w:r>
            <w:r w:rsidR="009A5064" w:rsidRPr="009A5064">
              <w:rPr>
                <w:rFonts w:ascii="Calibri" w:hAnsi="Calibri" w:cs="Calibri"/>
              </w:rPr>
              <w:t>(41)</w:t>
            </w:r>
            <w:r w:rsidR="009A5064">
              <w:rPr>
                <w:rFonts w:ascii="Calibri" w:eastAsia="Times New Roman" w:hAnsi="Calibri" w:cs="Calibri"/>
                <w:color w:val="000000"/>
                <w:lang w:val="en-ZA" w:eastAsia="en-ZA"/>
              </w:rPr>
              <w:fldChar w:fldCharType="end"/>
            </w:r>
          </w:p>
        </w:tc>
        <w:tc>
          <w:tcPr>
            <w:tcW w:w="1464" w:type="dxa"/>
            <w:noWrap/>
            <w:hideMark/>
          </w:tcPr>
          <w:p w14:paraId="13B9237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7635E4F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F844909" w14:textId="77777777" w:rsidTr="00366ACD">
        <w:trPr>
          <w:trHeight w:val="270"/>
        </w:trPr>
        <w:tc>
          <w:tcPr>
            <w:tcW w:w="2703" w:type="dxa"/>
            <w:noWrap/>
            <w:hideMark/>
          </w:tcPr>
          <w:p w14:paraId="7A766A9C" w14:textId="5AAD64E3" w:rsidR="00696AF0" w:rsidRPr="00696AF0" w:rsidRDefault="00696AF0" w:rsidP="009A5064">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Ditter</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9A5064">
              <w:rPr>
                <w:rFonts w:ascii="Calibri" w:eastAsia="Times New Roman" w:hAnsi="Calibri" w:cs="Calibri"/>
                <w:color w:val="000000"/>
                <w:lang w:val="en-ZA" w:eastAsia="en-ZA"/>
              </w:rPr>
              <w:t xml:space="preserve"> </w:t>
            </w:r>
            <w:r w:rsidR="009A5064">
              <w:rPr>
                <w:rFonts w:ascii="Calibri" w:eastAsia="Times New Roman" w:hAnsi="Calibri" w:cs="Calibri"/>
                <w:color w:val="000000"/>
                <w:lang w:val="en-ZA" w:eastAsia="en-ZA"/>
              </w:rPr>
              <w:fldChar w:fldCharType="begin"/>
            </w:r>
            <w:r w:rsidR="009A5064">
              <w:rPr>
                <w:rFonts w:ascii="Calibri" w:eastAsia="Times New Roman" w:hAnsi="Calibri" w:cs="Calibri"/>
                <w:color w:val="000000"/>
                <w:lang w:val="en-ZA" w:eastAsia="en-ZA"/>
              </w:rPr>
              <w:instrText xml:space="preserve"> ADDIN ZOTERO_ITEM CSL_CITATION {"citationID":"P2Ai4JrU","properties":{"formattedCitation":"(42)","plainCitation":"(42)","noteIndex":0},"citationItems":[{"id":12360,"uris":["http://zotero.org/users/6216265/items/E8SHPKZ6"],"itemData":{"id":12360,"type":"article-journal","container-title":"European Journal of Pharmaceutics and Biopharmaceutics","DOI":"10.1016/j.ejpb.2017.12.018","ISSN":"09396411","journalAbbreviation":"European Journal of Pharmaceutics and Biopharmaceutics","language":"en","page":"58-67","source":"DOI.org (Crossref)","title":"Characterization of surface properties of glass vials used as primary packaging material for parenterals","volume":"125","author":[{"family":"Ditter","given":"Dominique"},{"family":"Mahler","given":"Hanns-Christian"},{"family":"Roehl","given":"Holger"},{"family":"Wahl","given":"Michael"},{"family":"Huwyler","given":"Joerg"},{"family":"Nieto","given":"Alejandra"},{"family":"Allmendinger","given":"Andrea"}],"issued":{"date-parts":[["2018",4]]}}}],"schema":"https://github.com/citation-style-language/schema/raw/master/csl-citation.json"} </w:instrText>
            </w:r>
            <w:r w:rsidR="009A5064">
              <w:rPr>
                <w:rFonts w:ascii="Calibri" w:eastAsia="Times New Roman" w:hAnsi="Calibri" w:cs="Calibri"/>
                <w:color w:val="000000"/>
                <w:lang w:val="en-ZA" w:eastAsia="en-ZA"/>
              </w:rPr>
              <w:fldChar w:fldCharType="separate"/>
            </w:r>
            <w:r w:rsidR="009A5064" w:rsidRPr="009A5064">
              <w:rPr>
                <w:rFonts w:ascii="Calibri" w:hAnsi="Calibri" w:cs="Calibri"/>
              </w:rPr>
              <w:t>(42)</w:t>
            </w:r>
            <w:r w:rsidR="009A5064">
              <w:rPr>
                <w:rFonts w:ascii="Calibri" w:eastAsia="Times New Roman" w:hAnsi="Calibri" w:cs="Calibri"/>
                <w:color w:val="000000"/>
                <w:lang w:val="en-ZA" w:eastAsia="en-ZA"/>
              </w:rPr>
              <w:fldChar w:fldCharType="end"/>
            </w:r>
          </w:p>
        </w:tc>
        <w:tc>
          <w:tcPr>
            <w:tcW w:w="1464" w:type="dxa"/>
            <w:noWrap/>
            <w:hideMark/>
          </w:tcPr>
          <w:p w14:paraId="2BE4E2BA"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2018</w:t>
            </w:r>
          </w:p>
        </w:tc>
        <w:tc>
          <w:tcPr>
            <w:tcW w:w="2043" w:type="dxa"/>
            <w:noWrap/>
            <w:hideMark/>
          </w:tcPr>
          <w:p w14:paraId="10A01AD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B54132D" w14:textId="77777777" w:rsidTr="00366ACD">
        <w:trPr>
          <w:trHeight w:val="270"/>
        </w:trPr>
        <w:tc>
          <w:tcPr>
            <w:tcW w:w="2703" w:type="dxa"/>
            <w:noWrap/>
            <w:hideMark/>
          </w:tcPr>
          <w:p w14:paraId="20F2CFF0" w14:textId="49044D48" w:rsidR="00696AF0" w:rsidRPr="00696AF0" w:rsidRDefault="00696AF0" w:rsidP="008A31C2">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Dostalek</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8A31C2">
              <w:rPr>
                <w:rFonts w:ascii="Calibri" w:eastAsia="Times New Roman" w:hAnsi="Calibri" w:cs="Calibri"/>
                <w:color w:val="000000"/>
                <w:lang w:val="en-ZA" w:eastAsia="en-ZA"/>
              </w:rPr>
              <w:t xml:space="preserve"> </w:t>
            </w:r>
            <w:r w:rsidR="008A31C2">
              <w:rPr>
                <w:rFonts w:ascii="Calibri" w:eastAsia="Times New Roman" w:hAnsi="Calibri" w:cs="Calibri"/>
                <w:color w:val="000000"/>
                <w:lang w:val="en-ZA" w:eastAsia="en-ZA"/>
              </w:rPr>
              <w:fldChar w:fldCharType="begin"/>
            </w:r>
            <w:r w:rsidR="008A31C2">
              <w:rPr>
                <w:rFonts w:ascii="Calibri" w:eastAsia="Times New Roman" w:hAnsi="Calibri" w:cs="Calibri"/>
                <w:color w:val="000000"/>
                <w:lang w:val="en-ZA" w:eastAsia="en-ZA"/>
              </w:rPr>
              <w:instrText xml:space="preserve"> ADDIN ZOTERO_ITEM CSL_CITATION {"citationID":"UO5RFoq1","properties":{"formattedCitation":"(43)","plainCitation":"(43)","noteIndex":0},"citationItems":[{"id":12361,"uris":["http://zotero.org/users/6216265/items/EICCBCLV"],"itemData":{"id":12361,"type":"article-journal","container-title":"mAbs","DOI":"10.1080/19420862.2017.1323160","ISSN":"1942-0862, 1942-0870","issue":"5","journalAbbreviation":"mAbs","language":"en","page":"756-766","source":"DOI.org (Crossref)","title":"Pharmacokinetic de-risking tools for selection of monoclonal antibody lead candidates","volume":"9","author":[{"family":"Dostalek","given":"Miroslav"},{"family":"Prueksaritanont","given":"Thomayant"},{"family":"Kelley","given":"Robert F."}],"issued":{"date-parts":[["2017",7,4]]}}}],"schema":"https://github.com/citation-style-language/schema/raw/master/csl-citation.json"} </w:instrText>
            </w:r>
            <w:r w:rsidR="008A31C2">
              <w:rPr>
                <w:rFonts w:ascii="Calibri" w:eastAsia="Times New Roman" w:hAnsi="Calibri" w:cs="Calibri"/>
                <w:color w:val="000000"/>
                <w:lang w:val="en-ZA" w:eastAsia="en-ZA"/>
              </w:rPr>
              <w:fldChar w:fldCharType="separate"/>
            </w:r>
            <w:r w:rsidR="008A31C2" w:rsidRPr="008A31C2">
              <w:rPr>
                <w:rFonts w:ascii="Calibri" w:hAnsi="Calibri" w:cs="Calibri"/>
              </w:rPr>
              <w:t>(43)</w:t>
            </w:r>
            <w:r w:rsidR="008A31C2">
              <w:rPr>
                <w:rFonts w:ascii="Calibri" w:eastAsia="Times New Roman" w:hAnsi="Calibri" w:cs="Calibri"/>
                <w:color w:val="000000"/>
                <w:lang w:val="en-ZA" w:eastAsia="en-ZA"/>
              </w:rPr>
              <w:fldChar w:fldCharType="end"/>
            </w:r>
          </w:p>
        </w:tc>
        <w:tc>
          <w:tcPr>
            <w:tcW w:w="1464" w:type="dxa"/>
            <w:noWrap/>
            <w:hideMark/>
          </w:tcPr>
          <w:p w14:paraId="1E1FF2B8"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2017</w:t>
            </w:r>
          </w:p>
        </w:tc>
        <w:tc>
          <w:tcPr>
            <w:tcW w:w="2043" w:type="dxa"/>
            <w:noWrap/>
            <w:hideMark/>
          </w:tcPr>
          <w:p w14:paraId="42A054A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2802E6B2" w14:textId="77777777" w:rsidTr="00366ACD">
        <w:trPr>
          <w:trHeight w:val="270"/>
        </w:trPr>
        <w:tc>
          <w:tcPr>
            <w:tcW w:w="2703" w:type="dxa"/>
            <w:noWrap/>
            <w:hideMark/>
          </w:tcPr>
          <w:p w14:paraId="73707418" w14:textId="45159474" w:rsidR="00696AF0" w:rsidRPr="00696AF0" w:rsidRDefault="00696AF0" w:rsidP="008A31C2">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Drain </w:t>
            </w:r>
            <w:r w:rsidR="000620EA">
              <w:rPr>
                <w:rFonts w:ascii="Calibri" w:eastAsia="Times New Roman" w:hAnsi="Calibri" w:cs="Calibri"/>
                <w:color w:val="000000"/>
                <w:lang w:val="en-ZA" w:eastAsia="en-ZA"/>
              </w:rPr>
              <w:t>et al.</w:t>
            </w:r>
            <w:r w:rsidR="008A31C2">
              <w:rPr>
                <w:rFonts w:ascii="Calibri" w:eastAsia="Times New Roman" w:hAnsi="Calibri" w:cs="Calibri"/>
                <w:color w:val="000000"/>
                <w:lang w:val="en-ZA" w:eastAsia="en-ZA"/>
              </w:rPr>
              <w:t xml:space="preserve"> </w:t>
            </w:r>
            <w:r w:rsidR="008A31C2">
              <w:rPr>
                <w:rFonts w:ascii="Calibri" w:eastAsia="Times New Roman" w:hAnsi="Calibri" w:cs="Calibri"/>
                <w:color w:val="000000"/>
                <w:lang w:val="en-ZA" w:eastAsia="en-ZA"/>
              </w:rPr>
              <w:fldChar w:fldCharType="begin"/>
            </w:r>
            <w:r w:rsidR="008A31C2">
              <w:rPr>
                <w:rFonts w:ascii="Calibri" w:eastAsia="Times New Roman" w:hAnsi="Calibri" w:cs="Calibri"/>
                <w:color w:val="000000"/>
                <w:lang w:val="en-ZA" w:eastAsia="en-ZA"/>
              </w:rPr>
              <w:instrText xml:space="preserve"> ADDIN ZOTERO_ITEM CSL_CITATION {"citationID":"8HhDuwhg","properties":{"formattedCitation":"(44)","plainCitation":"(44)","noteIndex":0},"citationItems":[{"id":12363,"uris":["http://zotero.org/users/6216265/items/V5KPIUF7"],"itemData":{"id":12363,"type":"article-journal","abstract":"Abstract\n            The World Health Organization’s (WHO) “End TB” strategy calls for development and implementation of novel tuberculosis (TB) diagnostics. Sputum-based diagnostics are challenging to implement and often less sensitive in high-priority populations. Nonsputum, biomarker-based tests may facilitate TB testing at lower levels of the healthcare system, accelerate treatment initiation, and improve outcomes. We provide guidance on the design of diagnostic accuracy studies evaluating nonsputum, biomarker-based tests within the context of WHO’s target product profile for such tests. Study designs should account for the intended use when choosing the study population, setting, and reference standards. Although adults with respiratory symptoms may be an initial target population, other high-priority populations regardless of symptoms—including people living with human immunodeficiency virus, those unable to produce sputum samples or with extrapulmonary TB, household contacts, and children—should be considered. Studies beyond diagnostic accuracy that evaluate feasibility and population-level impacts are also needed. A biomarker-based diagnostic may be critical to ending the TB epidemic, but requires appropriate validation before implementation.","container-title":"The Journal of Infectious Diseases","DOI":"10.1093/infdis/jiz356","ISSN":"0022-1899, 1537-6613","issue":"Supplement_3","language":"en","page":"S108-S115","source":"DOI.org (Crossref)","title":"Guidance for Studies Evaluating the Accuracy of Biomarker-Based Nonsputum Tests to Diagnose Tuberculosis","volume":"220","author":[{"family":"Drain","given":"Paul K"},{"family":"Gardiner","given":"Jennifer"},{"family":"Hannah","given":"Haylea"},{"family":"Broger","given":"Tobias"},{"family":"Dheda","given":"Keertan"},{"family":"Fielding","given":"Katherine"},{"family":"Walzl","given":"Gerhard"},{"family":"Kaforou","given":"Myrsini"},{"family":"Kranzer","given":"Katharina"},{"family":"Joosten","given":"Simone A"},{"family":"Gilpin","given":"Christopher"},{"family":"Weyer","given":"Karin"},{"family":"Denkinger","given":"Claudia M"},{"family":"Schumacher","given":"Samuel G"}],"issued":{"date-parts":[["2019",10,8]]}}}],"schema":"https://github.com/citation-style-language/schema/raw/master/csl-citation.json"} </w:instrText>
            </w:r>
            <w:r w:rsidR="008A31C2">
              <w:rPr>
                <w:rFonts w:ascii="Calibri" w:eastAsia="Times New Roman" w:hAnsi="Calibri" w:cs="Calibri"/>
                <w:color w:val="000000"/>
                <w:lang w:val="en-ZA" w:eastAsia="en-ZA"/>
              </w:rPr>
              <w:fldChar w:fldCharType="separate"/>
            </w:r>
            <w:r w:rsidR="008A31C2" w:rsidRPr="008A31C2">
              <w:rPr>
                <w:rFonts w:ascii="Calibri" w:hAnsi="Calibri" w:cs="Calibri"/>
              </w:rPr>
              <w:t>(44)</w:t>
            </w:r>
            <w:r w:rsidR="008A31C2">
              <w:rPr>
                <w:rFonts w:ascii="Calibri" w:eastAsia="Times New Roman" w:hAnsi="Calibri" w:cs="Calibri"/>
                <w:color w:val="000000"/>
                <w:lang w:val="en-ZA" w:eastAsia="en-ZA"/>
              </w:rPr>
              <w:fldChar w:fldCharType="end"/>
            </w:r>
          </w:p>
        </w:tc>
        <w:tc>
          <w:tcPr>
            <w:tcW w:w="1464" w:type="dxa"/>
            <w:noWrap/>
            <w:hideMark/>
          </w:tcPr>
          <w:p w14:paraId="3C22B94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27349945"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580C52D" w14:textId="77777777" w:rsidTr="00366ACD">
        <w:trPr>
          <w:trHeight w:val="270"/>
        </w:trPr>
        <w:tc>
          <w:tcPr>
            <w:tcW w:w="2703" w:type="dxa"/>
            <w:noWrap/>
            <w:hideMark/>
          </w:tcPr>
          <w:p w14:paraId="12590BD1" w14:textId="5F740B27" w:rsidR="00696AF0" w:rsidRPr="00696AF0" w:rsidRDefault="00696AF0" w:rsidP="00783B63">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lastRenderedPageBreak/>
              <w:t>Durbin and Wilder-Smith</w:t>
            </w:r>
            <w:r w:rsidR="00783B63">
              <w:rPr>
                <w:rFonts w:ascii="Calibri" w:eastAsia="Times New Roman" w:hAnsi="Calibri" w:cs="Calibri"/>
                <w:color w:val="000000"/>
                <w:lang w:val="en-ZA" w:eastAsia="en-ZA"/>
              </w:rPr>
              <w:t xml:space="preserve"> </w:t>
            </w:r>
            <w:r w:rsidR="00783B63">
              <w:rPr>
                <w:rFonts w:ascii="Calibri" w:eastAsia="Times New Roman" w:hAnsi="Calibri" w:cs="Calibri"/>
                <w:color w:val="000000"/>
                <w:lang w:val="en-ZA" w:eastAsia="en-ZA"/>
              </w:rPr>
              <w:fldChar w:fldCharType="begin"/>
            </w:r>
            <w:r w:rsidR="00783B63">
              <w:rPr>
                <w:rFonts w:ascii="Calibri" w:eastAsia="Times New Roman" w:hAnsi="Calibri" w:cs="Calibri"/>
                <w:color w:val="000000"/>
                <w:lang w:val="en-ZA" w:eastAsia="en-ZA"/>
              </w:rPr>
              <w:instrText xml:space="preserve"> ADDIN ZOTERO_ITEM CSL_CITATION {"citationID":"QA0rGTrB","properties":{"formattedCitation":"(45)","plainCitation":"(45)","noteIndex":0},"citationItems":[{"id":12365,"uris":["http://zotero.org/users/6216265/items/X2G6IVHJ"],"itemData":{"id":12365,"type":"article-journal","container-title":"Expert Review of Vaccines","DOI":"10.1080/14760584.2017.1345309","ISSN":"1476-0584, 1744-8395","issue":"8","journalAbbreviation":"Expert Review of Vaccines","language":"en","page":"781-787","source":"DOI.org (Crossref)","title":"An update on Zika vaccine developments","volume":"16","author":[{"family":"Durbin","given":"Anna"},{"family":"Wilder-Smith","given":"Annelies"}],"issued":{"date-parts":[["2017",8,3]]}}}],"schema":"https://github.com/citation-style-language/schema/raw/master/csl-citation.json"} </w:instrText>
            </w:r>
            <w:r w:rsidR="00783B63">
              <w:rPr>
                <w:rFonts w:ascii="Calibri" w:eastAsia="Times New Roman" w:hAnsi="Calibri" w:cs="Calibri"/>
                <w:color w:val="000000"/>
                <w:lang w:val="en-ZA" w:eastAsia="en-ZA"/>
              </w:rPr>
              <w:fldChar w:fldCharType="separate"/>
            </w:r>
            <w:r w:rsidR="00783B63" w:rsidRPr="00783B63">
              <w:rPr>
                <w:rFonts w:ascii="Calibri" w:hAnsi="Calibri" w:cs="Calibri"/>
              </w:rPr>
              <w:t>(45)</w:t>
            </w:r>
            <w:r w:rsidR="00783B63">
              <w:rPr>
                <w:rFonts w:ascii="Calibri" w:eastAsia="Times New Roman" w:hAnsi="Calibri" w:cs="Calibri"/>
                <w:color w:val="000000"/>
                <w:lang w:val="en-ZA" w:eastAsia="en-ZA"/>
              </w:rPr>
              <w:fldChar w:fldCharType="end"/>
            </w:r>
          </w:p>
        </w:tc>
        <w:tc>
          <w:tcPr>
            <w:tcW w:w="1464" w:type="dxa"/>
            <w:noWrap/>
            <w:hideMark/>
          </w:tcPr>
          <w:p w14:paraId="7D26F98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2017</w:t>
            </w:r>
          </w:p>
        </w:tc>
        <w:tc>
          <w:tcPr>
            <w:tcW w:w="2043" w:type="dxa"/>
            <w:noWrap/>
            <w:hideMark/>
          </w:tcPr>
          <w:p w14:paraId="3DAE12A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D4159FD" w14:textId="77777777" w:rsidTr="00366ACD">
        <w:trPr>
          <w:trHeight w:val="270"/>
        </w:trPr>
        <w:tc>
          <w:tcPr>
            <w:tcW w:w="2703" w:type="dxa"/>
            <w:noWrap/>
            <w:hideMark/>
          </w:tcPr>
          <w:p w14:paraId="08191722" w14:textId="67ED030D" w:rsidR="00696AF0" w:rsidRPr="00696AF0" w:rsidRDefault="00696AF0" w:rsidP="00783B63">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Dybul</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783B63">
              <w:rPr>
                <w:rFonts w:ascii="Calibri" w:eastAsia="Times New Roman" w:hAnsi="Calibri" w:cs="Calibri"/>
                <w:color w:val="000000"/>
                <w:lang w:val="en-ZA" w:eastAsia="en-ZA"/>
              </w:rPr>
              <w:t xml:space="preserve"> </w:t>
            </w:r>
            <w:r w:rsidR="00783B63">
              <w:rPr>
                <w:rFonts w:ascii="Calibri" w:eastAsia="Times New Roman" w:hAnsi="Calibri" w:cs="Calibri"/>
                <w:color w:val="000000"/>
                <w:lang w:val="en-ZA" w:eastAsia="en-ZA"/>
              </w:rPr>
              <w:fldChar w:fldCharType="begin"/>
            </w:r>
            <w:r w:rsidR="00783B63">
              <w:rPr>
                <w:rFonts w:ascii="Calibri" w:eastAsia="Times New Roman" w:hAnsi="Calibri" w:cs="Calibri"/>
                <w:color w:val="000000"/>
                <w:lang w:val="en-ZA" w:eastAsia="en-ZA"/>
              </w:rPr>
              <w:instrText xml:space="preserve"> ADDIN ZOTERO_ITEM CSL_CITATION {"citationID":"aRWkZ5vz","properties":{"formattedCitation":"(46)","plainCitation":"(46)","noteIndex":0},"citationItems":[{"id":104,"uris":["http://zotero.org/users/6216265/items/T2DTQFNE"],"itemData":{"id":104,"type":"article-journal","abstract":"In light of the increasing global burden of new HIV infections, growing financial requirements, and shifting funding landscape, the global health community must  accelerate the development and delivery of an HIV cure to complement existing  prevention modalities. An effective curative intervention could prevent new  infections, overcome the limitations of antiretroviral treatment, combat stigma  and discrimination, and provide a sustainable financial solution for pandemic  control. We propose steps to plan for an HIV cure now, including defining a  target product profile and establishing the HIV Cure Africa Acceleration  Partnership (HCAAP), a multidisciplinary public-private partnership that will  catalyse and promote HIV cure research through diverse stakeholder engagement.  HCAAP will convene stakeholders, including people living with HIV, at an early  stage to accelerate the design, social acceptability, and rapid adoption of  HIV-cure products.","container-title":"The lancet. HIV","DOI":"10.1016/S2352-3018(20)30232-0","ISSN":"2352-3018 2405-4704","issue":"1","journalAbbreviation":"Lancet HIV","language":"eng","license":"Copyright © 2021 The Author(s). Published by Elsevier Ltd. This is an Open Access article under the CC BY 4.0 license. Published by Elsevier Ltd.. All rights  reserved.","note":"PMID: 33271124 \nPMCID: PMC7773626","page":"e51-e58","title":"The case for an HIV cure and how to get there.","volume":"8","author":[{"family":"Dybul","given":"Mark"},{"family":"Attoye","given":"Timothy"},{"family":"Baptiste","given":"Solange"},{"family":"Cherutich","given":"Peter"},{"family":"Dabis","given":"François"},{"family":"Deeks","given":"Steven G."},{"family":"Dieffenbach","given":"Carl"},{"family":"Doehle","given":"Brian"},{"family":"Goodenow","given":"Maureen M."},{"family":"Jiang","given":"Adam"},{"family":"Kemps","given":"Dominic"},{"family":"Lewin","given":"Sharon R."},{"family":"Lumpkin","given":"Murray M."},{"family":"Mathae","given":"Lauren"},{"family":"McCune","given":"Joseph M."},{"family":"Ndung'u","given":"Thumbi"},{"family":"Nsubuga","given":"Moses"},{"family":"Peay","given":"Holly L."},{"family":"Pottage","given":"John"},{"family":"Warren","given":"Mitchell"},{"family":"Sikazwe","given":"Izukanji"}],"issued":{"date-parts":[["2021",1]]}}}],"schema":"https://github.com/citation-style-language/schema/raw/master/csl-citation.json"} </w:instrText>
            </w:r>
            <w:r w:rsidR="00783B63">
              <w:rPr>
                <w:rFonts w:ascii="Calibri" w:eastAsia="Times New Roman" w:hAnsi="Calibri" w:cs="Calibri"/>
                <w:color w:val="000000"/>
                <w:lang w:val="en-ZA" w:eastAsia="en-ZA"/>
              </w:rPr>
              <w:fldChar w:fldCharType="separate"/>
            </w:r>
            <w:r w:rsidR="00783B63" w:rsidRPr="00783B63">
              <w:rPr>
                <w:rFonts w:ascii="Calibri" w:hAnsi="Calibri" w:cs="Calibri"/>
              </w:rPr>
              <w:t>(46)</w:t>
            </w:r>
            <w:r w:rsidR="00783B63">
              <w:rPr>
                <w:rFonts w:ascii="Calibri" w:eastAsia="Times New Roman" w:hAnsi="Calibri" w:cs="Calibri"/>
                <w:color w:val="000000"/>
                <w:lang w:val="en-ZA" w:eastAsia="en-ZA"/>
              </w:rPr>
              <w:fldChar w:fldCharType="end"/>
            </w:r>
          </w:p>
        </w:tc>
        <w:tc>
          <w:tcPr>
            <w:tcW w:w="1464" w:type="dxa"/>
            <w:noWrap/>
            <w:hideMark/>
          </w:tcPr>
          <w:p w14:paraId="4599274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3E9108A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D6669B2" w14:textId="77777777" w:rsidTr="00366ACD">
        <w:trPr>
          <w:trHeight w:val="270"/>
        </w:trPr>
        <w:tc>
          <w:tcPr>
            <w:tcW w:w="2703" w:type="dxa"/>
            <w:noWrap/>
            <w:hideMark/>
          </w:tcPr>
          <w:p w14:paraId="2F2628B6" w14:textId="59758BBC" w:rsidR="00696AF0" w:rsidRPr="00696AF0" w:rsidRDefault="00696AF0" w:rsidP="00DD25F5">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El Azab</w:t>
            </w:r>
            <w:r w:rsidR="00DD25F5">
              <w:rPr>
                <w:rFonts w:ascii="Calibri" w:eastAsia="Times New Roman" w:hAnsi="Calibri" w:cs="Calibri"/>
                <w:color w:val="000000"/>
                <w:lang w:val="en-ZA" w:eastAsia="en-ZA"/>
              </w:rPr>
              <w:t xml:space="preserve"> </w:t>
            </w:r>
            <w:r w:rsidR="00DD25F5">
              <w:rPr>
                <w:rFonts w:ascii="Calibri" w:eastAsia="Times New Roman" w:hAnsi="Calibri" w:cs="Calibri"/>
                <w:color w:val="000000"/>
                <w:lang w:val="en-ZA" w:eastAsia="en-ZA"/>
              </w:rPr>
              <w:fldChar w:fldCharType="begin"/>
            </w:r>
            <w:r w:rsidR="00DD25F5">
              <w:rPr>
                <w:rFonts w:ascii="Calibri" w:eastAsia="Times New Roman" w:hAnsi="Calibri" w:cs="Calibri"/>
                <w:color w:val="000000"/>
                <w:lang w:val="en-ZA" w:eastAsia="en-ZA"/>
              </w:rPr>
              <w:instrText xml:space="preserve"> ADDIN ZOTERO_ITEM CSL_CITATION {"citationID":"ggS1S6RQ","properties":{"formattedCitation":"(47)","plainCitation":"(47)","noteIndex":0},"citationItems":[{"id":120,"uris":["http://zotero.org/users/6216265/items/9IT2IWYF"],"itemData":{"id":120,"type":"article-journal","abstract":"The article proposes an implementation road map of a contamination control strategy (CCS) in a facility. The CCS is the culmination of an exercise to  identify activities designed to prevent microorganism, pyrogen, and particulate  contamination in the product, the facility, and the supporting processes used to  manufacture the product. Manufacturers can formulate their contamination control  strategy based on information in the quality target product profile or in the  critical quality attributes, in the facility, and in the processes used to  manufacture and transport the product. The strategy implementation involves  executing the strategic plan and managing the implementation by priority overtime  should it be deployed. The evaluation of the efficiency and effectiveness of the  contamination control strategy implemented is confirmed by analyzing and trending  the various quality performance parameters related to contamination control. The  strategy evaluation allows the manufacturer to identify a new strategic plan to  support improvement goals or new measures and/or controls to achieve the desired  result, minimizing the contamination risk.","container-title":"PDA journal of pharmaceutical science and technology","DOI":"10.5731/pdajpst.2020.012385","ISSN":"1948-2124 1079-7440","issue":"5","journalAbbreviation":"PDA J Pharm Sci Technol","language":"eng","license":"© PDA, Inc. 2021.","note":"publisher-place: United States\nPMID: 33723004","page":"445-453","title":"Contamination Control Strategy: Implementation Road Map.","volume":"75","author":[{"family":"El Azab","given":"Walid"}],"issued":{"date-parts":[["2021",10]]}}}],"schema":"https://github.com/citation-style-language/schema/raw/master/csl-citation.json"} </w:instrText>
            </w:r>
            <w:r w:rsidR="00DD25F5">
              <w:rPr>
                <w:rFonts w:ascii="Calibri" w:eastAsia="Times New Roman" w:hAnsi="Calibri" w:cs="Calibri"/>
                <w:color w:val="000000"/>
                <w:lang w:val="en-ZA" w:eastAsia="en-ZA"/>
              </w:rPr>
              <w:fldChar w:fldCharType="separate"/>
            </w:r>
            <w:r w:rsidR="00DD25F5" w:rsidRPr="00DD25F5">
              <w:rPr>
                <w:rFonts w:ascii="Calibri" w:hAnsi="Calibri" w:cs="Calibri"/>
              </w:rPr>
              <w:t>(47)</w:t>
            </w:r>
            <w:r w:rsidR="00DD25F5">
              <w:rPr>
                <w:rFonts w:ascii="Calibri" w:eastAsia="Times New Roman" w:hAnsi="Calibri" w:cs="Calibri"/>
                <w:color w:val="000000"/>
                <w:lang w:val="en-ZA" w:eastAsia="en-ZA"/>
              </w:rPr>
              <w:fldChar w:fldCharType="end"/>
            </w:r>
          </w:p>
        </w:tc>
        <w:tc>
          <w:tcPr>
            <w:tcW w:w="1464" w:type="dxa"/>
            <w:noWrap/>
            <w:hideMark/>
          </w:tcPr>
          <w:p w14:paraId="65F493E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2A00728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0DC8DD03" w14:textId="77777777" w:rsidTr="00366ACD">
        <w:trPr>
          <w:trHeight w:val="270"/>
        </w:trPr>
        <w:tc>
          <w:tcPr>
            <w:tcW w:w="2703" w:type="dxa"/>
            <w:noWrap/>
            <w:hideMark/>
          </w:tcPr>
          <w:p w14:paraId="6CF1BDC8" w14:textId="0A9AEC8F" w:rsidR="00696AF0" w:rsidRPr="00696AF0" w:rsidRDefault="00696AF0" w:rsidP="00DD25F5">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El-Say </w:t>
            </w:r>
            <w:r w:rsidR="000620EA">
              <w:rPr>
                <w:rFonts w:ascii="Calibri" w:eastAsia="Times New Roman" w:hAnsi="Calibri" w:cs="Calibri"/>
                <w:color w:val="000000"/>
                <w:lang w:val="en-ZA" w:eastAsia="en-ZA"/>
              </w:rPr>
              <w:t>et al.</w:t>
            </w:r>
            <w:r w:rsidR="00DD25F5">
              <w:rPr>
                <w:rFonts w:ascii="Calibri" w:eastAsia="Times New Roman" w:hAnsi="Calibri" w:cs="Calibri"/>
                <w:color w:val="000000"/>
                <w:lang w:val="en-ZA" w:eastAsia="en-ZA"/>
              </w:rPr>
              <w:t xml:space="preserve"> </w:t>
            </w:r>
            <w:r w:rsidR="00DD25F5">
              <w:rPr>
                <w:rFonts w:ascii="Calibri" w:eastAsia="Times New Roman" w:hAnsi="Calibri" w:cs="Calibri"/>
                <w:color w:val="000000"/>
                <w:lang w:val="en-ZA" w:eastAsia="en-ZA"/>
              </w:rPr>
              <w:fldChar w:fldCharType="begin"/>
            </w:r>
            <w:r w:rsidR="00DD25F5">
              <w:rPr>
                <w:rFonts w:ascii="Calibri" w:eastAsia="Times New Roman" w:hAnsi="Calibri" w:cs="Calibri"/>
                <w:color w:val="000000"/>
                <w:lang w:val="en-ZA" w:eastAsia="en-ZA"/>
              </w:rPr>
              <w:instrText xml:space="preserve"> ADDIN ZOTERO_ITEM CSL_CITATION {"citationID":"obzuEj5M","properties":{"formattedCitation":"(48)","plainCitation":"(48)","noteIndex":0},"citationItems":[{"id":12369,"uris":["http://zotero.org/users/6216265/items/8DCY2LXH"],"itemData":{"id":12369,"type":"article-journal","container-title":"International Journal of Pharmaceutics","DOI":"10.1016/j.ijpharm.2021.121057","ISSN":"03785173","journalAbbreviation":"International Journal of Pharmaceutics","language":"en","page":"121057","source":"DOI.org (Crossref)","title":"Oleic acid–reinforced PEGylated polymethacrylate transdermal film with enhanced antidyslipidemic activity and bioavailability of atorvastatin: A mechanistic ex-vivo/in-vivo analysis","title-short":"Oleic acid–reinforced PEGylated polymethacrylate transdermal film with enhanced antidyslipidemic activity and bioavailability of atorvastatin","volume":"608","author":[{"family":"El-Say","given":"Khalid M."},{"family":"Ahmed","given":"Tarek A."},{"family":"Aljefri","given":"Arwa H."},{"family":"El-Sawy","given":"Hossam S."},{"family":"Fassihi","given":"Reza"},{"family":"Abou-Gharbia","given":"Magid"}],"issued":{"date-parts":[["2021",10]]}}}],"schema":"https://github.com/citation-style-language/schema/raw/master/csl-citation.json"} </w:instrText>
            </w:r>
            <w:r w:rsidR="00DD25F5">
              <w:rPr>
                <w:rFonts w:ascii="Calibri" w:eastAsia="Times New Roman" w:hAnsi="Calibri" w:cs="Calibri"/>
                <w:color w:val="000000"/>
                <w:lang w:val="en-ZA" w:eastAsia="en-ZA"/>
              </w:rPr>
              <w:fldChar w:fldCharType="separate"/>
            </w:r>
            <w:r w:rsidR="00DD25F5" w:rsidRPr="00DD25F5">
              <w:rPr>
                <w:rFonts w:ascii="Calibri" w:hAnsi="Calibri" w:cs="Calibri"/>
              </w:rPr>
              <w:t>(48)</w:t>
            </w:r>
            <w:r w:rsidR="00DD25F5">
              <w:rPr>
                <w:rFonts w:ascii="Calibri" w:eastAsia="Times New Roman" w:hAnsi="Calibri" w:cs="Calibri"/>
                <w:color w:val="000000"/>
                <w:lang w:val="en-ZA" w:eastAsia="en-ZA"/>
              </w:rPr>
              <w:fldChar w:fldCharType="end"/>
            </w:r>
          </w:p>
        </w:tc>
        <w:tc>
          <w:tcPr>
            <w:tcW w:w="1464" w:type="dxa"/>
            <w:noWrap/>
            <w:hideMark/>
          </w:tcPr>
          <w:p w14:paraId="110AA5F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50F78E5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0A9BDAC5" w14:textId="77777777" w:rsidTr="00366ACD">
        <w:trPr>
          <w:trHeight w:val="270"/>
        </w:trPr>
        <w:tc>
          <w:tcPr>
            <w:tcW w:w="2703" w:type="dxa"/>
            <w:noWrap/>
            <w:hideMark/>
          </w:tcPr>
          <w:p w14:paraId="6DD36C44" w14:textId="7471CD76" w:rsidR="00696AF0" w:rsidRPr="00696AF0" w:rsidRDefault="00696AF0" w:rsidP="005A0D54">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Emperador </w:t>
            </w:r>
            <w:r w:rsidR="000620EA">
              <w:rPr>
                <w:rFonts w:ascii="Calibri" w:eastAsia="Times New Roman" w:hAnsi="Calibri" w:cs="Calibri"/>
                <w:color w:val="000000"/>
                <w:lang w:val="en-ZA" w:eastAsia="en-ZA"/>
              </w:rPr>
              <w:t>et al.</w:t>
            </w:r>
            <w:r w:rsidR="005A0D54">
              <w:rPr>
                <w:rFonts w:ascii="Calibri" w:eastAsia="Times New Roman" w:hAnsi="Calibri" w:cs="Calibri"/>
                <w:color w:val="000000"/>
                <w:lang w:val="en-ZA" w:eastAsia="en-ZA"/>
              </w:rPr>
              <w:t xml:space="preserve"> </w:t>
            </w:r>
            <w:r w:rsidR="005A0D54">
              <w:rPr>
                <w:rFonts w:ascii="Calibri" w:eastAsia="Times New Roman" w:hAnsi="Calibri" w:cs="Calibri"/>
                <w:color w:val="000000"/>
                <w:lang w:val="en-ZA" w:eastAsia="en-ZA"/>
              </w:rPr>
              <w:fldChar w:fldCharType="begin"/>
            </w:r>
            <w:r w:rsidR="005A0D54">
              <w:rPr>
                <w:rFonts w:ascii="Calibri" w:eastAsia="Times New Roman" w:hAnsi="Calibri" w:cs="Calibri"/>
                <w:color w:val="000000"/>
                <w:lang w:val="en-ZA" w:eastAsia="en-ZA"/>
              </w:rPr>
              <w:instrText xml:space="preserve"> ADDIN ZOTERO_ITEM CSL_CITATION {"citationID":"OUbXARGM","properties":{"formattedCitation":"(49)","plainCitation":"(49)","noteIndex":0},"citationItems":[{"id":665,"uris":["http://zotero.org/users/6216265/items/JWUXQMA4"],"itemData":{"id":665,"type":"article-journal","abstract":"Ebolaviruses and Marburg virus (MARV) both belong to the family Filoviridae and cause severe haemorrhagic fever in humans. Due to high mortality rates and  potential for spread from rural to urban regions, they are listed on the WHO R&amp;D  blueprint of high-priority pathogens. Recent ebolavirus outbreaks in Western and  Central Africa have highlighted the importance of diagnostic testing in epidemic  preparedness for these pathogens and led to the rapid development of a number of  commercially available benchtop and point-of-care nucleic acid amplification  tests as well as serological assays and rapid diagnostic tests. Despite these  advancements, challenges still remain. While products approved under emergency  use licenses during outbreak periods may continue to be used post-outbreak, a  lack of clarity and incentive surrounding the regulatory approval pathway during  non-outbreak periods has deterred many manufacturers from seeking full approvals.  Waning of funding and poor access to samples after the 2014-2016 outbreak also  contributed to cessation of development once the outbreak was declared over.  There is a need for tests with improved sensitivity and specificity, and assays  that can use alternative sample types could reduce the need for invasive  procedures and expensive equipment, making testing in field conditions more  feasible. For MARV, availability of diagnostic tests is still limited, restricted  to a single ELISA test and assay panels designed to differentiate between  multiple pathogens. It may be helpful to extend the target product profile for  ebolavirus diagnostics to include MARV, as the viruses have many overlapping  characteristics.","container-title":"BMJ global health","DOI":"10.1136/bmjgh-2018-001112","ISSN":"2059-7908","issue":"Suppl 2","journalAbbreviation":"BMJ Glob Health","language":"eng","note":"PMID: 30899573 \nPMCID: PMC6407532","page":"e001112","title":"Diagnostics for filovirus detection: impact of recent outbreaks on the diagnostic landscape.","volume":"4","author":[{"family":"Emperador","given":"Devy M."},{"family":"Mazzola","given":"Laura T."},{"family":"Wonderly Trainor","given":"Betsy"},{"family":"Chua","given":"Arlene"},{"family":"Kelly-Cirino","given":"Cassandra"}],"issued":{"date-parts":[["2019"]]}}}],"schema":"https://github.com/citation-style-language/schema/raw/master/csl-citation.json"} </w:instrText>
            </w:r>
            <w:r w:rsidR="005A0D54">
              <w:rPr>
                <w:rFonts w:ascii="Calibri" w:eastAsia="Times New Roman" w:hAnsi="Calibri" w:cs="Calibri"/>
                <w:color w:val="000000"/>
                <w:lang w:val="en-ZA" w:eastAsia="en-ZA"/>
              </w:rPr>
              <w:fldChar w:fldCharType="separate"/>
            </w:r>
            <w:r w:rsidR="005A0D54" w:rsidRPr="005A0D54">
              <w:rPr>
                <w:rFonts w:ascii="Calibri" w:hAnsi="Calibri" w:cs="Calibri"/>
              </w:rPr>
              <w:t>(49)</w:t>
            </w:r>
            <w:r w:rsidR="005A0D54">
              <w:rPr>
                <w:rFonts w:ascii="Calibri" w:eastAsia="Times New Roman" w:hAnsi="Calibri" w:cs="Calibri"/>
                <w:color w:val="000000"/>
                <w:lang w:val="en-ZA" w:eastAsia="en-ZA"/>
              </w:rPr>
              <w:fldChar w:fldCharType="end"/>
            </w:r>
          </w:p>
        </w:tc>
        <w:tc>
          <w:tcPr>
            <w:tcW w:w="1464" w:type="dxa"/>
            <w:noWrap/>
            <w:hideMark/>
          </w:tcPr>
          <w:p w14:paraId="62ED650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59E2A84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03CD454E" w14:textId="77777777" w:rsidTr="00366ACD">
        <w:trPr>
          <w:trHeight w:val="270"/>
        </w:trPr>
        <w:tc>
          <w:tcPr>
            <w:tcW w:w="2703" w:type="dxa"/>
            <w:noWrap/>
            <w:hideMark/>
          </w:tcPr>
          <w:p w14:paraId="1824655A" w14:textId="4CE42BD1" w:rsidR="00696AF0" w:rsidRPr="00696AF0" w:rsidRDefault="00696AF0" w:rsidP="005A0D54">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Entrican</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5A0D54">
              <w:rPr>
                <w:rFonts w:ascii="Calibri" w:eastAsia="Times New Roman" w:hAnsi="Calibri" w:cs="Calibri"/>
                <w:color w:val="000000"/>
                <w:lang w:val="en-ZA" w:eastAsia="en-ZA"/>
              </w:rPr>
              <w:t xml:space="preserve"> </w:t>
            </w:r>
            <w:r w:rsidR="005A0D54">
              <w:rPr>
                <w:rFonts w:ascii="Calibri" w:eastAsia="Times New Roman" w:hAnsi="Calibri" w:cs="Calibri"/>
                <w:color w:val="000000"/>
                <w:lang w:val="en-ZA" w:eastAsia="en-ZA"/>
              </w:rPr>
              <w:fldChar w:fldCharType="begin"/>
            </w:r>
            <w:r w:rsidR="005A0D54">
              <w:rPr>
                <w:rFonts w:ascii="Calibri" w:eastAsia="Times New Roman" w:hAnsi="Calibri" w:cs="Calibri"/>
                <w:color w:val="000000"/>
                <w:lang w:val="en-ZA" w:eastAsia="en-ZA"/>
              </w:rPr>
              <w:instrText xml:space="preserve"> ADDIN ZOTERO_ITEM CSL_CITATION {"citationID":"VbAei1jE","properties":{"formattedCitation":"(50)","plainCitation":"(50)","noteIndex":0},"citationItems":[{"id":3046,"uris":["http://zotero.org/users/6216265/items/BE7TXVLI"],"itemData":{"id":3046,"type":"article-journal","abstract":"The Strategic Alliance for Research into Infectious Diseases of Animals and Zoonoses (STAR-IDAZ) International Research Consortium (IRC) coordinates global  animal health research to accelerate delivery of disease control tools and  strategies. With this vision, STAR-IDAZ IRC has constructed four generic research  roadmaps for the development of candidate vaccines, diagnostic tests,  therapeutics and control strategies for animal diseases. The roadmaps for  vaccines, diagnostic tests and therapeutics lead towards a desired target product  profile (TPP). These interactive roadmaps describe the building blocks and for  each the key research questions, dependencies, challenges and possible solution  routes to identify the basic research needed for translation to the TPP. The  control strategies roadmap encompasses the vaccine, diagnostic tests, and  therapeutic roadmaps within a wider framework focusing on the inter-dependence of  multiple tools and knowledge to control diseases for the benefit of animal and  human health. The roadmaps are now being completed for specific diseases and  complemented by state-of-the-art information on relevant projects and  publications to ensure that the necessary research gaps are addressed for  selected priority diseases.","container-title":"Transboundary and emerging diseases","DOI":"10.1111/tbed.13821","ISSN":"1865-1682 1865-1674","issue":"3","journalAbbreviation":"Transbound Emerg Dis","language":"eng","license":"© 2020 The Authors. Transboundary and Emerging Diseases published by Wiley-VCH GmbH.","note":"publisher-place: Germany\nPMID: 32896967","page":"1513-1520","title":"Construction of generic roadmaps for the strategic coordination of global research into infectious diseases of animals and zoonoses.","volume":"68","author":[{"family":"Entrican","given":"Gary"},{"family":"Charlier","given":"Johannes"},{"family":"Dalton","given":"Luke"},{"family":"Messori","given":"Stefano"},{"family":"Sharma","given":"Sadhana"},{"family":"Taylor","given":"Robert"},{"family":"Morrow","given":"Alex"}],"issued":{"date-parts":[["2021",5]]}}}],"schema":"https://github.com/citation-style-language/schema/raw/master/csl-citation.json"} </w:instrText>
            </w:r>
            <w:r w:rsidR="005A0D54">
              <w:rPr>
                <w:rFonts w:ascii="Calibri" w:eastAsia="Times New Roman" w:hAnsi="Calibri" w:cs="Calibri"/>
                <w:color w:val="000000"/>
                <w:lang w:val="en-ZA" w:eastAsia="en-ZA"/>
              </w:rPr>
              <w:fldChar w:fldCharType="separate"/>
            </w:r>
            <w:r w:rsidR="005A0D54" w:rsidRPr="005A0D54">
              <w:rPr>
                <w:rFonts w:ascii="Calibri" w:hAnsi="Calibri" w:cs="Calibri"/>
              </w:rPr>
              <w:t>(50)</w:t>
            </w:r>
            <w:r w:rsidR="005A0D54">
              <w:rPr>
                <w:rFonts w:ascii="Calibri" w:eastAsia="Times New Roman" w:hAnsi="Calibri" w:cs="Calibri"/>
                <w:color w:val="000000"/>
                <w:lang w:val="en-ZA" w:eastAsia="en-ZA"/>
              </w:rPr>
              <w:fldChar w:fldCharType="end"/>
            </w:r>
          </w:p>
        </w:tc>
        <w:tc>
          <w:tcPr>
            <w:tcW w:w="1464" w:type="dxa"/>
            <w:noWrap/>
            <w:hideMark/>
          </w:tcPr>
          <w:p w14:paraId="4750E07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05ED1B6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F436F0C" w14:textId="77777777" w:rsidTr="00366ACD">
        <w:trPr>
          <w:trHeight w:val="270"/>
        </w:trPr>
        <w:tc>
          <w:tcPr>
            <w:tcW w:w="2703" w:type="dxa"/>
            <w:noWrap/>
            <w:hideMark/>
          </w:tcPr>
          <w:p w14:paraId="74E860BA" w14:textId="6871C5D1" w:rsidR="00696AF0" w:rsidRPr="00696AF0" w:rsidRDefault="00696AF0" w:rsidP="00EE59F1">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Fasiolo</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EE59F1">
              <w:rPr>
                <w:rFonts w:ascii="Calibri" w:eastAsia="Times New Roman" w:hAnsi="Calibri" w:cs="Calibri"/>
                <w:color w:val="000000"/>
                <w:lang w:val="en-ZA" w:eastAsia="en-ZA"/>
              </w:rPr>
              <w:t xml:space="preserve"> </w:t>
            </w:r>
            <w:r w:rsidR="00EE59F1">
              <w:rPr>
                <w:rFonts w:ascii="Calibri" w:eastAsia="Times New Roman" w:hAnsi="Calibri" w:cs="Calibri"/>
                <w:color w:val="000000"/>
                <w:lang w:val="en-ZA" w:eastAsia="en-ZA"/>
              </w:rPr>
              <w:fldChar w:fldCharType="begin"/>
            </w:r>
            <w:r w:rsidR="00EE59F1">
              <w:rPr>
                <w:rFonts w:ascii="Calibri" w:eastAsia="Times New Roman" w:hAnsi="Calibri" w:cs="Calibri"/>
                <w:color w:val="000000"/>
                <w:lang w:val="en-ZA" w:eastAsia="en-ZA"/>
              </w:rPr>
              <w:instrText xml:space="preserve"> ADDIN ZOTERO_ITEM CSL_CITATION {"citationID":"7rehWGgy","properties":{"formattedCitation":"(51)","plainCitation":"(51)","noteIndex":0},"citationItems":[{"id":653,"uris":["http://zotero.org/users/6216265/items/XSRRVLCY"],"itemData":{"id":653,"type":"article-journal","abstract":"Neuroinflammation occurs in the early stages of Alzheimer's disease (AD). Thus, anti-inflammatory drugs in this asymptomatic initial phase could slow down AD  progression, provided they enter the brain. Direct nose-to-brain drug transport  occurs along olfactory or trigeminal nerves, bypassing the blood-brain barrier.  Nasal administration may enable the drug to access the brain. Here, flurbiprofen  powders for nose-to-brain drug transport in early AD-related neuroinflammation  were studied. Their target product profile contemplates drug powder deposition in  the nasal cavity, prompt dissolution in the mucosal fluid and attainment of  saturation concentration to maximise diffusion in the tissue. Aiming to increase  drug disposition into brain, poorly soluble flurbiprofen requires the  construction of nasal powder microparticles actively deposited in nose for prompt  drug release. Two groups of powders were formulated, composed of flurbiprofen  acid or flurbiprofen sodium salt. Two spray dryer apparatuses, differing for  spray and drying mechanisms, and particle collection, were applied to impact on  the characteristics of the microparticulate powders. Flurbiprofen sodium nasal  powders disclosed prompt dissolution and fast ex vivo transport across rabbit  nasal mucosa, superior to the acid form, in particular when the powder was  prepared using the Nano B-90 spray dryer at the lowest drying air temperature.","container-title":"Journal of drug targeting","DOI":"10.1080/1061186X.2019.1574300","ISSN":"1029-2330 1026-7158","issue":"9","journalAbbreviation":"J Drug Target","language":"eng","note":"publisher-place: England\nPMID: 30691325","page":"984-994","title":"Anti-inflammatory flurbiprofen nasal powders for nose-to-brain delivery in Alzheimer's disease.","volume":"27","author":[{"family":"Tiozzo Fasiolo","given":"Laura"},{"family":"Manniello","given":"Michele Dario"},{"family":"Bortolotti","given":"Fabrizio"},{"family":"Buttini","given":"Francesca"},{"family":"Rossi","given":"Alessandra"},{"family":"Sonvico","given":"Fabio"},{"family":"Colombo","given":"Paolo"},{"family":"Valsami","given":"Georgia"},{"family":"Colombo","given":"Gaia"},{"family":"Russo","given":"Paola"}],"issued":{"date-parts":[["2019",11]]}}}],"schema":"https://github.com/citation-style-language/schema/raw/master/csl-citation.json"} </w:instrText>
            </w:r>
            <w:r w:rsidR="00EE59F1">
              <w:rPr>
                <w:rFonts w:ascii="Calibri" w:eastAsia="Times New Roman" w:hAnsi="Calibri" w:cs="Calibri"/>
                <w:color w:val="000000"/>
                <w:lang w:val="en-ZA" w:eastAsia="en-ZA"/>
              </w:rPr>
              <w:fldChar w:fldCharType="separate"/>
            </w:r>
            <w:r w:rsidR="00EE59F1" w:rsidRPr="00EE59F1">
              <w:rPr>
                <w:rFonts w:ascii="Calibri" w:hAnsi="Calibri" w:cs="Calibri"/>
              </w:rPr>
              <w:t>(51)</w:t>
            </w:r>
            <w:r w:rsidR="00EE59F1">
              <w:rPr>
                <w:rFonts w:ascii="Calibri" w:eastAsia="Times New Roman" w:hAnsi="Calibri" w:cs="Calibri"/>
                <w:color w:val="000000"/>
                <w:lang w:val="en-ZA" w:eastAsia="en-ZA"/>
              </w:rPr>
              <w:fldChar w:fldCharType="end"/>
            </w:r>
          </w:p>
        </w:tc>
        <w:tc>
          <w:tcPr>
            <w:tcW w:w="1464" w:type="dxa"/>
            <w:noWrap/>
            <w:hideMark/>
          </w:tcPr>
          <w:p w14:paraId="11D3C3E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4D8BCD1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6D59D56" w14:textId="77777777" w:rsidTr="00366ACD">
        <w:trPr>
          <w:trHeight w:val="270"/>
        </w:trPr>
        <w:tc>
          <w:tcPr>
            <w:tcW w:w="2703" w:type="dxa"/>
            <w:noWrap/>
            <w:hideMark/>
          </w:tcPr>
          <w:p w14:paraId="1907F5E7" w14:textId="6FBEDB68" w:rsidR="00696AF0" w:rsidRPr="00696AF0" w:rsidRDefault="00696AF0" w:rsidP="00EE59F1">
            <w:pPr>
              <w:rPr>
                <w:rFonts w:ascii="Calibri" w:eastAsia="Times New Roman" w:hAnsi="Calibri" w:cs="Calibri"/>
                <w:color w:val="000000"/>
                <w:lang w:val="it-IT" w:eastAsia="en-ZA"/>
              </w:rPr>
            </w:pPr>
            <w:r w:rsidRPr="00696AF0">
              <w:rPr>
                <w:rFonts w:ascii="Calibri" w:eastAsia="Times New Roman" w:hAnsi="Calibri" w:cs="Calibri"/>
                <w:color w:val="000000"/>
                <w:lang w:val="it-IT" w:eastAsia="en-ZA"/>
              </w:rPr>
              <w:t xml:space="preserve">Fernandez-Carballo </w:t>
            </w:r>
            <w:r w:rsidR="000620EA">
              <w:rPr>
                <w:rFonts w:ascii="Calibri" w:eastAsia="Times New Roman" w:hAnsi="Calibri" w:cs="Calibri"/>
                <w:color w:val="000000"/>
                <w:lang w:val="it-IT" w:eastAsia="en-ZA"/>
              </w:rPr>
              <w:t>et al.</w:t>
            </w:r>
            <w:r w:rsidR="00EE59F1" w:rsidRPr="00EE59F1">
              <w:rPr>
                <w:rFonts w:ascii="Calibri" w:eastAsia="Times New Roman" w:hAnsi="Calibri" w:cs="Calibri"/>
                <w:color w:val="000000"/>
                <w:lang w:val="it-IT" w:eastAsia="en-ZA"/>
              </w:rPr>
              <w:t xml:space="preserve"> </w:t>
            </w:r>
            <w:r w:rsidR="00EE59F1">
              <w:rPr>
                <w:rFonts w:ascii="Calibri" w:eastAsia="Times New Roman" w:hAnsi="Calibri" w:cs="Calibri"/>
                <w:color w:val="000000"/>
                <w:lang w:val="en-ZA" w:eastAsia="en-ZA"/>
              </w:rPr>
              <w:fldChar w:fldCharType="begin"/>
            </w:r>
            <w:r w:rsidR="00EE59F1">
              <w:rPr>
                <w:rFonts w:ascii="Calibri" w:eastAsia="Times New Roman" w:hAnsi="Calibri" w:cs="Calibri"/>
                <w:color w:val="000000"/>
                <w:lang w:val="it-IT" w:eastAsia="en-ZA"/>
              </w:rPr>
              <w:instrText xml:space="preserve"> ADDIN ZOTERO_ITEM CSL_CITATION {"citationID":"53NtyCDB","properties":{"formattedCitation":"(52)","plainCitation":"(52)","noteIndex":0},"citationItems":[{"id":3060,"uris":["http://zotero.org/users/6216265/items/8AE26DPL"],"itemData":{"id":3060,"type":"article-journal","abstract":"BACKGROUND: Acute febrile illnesses (AFIs) represent a major disease burden globally; however, the paucity of reliable, rapid point-of-care testing makes  their diagnosis difficult. A simple tool for distinguishing bacterial versus  non-bacterial infections would radically improve patient management and reduce  indiscriminate antibiotic use. Diagnostic tests based on host biomarkers can play  an important role here, and a target product profile (TPP) was developed to guide  development. OBJECTIVES: To qualitatively evaluate host biomarkers that can  distinguish bacterial from non-bacterial causes of AFI. DATA SOURCES: The PubMed  database was systematically searched for relevant studies published between 2015  and 2019. STUDY ELIGIBILITY CRITERIA: Studies comparing diagnostic performances  of host biomarkers in patients with bacterial versus non-bacterial infections  were included. PARTICIPANTS: Studies involving human participants and/or human  samples were included. METHODS: We collected information following PRISMA  (Preferred Reporting Items for Systematic Reviews and Meta-Analyses) guidelines.  A risk of bias assessment was performed, based on a modified QUADAS-2 (Quality  Assessment of Diagnostic Accuracy Score 2). RESULTS: We identified 1107  publications. Following screening, 55 publications were included, with 265  biomarker entries. Entries mostly comprised protein biomarkers (58.9%), followed  by haematological, RNA, and metabolite biomarkers (15.5%, 8.7%, 12.5%).  Sensitivity/specificity was reported for 45.7% of biomarker entries. We assessed  a high overall risk of bias for most entries (75.8%). In studies with low/medium  risk of bias, four biomarker entries tested in blood samples had  sensitivity/specificity of more than 0.90/0.80. Only 12 additional biomarker  entries were identified with sensitivity/specificity of more than 0.65/0.65.  CONCLUSIONS: Most recently assessed biomarkers represent well-known biomarkers,  e.g. C-reactive protein and procalcitonin. Some protein biomarkers with the  highest reported performances include a combined biomarker signature (CRP, IP-10,  and TRAIL) and human neutrophil lipocalin (HNL). Few new biomarkers are in the  pipeline; however, some RNA signatures show promise. Further high-quality studies  are needed to confirm these findings.","container-title":"The Journal of infection","DOI":"10.1016/j.jinf.2021.01.028","ISSN":"1532-2742 0163-4453","issue":"4","journalAbbreviation":"J Infect","language":"eng","license":"Copyright © 2021 The Authors. Published by Elsevier Ltd.. All rights reserved.","note":"publisher-place: England\nPMID: 33610683","page":"1-10","title":"Distinguishing bacterial versus non-bacterial causes of febrile illness - A systematic review of host biomarkers.","volume":"82","author":[{"family":"Leticia Fernandez-Carballo","given":"B."},{"family":"Escadafal","given":"Camille"},{"family":"MacLean","given":"Emily"},{"family":"Kapasi","given":"Anokhi J."},{"family":"Dittrich","given":"Sabine"}],"issued":{"date-parts":[["2021",4]]}}}],"schema":"https://github.com/citation-style-language/schema/raw/master/csl-citation.json"} </w:instrText>
            </w:r>
            <w:r w:rsidR="00EE59F1">
              <w:rPr>
                <w:rFonts w:ascii="Calibri" w:eastAsia="Times New Roman" w:hAnsi="Calibri" w:cs="Calibri"/>
                <w:color w:val="000000"/>
                <w:lang w:val="en-ZA" w:eastAsia="en-ZA"/>
              </w:rPr>
              <w:fldChar w:fldCharType="separate"/>
            </w:r>
            <w:r w:rsidR="00EE59F1" w:rsidRPr="00EE59F1">
              <w:rPr>
                <w:rFonts w:ascii="Calibri" w:hAnsi="Calibri" w:cs="Calibri"/>
                <w:lang w:val="it-IT"/>
              </w:rPr>
              <w:t>(52)</w:t>
            </w:r>
            <w:r w:rsidR="00EE59F1">
              <w:rPr>
                <w:rFonts w:ascii="Calibri" w:eastAsia="Times New Roman" w:hAnsi="Calibri" w:cs="Calibri"/>
                <w:color w:val="000000"/>
                <w:lang w:val="en-ZA" w:eastAsia="en-ZA"/>
              </w:rPr>
              <w:fldChar w:fldCharType="end"/>
            </w:r>
          </w:p>
        </w:tc>
        <w:tc>
          <w:tcPr>
            <w:tcW w:w="1464" w:type="dxa"/>
            <w:noWrap/>
            <w:hideMark/>
          </w:tcPr>
          <w:p w14:paraId="617170E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45F028A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6EE76D6" w14:textId="77777777" w:rsidTr="00366ACD">
        <w:trPr>
          <w:trHeight w:val="270"/>
        </w:trPr>
        <w:tc>
          <w:tcPr>
            <w:tcW w:w="2703" w:type="dxa"/>
            <w:noWrap/>
            <w:hideMark/>
          </w:tcPr>
          <w:p w14:paraId="0C01C76F" w14:textId="4110911C" w:rsidR="00696AF0" w:rsidRPr="00696AF0" w:rsidRDefault="00696AF0" w:rsidP="009B64D5">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Francis</w:t>
            </w:r>
            <w:r w:rsidR="009B64D5">
              <w:rPr>
                <w:rFonts w:ascii="Calibri" w:eastAsia="Times New Roman" w:hAnsi="Calibri" w:cs="Calibri"/>
                <w:color w:val="000000"/>
                <w:lang w:val="en-ZA" w:eastAsia="en-ZA"/>
              </w:rPr>
              <w:t xml:space="preserve"> </w:t>
            </w:r>
            <w:r w:rsidR="009B64D5">
              <w:rPr>
                <w:rFonts w:ascii="Calibri" w:eastAsia="Times New Roman" w:hAnsi="Calibri" w:cs="Calibri"/>
                <w:color w:val="000000"/>
                <w:lang w:val="en-ZA" w:eastAsia="en-ZA"/>
              </w:rPr>
              <w:fldChar w:fldCharType="begin"/>
            </w:r>
            <w:r w:rsidR="009B64D5">
              <w:rPr>
                <w:rFonts w:ascii="Calibri" w:eastAsia="Times New Roman" w:hAnsi="Calibri" w:cs="Calibri"/>
                <w:color w:val="000000"/>
                <w:lang w:val="en-ZA" w:eastAsia="en-ZA"/>
              </w:rPr>
              <w:instrText xml:space="preserve"> ADDIN ZOTERO_ITEM CSL_CITATION {"citationID":"LnAyNMnA","properties":{"formattedCitation":"(53)","plainCitation":"(53)","noteIndex":0},"citationItems":[{"id":3020,"uris":["http://zotero.org/users/6216265/items/L9EFYCSW"],"itemData":{"id":3020,"type":"article-journal","abstract":"The UK Government recognised the importance of vaccines in the control of new emerging disease threats and in 2015 established the UK Vaccine Network to focus  on specific areas of need. One of these was the understanding of what is involved  in the development of a new vaccine and what are the potential bottlenecks to a  rapid response in the face of an epidemic such as Ebola, MERS and more recently  COVID-19. A Working Group was established to initially produce a Vaccine  Development Process Map for a Human Vaccine. However, in view of the importance  of animal wellbeing and the significant impact of diseases with Zoonotic  potential, a similar Map has been created outlining the Veterinary Vaccine  Development Process. This paper describes the production of that Map and covers  the process from the generation of a Target Product Profile (TPP) through  Discovery and Feasibility, and on to Product Development and Registration.","container-title":"Vaccine","DOI":"10.1016/j.vaccine.2020.05.007","ISSN":"1873-2518 0264-410X","issue":"29","journalAbbreviation":"Vaccine","language":"eng","license":"Crown Copyright © 2020. Published by Elsevier Ltd. All rights reserved.","note":"PMID: 32418794 \nPMCID: PMC7200350","page":"4512-4515","title":"A Veterinary Vaccine Development Process Map to assist in the development of new vaccines.","volume":"38","author":[{"family":"Francis","given":"Michael James"}],"issued":{"date-parts":[["2020",6,15]]}}}],"schema":"https://github.com/citation-style-language/schema/raw/master/csl-citation.json"} </w:instrText>
            </w:r>
            <w:r w:rsidR="009B64D5">
              <w:rPr>
                <w:rFonts w:ascii="Calibri" w:eastAsia="Times New Roman" w:hAnsi="Calibri" w:cs="Calibri"/>
                <w:color w:val="000000"/>
                <w:lang w:val="en-ZA" w:eastAsia="en-ZA"/>
              </w:rPr>
              <w:fldChar w:fldCharType="separate"/>
            </w:r>
            <w:r w:rsidR="009B64D5" w:rsidRPr="009B64D5">
              <w:rPr>
                <w:rFonts w:ascii="Calibri" w:hAnsi="Calibri" w:cs="Calibri"/>
              </w:rPr>
              <w:t>(53)</w:t>
            </w:r>
            <w:r w:rsidR="009B64D5">
              <w:rPr>
                <w:rFonts w:ascii="Calibri" w:eastAsia="Times New Roman" w:hAnsi="Calibri" w:cs="Calibri"/>
                <w:color w:val="000000"/>
                <w:lang w:val="en-ZA" w:eastAsia="en-ZA"/>
              </w:rPr>
              <w:fldChar w:fldCharType="end"/>
            </w:r>
          </w:p>
        </w:tc>
        <w:tc>
          <w:tcPr>
            <w:tcW w:w="1464" w:type="dxa"/>
            <w:noWrap/>
            <w:hideMark/>
          </w:tcPr>
          <w:p w14:paraId="3B4CA2F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6FA325A8"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8DE7F09" w14:textId="77777777" w:rsidTr="00366ACD">
        <w:trPr>
          <w:trHeight w:val="270"/>
        </w:trPr>
        <w:tc>
          <w:tcPr>
            <w:tcW w:w="2703" w:type="dxa"/>
            <w:noWrap/>
            <w:hideMark/>
          </w:tcPr>
          <w:p w14:paraId="1551D2F3" w14:textId="07F427FC" w:rsidR="00696AF0" w:rsidRPr="00696AF0" w:rsidRDefault="00696AF0" w:rsidP="00AE15B3">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Funk </w:t>
            </w:r>
            <w:r w:rsidR="000620EA">
              <w:rPr>
                <w:rFonts w:ascii="Calibri" w:eastAsia="Times New Roman" w:hAnsi="Calibri" w:cs="Calibri"/>
                <w:color w:val="000000"/>
                <w:lang w:val="en-ZA" w:eastAsia="en-ZA"/>
              </w:rPr>
              <w:t>et al.</w:t>
            </w:r>
            <w:r w:rsidR="00AE15B3">
              <w:rPr>
                <w:rFonts w:ascii="Calibri" w:eastAsia="Times New Roman" w:hAnsi="Calibri" w:cs="Calibri"/>
                <w:color w:val="000000"/>
                <w:lang w:val="en-ZA" w:eastAsia="en-ZA"/>
              </w:rPr>
              <w:t xml:space="preserve"> </w:t>
            </w:r>
            <w:r w:rsidR="00AE15B3">
              <w:rPr>
                <w:rFonts w:ascii="Calibri" w:eastAsia="Times New Roman" w:hAnsi="Calibri" w:cs="Calibri"/>
                <w:color w:val="000000"/>
                <w:lang w:val="en-ZA" w:eastAsia="en-ZA"/>
              </w:rPr>
              <w:fldChar w:fldCharType="begin"/>
            </w:r>
            <w:r w:rsidR="00AE15B3">
              <w:rPr>
                <w:rFonts w:ascii="Calibri" w:eastAsia="Times New Roman" w:hAnsi="Calibri" w:cs="Calibri"/>
                <w:color w:val="000000"/>
                <w:lang w:val="en-ZA" w:eastAsia="en-ZA"/>
              </w:rPr>
              <w:instrText xml:space="preserve"> ADDIN ZOTERO_ITEM CSL_CITATION {"citationID":"2u26gF4F","properties":{"formattedCitation":"(54)","plainCitation":"(54)","noteIndex":0},"citationItems":[{"id":12380,"uris":["http://zotero.org/users/6216265/items/8XX2RVVT"],"itemData":{"id":12380,"type":"article-journal","abstract":"The coronavirus SARS-CoV-2, which causes Coronavirus disease 2019 (COVID-19), has infected more than 100 million people globally and caused over 2.5 million deaths in just over one year since its discovery in Wuhan, China in December 2019. The pandemic has evoked widespread collateral damage to societies and economies, and has destabilized mental health and well-being. Early in 2020, unprecedented efforts went into the development of vaccines that generate effective antibodies to the SARS-CoV-2 virus. Teams developing twelve candidate vaccines, based on four platforms (messenger RNA, non-replicating viral vector, protein/virus-like particle, and inactivated virus) had initiated or announced the Phase III clinical trial stage by early November 2020, with several having received emergency use authorization in less than a year. Vaccine rollout has proceeded around the globe. Previously, we and others had proposed a target product profile (TPP) for ideal/optimal and acceptable/minimal COVID-19 vaccines. How well do these candidate vaccines stack up to a harmonized TPP? Here, we perform a comparative analysis in several categories of these candidate vaccines based on the latest available trial data and highlight the early successes as well as the hurdles and barriers yet to be overcome for ending the global COVID-19 pandemic.","container-title":"Viruses","DOI":"10.3390/v13030418","ISSN":"1999-4915","issue":"3","journalAbbreviation":"Viruses","language":"en","page":"418","source":"DOI.org (Crossref)","title":"Target Product Profile Analysis of COVID-19 Vaccines in Phase III Clinical Trials and Beyond: An Early 2021 Perspective","title-short":"Target Product Profile Analysis of COVID-19 Vaccines in Phase III Clinical Trials and Beyond","volume":"13","author":[{"family":"Funk","given":"Colin D."},{"family":"Laferrière","given":"Craig"},{"family":"Ardakani","given":"Ali"}],"issued":{"date-parts":[["2021",3,5]]}}}],"schema":"https://github.com/citation-style-language/schema/raw/master/csl-citation.json"} </w:instrText>
            </w:r>
            <w:r w:rsidR="00AE15B3">
              <w:rPr>
                <w:rFonts w:ascii="Calibri" w:eastAsia="Times New Roman" w:hAnsi="Calibri" w:cs="Calibri"/>
                <w:color w:val="000000"/>
                <w:lang w:val="en-ZA" w:eastAsia="en-ZA"/>
              </w:rPr>
              <w:fldChar w:fldCharType="separate"/>
            </w:r>
            <w:r w:rsidR="00AE15B3" w:rsidRPr="00AE15B3">
              <w:rPr>
                <w:rFonts w:ascii="Calibri" w:hAnsi="Calibri" w:cs="Calibri"/>
              </w:rPr>
              <w:t>(54)</w:t>
            </w:r>
            <w:r w:rsidR="00AE15B3">
              <w:rPr>
                <w:rFonts w:ascii="Calibri" w:eastAsia="Times New Roman" w:hAnsi="Calibri" w:cs="Calibri"/>
                <w:color w:val="000000"/>
                <w:lang w:val="en-ZA" w:eastAsia="en-ZA"/>
              </w:rPr>
              <w:fldChar w:fldCharType="end"/>
            </w:r>
          </w:p>
        </w:tc>
        <w:tc>
          <w:tcPr>
            <w:tcW w:w="1464" w:type="dxa"/>
            <w:noWrap/>
            <w:hideMark/>
          </w:tcPr>
          <w:p w14:paraId="7F167AA2"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6454BD01"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A305503" w14:textId="77777777" w:rsidTr="00366ACD">
        <w:trPr>
          <w:trHeight w:val="270"/>
        </w:trPr>
        <w:tc>
          <w:tcPr>
            <w:tcW w:w="2703" w:type="dxa"/>
            <w:noWrap/>
            <w:hideMark/>
          </w:tcPr>
          <w:p w14:paraId="4ABC3B82" w14:textId="3CAEA41F" w:rsidR="00696AF0" w:rsidRPr="00696AF0" w:rsidRDefault="00696AF0" w:rsidP="005F3F0B">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Georghiou</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5F3F0B">
              <w:rPr>
                <w:rFonts w:ascii="Calibri" w:eastAsia="Times New Roman" w:hAnsi="Calibri" w:cs="Calibri"/>
                <w:color w:val="000000"/>
                <w:lang w:val="en-ZA" w:eastAsia="en-ZA"/>
              </w:rPr>
              <w:t xml:space="preserve"> </w:t>
            </w:r>
            <w:r w:rsidR="005F3F0B">
              <w:rPr>
                <w:rFonts w:ascii="Calibri" w:eastAsia="Times New Roman" w:hAnsi="Calibri" w:cs="Calibri"/>
                <w:color w:val="000000"/>
                <w:lang w:val="en-ZA" w:eastAsia="en-ZA"/>
              </w:rPr>
              <w:fldChar w:fldCharType="begin"/>
            </w:r>
            <w:r w:rsidR="005F3F0B">
              <w:rPr>
                <w:rFonts w:ascii="Calibri" w:eastAsia="Times New Roman" w:hAnsi="Calibri" w:cs="Calibri"/>
                <w:color w:val="000000"/>
                <w:lang w:val="en-ZA" w:eastAsia="en-ZA"/>
              </w:rPr>
              <w:instrText xml:space="preserve"> ADDIN ZOTERO_ITEM CSL_CITATION {"citationID":"a0nSGroK","properties":{"formattedCitation":"(55)","plainCitation":"(55)","noteIndex":0},"citationItems":[{"id":678,"uris":["http://zotero.org/users/6216265/items/3BPPC6EM"],"itemData":{"id":678,"type":"article-journal","abstract":"The development and implementation of rapid molecular diagnostics for tuberculosis (TB) drug-susceptibility testing is critical to inform treatment of  patients and to prevent the emergence and spread of resistance. Optimal trial  planning for existing tests and those in development will be critical to rapidly  gather the evidence necessary to inform World Health Organization review and to  support potential policy recommendations. The evidence necessary includes an  assessment of the performance for TB and resistance detection as well as an  assessment of the operational characteristics of these platforms. The performance  assessment should include analytical studies to confirm the limit of detection  and assay ability to detect mutations conferring resistance across globally  representative strains. The analytical evaluation is typically followed by  multisite clinical evaluation studies to confirm diagnostic performance in sites  and populations of intended use. This paper summarizes the considerations for the  design of these analytical and clinical studies.","container-title":"The Journal of infectious diseases","DOI":"10.1093/infdis/jiz106","ISSN":"1537-6613 0022-1899","issue":"220 Suppl 3","journalAbbreviation":"J Infect Dis","language":"eng","license":"© The Author(s) 2019. Published by Oxford University Press for the Infectious Diseases Society of America. All rights reserved. For permissions, e-mail:  journals.permissions@oup.com.","note":"publisher-place: United States\nPMID: 31593599","page":"S126-S135","title":"Guidance for Studies Evaluating the Accuracy of Rapid Tuberculosis Drug-Susceptibility Tests.","volume":"220","author":[{"family":"Georghiou","given":"Sophia B."},{"family":"Schumacher","given":"Samuel G."},{"family":"Rodwell","given":"Timothy C."},{"family":"Colman","given":"Rebecca E."},{"family":"Miotto","given":"Paolo"},{"family":"Gilpin","given":"Christopher"},{"family":"Ismail","given":"Nazir"},{"family":"Rodrigues","given":"Camilla"},{"family":"Warren","given":"Rob"},{"family":"Weyer","given":"Karin"},{"family":"Zignol","given":"Matteo"},{"family":"Arafah","given":"Sonia"},{"family":"Cirillo","given":"Daniela Maria"},{"family":"Denkinger","given":"Claudia M."}],"issued":{"date-parts":[["2019",10,8]]}}}],"schema":"https://github.com/citation-style-language/schema/raw/master/csl-citation.json"} </w:instrText>
            </w:r>
            <w:r w:rsidR="005F3F0B">
              <w:rPr>
                <w:rFonts w:ascii="Calibri" w:eastAsia="Times New Roman" w:hAnsi="Calibri" w:cs="Calibri"/>
                <w:color w:val="000000"/>
                <w:lang w:val="en-ZA" w:eastAsia="en-ZA"/>
              </w:rPr>
              <w:fldChar w:fldCharType="separate"/>
            </w:r>
            <w:r w:rsidR="005F3F0B" w:rsidRPr="005F3F0B">
              <w:rPr>
                <w:rFonts w:ascii="Calibri" w:hAnsi="Calibri" w:cs="Calibri"/>
              </w:rPr>
              <w:t>(55)</w:t>
            </w:r>
            <w:r w:rsidR="005F3F0B">
              <w:rPr>
                <w:rFonts w:ascii="Calibri" w:eastAsia="Times New Roman" w:hAnsi="Calibri" w:cs="Calibri"/>
                <w:color w:val="000000"/>
                <w:lang w:val="en-ZA" w:eastAsia="en-ZA"/>
              </w:rPr>
              <w:fldChar w:fldCharType="end"/>
            </w:r>
          </w:p>
        </w:tc>
        <w:tc>
          <w:tcPr>
            <w:tcW w:w="1464" w:type="dxa"/>
            <w:noWrap/>
            <w:hideMark/>
          </w:tcPr>
          <w:p w14:paraId="3243CFC1"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2561922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0CFCC2B2" w14:textId="77777777" w:rsidTr="00366ACD">
        <w:trPr>
          <w:trHeight w:val="270"/>
        </w:trPr>
        <w:tc>
          <w:tcPr>
            <w:tcW w:w="2703" w:type="dxa"/>
            <w:noWrap/>
            <w:hideMark/>
          </w:tcPr>
          <w:p w14:paraId="4B3A240A" w14:textId="12DB0E3C" w:rsidR="00696AF0" w:rsidRPr="00696AF0" w:rsidRDefault="00696AF0" w:rsidP="005F3F0B">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Gerlinger</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5F3F0B">
              <w:rPr>
                <w:rFonts w:ascii="Calibri" w:eastAsia="Times New Roman" w:hAnsi="Calibri" w:cs="Calibri"/>
                <w:color w:val="000000"/>
                <w:lang w:val="en-ZA" w:eastAsia="en-ZA"/>
              </w:rPr>
              <w:t xml:space="preserve"> </w:t>
            </w:r>
            <w:r w:rsidR="005F3F0B">
              <w:rPr>
                <w:rFonts w:ascii="Calibri" w:eastAsia="Times New Roman" w:hAnsi="Calibri" w:cs="Calibri"/>
                <w:color w:val="000000"/>
                <w:lang w:val="en-ZA" w:eastAsia="en-ZA"/>
              </w:rPr>
              <w:fldChar w:fldCharType="begin"/>
            </w:r>
            <w:r w:rsidR="005F3F0B">
              <w:rPr>
                <w:rFonts w:ascii="Calibri" w:eastAsia="Times New Roman" w:hAnsi="Calibri" w:cs="Calibri"/>
                <w:color w:val="000000"/>
                <w:lang w:val="en-ZA" w:eastAsia="en-ZA"/>
              </w:rPr>
              <w:instrText xml:space="preserve"> ADDIN ZOTERO_ITEM CSL_CITATION {"citationID":"FWlOKmla","properties":{"formattedCitation":"(56)","plainCitation":"(56)","noteIndex":0},"citationItems":[{"id":3028,"uris":["http://zotero.org/users/6216265/items/IZ97HL7Z"],"itemData":{"id":3028,"type":"article-journal","abstract":"INTRODUCTION: For a new drug to be developed, the desired properties are described in a target product profile. OBJECTIVE: We propose a framework for  using real-world data to measure the disease-specific costs of the current  standard of care and then to project the costs of the proposed new product for  early data-driven portfolio decisions to select drug candidates for development.  METHODS: We sampled from a cohort of patients representing the current standard  of care to generate a hypothetical cohort of patients that fits a given target  product profile for a new (hypothetical) treatment. The healthcare costs were  determined and compared between standard of care and the new treatment. The  approach differed according to the number of outcomes defined in the target  product profile, and the cases for one, two, and three outcome variables are  described. RESULTS: Based on assumed hypothetical treatment effect, absolute risk  and cost reductions were estimated in a worked example. The median costs per day  for one patient were estimated to be $10.37 and $8.39 in the original and  hypothetical cohorts, respectively. This means that the assumed target product  profile would result in cost savings of $1.98 per day and patient-not accounting  for any additional drug costs. CONCLUSIONS: We present a simple approach to  assess the potential absolute clinical and economic benefit of a new drug based  on real-world data and its target product profile. The approach allows for early  data-driven portfolio decisions to select drug candidates based on their expected  cost savings.","container-title":"Drugs - real world outcomes","DOI":"10.1007/s40801-020-00203-w","ISSN":"2199-1154 2198-9788","issue":"3","journalAbbreviation":"Drugs Real World Outcomes","language":"eng","note":"PMID: 32533499 \nPMCID: PMC7392984","page":"221-227","title":"Using Real-World Data to Predict Clinical and Economic Benefits of a Future Drug Based on its Target Product Profile.","volume":"7","author":[{"family":"Gerlinger","given":"Christoph"},{"family":"Evers","given":"Thomas"},{"family":"Rassen","given":"Jeremy"},{"family":"Wyss","given":"Richard"}],"issued":{"date-parts":[["2020",9]]}}}],"schema":"https://github.com/citation-style-language/schema/raw/master/csl-citation.json"} </w:instrText>
            </w:r>
            <w:r w:rsidR="005F3F0B">
              <w:rPr>
                <w:rFonts w:ascii="Calibri" w:eastAsia="Times New Roman" w:hAnsi="Calibri" w:cs="Calibri"/>
                <w:color w:val="000000"/>
                <w:lang w:val="en-ZA" w:eastAsia="en-ZA"/>
              </w:rPr>
              <w:fldChar w:fldCharType="separate"/>
            </w:r>
            <w:r w:rsidR="005F3F0B" w:rsidRPr="005F3F0B">
              <w:rPr>
                <w:rFonts w:ascii="Calibri" w:hAnsi="Calibri" w:cs="Calibri"/>
              </w:rPr>
              <w:t>(56)</w:t>
            </w:r>
            <w:r w:rsidR="005F3F0B">
              <w:rPr>
                <w:rFonts w:ascii="Calibri" w:eastAsia="Times New Roman" w:hAnsi="Calibri" w:cs="Calibri"/>
                <w:color w:val="000000"/>
                <w:lang w:val="en-ZA" w:eastAsia="en-ZA"/>
              </w:rPr>
              <w:fldChar w:fldCharType="end"/>
            </w:r>
          </w:p>
        </w:tc>
        <w:tc>
          <w:tcPr>
            <w:tcW w:w="1464" w:type="dxa"/>
            <w:noWrap/>
            <w:hideMark/>
          </w:tcPr>
          <w:p w14:paraId="10856635"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1202B67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EAA52DE" w14:textId="77777777" w:rsidTr="00366ACD">
        <w:trPr>
          <w:trHeight w:val="270"/>
        </w:trPr>
        <w:tc>
          <w:tcPr>
            <w:tcW w:w="2703" w:type="dxa"/>
            <w:noWrap/>
            <w:hideMark/>
          </w:tcPr>
          <w:p w14:paraId="57C5D019" w14:textId="78BDC685" w:rsidR="00696AF0" w:rsidRPr="00696AF0" w:rsidRDefault="00696AF0" w:rsidP="00C6699C">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Gomez </w:t>
            </w:r>
            <w:r w:rsidR="000620EA">
              <w:rPr>
                <w:rFonts w:ascii="Calibri" w:eastAsia="Times New Roman" w:hAnsi="Calibri" w:cs="Calibri"/>
                <w:color w:val="000000"/>
                <w:lang w:val="en-ZA" w:eastAsia="en-ZA"/>
              </w:rPr>
              <w:t>et al.</w:t>
            </w:r>
            <w:r w:rsidR="00C6699C">
              <w:rPr>
                <w:rFonts w:ascii="Calibri" w:eastAsia="Times New Roman" w:hAnsi="Calibri" w:cs="Calibri"/>
                <w:color w:val="000000"/>
                <w:lang w:val="en-ZA" w:eastAsia="en-ZA"/>
              </w:rPr>
              <w:t xml:space="preserve"> </w:t>
            </w:r>
            <w:r w:rsidR="00C6699C">
              <w:rPr>
                <w:rFonts w:ascii="Calibri" w:eastAsia="Times New Roman" w:hAnsi="Calibri" w:cs="Calibri"/>
                <w:color w:val="000000"/>
                <w:lang w:val="en-ZA" w:eastAsia="en-ZA"/>
              </w:rPr>
              <w:fldChar w:fldCharType="begin"/>
            </w:r>
            <w:r w:rsidR="00C6699C">
              <w:rPr>
                <w:rFonts w:ascii="Calibri" w:eastAsia="Times New Roman" w:hAnsi="Calibri" w:cs="Calibri"/>
                <w:color w:val="000000"/>
                <w:lang w:val="en-ZA" w:eastAsia="en-ZA"/>
              </w:rPr>
              <w:instrText xml:space="preserve"> ADDIN ZOTERO_ITEM CSL_CITATION {"citationID":"JVAIkqs8","properties":{"formattedCitation":"(57)","plainCitation":"(57)","noteIndex":0},"citationItems":[{"id":97,"uris":["http://zotero.org/users/6216265/items/SZV84XKJ"],"itemData":{"id":97,"type":"article-journal","abstract":"Systemic insecticides in dogs have been suggested as a public health intervention to prevent human cases of Zoonotic Visceral Leishmaniasis (ZVL). But, currently  there are no systemic insecticides for dogs registered against zoo-anthropophilic  pool blood feeding phlebotomine flies. We predict the impact of community-wide  use of systemic insecticide in dog populations as a public health measure to  control transmission of Leishmania infantum to humans using a mathematical model.  We developed a Susceptible-Exposed-Infected (SEI) compartmental model to describe  L. infantum transmission dynamics in dogs, with a vectorial capacity term to  represent transmission between L. infantum-hosting dogs via phlebotomine flies.  For Infected (I) dogs two levels of infectiousness were modelled, high  infectiousness and low infectiousness. Human incidence was estimated through its  relationship to infection in the dog population. We evaluated outcomes from a  wide range of scenarios comprising different combinations of initial insecticide  efficacy, duration of insecticide efficacy over time, and proportion of the dog  population treated (60%, 70% &amp; 80%). The same reduction in human infection  incidence can be achieved via different combinations of insecticide efficacy,  duration and dog coverage. For example, a systemic insecticide with an initial  efficacy of 80% and 6 months above 65% efficacy would require treating at least  70% of the dogs to reduce the human infection incidence by 50%. Sensitivity  analysis showed that the model outcome was most sensitive to baseline values of  phlebotomine fly daily survival rate and insecticide coverage. Community-wide use  of systemic insecticides applied to the \"L. infantum canine reservoir\" can  significantly reduce human incidence of L. infantum infection. The results of  this mathematical model can help defining the insecticide target product profile  and how the insecticide should be applied to maximise effectiveness.","container-title":"PLoS neglected tropical diseases","DOI":"10.1371/journal.pntd.0006797","ISSN":"1935-2735 1935-2727","issue":"9","journalAbbreviation":"PLoS Negl Trop Dis","language":"eng","note":"PMID: 30222756 \nPMCID: PMC6160230","page":"e0006797","title":"Estimating the efficacy of community-wide use of systemic insecticides in dogs to control zoonotic visceral leishmaniasis: A modelling study in a Brazilian  scenario.","volume":"12","author":[{"family":"Gomez","given":"Sonia A."},{"family":"Chapman","given":"Lloyd A. C."},{"family":"Dilger","given":"Erin"},{"family":"Courtenay","given":"Orin"},{"family":"Picado","given":"Albert"}],"issued":{"date-parts":[["2018",9]]}}}],"schema":"https://github.com/citation-style-language/schema/raw/master/csl-citation.json"} </w:instrText>
            </w:r>
            <w:r w:rsidR="00C6699C">
              <w:rPr>
                <w:rFonts w:ascii="Calibri" w:eastAsia="Times New Roman" w:hAnsi="Calibri" w:cs="Calibri"/>
                <w:color w:val="000000"/>
                <w:lang w:val="en-ZA" w:eastAsia="en-ZA"/>
              </w:rPr>
              <w:fldChar w:fldCharType="separate"/>
            </w:r>
            <w:r w:rsidR="00C6699C" w:rsidRPr="00C6699C">
              <w:rPr>
                <w:rFonts w:ascii="Calibri" w:hAnsi="Calibri" w:cs="Calibri"/>
              </w:rPr>
              <w:t>(57)</w:t>
            </w:r>
            <w:r w:rsidR="00C6699C">
              <w:rPr>
                <w:rFonts w:ascii="Calibri" w:eastAsia="Times New Roman" w:hAnsi="Calibri" w:cs="Calibri"/>
                <w:color w:val="000000"/>
                <w:lang w:val="en-ZA" w:eastAsia="en-ZA"/>
              </w:rPr>
              <w:fldChar w:fldCharType="end"/>
            </w:r>
          </w:p>
        </w:tc>
        <w:tc>
          <w:tcPr>
            <w:tcW w:w="1464" w:type="dxa"/>
            <w:noWrap/>
            <w:hideMark/>
          </w:tcPr>
          <w:p w14:paraId="5ACD3A1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2018</w:t>
            </w:r>
          </w:p>
        </w:tc>
        <w:tc>
          <w:tcPr>
            <w:tcW w:w="2043" w:type="dxa"/>
            <w:noWrap/>
            <w:hideMark/>
          </w:tcPr>
          <w:p w14:paraId="6130A322"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70508D68" w14:textId="77777777" w:rsidTr="00366ACD">
        <w:trPr>
          <w:trHeight w:val="270"/>
        </w:trPr>
        <w:tc>
          <w:tcPr>
            <w:tcW w:w="2703" w:type="dxa"/>
            <w:noWrap/>
            <w:hideMark/>
          </w:tcPr>
          <w:p w14:paraId="173A0111" w14:textId="2375DB66" w:rsidR="00696AF0" w:rsidRPr="00696AF0" w:rsidRDefault="00696AF0" w:rsidP="00C6699C">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Goscé</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C6699C">
              <w:rPr>
                <w:rFonts w:ascii="Calibri" w:eastAsia="Times New Roman" w:hAnsi="Calibri" w:cs="Calibri"/>
                <w:color w:val="000000"/>
                <w:lang w:val="en-ZA" w:eastAsia="en-ZA"/>
              </w:rPr>
              <w:t xml:space="preserve"> </w:t>
            </w:r>
            <w:r w:rsidR="00C6699C">
              <w:rPr>
                <w:rFonts w:ascii="Calibri" w:eastAsia="Times New Roman" w:hAnsi="Calibri" w:cs="Calibri"/>
                <w:color w:val="000000"/>
                <w:lang w:val="en-ZA" w:eastAsia="en-ZA"/>
              </w:rPr>
              <w:fldChar w:fldCharType="begin"/>
            </w:r>
            <w:r w:rsidR="00C6699C">
              <w:rPr>
                <w:rFonts w:ascii="Calibri" w:eastAsia="Times New Roman" w:hAnsi="Calibri" w:cs="Calibri"/>
                <w:color w:val="000000"/>
                <w:lang w:val="en-ZA" w:eastAsia="en-ZA"/>
              </w:rPr>
              <w:instrText xml:space="preserve"> ADDIN ZOTERO_ITEM CSL_CITATION {"citationID":"iAzWoH93","properties":{"formattedCitation":"(58)","plainCitation":"(58)","noteIndex":0},"citationItems":[{"id":668,"uris":["http://zotero.org/users/6216265/items/ESEJ9F6F"],"itemData":{"id":668,"type":"article-journal","abstract":"Epstein-Barr virus (EBV) is one of the most common human viruses and the cause of pathologies such as infectious mononucleosis (IM) and certain cancers. No vaccine  against EBV infection currently exists, but such vaccines are in development.  Knowledge of how EBV is transmitted at the population level is critical to the  development of target product profiles (TPPs) for such vaccines and future  vaccination strategies. We present the first mathematical model of EBV  transmission, parameterised using data from England, and use it to compare  hypothetical prophylactic vaccines with different characteristics and the impact  of vaccinating different age groups. We found that vaccine duration had more  impact than vaccine efficacy on modelled EBV and IM prevalence. The age group  vaccinated also had an important effect: vaccinating at a younger age led to a  greater reduction in seroprevalence but an increase in IM cases associated with  delayed infection. Vaccination had impact on cancer incidence only in the long  run, because in England most EBV-related cancers arise in later life. Durability  of protection should be a key factor to prioritise in EBV vaccine development and  included in vaccine TPPs. These findings are timely and important for vaccine  developers and policy-makers alike.","container-title":"Scientific reports","DOI":"10.1038/s41598-019-45381-y","ISSN":"2045-2322","issue":"1","journalAbbreviation":"Sci Rep","language":"eng","note":"PMID: 31243321 \nPMCID: PMC6594949","page":"9290","title":"Modelling the dynamics of EBV transmission to inform a vaccine target product profile and future vaccination strategy.","volume":"9","author":[{"family":"Goscé","given":"Lara"},{"family":"Winter","given":"Joanne R."},{"family":"Taylor","given":"Graham S."},{"family":"Lewis","given":"Joanna E. A."},{"family":"Stagg","given":"Helen R."}],"issued":{"date-parts":[["2019",6,26]]}}}],"schema":"https://github.com/citation-style-language/schema/raw/master/csl-citation.json"} </w:instrText>
            </w:r>
            <w:r w:rsidR="00C6699C">
              <w:rPr>
                <w:rFonts w:ascii="Calibri" w:eastAsia="Times New Roman" w:hAnsi="Calibri" w:cs="Calibri"/>
                <w:color w:val="000000"/>
                <w:lang w:val="en-ZA" w:eastAsia="en-ZA"/>
              </w:rPr>
              <w:fldChar w:fldCharType="separate"/>
            </w:r>
            <w:r w:rsidR="00C6699C" w:rsidRPr="00C6699C">
              <w:rPr>
                <w:rFonts w:ascii="Calibri" w:hAnsi="Calibri" w:cs="Calibri"/>
              </w:rPr>
              <w:t>(58)</w:t>
            </w:r>
            <w:r w:rsidR="00C6699C">
              <w:rPr>
                <w:rFonts w:ascii="Calibri" w:eastAsia="Times New Roman" w:hAnsi="Calibri" w:cs="Calibri"/>
                <w:color w:val="000000"/>
                <w:lang w:val="en-ZA" w:eastAsia="en-ZA"/>
              </w:rPr>
              <w:fldChar w:fldCharType="end"/>
            </w:r>
          </w:p>
        </w:tc>
        <w:tc>
          <w:tcPr>
            <w:tcW w:w="1464" w:type="dxa"/>
            <w:noWrap/>
            <w:hideMark/>
          </w:tcPr>
          <w:p w14:paraId="2747AAB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2B049A71"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2DD41C3A" w14:textId="77777777" w:rsidTr="00366ACD">
        <w:trPr>
          <w:trHeight w:val="270"/>
        </w:trPr>
        <w:tc>
          <w:tcPr>
            <w:tcW w:w="2703" w:type="dxa"/>
            <w:noWrap/>
            <w:hideMark/>
          </w:tcPr>
          <w:p w14:paraId="5D4DC205" w14:textId="7B6E8DED" w:rsidR="00696AF0" w:rsidRPr="00696AF0" w:rsidRDefault="00696AF0" w:rsidP="00FE4B35">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Grant </w:t>
            </w:r>
            <w:r w:rsidR="000620EA">
              <w:rPr>
                <w:rFonts w:ascii="Calibri" w:eastAsia="Times New Roman" w:hAnsi="Calibri" w:cs="Calibri"/>
                <w:color w:val="000000"/>
                <w:lang w:val="en-ZA" w:eastAsia="en-ZA"/>
              </w:rPr>
              <w:t>et al.</w:t>
            </w:r>
            <w:r w:rsidR="00FE4B35">
              <w:rPr>
                <w:rFonts w:ascii="Calibri" w:eastAsia="Times New Roman" w:hAnsi="Calibri" w:cs="Calibri"/>
                <w:color w:val="000000"/>
                <w:lang w:val="en-ZA" w:eastAsia="en-ZA"/>
              </w:rPr>
              <w:t xml:space="preserve"> </w:t>
            </w:r>
            <w:r w:rsidR="00FE4B35">
              <w:rPr>
                <w:rFonts w:ascii="Calibri" w:eastAsia="Times New Roman" w:hAnsi="Calibri" w:cs="Calibri"/>
                <w:color w:val="000000"/>
                <w:lang w:val="en-ZA" w:eastAsia="en-ZA"/>
              </w:rPr>
              <w:fldChar w:fldCharType="begin"/>
            </w:r>
            <w:r w:rsidR="00FE4B35">
              <w:rPr>
                <w:rFonts w:ascii="Calibri" w:eastAsia="Times New Roman" w:hAnsi="Calibri" w:cs="Calibri"/>
                <w:color w:val="000000"/>
                <w:lang w:val="en-ZA" w:eastAsia="en-ZA"/>
              </w:rPr>
              <w:instrText xml:space="preserve"> ADDIN ZOTERO_ITEM CSL_CITATION {"citationID":"eqmcBH5g","properties":{"formattedCitation":"(59)","plainCitation":"(59)","noteIndex":0},"citationItems":[{"id":12390,"uris":["http://zotero.org/users/6216265/items/GM7IJJF3"],"itemData":{"id":12390,"type":"article-journal","abstract":"Inexpensive, simple, rapid diagnostics are necessary for efficient detection, treatment, and mitigation of COVID-19. Assays for SARS-CoV2 using reverse transcription polymerase chain reaction (RT-PCR) offer good sensitivity and excellent specificity, but are expensive, slowed by transport to centralized testing laboratories, and often unavailable. Antigen-based assays are inexpensive and can be rapidly mass-produced and deployed at point-of-care, with lateral flow assays (LFAs) being the most common format. While various manufacturers have produced commercially available SARS-Cov2 antigen LFAs, access to validated tests remains difficult or cost prohibitive in low-and middle-income countries. Herein, we present a visually read open-access LFA (OA-LFA) using commercially-available antibodies and materials for the detection of SARS-CoV-2. The LFA yielded a Limit of Detection (LOD) of 4 TCID\n              50\n              /swab of gamma irradiated SARS-CoV-2 virus, meeting the acceptable analytical sensitivity outlined by in World Health Organization target product profile. The open-source architecture presented in this manuscript provides a template for manufacturers around the globe to rapidly design a SARS-CoV2 antigen test.","container-title":"PLOS ONE","DOI":"10.1371/journal.pone.0258819","ISSN":"1932-6203","issue":"11","journalAbbreviation":"PLoS ONE","language":"en","page":"e0258819","source":"DOI.org (Crossref)","title":"A SARS-CoV-2 coronavirus nucleocapsid protein antigen-detecting lateral flow assay","volume":"16","author":[{"family":"Grant","given":"Benjamin D."},{"family":"Anderson","given":"Caitlin E."},{"family":"Alonzo","given":"Luis F."},{"family":"Garing","given":"Spencer H."},{"family":"Williford","given":"John R."},{"family":"Baughman","given":"Ted A."},{"family":"Rivera","given":"Rafael"},{"family":"Glukhova","given":"Veronika A."},{"family":"Boyle","given":"David S."},{"family":"Dewan","given":"Puneet K."},{"family":"Weigl","given":"Bernhard H."},{"family":"Nichols","given":"Kevin P."}],"editor":[{"family":"Ito","given":"Etsuro"}],"issued":{"date-parts":[["2021",11,10]]}}}],"schema":"https://github.com/citation-style-language/schema/raw/master/csl-citation.json"} </w:instrText>
            </w:r>
            <w:r w:rsidR="00FE4B35">
              <w:rPr>
                <w:rFonts w:ascii="Calibri" w:eastAsia="Times New Roman" w:hAnsi="Calibri" w:cs="Calibri"/>
                <w:color w:val="000000"/>
                <w:lang w:val="en-ZA" w:eastAsia="en-ZA"/>
              </w:rPr>
              <w:fldChar w:fldCharType="separate"/>
            </w:r>
            <w:r w:rsidR="00FE4B35" w:rsidRPr="00FE4B35">
              <w:rPr>
                <w:rFonts w:ascii="Calibri" w:hAnsi="Calibri" w:cs="Calibri"/>
              </w:rPr>
              <w:t>(59)</w:t>
            </w:r>
            <w:r w:rsidR="00FE4B35">
              <w:rPr>
                <w:rFonts w:ascii="Calibri" w:eastAsia="Times New Roman" w:hAnsi="Calibri" w:cs="Calibri"/>
                <w:color w:val="000000"/>
                <w:lang w:val="en-ZA" w:eastAsia="en-ZA"/>
              </w:rPr>
              <w:fldChar w:fldCharType="end"/>
            </w:r>
          </w:p>
        </w:tc>
        <w:tc>
          <w:tcPr>
            <w:tcW w:w="1464" w:type="dxa"/>
            <w:noWrap/>
            <w:hideMark/>
          </w:tcPr>
          <w:p w14:paraId="0B1921B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7E15C73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50A2FE6" w14:textId="77777777" w:rsidTr="00366ACD">
        <w:trPr>
          <w:trHeight w:val="270"/>
        </w:trPr>
        <w:tc>
          <w:tcPr>
            <w:tcW w:w="2703" w:type="dxa"/>
            <w:noWrap/>
            <w:hideMark/>
          </w:tcPr>
          <w:p w14:paraId="3D4BA9F2" w14:textId="5B47ADF0" w:rsidR="00696AF0" w:rsidRPr="00696AF0" w:rsidRDefault="00696AF0" w:rsidP="00FE4B35">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Günther </w:t>
            </w:r>
            <w:r w:rsidR="000620EA">
              <w:rPr>
                <w:rFonts w:ascii="Calibri" w:eastAsia="Times New Roman" w:hAnsi="Calibri" w:cs="Calibri"/>
                <w:color w:val="000000"/>
                <w:lang w:val="en-ZA" w:eastAsia="en-ZA"/>
              </w:rPr>
              <w:t>et al.</w:t>
            </w:r>
            <w:r w:rsidR="00FE4B35">
              <w:rPr>
                <w:rFonts w:ascii="Calibri" w:eastAsia="Times New Roman" w:hAnsi="Calibri" w:cs="Calibri"/>
                <w:color w:val="000000"/>
                <w:lang w:val="en-ZA" w:eastAsia="en-ZA"/>
              </w:rPr>
              <w:t xml:space="preserve"> </w:t>
            </w:r>
            <w:r w:rsidR="00FE4B35">
              <w:rPr>
                <w:rFonts w:ascii="Calibri" w:eastAsia="Times New Roman" w:hAnsi="Calibri" w:cs="Calibri"/>
                <w:color w:val="000000"/>
                <w:lang w:val="en-ZA" w:eastAsia="en-ZA"/>
              </w:rPr>
              <w:fldChar w:fldCharType="begin"/>
            </w:r>
            <w:r w:rsidR="00FE4B35">
              <w:rPr>
                <w:rFonts w:ascii="Calibri" w:eastAsia="Times New Roman" w:hAnsi="Calibri" w:cs="Calibri"/>
                <w:color w:val="000000"/>
                <w:lang w:val="en-ZA" w:eastAsia="en-ZA"/>
              </w:rPr>
              <w:instrText xml:space="preserve"> ADDIN ZOTERO_ITEM CSL_CITATION {"citationID":"xEjZ3gV6","properties":{"formattedCitation":"(60)","plainCitation":"(60)","noteIndex":0},"citationItems":[{"id":12392,"uris":["http://zotero.org/users/6216265/items/HM2WQXCF"],"itemData":{"id":12392,"type":"article-journal","abstract":"Mycobacterium tuberculosis\n              (\n              Mtb\n              ) drug-resistance detection is crucial for successful control of tuberculosis. Line-probe assays (LPA) are frequently used to detect resistance to rifampin, isoniazid, fluoroquinolones (FQs), and second-line injectables (SLIs).\n            \n          , \n            ABSTRACT\n            \n              Treatment of tuberculosis requires rapid information about\n              Mycobacterium tuberculosis\n              (\n              Mtb\n              ) drug susceptibility to ensure effective therapy and optimal outcomes. At the tuberculosis referral hospital in Windhoek, Namibia, a country of high tuberculosis incidence, we evaluated the diagnostic accuracy of a line-probe-assay (LPA), GenID, for the molecular diagnosis of\n              Mtb\n              infection and drug resistance in patients with suspected tuberculosis (cohort 1) and confirmed rifampin (RIF)-resistant tuberculosis (cohort 2). GenID test results were compared to Xpert MTB/RIF and/or\n              Mtb\n              culture and antimicrobial suceptibilty testing. GenID LPA was applied to 79 and 55 samples from patients in cohort 1 and cohort 2, respectively. The overall sensitivity of GenID LPA for the detection of\n              Mtb\n              DNA in sputum from patients with detectable and undetectable acid-fast bacilli by sputum smear microscopy was 93.3% (56/60; 95% confidence interval = 83.8–98.2) and 22.7% (5/22; 7.8–45.4). The sensitivity/specificity for the detection of drug resistance was 84.2% (32/38; 68.7–94.0)/100% (19/19; 82.4–100.0) for RIF, 89.7% (26/29; 72.6–97.8)/91.7% (22/24; 73.0–99.0) for isoniazid, and 85.7% (6/7; 42.1–99.6)/94.7% (18/19; 74.0–99.9) for fluoroquinolones; 23.6% of tests for second-line injectable resistance were invalid despite repeat testing. The diagnosis of tuberculosis by detection of\n              Mtb\n              DNA in sputum by GenID LPA depends strongly on the detection of acid-fast bacilli in sputum specimen. Prediction of drug resistance by GenID did not reach the World Health Organization (WHO) target product profile.\n            \n            \n              IMPORTANCE\n              Mycobacterium tuberculosis\n              (\n              Mtb\n              ) drug-resistance detection is crucial for successful control of tuberculosis. Line-probe assays (LPA) are frequently used to detect resistance to rifampin, isoniazid, fluoroquinolones (FQs), and second-line injectables (SLIs). GenID RIF/isoniazid (INH), FQ, and SLI LPA have not been widely tested and used so far. This study tested the diagnostic performance of the GenID LPA in a high-incidence TB/HIV, real-world setting in Namibia. The LPA demonstrates only an acceptable diagnostic performance for\n              Mtb\n              and drug-resistance detection. The diagnostic sensitivity and specificity fall short of the WHO suggested target product profiles for LPA.","container-title":"Microbiology Spectrum","DOI":"10.1128/spectrum.00259-22","ISSN":"2165-0497","issue":"3","journalAbbreviation":"Microbiol Spectr","language":"en","page":"e00259-22","source":"DOI.org (Crossref)","title":"Clinical Evaluation of a Line-Probe Assay for Tuberculosis Detection and Drug-Resistance Prediction in Namibia","volume":"10","author":[{"family":"Günther","given":"G."},{"family":"Saathoff","given":"E."},{"family":"Rachow","given":"A."},{"family":"Ekandjo","given":"H."},{"family":"Diergaardt","given":"A."},{"family":"Marais","given":"N."},{"family":"Lange","given":"C."},{"family":"Nepolo","given":"E."}],"editor":[{"family":"She","given":"Rosemary C."}],"issued":{"date-parts":[["2022",6,29]]}}}],"schema":"https://github.com/citation-style-language/schema/raw/master/csl-citation.json"} </w:instrText>
            </w:r>
            <w:r w:rsidR="00FE4B35">
              <w:rPr>
                <w:rFonts w:ascii="Calibri" w:eastAsia="Times New Roman" w:hAnsi="Calibri" w:cs="Calibri"/>
                <w:color w:val="000000"/>
                <w:lang w:val="en-ZA" w:eastAsia="en-ZA"/>
              </w:rPr>
              <w:fldChar w:fldCharType="separate"/>
            </w:r>
            <w:r w:rsidR="00FE4B35" w:rsidRPr="00FE4B35">
              <w:rPr>
                <w:rFonts w:ascii="Calibri" w:hAnsi="Calibri" w:cs="Calibri"/>
              </w:rPr>
              <w:t>(60)</w:t>
            </w:r>
            <w:r w:rsidR="00FE4B35">
              <w:rPr>
                <w:rFonts w:ascii="Calibri" w:eastAsia="Times New Roman" w:hAnsi="Calibri" w:cs="Calibri"/>
                <w:color w:val="000000"/>
                <w:lang w:val="en-ZA" w:eastAsia="en-ZA"/>
              </w:rPr>
              <w:fldChar w:fldCharType="end"/>
            </w:r>
          </w:p>
        </w:tc>
        <w:tc>
          <w:tcPr>
            <w:tcW w:w="1464" w:type="dxa"/>
            <w:noWrap/>
            <w:hideMark/>
          </w:tcPr>
          <w:p w14:paraId="1AC390B1"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2306A31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00D7CA25" w14:textId="77777777" w:rsidTr="00366ACD">
        <w:trPr>
          <w:trHeight w:val="270"/>
        </w:trPr>
        <w:tc>
          <w:tcPr>
            <w:tcW w:w="2703" w:type="dxa"/>
            <w:noWrap/>
            <w:hideMark/>
          </w:tcPr>
          <w:p w14:paraId="32DC5A48" w14:textId="67E8BF27" w:rsidR="00696AF0" w:rsidRPr="00696AF0" w:rsidRDefault="00696AF0" w:rsidP="004404D8">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Gupta </w:t>
            </w:r>
            <w:r w:rsidR="000620EA">
              <w:rPr>
                <w:rFonts w:ascii="Calibri" w:eastAsia="Times New Roman" w:hAnsi="Calibri" w:cs="Calibri"/>
                <w:color w:val="000000"/>
                <w:lang w:val="en-ZA" w:eastAsia="en-ZA"/>
              </w:rPr>
              <w:t>et al.</w:t>
            </w:r>
            <w:r w:rsidR="004404D8">
              <w:rPr>
                <w:rFonts w:ascii="Calibri" w:eastAsia="Times New Roman" w:hAnsi="Calibri" w:cs="Calibri"/>
                <w:color w:val="000000"/>
                <w:lang w:val="en-ZA" w:eastAsia="en-ZA"/>
              </w:rPr>
              <w:t xml:space="preserve"> </w:t>
            </w:r>
            <w:r w:rsidR="004404D8">
              <w:rPr>
                <w:rFonts w:ascii="Calibri" w:eastAsia="Times New Roman" w:hAnsi="Calibri" w:cs="Calibri"/>
                <w:color w:val="000000"/>
                <w:lang w:val="en-ZA" w:eastAsia="en-ZA"/>
              </w:rPr>
              <w:fldChar w:fldCharType="begin"/>
            </w:r>
            <w:r w:rsidR="004404D8">
              <w:rPr>
                <w:rFonts w:ascii="Calibri" w:eastAsia="Times New Roman" w:hAnsi="Calibri" w:cs="Calibri"/>
                <w:color w:val="000000"/>
                <w:lang w:val="en-ZA" w:eastAsia="en-ZA"/>
              </w:rPr>
              <w:instrText xml:space="preserve"> ADDIN ZOTERO_ITEM CSL_CITATION {"citationID":"lXxdGIxS","properties":{"formattedCitation":"(61)","plainCitation":"(61)","noteIndex":0},"citationItems":[{"id":12394,"uris":["http://zotero.org/users/6216265/items/D2W3WE5V"],"itemData":{"id":12394,"type":"article-journal","container-title":"The Lancet Respiratory Medicine","DOI":"10.1016/S2213-2600(19)30282-6","ISSN":"22132600","issue":"4","journalAbbreviation":"The Lancet Respiratory Medicine","language":"en","page":"395-406","source":"DOI.org (Crossref)","title":"Concise whole blood transcriptional signatures for incipient tuberculosis: a systematic review and patient-level pooled meta-analysis","title-short":"Concise whole blood transcriptional signatures for incipient tuberculosis","volume":"8","author":[{"family":"Gupta","given":"Rishi K"},{"family":"Turner","given":"Carolin T"},{"family":"Venturini","given":"Cristina"},{"family":"Esmail","given":"Hanif"},{"family":"Rangaka","given":"Molebogeng X"},{"family":"Copas","given":"Andrew"},{"family":"Lipman","given":"Marc"},{"family":"Abubakar","given":"Ibrahim"},{"family":"Noursadeghi","given":"Mahdad"}],"issued":{"date-parts":[["2020",4]]}}}],"schema":"https://github.com/citation-style-language/schema/raw/master/csl-citation.json"} </w:instrText>
            </w:r>
            <w:r w:rsidR="004404D8">
              <w:rPr>
                <w:rFonts w:ascii="Calibri" w:eastAsia="Times New Roman" w:hAnsi="Calibri" w:cs="Calibri"/>
                <w:color w:val="000000"/>
                <w:lang w:val="en-ZA" w:eastAsia="en-ZA"/>
              </w:rPr>
              <w:fldChar w:fldCharType="separate"/>
            </w:r>
            <w:r w:rsidR="004404D8" w:rsidRPr="004404D8">
              <w:rPr>
                <w:rFonts w:ascii="Calibri" w:hAnsi="Calibri" w:cs="Calibri"/>
              </w:rPr>
              <w:t>(61)</w:t>
            </w:r>
            <w:r w:rsidR="004404D8">
              <w:rPr>
                <w:rFonts w:ascii="Calibri" w:eastAsia="Times New Roman" w:hAnsi="Calibri" w:cs="Calibri"/>
                <w:color w:val="000000"/>
                <w:lang w:val="en-ZA" w:eastAsia="en-ZA"/>
              </w:rPr>
              <w:fldChar w:fldCharType="end"/>
            </w:r>
          </w:p>
        </w:tc>
        <w:tc>
          <w:tcPr>
            <w:tcW w:w="1464" w:type="dxa"/>
            <w:noWrap/>
            <w:hideMark/>
          </w:tcPr>
          <w:p w14:paraId="4A8039D2"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40EACE3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0119728D" w14:textId="77777777" w:rsidTr="00366ACD">
        <w:trPr>
          <w:trHeight w:val="270"/>
        </w:trPr>
        <w:tc>
          <w:tcPr>
            <w:tcW w:w="2703" w:type="dxa"/>
            <w:noWrap/>
            <w:hideMark/>
          </w:tcPr>
          <w:p w14:paraId="71729141" w14:textId="66FA3BBE" w:rsidR="00696AF0" w:rsidRPr="00696AF0" w:rsidRDefault="00696AF0" w:rsidP="004404D8">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Halpern </w:t>
            </w:r>
            <w:r w:rsidR="000620EA">
              <w:rPr>
                <w:rFonts w:ascii="Calibri" w:eastAsia="Times New Roman" w:hAnsi="Calibri" w:cs="Calibri"/>
                <w:color w:val="000000"/>
                <w:lang w:val="en-ZA" w:eastAsia="en-ZA"/>
              </w:rPr>
              <w:t>et al.</w:t>
            </w:r>
            <w:r w:rsidR="004404D8">
              <w:rPr>
                <w:rFonts w:ascii="Calibri" w:eastAsia="Times New Roman" w:hAnsi="Calibri" w:cs="Calibri"/>
                <w:color w:val="000000"/>
                <w:lang w:val="en-ZA" w:eastAsia="en-ZA"/>
              </w:rPr>
              <w:t xml:space="preserve"> </w:t>
            </w:r>
            <w:r w:rsidR="004404D8">
              <w:rPr>
                <w:rFonts w:ascii="Calibri" w:eastAsia="Times New Roman" w:hAnsi="Calibri" w:cs="Calibri"/>
                <w:color w:val="000000"/>
                <w:lang w:val="en-ZA" w:eastAsia="en-ZA"/>
              </w:rPr>
              <w:fldChar w:fldCharType="begin"/>
            </w:r>
            <w:r w:rsidR="004404D8">
              <w:rPr>
                <w:rFonts w:ascii="Calibri" w:eastAsia="Times New Roman" w:hAnsi="Calibri" w:cs="Calibri"/>
                <w:color w:val="000000"/>
                <w:lang w:val="en-ZA" w:eastAsia="en-ZA"/>
              </w:rPr>
              <w:instrText xml:space="preserve"> ADDIN ZOTERO_ITEM CSL_CITATION {"citationID":"bmfQlBq9","properties":{"formattedCitation":"(62)","plainCitation":"(62)","noteIndex":0},"citationItems":[{"id":11,"uris":["http://zotero.org/users/6216265/items/8LWE4B4K"],"itemData":{"id":11,"type":"article-journal","abstract":"OBJECTIVES: A longer-acting injectable contraceptive that lasts for 6 months would be a valuable addition to the contraceptive method mix and ideal for women  who are interested in spacing births and/or uncertain about their future  reproductive plans. Here we review past applications of drug delivery  technologies to injectable contraceptives as well as recent advancements in  sustained drug delivery technologies that hold promise for the development of a  new longer-acting injectable contraceptive product. STUDY DESIGN: A global  landscape analysis was conducted, promising sustained drug delivery technologies,  and research opportunities and partnerships were established with experts in the  fields of contraception and drug delivery to identify new approaches in  developing a longer-acting injectable contraceptive product. RESULTS: The  landscape analysis confirmed that a number of existing polymer systems, such as  poly-lactic-co-glycolic acid and poly(epsilon-caprolactone), remain promising  candidates for application to a longer-acting injectable product. Novel polymers  and materials also hold promise for achieving longer release profiles and/or  having other advantages over existing polymer systems, but products using these  materials could potentially have longer roads to regulatory approval.  Additionally, recent advancements in the manufacturing process of microspheres  may benefit the development of a longer-acting injectable contraceptive.  CONCLUSION: The design of any new injectable product must take into account the  limitations of current injectable contraceptives and address concerns that women  may have for a longer-acting product. FHI 360 is supporting several research  collaborations for proof of concept of various drug delivery approaches for  achieving longer-acting product that fits an established target product profile.","container-title":"Contraception","DOI":"10.1016/j.contraception.2015.02.014","ISSN":"1879-0518 0010-7824","issue":"1","journalAbbreviation":"Contraception","language":"eng","license":"Copyright © 2015 The Authors. Published by Elsevier Inc. All rights reserved.","note":"publisher-place: United States\nPMID: 25746058","page":"3-9","title":"Towards the development of a longer-acting injectable contraceptive: past research and current trends.","volume":"92","author":[{"family":"Halpern","given":"Vera"},{"family":"Stalter","given":"Randy M."},{"family":"Owen","given":"Derek H."},{"family":"Dorflinger","given":"Laneta J."},{"family":"Lendvay","given":"Anja"},{"family":"Rademacher","given":"Kate H."}],"issued":{"date-parts":[["2015",7]]}}}],"schema":"https://github.com/citation-style-language/schema/raw/master/csl-citation.json"} </w:instrText>
            </w:r>
            <w:r w:rsidR="004404D8">
              <w:rPr>
                <w:rFonts w:ascii="Calibri" w:eastAsia="Times New Roman" w:hAnsi="Calibri" w:cs="Calibri"/>
                <w:color w:val="000000"/>
                <w:lang w:val="en-ZA" w:eastAsia="en-ZA"/>
              </w:rPr>
              <w:fldChar w:fldCharType="separate"/>
            </w:r>
            <w:r w:rsidR="004404D8" w:rsidRPr="004404D8">
              <w:rPr>
                <w:rFonts w:ascii="Calibri" w:hAnsi="Calibri" w:cs="Calibri"/>
              </w:rPr>
              <w:t>(62)</w:t>
            </w:r>
            <w:r w:rsidR="004404D8">
              <w:rPr>
                <w:rFonts w:ascii="Calibri" w:eastAsia="Times New Roman" w:hAnsi="Calibri" w:cs="Calibri"/>
                <w:color w:val="000000"/>
                <w:lang w:val="en-ZA" w:eastAsia="en-ZA"/>
              </w:rPr>
              <w:fldChar w:fldCharType="end"/>
            </w:r>
          </w:p>
        </w:tc>
        <w:tc>
          <w:tcPr>
            <w:tcW w:w="1464" w:type="dxa"/>
            <w:noWrap/>
            <w:hideMark/>
          </w:tcPr>
          <w:p w14:paraId="533B641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2015</w:t>
            </w:r>
          </w:p>
        </w:tc>
        <w:tc>
          <w:tcPr>
            <w:tcW w:w="2043" w:type="dxa"/>
            <w:noWrap/>
            <w:hideMark/>
          </w:tcPr>
          <w:p w14:paraId="114309C5"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2021EFB8" w14:textId="77777777" w:rsidTr="00366ACD">
        <w:trPr>
          <w:trHeight w:val="270"/>
        </w:trPr>
        <w:tc>
          <w:tcPr>
            <w:tcW w:w="2703" w:type="dxa"/>
            <w:noWrap/>
            <w:hideMark/>
          </w:tcPr>
          <w:p w14:paraId="484C351B" w14:textId="28D2DC8A" w:rsidR="00696AF0" w:rsidRPr="00696AF0" w:rsidRDefault="00696AF0" w:rsidP="008C538E">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Ham </w:t>
            </w:r>
            <w:r w:rsidR="000620EA">
              <w:rPr>
                <w:rFonts w:ascii="Calibri" w:eastAsia="Times New Roman" w:hAnsi="Calibri" w:cs="Calibri"/>
                <w:color w:val="000000"/>
                <w:lang w:val="en-ZA" w:eastAsia="en-ZA"/>
              </w:rPr>
              <w:t>et al.</w:t>
            </w:r>
            <w:r w:rsidR="008C538E">
              <w:rPr>
                <w:rFonts w:ascii="Calibri" w:eastAsia="Times New Roman" w:hAnsi="Calibri" w:cs="Calibri"/>
                <w:color w:val="000000"/>
                <w:lang w:val="en-ZA" w:eastAsia="en-ZA"/>
              </w:rPr>
              <w:t xml:space="preserve"> </w:t>
            </w:r>
            <w:r w:rsidR="008C538E">
              <w:rPr>
                <w:rFonts w:ascii="Calibri" w:eastAsia="Times New Roman" w:hAnsi="Calibri" w:cs="Calibri"/>
                <w:color w:val="000000"/>
                <w:lang w:val="en-ZA" w:eastAsia="en-ZA"/>
              </w:rPr>
              <w:fldChar w:fldCharType="begin"/>
            </w:r>
            <w:r w:rsidR="008C538E">
              <w:rPr>
                <w:rFonts w:ascii="Calibri" w:eastAsia="Times New Roman" w:hAnsi="Calibri" w:cs="Calibri"/>
                <w:color w:val="000000"/>
                <w:lang w:val="en-ZA" w:eastAsia="en-ZA"/>
              </w:rPr>
              <w:instrText xml:space="preserve"> ADDIN ZOTERO_ITEM CSL_CITATION {"citationID":"kCLfeSCt","properties":{"formattedCitation":"(63)","plainCitation":"(63)","noteIndex":0},"citationItems":[{"id":12398,"uris":["http://zotero.org/users/6216265/items/UGIGLK3V"],"itemData":{"id":12398,"type":"article-journal","container-title":"Antiviral Research","DOI":"10.1016/j.antiviral.2015.06.010","ISSN":"01663542","journalAbbreviation":"Antiviral Research","language":"en","page":"153-164","source":"DOI.org (Crossref)","title":"The rational design and development of a dual chamber vaginal/rectal microbicide gel formulation for HIV prevention","volume":"120","author":[{"family":"Ham","given":"Anthony S."},{"family":"Nugent","given":"Sean T."},{"family":"Peters","given":"Jennifer J."},{"family":"Katz","given":"David F."},{"family":"Shelter","given":"Cory M."},{"family":"Dezzutti","given":"Charlene S."},{"family":"Boczar","given":"Ashlee D."},{"family":"Buckheit","given":"Karen W."},{"family":"Buckheit","given":"Robert W."}],"issued":{"date-parts":[["2015",8]]}}}],"schema":"https://github.com/citation-style-language/schema/raw/master/csl-citation.json"} </w:instrText>
            </w:r>
            <w:r w:rsidR="008C538E">
              <w:rPr>
                <w:rFonts w:ascii="Calibri" w:eastAsia="Times New Roman" w:hAnsi="Calibri" w:cs="Calibri"/>
                <w:color w:val="000000"/>
                <w:lang w:val="en-ZA" w:eastAsia="en-ZA"/>
              </w:rPr>
              <w:fldChar w:fldCharType="separate"/>
            </w:r>
            <w:r w:rsidR="008C538E" w:rsidRPr="008C538E">
              <w:rPr>
                <w:rFonts w:ascii="Calibri" w:hAnsi="Calibri" w:cs="Calibri"/>
              </w:rPr>
              <w:t>(63)</w:t>
            </w:r>
            <w:r w:rsidR="008C538E">
              <w:rPr>
                <w:rFonts w:ascii="Calibri" w:eastAsia="Times New Roman" w:hAnsi="Calibri" w:cs="Calibri"/>
                <w:color w:val="000000"/>
                <w:lang w:val="en-ZA" w:eastAsia="en-ZA"/>
              </w:rPr>
              <w:fldChar w:fldCharType="end"/>
            </w:r>
          </w:p>
        </w:tc>
        <w:tc>
          <w:tcPr>
            <w:tcW w:w="1464" w:type="dxa"/>
            <w:noWrap/>
            <w:hideMark/>
          </w:tcPr>
          <w:p w14:paraId="2E9E3B41"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2015</w:t>
            </w:r>
          </w:p>
        </w:tc>
        <w:tc>
          <w:tcPr>
            <w:tcW w:w="2043" w:type="dxa"/>
            <w:noWrap/>
            <w:hideMark/>
          </w:tcPr>
          <w:p w14:paraId="3DBEFF5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1468859" w14:textId="77777777" w:rsidTr="00366ACD">
        <w:trPr>
          <w:trHeight w:val="270"/>
        </w:trPr>
        <w:tc>
          <w:tcPr>
            <w:tcW w:w="2703" w:type="dxa"/>
            <w:noWrap/>
            <w:hideMark/>
          </w:tcPr>
          <w:p w14:paraId="50F63B69" w14:textId="3C635EEB" w:rsidR="00696AF0" w:rsidRPr="00696AF0" w:rsidRDefault="00696AF0" w:rsidP="00684349">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Ham </w:t>
            </w:r>
            <w:r w:rsidR="000620EA">
              <w:rPr>
                <w:rFonts w:ascii="Calibri" w:eastAsia="Times New Roman" w:hAnsi="Calibri" w:cs="Calibri"/>
                <w:color w:val="000000"/>
                <w:lang w:val="en-ZA" w:eastAsia="en-ZA"/>
              </w:rPr>
              <w:t>et al.</w:t>
            </w:r>
            <w:r w:rsidR="00684349">
              <w:rPr>
                <w:rFonts w:ascii="Calibri" w:eastAsia="Times New Roman" w:hAnsi="Calibri" w:cs="Calibri"/>
                <w:color w:val="000000"/>
                <w:lang w:val="en-ZA" w:eastAsia="en-ZA"/>
              </w:rPr>
              <w:t xml:space="preserve"> </w:t>
            </w:r>
            <w:r w:rsidR="00684349">
              <w:rPr>
                <w:rFonts w:ascii="Calibri" w:eastAsia="Times New Roman" w:hAnsi="Calibri" w:cs="Calibri"/>
                <w:color w:val="000000"/>
                <w:lang w:val="en-ZA" w:eastAsia="en-ZA"/>
              </w:rPr>
              <w:fldChar w:fldCharType="begin"/>
            </w:r>
            <w:r w:rsidR="00684349">
              <w:rPr>
                <w:rFonts w:ascii="Calibri" w:eastAsia="Times New Roman" w:hAnsi="Calibri" w:cs="Calibri"/>
                <w:color w:val="000000"/>
                <w:lang w:val="en-ZA" w:eastAsia="en-ZA"/>
              </w:rPr>
              <w:instrText xml:space="preserve"> ADDIN ZOTERO_ITEM CSL_CITATION {"citationID":"8EyiBN2F","properties":{"formattedCitation":"(64)","plainCitation":"(64)","noteIndex":0},"citationItems":[{"id":12399,"uris":["http://zotero.org/users/6216265/items/X7FTTTI6"],"itemData":{"id":12399,"type":"article-journal","container-title":"Pharmaceutical Research","DOI":"10.1007/s11095-012-0715-7","ISSN":"0724-8741, 1573-904X","issue":"7","journalAbbreviation":"Pharm Res","language":"en","page":"1897-1907","source":"DOI.org (Crossref)","title":"Vaginal Film Drug Delivery of the Pyrimidinedione IQP-0528 for the Prevention of HIV Infection","volume":"29","author":[{"family":"Ham","given":"Anthony S."},{"family":"Rohan","given":"Lisa Cencia"},{"family":"Boczar","given":"Ashlee"},{"family":"Yang","given":"Lu"},{"family":"W. Buckheit","given":"Karen"},{"family":"Buckheit","given":"Robert W."}],"issued":{"date-parts":[["2012",7]]}}}],"schema":"https://github.com/citation-style-language/schema/raw/master/csl-citation.json"} </w:instrText>
            </w:r>
            <w:r w:rsidR="00684349">
              <w:rPr>
                <w:rFonts w:ascii="Calibri" w:eastAsia="Times New Roman" w:hAnsi="Calibri" w:cs="Calibri"/>
                <w:color w:val="000000"/>
                <w:lang w:val="en-ZA" w:eastAsia="en-ZA"/>
              </w:rPr>
              <w:fldChar w:fldCharType="separate"/>
            </w:r>
            <w:r w:rsidR="00684349" w:rsidRPr="00684349">
              <w:rPr>
                <w:rFonts w:ascii="Calibri" w:hAnsi="Calibri" w:cs="Calibri"/>
              </w:rPr>
              <w:t>(64)</w:t>
            </w:r>
            <w:r w:rsidR="00684349">
              <w:rPr>
                <w:rFonts w:ascii="Calibri" w:eastAsia="Times New Roman" w:hAnsi="Calibri" w:cs="Calibri"/>
                <w:color w:val="000000"/>
                <w:lang w:val="en-ZA" w:eastAsia="en-ZA"/>
              </w:rPr>
              <w:fldChar w:fldCharType="end"/>
            </w:r>
          </w:p>
        </w:tc>
        <w:tc>
          <w:tcPr>
            <w:tcW w:w="1464" w:type="dxa"/>
            <w:noWrap/>
            <w:hideMark/>
          </w:tcPr>
          <w:p w14:paraId="1152159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2012</w:t>
            </w:r>
          </w:p>
        </w:tc>
        <w:tc>
          <w:tcPr>
            <w:tcW w:w="2043" w:type="dxa"/>
            <w:noWrap/>
            <w:hideMark/>
          </w:tcPr>
          <w:p w14:paraId="41FC567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A29B98F" w14:textId="77777777" w:rsidTr="00366ACD">
        <w:trPr>
          <w:trHeight w:val="270"/>
        </w:trPr>
        <w:tc>
          <w:tcPr>
            <w:tcW w:w="2703" w:type="dxa"/>
            <w:noWrap/>
            <w:hideMark/>
          </w:tcPr>
          <w:p w14:paraId="49E9A788" w14:textId="4B3D2D78" w:rsidR="00696AF0" w:rsidRPr="00696AF0" w:rsidRDefault="00696AF0" w:rsidP="00684349">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Ham </w:t>
            </w:r>
            <w:r w:rsidR="000620EA">
              <w:rPr>
                <w:rFonts w:ascii="Calibri" w:eastAsia="Times New Roman" w:hAnsi="Calibri" w:cs="Calibri"/>
                <w:color w:val="000000"/>
                <w:lang w:val="en-ZA" w:eastAsia="en-ZA"/>
              </w:rPr>
              <w:t>et al.</w:t>
            </w:r>
            <w:r w:rsidR="00684349">
              <w:rPr>
                <w:rFonts w:ascii="Calibri" w:eastAsia="Times New Roman" w:hAnsi="Calibri" w:cs="Calibri"/>
                <w:color w:val="000000"/>
                <w:lang w:val="en-ZA" w:eastAsia="en-ZA"/>
              </w:rPr>
              <w:t xml:space="preserve"> </w:t>
            </w:r>
            <w:r w:rsidR="00684349">
              <w:rPr>
                <w:rFonts w:ascii="Calibri" w:eastAsia="Times New Roman" w:hAnsi="Calibri" w:cs="Calibri"/>
                <w:color w:val="000000"/>
                <w:lang w:val="en-ZA" w:eastAsia="en-ZA"/>
              </w:rPr>
              <w:fldChar w:fldCharType="begin"/>
            </w:r>
            <w:r w:rsidR="00684349">
              <w:rPr>
                <w:rFonts w:ascii="Calibri" w:eastAsia="Times New Roman" w:hAnsi="Calibri" w:cs="Calibri"/>
                <w:color w:val="000000"/>
                <w:lang w:val="en-ZA" w:eastAsia="en-ZA"/>
              </w:rPr>
              <w:instrText xml:space="preserve"> ADDIN ZOTERO_ITEM CSL_CITATION {"citationID":"3FYoqCm1","properties":{"formattedCitation":"(65)","plainCitation":"(65)","noteIndex":0},"citationItems":[{"id":12402,"uris":["http://zotero.org/users/6216265/items/RTZN2C6U"],"itemData":{"id":12402,"type":"article-journal","container-title":"Journal of Pharmaceutical Sciences","DOI":"10.1002/jps.23026","ISSN":"00223549","issue":"4","journalAbbreviation":"Journal of Pharmaceutical Sciences","language":"en","page":"1423-1435","source":"DOI.org (Crossref)","title":"Development of a Combination Microbicide Gel Formulation Containing IQP-0528 and Tenofovir for the Prevention of HIV Infection","volume":"101","author":[{"family":"Ham","given":"Anthony S."},{"family":"Ugaonkar","given":"Shweta R."},{"family":"Shi","given":"Lianjun"},{"family":"Buckheit","given":"Karen Watson"},{"family":"Lakougna","given":"Howard"},{"family":"Nagaraja","given":"Umadevi"},{"family":"Gwozdz","given":"Garry"},{"family":"Goldman","given":"Laurie"},{"family":"Kiser","given":"Patrick F."},{"family":"Buckheit","given":"Robert W."}],"issued":{"date-parts":[["2012",4]]}}}],"schema":"https://github.com/citation-style-language/schema/raw/master/csl-citation.json"} </w:instrText>
            </w:r>
            <w:r w:rsidR="00684349">
              <w:rPr>
                <w:rFonts w:ascii="Calibri" w:eastAsia="Times New Roman" w:hAnsi="Calibri" w:cs="Calibri"/>
                <w:color w:val="000000"/>
                <w:lang w:val="en-ZA" w:eastAsia="en-ZA"/>
              </w:rPr>
              <w:fldChar w:fldCharType="separate"/>
            </w:r>
            <w:r w:rsidR="00684349" w:rsidRPr="00684349">
              <w:rPr>
                <w:rFonts w:ascii="Calibri" w:hAnsi="Calibri" w:cs="Calibri"/>
              </w:rPr>
              <w:t>(65)</w:t>
            </w:r>
            <w:r w:rsidR="00684349">
              <w:rPr>
                <w:rFonts w:ascii="Calibri" w:eastAsia="Times New Roman" w:hAnsi="Calibri" w:cs="Calibri"/>
                <w:color w:val="000000"/>
                <w:lang w:val="en-ZA" w:eastAsia="en-ZA"/>
              </w:rPr>
              <w:fldChar w:fldCharType="end"/>
            </w:r>
          </w:p>
        </w:tc>
        <w:tc>
          <w:tcPr>
            <w:tcW w:w="1464" w:type="dxa"/>
            <w:noWrap/>
            <w:hideMark/>
          </w:tcPr>
          <w:p w14:paraId="23CCE725"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2012</w:t>
            </w:r>
          </w:p>
        </w:tc>
        <w:tc>
          <w:tcPr>
            <w:tcW w:w="2043" w:type="dxa"/>
            <w:noWrap/>
            <w:hideMark/>
          </w:tcPr>
          <w:p w14:paraId="66FFCE0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771F6A8" w14:textId="77777777" w:rsidTr="00366ACD">
        <w:trPr>
          <w:trHeight w:val="270"/>
        </w:trPr>
        <w:tc>
          <w:tcPr>
            <w:tcW w:w="2703" w:type="dxa"/>
            <w:noWrap/>
            <w:hideMark/>
          </w:tcPr>
          <w:p w14:paraId="5DC08448" w14:textId="0506351B" w:rsidR="00696AF0" w:rsidRPr="00696AF0" w:rsidRDefault="00696AF0" w:rsidP="00C21B03">
            <w:pPr>
              <w:tabs>
                <w:tab w:val="right" w:pos="2487"/>
              </w:tabs>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Hampson </w:t>
            </w:r>
            <w:r w:rsidR="000620EA">
              <w:rPr>
                <w:rFonts w:ascii="Calibri" w:eastAsia="Times New Roman" w:hAnsi="Calibri" w:cs="Calibri"/>
                <w:color w:val="000000"/>
                <w:lang w:val="en-ZA" w:eastAsia="en-ZA"/>
              </w:rPr>
              <w:t>et al.</w:t>
            </w:r>
            <w:r w:rsidR="00C21B03">
              <w:rPr>
                <w:rFonts w:ascii="Calibri" w:eastAsia="Times New Roman" w:hAnsi="Calibri" w:cs="Calibri"/>
                <w:color w:val="000000"/>
                <w:lang w:val="en-ZA" w:eastAsia="en-ZA"/>
              </w:rPr>
              <w:t xml:space="preserve"> </w:t>
            </w:r>
            <w:r w:rsidR="00C21B03">
              <w:rPr>
                <w:rFonts w:ascii="Calibri" w:eastAsia="Times New Roman" w:hAnsi="Calibri" w:cs="Calibri"/>
                <w:color w:val="000000"/>
                <w:lang w:val="en-ZA" w:eastAsia="en-ZA"/>
              </w:rPr>
              <w:fldChar w:fldCharType="begin"/>
            </w:r>
            <w:r w:rsidR="00C21B03">
              <w:rPr>
                <w:rFonts w:ascii="Calibri" w:eastAsia="Times New Roman" w:hAnsi="Calibri" w:cs="Calibri"/>
                <w:color w:val="000000"/>
                <w:lang w:val="en-ZA" w:eastAsia="en-ZA"/>
              </w:rPr>
              <w:instrText xml:space="preserve"> ADDIN ZOTERO_ITEM CSL_CITATION {"citationID":"Tx4NleFj","properties":{"formattedCitation":"(66)","plainCitation":"(66)","noteIndex":0},"citationItems":[{"id":12403,"uris":["http://zotero.org/users/6216265/items/5AR8RNEX"],"itemData":{"id":12403,"type":"article-journal","abstract":"The point at which clinical development programs transition from early phase to pivotal trials is a critical milestone. Substantial uncertainty about the outcome of pivotal trials may remain even after seeing positive early phase data, and companies may need to make difficult prioritization decisions for their portfolio. The probability of success (PoS) of a program, a single number expressed as a percentage reflecting the multitude of risks that may influence the final program outcome, is a key decision‐making tool. Despite its importance, companies often rely on crude industry benchmarks that may be “adjusted” by experts based on undocumented criteria and which are typically misaligned with the definition of success used to drive commercial forecasts, leading to overly optimistic expected net present value calculations. We developed a new framework to assess the PoS of a program before pivotal trials begin. Our definition of success encompasses the successful outcome of pivotal trials, regulatory approval and meeting the requirements for market access as outlined in the target product profile. The proposed approach is organized in four steps and uses an innovative Bayesian approach to synthesize all relevant evidence. The new PoS framework is systematic and transparent. It will help organizations to make more informed decisions. In this paper, we outline the rationale and elaborate on the structure of the proposed framework, provide examples, and discuss the benefits and challenges associated with its adoption.","container-title":"Clinical Pharmacology &amp; Therapeutics","DOI":"10.1002/cpt.2488","ISSN":"0009-9236, 1532-6535","issue":"5","journalAbbreviation":"Clin Pharma and Therapeutics","language":"en","page":"1050-1060","source":"DOI.org (Crossref)","title":"A New Comprehensive Approach to Assess the Probability of Success of Development Programs Before Pivotal Trials","volume":"111","author":[{"family":"Hampson","given":"Lisa V."},{"family":"Holzhauer","given":"Björn"},{"family":"Bornkamp","given":"Björn"},{"family":"Kahn","given":"Joseph"},{"family":"Lange","given":"Markus R."},{"family":"Luo","given":"Wen‐Lin"},{"family":"Singh","given":"Pritibha"},{"family":"Ballerstedt","given":"Steffen"},{"family":"Cioppa","given":"Giovanni Della"}],"issued":{"date-parts":[["2022",5]]}}}],"schema":"https://github.com/citation-style-language/schema/raw/master/csl-citation.json"} </w:instrText>
            </w:r>
            <w:r w:rsidR="00C21B03">
              <w:rPr>
                <w:rFonts w:ascii="Calibri" w:eastAsia="Times New Roman" w:hAnsi="Calibri" w:cs="Calibri"/>
                <w:color w:val="000000"/>
                <w:lang w:val="en-ZA" w:eastAsia="en-ZA"/>
              </w:rPr>
              <w:fldChar w:fldCharType="separate"/>
            </w:r>
            <w:r w:rsidR="00C21B03" w:rsidRPr="00C21B03">
              <w:rPr>
                <w:rFonts w:ascii="Calibri" w:hAnsi="Calibri" w:cs="Calibri"/>
              </w:rPr>
              <w:t>(66)</w:t>
            </w:r>
            <w:r w:rsidR="00C21B03">
              <w:rPr>
                <w:rFonts w:ascii="Calibri" w:eastAsia="Times New Roman" w:hAnsi="Calibri" w:cs="Calibri"/>
                <w:color w:val="000000"/>
                <w:lang w:val="en-ZA" w:eastAsia="en-ZA"/>
              </w:rPr>
              <w:fldChar w:fldCharType="end"/>
            </w:r>
            <w:r w:rsidR="00C21B03">
              <w:rPr>
                <w:rFonts w:ascii="Calibri" w:eastAsia="Times New Roman" w:hAnsi="Calibri" w:cs="Calibri"/>
                <w:color w:val="000000"/>
                <w:lang w:val="en-ZA" w:eastAsia="en-ZA"/>
              </w:rPr>
              <w:tab/>
            </w:r>
          </w:p>
        </w:tc>
        <w:tc>
          <w:tcPr>
            <w:tcW w:w="1464" w:type="dxa"/>
            <w:noWrap/>
            <w:hideMark/>
          </w:tcPr>
          <w:p w14:paraId="3D9F961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28BACFD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8367692" w14:textId="77777777" w:rsidTr="00366ACD">
        <w:trPr>
          <w:trHeight w:val="270"/>
        </w:trPr>
        <w:tc>
          <w:tcPr>
            <w:tcW w:w="2703" w:type="dxa"/>
            <w:noWrap/>
            <w:hideMark/>
          </w:tcPr>
          <w:p w14:paraId="1A10676C" w14:textId="1347270D" w:rsidR="00696AF0" w:rsidRPr="00696AF0" w:rsidRDefault="00696AF0" w:rsidP="00C21B03">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Hemingway</w:t>
            </w:r>
            <w:r w:rsidR="00C21B03">
              <w:rPr>
                <w:rFonts w:ascii="Calibri" w:eastAsia="Times New Roman" w:hAnsi="Calibri" w:cs="Calibri"/>
                <w:color w:val="000000"/>
                <w:lang w:val="en-ZA" w:eastAsia="en-ZA"/>
              </w:rPr>
              <w:t xml:space="preserve"> </w:t>
            </w:r>
            <w:r w:rsidR="00C21B03">
              <w:rPr>
                <w:rFonts w:ascii="Calibri" w:eastAsia="Times New Roman" w:hAnsi="Calibri" w:cs="Calibri"/>
                <w:color w:val="000000"/>
                <w:lang w:val="en-ZA" w:eastAsia="en-ZA"/>
              </w:rPr>
              <w:fldChar w:fldCharType="begin"/>
            </w:r>
            <w:r w:rsidR="00C21B03">
              <w:rPr>
                <w:rFonts w:ascii="Calibri" w:eastAsia="Times New Roman" w:hAnsi="Calibri" w:cs="Calibri"/>
                <w:color w:val="000000"/>
                <w:lang w:val="en-ZA" w:eastAsia="en-ZA"/>
              </w:rPr>
              <w:instrText xml:space="preserve"> ADDIN ZOTERO_ITEM CSL_CITATION {"citationID":"iu4TabtB","properties":{"formattedCitation":"(67)","plainCitation":"(67)","noteIndex":0},"citationItems":[{"id":12404,"uris":["http://zotero.org/users/6216265/items/KP8KLYWT"],"itemData":{"id":12404,"type":"article-journal","abstract":"Malaria control, and that of other insect borne diseases such as dengue, is heavily dependent on our ability to control the mosquito populations that transmit these diseases. The major push over the last decade to reduce the global burden of malaria has been driven by the distribution of pyrethroid insecticide-treated bednets and an increase in coverage of indoor residual spraying (IRS). This has reduced malaria deaths by a third. Progress towards the goal of reducing this further is threatened by lack of funding and the selection of drug and insecticide resistance. When malaria control was initially scaled up, there was little pyrethroid resistance in the major vectors, today there is no country in Africa where the vectors remain fully susceptible to pyrethroids. The first pyrethroid resistance mechanisms to be selected produced low-level resistance which had little or no operational significance. More recently, metabolically based resistance has been selected, primarily in West Africa, which in some mosquito populations produces more than 1000-fold resistance. As this spreads the effectiveness of pyrethroid-based bednets and IRS will be compromised. New public health insecticides are not readily available. The pipeline of agrochemical insecticides that can be re-purposed for public health dried up 30 years ago when the target product profile for agricultural insecticides shifted from broad spectrum, stable, contact-acting insecticides to narrow spectrum stomach poisons that could be delivered through the plant. A public–private partnership, the Innovative Vector Control Consortium, was established in 2005 to stimulate the development of new public health pesticides. Nine potential new classes of chemistry are in the pipeline, with the intention of developing three into new insecticides. While this has been successfully achieved, it will still take 6–9 years for new insecticides to reach the market. Careful management of the resistance situation in the interim will be needed if current gains in malaria control are not to be reversed.","container-title":"Philosophical Transactions of the Royal Society B: Biological Sciences","DOI":"10.1098/rstb.2013.0431","ISSN":"0962-8436, 1471-2970","issue":"1645","journalAbbreviation":"Phil. Trans. R. Soc. B","language":"en","page":"20130431","source":"DOI.org (Crossref)","title":"The role of vector control in stopping the transmission of malaria: threats and opportunities","title-short":"The role of vector control in stopping the transmission of malaria","volume":"369","author":[{"family":"Hemingway","given":"Janet"}],"issued":{"date-parts":[["2014",6,19]]}}}],"schema":"https://github.com/citation-style-language/schema/raw/master/csl-citation.json"} </w:instrText>
            </w:r>
            <w:r w:rsidR="00C21B03">
              <w:rPr>
                <w:rFonts w:ascii="Calibri" w:eastAsia="Times New Roman" w:hAnsi="Calibri" w:cs="Calibri"/>
                <w:color w:val="000000"/>
                <w:lang w:val="en-ZA" w:eastAsia="en-ZA"/>
              </w:rPr>
              <w:fldChar w:fldCharType="separate"/>
            </w:r>
            <w:r w:rsidR="00C21B03" w:rsidRPr="00C21B03">
              <w:rPr>
                <w:rFonts w:ascii="Calibri" w:hAnsi="Calibri" w:cs="Calibri"/>
              </w:rPr>
              <w:t>(67)</w:t>
            </w:r>
            <w:r w:rsidR="00C21B03">
              <w:rPr>
                <w:rFonts w:ascii="Calibri" w:eastAsia="Times New Roman" w:hAnsi="Calibri" w:cs="Calibri"/>
                <w:color w:val="000000"/>
                <w:lang w:val="en-ZA" w:eastAsia="en-ZA"/>
              </w:rPr>
              <w:fldChar w:fldCharType="end"/>
            </w:r>
          </w:p>
        </w:tc>
        <w:tc>
          <w:tcPr>
            <w:tcW w:w="1464" w:type="dxa"/>
            <w:noWrap/>
            <w:hideMark/>
          </w:tcPr>
          <w:p w14:paraId="025C4C4A"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2014</w:t>
            </w:r>
          </w:p>
        </w:tc>
        <w:tc>
          <w:tcPr>
            <w:tcW w:w="2043" w:type="dxa"/>
            <w:noWrap/>
            <w:hideMark/>
          </w:tcPr>
          <w:p w14:paraId="2F3D12DA"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B4FB0C3" w14:textId="77777777" w:rsidTr="00366ACD">
        <w:trPr>
          <w:trHeight w:val="270"/>
        </w:trPr>
        <w:tc>
          <w:tcPr>
            <w:tcW w:w="2703" w:type="dxa"/>
            <w:noWrap/>
            <w:hideMark/>
          </w:tcPr>
          <w:p w14:paraId="3C6F93B5" w14:textId="5A2FFE7C" w:rsidR="00696AF0" w:rsidRPr="00696AF0" w:rsidRDefault="00696AF0" w:rsidP="009135B2">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Henríquez</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9135B2">
              <w:rPr>
                <w:rFonts w:ascii="Calibri" w:eastAsia="Times New Roman" w:hAnsi="Calibri" w:cs="Calibri"/>
                <w:color w:val="000000"/>
                <w:lang w:val="en-ZA" w:eastAsia="en-ZA"/>
              </w:rPr>
              <w:t xml:space="preserve"> </w:t>
            </w:r>
            <w:r w:rsidR="009135B2">
              <w:rPr>
                <w:rFonts w:ascii="Calibri" w:eastAsia="Times New Roman" w:hAnsi="Calibri" w:cs="Calibri"/>
                <w:color w:val="000000"/>
                <w:lang w:val="en-ZA" w:eastAsia="en-ZA"/>
              </w:rPr>
              <w:fldChar w:fldCharType="begin"/>
            </w:r>
            <w:r w:rsidR="009135B2">
              <w:rPr>
                <w:rFonts w:ascii="Calibri" w:eastAsia="Times New Roman" w:hAnsi="Calibri" w:cs="Calibri"/>
                <w:color w:val="000000"/>
                <w:lang w:val="en-ZA" w:eastAsia="en-ZA"/>
              </w:rPr>
              <w:instrText xml:space="preserve"> ADDIN ZOTERO_ITEM CSL_CITATION {"citationID":"5f78lt24","properties":{"formattedCitation":"(68)","plainCitation":"(68)","noteIndex":0},"citationItems":[{"id":12405,"uris":["http://zotero.org/users/6216265/items/P9KTH9KK"],"itemData":{"id":12405,"type":"article-journal","container-title":"Drug Development and Industrial Pharmacy","DOI":"10.1080/03639045.2019.1652637","ISSN":"0363-9045, 1520-5762","issue":"10","journalAbbreviation":"Drug Development and Industrial Pharmacy","language":"en","page":"1674-1681","source":"DOI.org (Crossref)","title":"Development of immediate release Rupatadine fumarate 10 mg tablets: A Quality by Design (QbD) approach","title-short":"Development of immediate release Rupatadine fumarate 10 mg tablets","volume":"45","author":[{"family":"Castillo Henríquez","given":"Luis"},{"family":"Vargas Zúñiga","given":"Rolando"},{"family":"Carazo Berrocal","given":"Gustavo"},{"family":"Madrigal Redondo","given":"German"},{"family":"Calvo Guzmán","given":"Briner"},{"family":"Baltodano Viales","given":"Eleaneth"}],"issued":{"date-parts":[["2019",10,3]]}}}],"schema":"https://github.com/citation-style-language/schema/raw/master/csl-citation.json"} </w:instrText>
            </w:r>
            <w:r w:rsidR="009135B2">
              <w:rPr>
                <w:rFonts w:ascii="Calibri" w:eastAsia="Times New Roman" w:hAnsi="Calibri" w:cs="Calibri"/>
                <w:color w:val="000000"/>
                <w:lang w:val="en-ZA" w:eastAsia="en-ZA"/>
              </w:rPr>
              <w:fldChar w:fldCharType="separate"/>
            </w:r>
            <w:r w:rsidR="009135B2" w:rsidRPr="009135B2">
              <w:rPr>
                <w:rFonts w:ascii="Calibri" w:hAnsi="Calibri" w:cs="Calibri"/>
              </w:rPr>
              <w:t>(68)</w:t>
            </w:r>
            <w:r w:rsidR="009135B2">
              <w:rPr>
                <w:rFonts w:ascii="Calibri" w:eastAsia="Times New Roman" w:hAnsi="Calibri" w:cs="Calibri"/>
                <w:color w:val="000000"/>
                <w:lang w:val="en-ZA" w:eastAsia="en-ZA"/>
              </w:rPr>
              <w:fldChar w:fldCharType="end"/>
            </w:r>
          </w:p>
        </w:tc>
        <w:tc>
          <w:tcPr>
            <w:tcW w:w="1464" w:type="dxa"/>
            <w:noWrap/>
            <w:hideMark/>
          </w:tcPr>
          <w:p w14:paraId="1F826A5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5DAC6201"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1B017A1" w14:textId="77777777" w:rsidTr="00366ACD">
        <w:trPr>
          <w:trHeight w:val="270"/>
        </w:trPr>
        <w:tc>
          <w:tcPr>
            <w:tcW w:w="2703" w:type="dxa"/>
            <w:noWrap/>
            <w:hideMark/>
          </w:tcPr>
          <w:p w14:paraId="4B3CFB8F" w14:textId="7E42C54B" w:rsidR="00696AF0" w:rsidRPr="00696AF0" w:rsidRDefault="00696AF0" w:rsidP="009135B2">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Hogan </w:t>
            </w:r>
            <w:r w:rsidR="000620EA">
              <w:rPr>
                <w:rFonts w:ascii="Calibri" w:eastAsia="Times New Roman" w:hAnsi="Calibri" w:cs="Calibri"/>
                <w:color w:val="000000"/>
                <w:lang w:val="en-ZA" w:eastAsia="en-ZA"/>
              </w:rPr>
              <w:t>et al.</w:t>
            </w:r>
            <w:r w:rsidR="009135B2">
              <w:rPr>
                <w:rFonts w:ascii="Calibri" w:eastAsia="Times New Roman" w:hAnsi="Calibri" w:cs="Calibri"/>
                <w:color w:val="000000"/>
                <w:lang w:val="en-ZA" w:eastAsia="en-ZA"/>
              </w:rPr>
              <w:t xml:space="preserve"> </w:t>
            </w:r>
            <w:r w:rsidR="009135B2">
              <w:rPr>
                <w:rFonts w:ascii="Calibri" w:eastAsia="Times New Roman" w:hAnsi="Calibri" w:cs="Calibri"/>
                <w:color w:val="000000"/>
                <w:lang w:val="en-ZA" w:eastAsia="en-ZA"/>
              </w:rPr>
              <w:fldChar w:fldCharType="begin"/>
            </w:r>
            <w:r w:rsidR="009135B2">
              <w:rPr>
                <w:rFonts w:ascii="Calibri" w:eastAsia="Times New Roman" w:hAnsi="Calibri" w:cs="Calibri"/>
                <w:color w:val="000000"/>
                <w:lang w:val="en-ZA" w:eastAsia="en-ZA"/>
              </w:rPr>
              <w:instrText xml:space="preserve"> ADDIN ZOTERO_ITEM CSL_CITATION {"citationID":"7HsV3uad","properties":{"formattedCitation":"(69)","plainCitation":"(69)","noteIndex":0},"citationItems":[{"id":12407,"uris":["http://zotero.org/users/6216265/items/MDPLZ62H"],"itemData":{"id":12407,"type":"article-journal","container-title":"BMC Medicine","DOI":"10.1186/s12916-018-1095-6","ISSN":"1741-7015","issue":"1","journalAbbreviation":"BMC Med","language":"en","page":"109","source":"DOI.org (Crossref)","title":"Modelling population-level impact to inform target product profiles for childhood malaria vaccines","volume":"16","author":[{"family":"Hogan","given":"Alexandra B."},{"family":"Winskill","given":"Peter"},{"family":"Verity","given":"Robert"},{"family":"Griffin","given":"Jamie T."},{"family":"Ghani","given":"Azra C."}],"issued":{"date-parts":[["2018",12]]}}}],"schema":"https://github.com/citation-style-language/schema/raw/master/csl-citation.json"} </w:instrText>
            </w:r>
            <w:r w:rsidR="009135B2">
              <w:rPr>
                <w:rFonts w:ascii="Calibri" w:eastAsia="Times New Roman" w:hAnsi="Calibri" w:cs="Calibri"/>
                <w:color w:val="000000"/>
                <w:lang w:val="en-ZA" w:eastAsia="en-ZA"/>
              </w:rPr>
              <w:fldChar w:fldCharType="separate"/>
            </w:r>
            <w:r w:rsidR="009135B2" w:rsidRPr="009135B2">
              <w:rPr>
                <w:rFonts w:ascii="Calibri" w:hAnsi="Calibri" w:cs="Calibri"/>
              </w:rPr>
              <w:t>(69)</w:t>
            </w:r>
            <w:r w:rsidR="009135B2">
              <w:rPr>
                <w:rFonts w:ascii="Calibri" w:eastAsia="Times New Roman" w:hAnsi="Calibri" w:cs="Calibri"/>
                <w:color w:val="000000"/>
                <w:lang w:val="en-ZA" w:eastAsia="en-ZA"/>
              </w:rPr>
              <w:fldChar w:fldCharType="end"/>
            </w:r>
          </w:p>
        </w:tc>
        <w:tc>
          <w:tcPr>
            <w:tcW w:w="1464" w:type="dxa"/>
            <w:noWrap/>
            <w:hideMark/>
          </w:tcPr>
          <w:p w14:paraId="7D8B8B2A"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2018</w:t>
            </w:r>
          </w:p>
        </w:tc>
        <w:tc>
          <w:tcPr>
            <w:tcW w:w="2043" w:type="dxa"/>
            <w:noWrap/>
            <w:hideMark/>
          </w:tcPr>
          <w:p w14:paraId="1C8E75E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CE0CBF4" w14:textId="77777777" w:rsidTr="00366ACD">
        <w:trPr>
          <w:trHeight w:val="270"/>
        </w:trPr>
        <w:tc>
          <w:tcPr>
            <w:tcW w:w="2703" w:type="dxa"/>
            <w:noWrap/>
            <w:hideMark/>
          </w:tcPr>
          <w:p w14:paraId="6B8766DC" w14:textId="6297BDD0" w:rsidR="00696AF0" w:rsidRPr="00696AF0" w:rsidRDefault="00696AF0" w:rsidP="00F34CF9">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Hotez</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F34CF9">
              <w:rPr>
                <w:rFonts w:ascii="Calibri" w:eastAsia="Times New Roman" w:hAnsi="Calibri" w:cs="Calibri"/>
                <w:color w:val="000000"/>
                <w:lang w:val="en-ZA" w:eastAsia="en-ZA"/>
              </w:rPr>
              <w:t xml:space="preserve"> </w:t>
            </w:r>
            <w:r w:rsidR="00F34CF9">
              <w:rPr>
                <w:rFonts w:ascii="Calibri" w:eastAsia="Times New Roman" w:hAnsi="Calibri" w:cs="Calibri"/>
                <w:color w:val="000000"/>
                <w:lang w:val="en-ZA" w:eastAsia="en-ZA"/>
              </w:rPr>
              <w:fldChar w:fldCharType="begin"/>
            </w:r>
            <w:r w:rsidR="00F34CF9">
              <w:rPr>
                <w:rFonts w:ascii="Calibri" w:eastAsia="Times New Roman" w:hAnsi="Calibri" w:cs="Calibri"/>
                <w:color w:val="000000"/>
                <w:lang w:val="en-ZA" w:eastAsia="en-ZA"/>
              </w:rPr>
              <w:instrText xml:space="preserve"> ADDIN ZOTERO_ITEM CSL_CITATION {"citationID":"by2dviaf","properties":{"formattedCitation":"(70)","plainCitation":"(70)","noteIndex":0},"citationItems":[{"id":12409,"uris":["http://zotero.org/users/6216265/items/MAFCHH4W"],"itemData":{"id":12409,"type":"article-journal","container-title":"Vaccine","DOI":"10.1016/j.vaccine.2016.03.078","ISSN":"0264410X","issue":"26","journalAbbreviation":"Vaccine","language":"en","page":"3001-3005","source":"DOI.org (Crossref)","title":"Advancing a vaccine to prevent hookworm disease and anemia","volume":"34","author":[{"family":"Hotez","given":"Peter J."},{"family":"Beaumier","given":"Coreen M."},{"family":"Gillespie","given":"Portia M."},{"family":"Strych","given":"Ulrich"},{"family":"Hayward","given":"Tara"},{"family":"Bottazzi","given":"Maria Elena"}],"issued":{"date-parts":[["2016",6]]}}}],"schema":"https://github.com/citation-style-language/schema/raw/master/csl-citation.json"} </w:instrText>
            </w:r>
            <w:r w:rsidR="00F34CF9">
              <w:rPr>
                <w:rFonts w:ascii="Calibri" w:eastAsia="Times New Roman" w:hAnsi="Calibri" w:cs="Calibri"/>
                <w:color w:val="000000"/>
                <w:lang w:val="en-ZA" w:eastAsia="en-ZA"/>
              </w:rPr>
              <w:fldChar w:fldCharType="separate"/>
            </w:r>
            <w:r w:rsidR="00F34CF9" w:rsidRPr="00F34CF9">
              <w:rPr>
                <w:rFonts w:ascii="Calibri" w:hAnsi="Calibri" w:cs="Calibri"/>
              </w:rPr>
              <w:t>(70)</w:t>
            </w:r>
            <w:r w:rsidR="00F34CF9">
              <w:rPr>
                <w:rFonts w:ascii="Calibri" w:eastAsia="Times New Roman" w:hAnsi="Calibri" w:cs="Calibri"/>
                <w:color w:val="000000"/>
                <w:lang w:val="en-ZA" w:eastAsia="en-ZA"/>
              </w:rPr>
              <w:fldChar w:fldCharType="end"/>
            </w:r>
          </w:p>
        </w:tc>
        <w:tc>
          <w:tcPr>
            <w:tcW w:w="1464" w:type="dxa"/>
            <w:noWrap/>
            <w:hideMark/>
          </w:tcPr>
          <w:p w14:paraId="4481EAE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2016</w:t>
            </w:r>
          </w:p>
        </w:tc>
        <w:tc>
          <w:tcPr>
            <w:tcW w:w="2043" w:type="dxa"/>
            <w:noWrap/>
            <w:hideMark/>
          </w:tcPr>
          <w:p w14:paraId="7278D5A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A0DB8E3" w14:textId="77777777" w:rsidTr="00366ACD">
        <w:trPr>
          <w:trHeight w:val="270"/>
        </w:trPr>
        <w:tc>
          <w:tcPr>
            <w:tcW w:w="2703" w:type="dxa"/>
            <w:noWrap/>
            <w:hideMark/>
          </w:tcPr>
          <w:p w14:paraId="66FD2176" w14:textId="7259C03B" w:rsidR="00696AF0" w:rsidRPr="00696AF0" w:rsidRDefault="00696AF0" w:rsidP="00F34CF9">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Jackson </w:t>
            </w:r>
            <w:r w:rsidR="000620EA">
              <w:rPr>
                <w:rFonts w:ascii="Calibri" w:eastAsia="Times New Roman" w:hAnsi="Calibri" w:cs="Calibri"/>
                <w:color w:val="000000"/>
                <w:lang w:val="en-ZA" w:eastAsia="en-ZA"/>
              </w:rPr>
              <w:t>et al.</w:t>
            </w:r>
            <w:r w:rsidR="00F34CF9">
              <w:rPr>
                <w:rFonts w:ascii="Calibri" w:eastAsia="Times New Roman" w:hAnsi="Calibri" w:cs="Calibri"/>
                <w:color w:val="000000"/>
                <w:lang w:val="en-ZA" w:eastAsia="en-ZA"/>
              </w:rPr>
              <w:t xml:space="preserve"> </w:t>
            </w:r>
            <w:r w:rsidR="00F34CF9">
              <w:rPr>
                <w:rFonts w:ascii="Calibri" w:eastAsia="Times New Roman" w:hAnsi="Calibri" w:cs="Calibri"/>
                <w:color w:val="000000"/>
                <w:lang w:val="en-ZA" w:eastAsia="en-ZA"/>
              </w:rPr>
              <w:fldChar w:fldCharType="begin"/>
            </w:r>
            <w:r w:rsidR="00F34CF9">
              <w:rPr>
                <w:rFonts w:ascii="Calibri" w:eastAsia="Times New Roman" w:hAnsi="Calibri" w:cs="Calibri"/>
                <w:color w:val="000000"/>
                <w:lang w:val="en-ZA" w:eastAsia="en-ZA"/>
              </w:rPr>
              <w:instrText xml:space="preserve"> ADDIN ZOTERO_ITEM CSL_CITATION {"citationID":"YWJ4SU7h","properties":{"formattedCitation":"(71)","plainCitation":"(71)","noteIndex":0},"citationItems":[{"id":12410,"uris":["http://zotero.org/users/6216265/items/PQDVR5KF"],"itemData":{"id":12410,"type":"article-journal","container-title":"Analytical Chemistry","DOI":"10.1021/acs.analchem.8b04596","ISSN":"0003-2700, 1520-6882","issue":"4","journalAbbreviation":"Anal. Chem.","language":"en","page":"2577-2585","source":"DOI.org (Crossref)","title":"Using the Analytical Target Profile to Drive the Analytical Method Lifecycle","volume":"91","author":[{"family":"Jackson","given":"Patrick"},{"family":"Borman","given":"Phil"},{"family":"Campa","given":"Cristiana"},{"family":"Chatfield","given":"Marion"},{"family":"Godfrey","given":"Mark"},{"family":"Hamilton","given":"Peter"},{"family":"Hoyer","given":"Walter"},{"family":"Norelli","given":"Francesco"},{"family":"Orr","given":"Rachel"},{"family":"Schofield","given":"Tim"}],"issued":{"date-parts":[["2019",2,19]]}}}],"schema":"https://github.com/citation-style-language/schema/raw/master/csl-citation.json"} </w:instrText>
            </w:r>
            <w:r w:rsidR="00F34CF9">
              <w:rPr>
                <w:rFonts w:ascii="Calibri" w:eastAsia="Times New Roman" w:hAnsi="Calibri" w:cs="Calibri"/>
                <w:color w:val="000000"/>
                <w:lang w:val="en-ZA" w:eastAsia="en-ZA"/>
              </w:rPr>
              <w:fldChar w:fldCharType="separate"/>
            </w:r>
            <w:r w:rsidR="00F34CF9" w:rsidRPr="00F34CF9">
              <w:rPr>
                <w:rFonts w:ascii="Calibri" w:hAnsi="Calibri" w:cs="Calibri"/>
              </w:rPr>
              <w:t>(71)</w:t>
            </w:r>
            <w:r w:rsidR="00F34CF9">
              <w:rPr>
                <w:rFonts w:ascii="Calibri" w:eastAsia="Times New Roman" w:hAnsi="Calibri" w:cs="Calibri"/>
                <w:color w:val="000000"/>
                <w:lang w:val="en-ZA" w:eastAsia="en-ZA"/>
              </w:rPr>
              <w:fldChar w:fldCharType="end"/>
            </w:r>
          </w:p>
        </w:tc>
        <w:tc>
          <w:tcPr>
            <w:tcW w:w="1464" w:type="dxa"/>
            <w:noWrap/>
            <w:hideMark/>
          </w:tcPr>
          <w:p w14:paraId="17F99332"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35029D4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27B660D" w14:textId="77777777" w:rsidTr="00366ACD">
        <w:trPr>
          <w:trHeight w:val="270"/>
        </w:trPr>
        <w:tc>
          <w:tcPr>
            <w:tcW w:w="2703" w:type="dxa"/>
            <w:noWrap/>
            <w:hideMark/>
          </w:tcPr>
          <w:p w14:paraId="0B7AB4BC" w14:textId="7830984F" w:rsidR="00696AF0" w:rsidRPr="00696AF0" w:rsidRDefault="00696AF0" w:rsidP="0049070A">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Jacobs </w:t>
            </w:r>
            <w:r w:rsidR="000620EA">
              <w:rPr>
                <w:rFonts w:ascii="Calibri" w:eastAsia="Times New Roman" w:hAnsi="Calibri" w:cs="Calibri"/>
                <w:color w:val="000000"/>
                <w:lang w:val="en-ZA" w:eastAsia="en-ZA"/>
              </w:rPr>
              <w:t>et al.</w:t>
            </w:r>
            <w:r w:rsidR="0049070A">
              <w:rPr>
                <w:rFonts w:ascii="Calibri" w:eastAsia="Times New Roman" w:hAnsi="Calibri" w:cs="Calibri"/>
                <w:color w:val="000000"/>
                <w:lang w:val="en-ZA" w:eastAsia="en-ZA"/>
              </w:rPr>
              <w:t xml:space="preserve"> </w:t>
            </w:r>
            <w:r w:rsidR="0049070A">
              <w:rPr>
                <w:rFonts w:ascii="Calibri" w:eastAsia="Times New Roman" w:hAnsi="Calibri" w:cs="Calibri"/>
                <w:color w:val="000000"/>
                <w:lang w:val="en-ZA" w:eastAsia="en-ZA"/>
              </w:rPr>
              <w:fldChar w:fldCharType="begin"/>
            </w:r>
            <w:r w:rsidR="0049070A">
              <w:rPr>
                <w:rFonts w:ascii="Calibri" w:eastAsia="Times New Roman" w:hAnsi="Calibri" w:cs="Calibri"/>
                <w:color w:val="000000"/>
                <w:lang w:val="en-ZA" w:eastAsia="en-ZA"/>
              </w:rPr>
              <w:instrText xml:space="preserve"> ADDIN ZOTERO_ITEM CSL_CITATION {"citationID":"z8fPQ1On","properties":{"formattedCitation":"(72)","plainCitation":"(72)","noteIndex":0},"citationItems":[{"id":12411,"uris":["http://zotero.org/users/6216265/items/SBNJBHAF"],"itemData":{"id":12411,"type":"article-journal","container-title":"Frontiers in Medicine","DOI":"10.3389/fmed.2020.557797","ISSN":"2296-858X","journalAbbreviation":"Front. Med.","page":"557797","source":"DOI.org (Crossref)","title":"Implementing COVID-19 (SARS-CoV-2) Rapid Diagnostic Tests in Sub-Saharan Africa: A Review","title-short":"Implementing COVID-19 (SARS-CoV-2) Rapid Diagnostic Tests in Sub-Saharan Africa","volume":"7","author":[{"family":"Jacobs","given":"Jan"},{"family":"Kühne","given":"Vera"},{"family":"Lunguya","given":"Octavie"},{"family":"Affolabi","given":"Dissou"},{"family":"Hardy","given":"Liselotte"},{"family":"Vandenberg","given":"Olivier"}],"issued":{"date-parts":[["2020",10,30]]}}}],"schema":"https://github.com/citation-style-language/schema/raw/master/csl-citation.json"} </w:instrText>
            </w:r>
            <w:r w:rsidR="0049070A">
              <w:rPr>
                <w:rFonts w:ascii="Calibri" w:eastAsia="Times New Roman" w:hAnsi="Calibri" w:cs="Calibri"/>
                <w:color w:val="000000"/>
                <w:lang w:val="en-ZA" w:eastAsia="en-ZA"/>
              </w:rPr>
              <w:fldChar w:fldCharType="separate"/>
            </w:r>
            <w:r w:rsidR="0049070A" w:rsidRPr="0049070A">
              <w:rPr>
                <w:rFonts w:ascii="Calibri" w:hAnsi="Calibri" w:cs="Calibri"/>
              </w:rPr>
              <w:t>(72)</w:t>
            </w:r>
            <w:r w:rsidR="0049070A">
              <w:rPr>
                <w:rFonts w:ascii="Calibri" w:eastAsia="Times New Roman" w:hAnsi="Calibri" w:cs="Calibri"/>
                <w:color w:val="000000"/>
                <w:lang w:val="en-ZA" w:eastAsia="en-ZA"/>
              </w:rPr>
              <w:fldChar w:fldCharType="end"/>
            </w:r>
          </w:p>
        </w:tc>
        <w:tc>
          <w:tcPr>
            <w:tcW w:w="1464" w:type="dxa"/>
            <w:noWrap/>
            <w:hideMark/>
          </w:tcPr>
          <w:p w14:paraId="7D7442B8"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130726DE"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B78D7E3" w14:textId="77777777" w:rsidTr="00366ACD">
        <w:trPr>
          <w:trHeight w:val="270"/>
        </w:trPr>
        <w:tc>
          <w:tcPr>
            <w:tcW w:w="2703" w:type="dxa"/>
            <w:noWrap/>
            <w:hideMark/>
          </w:tcPr>
          <w:p w14:paraId="3306DC83" w14:textId="7B4FF8B8" w:rsidR="00696AF0" w:rsidRPr="00696AF0" w:rsidRDefault="00696AF0" w:rsidP="0049070A">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Januskaite</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49070A">
              <w:rPr>
                <w:rFonts w:ascii="Calibri" w:eastAsia="Times New Roman" w:hAnsi="Calibri" w:cs="Calibri"/>
                <w:color w:val="000000"/>
                <w:lang w:val="en-ZA" w:eastAsia="en-ZA"/>
              </w:rPr>
              <w:t xml:space="preserve"> </w:t>
            </w:r>
            <w:r w:rsidR="0049070A">
              <w:rPr>
                <w:rFonts w:ascii="Calibri" w:eastAsia="Times New Roman" w:hAnsi="Calibri" w:cs="Calibri"/>
                <w:color w:val="000000"/>
                <w:lang w:val="en-ZA" w:eastAsia="en-ZA"/>
              </w:rPr>
              <w:fldChar w:fldCharType="begin"/>
            </w:r>
            <w:r w:rsidR="0049070A">
              <w:rPr>
                <w:rFonts w:ascii="Calibri" w:eastAsia="Times New Roman" w:hAnsi="Calibri" w:cs="Calibri"/>
                <w:color w:val="000000"/>
                <w:lang w:val="en-ZA" w:eastAsia="en-ZA"/>
              </w:rPr>
              <w:instrText xml:space="preserve"> ADDIN ZOTERO_ITEM CSL_CITATION {"citationID":"wlRJ986x","properties":{"formattedCitation":"(73)","plainCitation":"(73)","noteIndex":0},"citationItems":[{"id":102,"uris":["http://zotero.org/users/6216265/items/RHHV56MF"],"itemData":{"id":102,"type":"article-journal","abstract":"3D printing (3DP) in the pharmaceutical field is a disruptive technology that allows the preparation of personalised medicines at the point of dispensing. The  paediatric population presents a variety of pharmaceutical formulation challenges  such as dose flexibility, patient compliance, taste masking and the fear or  difficulty to swallow tablets, all factors that could be overcome using the  adaptable nature of 3DP. User acceptability studies of 3D printed formulations  have been previously carried out in adults; however, feedback from children  themselves is essential in establishing the quality target product profile  towards the development of age-appropriate medicines. The aim of this study was  to investigate the preference of children for different 3D printed tablets  (Printlets™) as an important precursor to patient acceptability studies. Four  different 3DP technologies; digital light processing (DLP), selective laser  sintering (SLS), semi-solid extrusion (SSE) and fused deposition modeling (FDM)  were used to prepare placebo printlets with similar physical attributes including  size and shape. A single-site, two-part survey was completed with participants  aged 4-11 years to determine their preference and opinions based on visual  inspection of the printlets. A total of 368 participants completed an individual  open questionnaire to visually select the best and worst printlet, and 310  participants completed further non-compulsory open questions to elaborate on  their choices. Overall, the DLP printlets were the most visually appealing to the  children (61.7%) followed by the SLS printlets (21.2%), and with both the FDM  (5.4%) and SSE (11.7%) printlets receiving the lowest scores. However, after  being informed that the SSE printlets were chewable, the majority of participants  changed their selection and favoured this printlet, despite their original  choice, in line with children's preference towards chewable dosage forms.  Participant age and sex displayed no significant differences in printlet  selection. Printlet descriptions were grouped into four distinct categories;  appearance, perceived taste, texture and familiarity, and were found to be  equally important when creating a quality target product profile for paediatric  3D printed formulations. This study is the first to investigate children's  perceptions of printlets, and the findings aim to provide guidance for further  development of paediatric-appropriate medicines using different 3DP technologies.","container-title":"Pharmaceutics","DOI":"10.3390/pharmaceutics12111100","ISSN":"1999-4923","issue":"11","journalAbbreviation":"Pharmaceutics","language":"eng","note":"PMID: 33212847 \nPMCID: PMC7698452","title":"I Spy with My Little Eye: A Paediatric Visual Preferences Survey of 3D Printed Tablets.","volume":"12","author":[{"family":"Januskaite","given":"Patricija"},{"family":"Xu","given":"Xiaoyan"},{"family":"Ranmal","given":"Sejal R."},{"family":"Gaisford","given":"Simon"},{"family":"Basit","given":"Abdul W."},{"family":"Tuleu","given":"Catherine"},{"family":"Goyanes","given":"Alvaro"}],"issued":{"date-parts":[["2020",11,17]]}}}],"schema":"https://github.com/citation-style-language/schema/raw/master/csl-citation.json"} </w:instrText>
            </w:r>
            <w:r w:rsidR="0049070A">
              <w:rPr>
                <w:rFonts w:ascii="Calibri" w:eastAsia="Times New Roman" w:hAnsi="Calibri" w:cs="Calibri"/>
                <w:color w:val="000000"/>
                <w:lang w:val="en-ZA" w:eastAsia="en-ZA"/>
              </w:rPr>
              <w:fldChar w:fldCharType="separate"/>
            </w:r>
            <w:r w:rsidR="0049070A" w:rsidRPr="0049070A">
              <w:rPr>
                <w:rFonts w:ascii="Calibri" w:hAnsi="Calibri" w:cs="Calibri"/>
              </w:rPr>
              <w:t>(73)</w:t>
            </w:r>
            <w:r w:rsidR="0049070A">
              <w:rPr>
                <w:rFonts w:ascii="Calibri" w:eastAsia="Times New Roman" w:hAnsi="Calibri" w:cs="Calibri"/>
                <w:color w:val="000000"/>
                <w:lang w:val="en-ZA" w:eastAsia="en-ZA"/>
              </w:rPr>
              <w:fldChar w:fldCharType="end"/>
            </w:r>
          </w:p>
        </w:tc>
        <w:tc>
          <w:tcPr>
            <w:tcW w:w="1464" w:type="dxa"/>
            <w:noWrap/>
            <w:hideMark/>
          </w:tcPr>
          <w:p w14:paraId="294654A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6A8025A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AA8DC6A" w14:textId="77777777" w:rsidTr="00366ACD">
        <w:trPr>
          <w:trHeight w:val="270"/>
        </w:trPr>
        <w:tc>
          <w:tcPr>
            <w:tcW w:w="2703" w:type="dxa"/>
            <w:noWrap/>
            <w:hideMark/>
          </w:tcPr>
          <w:p w14:paraId="05FEE454" w14:textId="4605ABF2" w:rsidR="00696AF0" w:rsidRPr="00696AF0" w:rsidRDefault="00696AF0" w:rsidP="00A43D2C">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Kapoor </w:t>
            </w:r>
            <w:r w:rsidR="000620EA">
              <w:rPr>
                <w:rFonts w:ascii="Calibri" w:eastAsia="Times New Roman" w:hAnsi="Calibri" w:cs="Calibri"/>
                <w:color w:val="000000"/>
                <w:lang w:val="en-ZA" w:eastAsia="en-ZA"/>
              </w:rPr>
              <w:t>et al.</w:t>
            </w:r>
            <w:r w:rsidR="00A43D2C">
              <w:rPr>
                <w:rFonts w:ascii="Calibri" w:eastAsia="Times New Roman" w:hAnsi="Calibri" w:cs="Calibri"/>
                <w:color w:val="000000"/>
                <w:lang w:val="en-ZA" w:eastAsia="en-ZA"/>
              </w:rPr>
              <w:t xml:space="preserve"> </w:t>
            </w:r>
            <w:r w:rsidR="00A43D2C">
              <w:rPr>
                <w:rFonts w:ascii="Calibri" w:eastAsia="Times New Roman" w:hAnsi="Calibri" w:cs="Calibri"/>
                <w:color w:val="000000"/>
                <w:lang w:val="en-ZA" w:eastAsia="en-ZA"/>
              </w:rPr>
              <w:fldChar w:fldCharType="begin"/>
            </w:r>
            <w:r w:rsidR="00A43D2C">
              <w:rPr>
                <w:rFonts w:ascii="Calibri" w:eastAsia="Times New Roman" w:hAnsi="Calibri" w:cs="Calibri"/>
                <w:color w:val="000000"/>
                <w:lang w:val="en-ZA" w:eastAsia="en-ZA"/>
              </w:rPr>
              <w:instrText xml:space="preserve"> ADDIN ZOTERO_ITEM CSL_CITATION {"citationID":"axrNlfnS","properties":{"formattedCitation":"(74)","plainCitation":"(74)","noteIndex":0},"citationItems":[{"id":12415,"uris":["http://zotero.org/users/6216265/items/AVHNB6VX"],"itemData":{"id":12415,"type":"article-journal","container-title":"Molecular Pharmaceutics","DOI":"10.1021/acs.molpharmaceut.1c00210","ISSN":"1543-8384, 1543-8392","issue":"7","journalAbbreviation":"Mol. Pharmaceutics","language":"en","page":"2455-2469","source":"DOI.org (Crossref)","title":"Flexibility in Drug Product Development: A Perspective","title-short":"Flexibility in Drug Product Development","volume":"18","author":[{"family":"Kapoor","given":"Yash"},{"family":"Meyer","given":"Robert F."},{"family":"Ferguson","given":"Heidi M."},{"family":"Skomski","given":"Daniel"},{"family":"Daublain","given":"Pierre"},{"family":"Troup","given":"Gregory M."},{"family":"Dalton","given":"Chad"},{"family":"Ramasamy","given":"Manoharan"},{"family":"Templeton","given":"Allen C."}],"issued":{"date-parts":[["2021",7,5]]}}}],"schema":"https://github.com/citation-style-language/schema/raw/master/csl-citation.json"} </w:instrText>
            </w:r>
            <w:r w:rsidR="00A43D2C">
              <w:rPr>
                <w:rFonts w:ascii="Calibri" w:eastAsia="Times New Roman" w:hAnsi="Calibri" w:cs="Calibri"/>
                <w:color w:val="000000"/>
                <w:lang w:val="en-ZA" w:eastAsia="en-ZA"/>
              </w:rPr>
              <w:fldChar w:fldCharType="separate"/>
            </w:r>
            <w:r w:rsidR="00A43D2C" w:rsidRPr="00A43D2C">
              <w:rPr>
                <w:rFonts w:ascii="Calibri" w:hAnsi="Calibri" w:cs="Calibri"/>
              </w:rPr>
              <w:t>(74)</w:t>
            </w:r>
            <w:r w:rsidR="00A43D2C">
              <w:rPr>
                <w:rFonts w:ascii="Calibri" w:eastAsia="Times New Roman" w:hAnsi="Calibri" w:cs="Calibri"/>
                <w:color w:val="000000"/>
                <w:lang w:val="en-ZA" w:eastAsia="en-ZA"/>
              </w:rPr>
              <w:fldChar w:fldCharType="end"/>
            </w:r>
          </w:p>
        </w:tc>
        <w:tc>
          <w:tcPr>
            <w:tcW w:w="1464" w:type="dxa"/>
            <w:noWrap/>
            <w:hideMark/>
          </w:tcPr>
          <w:p w14:paraId="1E8A1B3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2EBF515A"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B8AFB02" w14:textId="77777777" w:rsidTr="00366ACD">
        <w:trPr>
          <w:trHeight w:val="270"/>
        </w:trPr>
        <w:tc>
          <w:tcPr>
            <w:tcW w:w="2703" w:type="dxa"/>
            <w:noWrap/>
            <w:hideMark/>
          </w:tcPr>
          <w:p w14:paraId="7B1C95C3" w14:textId="62A23B8D" w:rsidR="00696AF0" w:rsidRPr="00696AF0" w:rsidRDefault="00696AF0" w:rsidP="00A43D2C">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Karlen</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A43D2C">
              <w:rPr>
                <w:rFonts w:ascii="Calibri" w:eastAsia="Times New Roman" w:hAnsi="Calibri" w:cs="Calibri"/>
                <w:color w:val="000000"/>
                <w:lang w:val="en-ZA" w:eastAsia="en-ZA"/>
              </w:rPr>
              <w:t xml:space="preserve"> </w:t>
            </w:r>
            <w:r w:rsidR="00A43D2C">
              <w:rPr>
                <w:rFonts w:ascii="Calibri" w:eastAsia="Times New Roman" w:hAnsi="Calibri" w:cs="Calibri"/>
                <w:color w:val="000000"/>
                <w:lang w:val="en-ZA" w:eastAsia="en-ZA"/>
              </w:rPr>
              <w:fldChar w:fldCharType="begin"/>
            </w:r>
            <w:r w:rsidR="00A43D2C">
              <w:rPr>
                <w:rFonts w:ascii="Calibri" w:eastAsia="Times New Roman" w:hAnsi="Calibri" w:cs="Calibri"/>
                <w:color w:val="000000"/>
                <w:lang w:val="en-ZA" w:eastAsia="en-ZA"/>
              </w:rPr>
              <w:instrText xml:space="preserve"> ADDIN ZOTERO_ITEM CSL_CITATION {"citationID":"Ij13Pujx","properties":{"formattedCitation":"(75)","plainCitation":"(75)","noteIndex":0},"citationItems":[{"id":12416,"uris":["http://zotero.org/users/6216265/items/VHQ8TV57"],"itemData":{"id":12416,"type":"article-journal","container-title":"PLoS ONE","DOI":"10.1371/journal.pone.0099266","ISSN":"1932-6203","issue":"6","journalAbbreviation":"PLoS ONE","language":"en","page":"e99266","source":"DOI.org (Crossref)","title":"Improving the Accuracy and Efficiency of Respiratory Rate Measurements in Children Using Mobile Devices","volume":"9","author":[{"family":"Karlen","given":"Walter"},{"family":"Gan","given":"Heng"},{"family":"Chiu","given":"Michelle"},{"family":"Dunsmuir","given":"Dustin"},{"family":"Zhou","given":"Guohai"},{"family":"Dumont","given":"Guy A."},{"family":"Ansermino","given":"J. Mark"}],"editor":[{"family":"Penzel","given":"Thomas"}],"issued":{"date-parts":[["2014",6,11]]}}}],"schema":"https://github.com/citation-style-language/schema/raw/master/csl-citation.json"} </w:instrText>
            </w:r>
            <w:r w:rsidR="00A43D2C">
              <w:rPr>
                <w:rFonts w:ascii="Calibri" w:eastAsia="Times New Roman" w:hAnsi="Calibri" w:cs="Calibri"/>
                <w:color w:val="000000"/>
                <w:lang w:val="en-ZA" w:eastAsia="en-ZA"/>
              </w:rPr>
              <w:fldChar w:fldCharType="separate"/>
            </w:r>
            <w:r w:rsidR="00A43D2C" w:rsidRPr="00A43D2C">
              <w:rPr>
                <w:rFonts w:ascii="Calibri" w:hAnsi="Calibri" w:cs="Calibri"/>
              </w:rPr>
              <w:t>(75)</w:t>
            </w:r>
            <w:r w:rsidR="00A43D2C">
              <w:rPr>
                <w:rFonts w:ascii="Calibri" w:eastAsia="Times New Roman" w:hAnsi="Calibri" w:cs="Calibri"/>
                <w:color w:val="000000"/>
                <w:lang w:val="en-ZA" w:eastAsia="en-ZA"/>
              </w:rPr>
              <w:fldChar w:fldCharType="end"/>
            </w:r>
          </w:p>
        </w:tc>
        <w:tc>
          <w:tcPr>
            <w:tcW w:w="1464" w:type="dxa"/>
            <w:noWrap/>
            <w:hideMark/>
          </w:tcPr>
          <w:p w14:paraId="12AA501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2014</w:t>
            </w:r>
          </w:p>
        </w:tc>
        <w:tc>
          <w:tcPr>
            <w:tcW w:w="2043" w:type="dxa"/>
            <w:noWrap/>
            <w:hideMark/>
          </w:tcPr>
          <w:p w14:paraId="5CB51AC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758D058E" w14:textId="77777777" w:rsidTr="00366ACD">
        <w:trPr>
          <w:trHeight w:val="270"/>
        </w:trPr>
        <w:tc>
          <w:tcPr>
            <w:tcW w:w="2703" w:type="dxa"/>
            <w:noWrap/>
            <w:hideMark/>
          </w:tcPr>
          <w:p w14:paraId="2DCC515F" w14:textId="04D38BDC" w:rsidR="00696AF0" w:rsidRPr="00696AF0" w:rsidRDefault="00696AF0" w:rsidP="002438AC">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Karp </w:t>
            </w:r>
            <w:r w:rsidR="000620EA">
              <w:rPr>
                <w:rFonts w:ascii="Calibri" w:eastAsia="Times New Roman" w:hAnsi="Calibri" w:cs="Calibri"/>
                <w:color w:val="000000"/>
                <w:lang w:val="en-ZA" w:eastAsia="en-ZA"/>
              </w:rPr>
              <w:t>et al.</w:t>
            </w:r>
            <w:r w:rsidR="002438AC">
              <w:rPr>
                <w:rFonts w:ascii="Calibri" w:eastAsia="Times New Roman" w:hAnsi="Calibri" w:cs="Calibri"/>
                <w:color w:val="000000"/>
                <w:lang w:val="en-ZA" w:eastAsia="en-ZA"/>
              </w:rPr>
              <w:t xml:space="preserve"> </w:t>
            </w:r>
            <w:r w:rsidR="002438AC">
              <w:rPr>
                <w:rFonts w:ascii="Calibri" w:eastAsia="Times New Roman" w:hAnsi="Calibri" w:cs="Calibri"/>
                <w:color w:val="000000"/>
                <w:lang w:val="en-ZA" w:eastAsia="en-ZA"/>
              </w:rPr>
              <w:fldChar w:fldCharType="begin"/>
            </w:r>
            <w:r w:rsidR="002438AC">
              <w:rPr>
                <w:rFonts w:ascii="Calibri" w:eastAsia="Times New Roman" w:hAnsi="Calibri" w:cs="Calibri"/>
                <w:color w:val="000000"/>
                <w:lang w:val="en-ZA" w:eastAsia="en-ZA"/>
              </w:rPr>
              <w:instrText xml:space="preserve"> ADDIN ZOTERO_ITEM CSL_CITATION {"citationID":"rmFoOwlH","properties":{"formattedCitation":"(76)","plainCitation":"(76)","noteIndex":0},"citationItems":[{"id":12418,"uris":["http://zotero.org/users/6216265/items/8ZJGD6A7"],"itemData":{"id":12418,"type":"article-journal","container-title":"Vaccine","DOI":"10.1016/j.vaccine.2015.05.071","ISSN":"0264410X","issue":"30","journalAbbreviation":"Vaccine","language":"en","page":"3471-3479","source":"DOI.org (Crossref)","title":"Evaluating the value proposition for improving vaccine thermostability to increase vaccine impact in low and middle-income countries","volume":"33","author":[{"family":"Karp","given":"Christopher L."},{"family":"Lans","given":"Deborah"},{"family":"Esparza","given":"José"},{"family":"Edson","given":"Eleanore B."},{"family":"Owen","given":"Katey E."},{"family":"Wilson","given":"Christopher B."},{"family":"Heaton","given":"Penny M."},{"family":"Levine","given":"Orin S."},{"family":"Rao","given":"Raja"}],"issued":{"date-parts":[["2015",7]]}}}],"schema":"https://github.com/citation-style-language/schema/raw/master/csl-citation.json"} </w:instrText>
            </w:r>
            <w:r w:rsidR="002438AC">
              <w:rPr>
                <w:rFonts w:ascii="Calibri" w:eastAsia="Times New Roman" w:hAnsi="Calibri" w:cs="Calibri"/>
                <w:color w:val="000000"/>
                <w:lang w:val="en-ZA" w:eastAsia="en-ZA"/>
              </w:rPr>
              <w:fldChar w:fldCharType="separate"/>
            </w:r>
            <w:r w:rsidR="002438AC" w:rsidRPr="002438AC">
              <w:rPr>
                <w:rFonts w:ascii="Calibri" w:hAnsi="Calibri" w:cs="Calibri"/>
              </w:rPr>
              <w:t>(76)</w:t>
            </w:r>
            <w:r w:rsidR="002438AC">
              <w:rPr>
                <w:rFonts w:ascii="Calibri" w:eastAsia="Times New Roman" w:hAnsi="Calibri" w:cs="Calibri"/>
                <w:color w:val="000000"/>
                <w:lang w:val="en-ZA" w:eastAsia="en-ZA"/>
              </w:rPr>
              <w:fldChar w:fldCharType="end"/>
            </w:r>
          </w:p>
        </w:tc>
        <w:tc>
          <w:tcPr>
            <w:tcW w:w="1464" w:type="dxa"/>
            <w:noWrap/>
            <w:hideMark/>
          </w:tcPr>
          <w:p w14:paraId="125A7498"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2015</w:t>
            </w:r>
          </w:p>
        </w:tc>
        <w:tc>
          <w:tcPr>
            <w:tcW w:w="2043" w:type="dxa"/>
            <w:noWrap/>
            <w:hideMark/>
          </w:tcPr>
          <w:p w14:paraId="77D5A41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7FB4896E" w14:textId="77777777" w:rsidTr="00366ACD">
        <w:trPr>
          <w:trHeight w:val="270"/>
        </w:trPr>
        <w:tc>
          <w:tcPr>
            <w:tcW w:w="2703" w:type="dxa"/>
            <w:noWrap/>
            <w:hideMark/>
          </w:tcPr>
          <w:p w14:paraId="3E1B0AA1" w14:textId="42A91F29" w:rsidR="00696AF0" w:rsidRPr="00696AF0" w:rsidRDefault="00696AF0" w:rsidP="002438AC">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Kauss</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2438AC">
              <w:rPr>
                <w:rFonts w:ascii="Calibri" w:eastAsia="Times New Roman" w:hAnsi="Calibri" w:cs="Calibri"/>
                <w:color w:val="000000"/>
                <w:lang w:val="en-ZA" w:eastAsia="en-ZA"/>
              </w:rPr>
              <w:t xml:space="preserve"> </w:t>
            </w:r>
            <w:r w:rsidR="002438AC">
              <w:rPr>
                <w:rFonts w:ascii="Calibri" w:eastAsia="Times New Roman" w:hAnsi="Calibri" w:cs="Calibri"/>
                <w:color w:val="000000"/>
                <w:lang w:val="en-ZA" w:eastAsia="en-ZA"/>
              </w:rPr>
              <w:fldChar w:fldCharType="begin"/>
            </w:r>
            <w:r w:rsidR="002438AC">
              <w:rPr>
                <w:rFonts w:ascii="Calibri" w:eastAsia="Times New Roman" w:hAnsi="Calibri" w:cs="Calibri"/>
                <w:color w:val="000000"/>
                <w:lang w:val="en-ZA" w:eastAsia="en-ZA"/>
              </w:rPr>
              <w:instrText xml:space="preserve"> ADDIN ZOTERO_ITEM CSL_CITATION {"citationID":"tX06eBw2","properties":{"formattedCitation":"(77)","plainCitation":"(77)","noteIndex":0},"citationItems":[{"id":12419,"uris":["http://zotero.org/users/6216265/items/PWALT9FH"],"itemData":{"id":12419,"type":"article-journal","container-title":"International Journal of Pharmaceutics","DOI":"10.1016/j.ijpharm.2012.11.040","ISSN":"03785173","issue":"1-2","journalAbbreviation":"International Journal of Pharmaceutics","language":"en","page":"218-226","source":"DOI.org (Crossref)","title":"Pharmaceutical development and optimization of azithromycin suppository for paediatric use","volume":"441","author":[{"family":"Kauss","given":"Tina"},{"family":"Gaubert","given":"Alexandra"},{"family":"Boyer","given":"Chantal"},{"family":"Ba","given":"Boubakar B."},{"family":"Manse","given":"Muriel"},{"family":"Massip","given":"Stephane"},{"family":"Léger","given":"Jean-Michel"},{"family":"Fawaz","given":"Fawaz"},{"family":"Lembege","given":"Martine"},{"family":"Boiron","given":"Jean-Michel"},{"family":"Lafarge","given":"Xavier"},{"family":"Lindegardh","given":"Niklas"},{"family":"White","given":"Nicholas J."},{"family":"Olliaro","given":"Piero"},{"family":"Millet","given":"Pascal"},{"family":"Gaudin","given":"Karen"}],"issued":{"date-parts":[["2013",1]]}}}],"schema":"https://github.com/citation-style-language/schema/raw/master/csl-citation.json"} </w:instrText>
            </w:r>
            <w:r w:rsidR="002438AC">
              <w:rPr>
                <w:rFonts w:ascii="Calibri" w:eastAsia="Times New Roman" w:hAnsi="Calibri" w:cs="Calibri"/>
                <w:color w:val="000000"/>
                <w:lang w:val="en-ZA" w:eastAsia="en-ZA"/>
              </w:rPr>
              <w:fldChar w:fldCharType="separate"/>
            </w:r>
            <w:r w:rsidR="002438AC" w:rsidRPr="002438AC">
              <w:rPr>
                <w:rFonts w:ascii="Calibri" w:hAnsi="Calibri" w:cs="Calibri"/>
              </w:rPr>
              <w:t>(77)</w:t>
            </w:r>
            <w:r w:rsidR="002438AC">
              <w:rPr>
                <w:rFonts w:ascii="Calibri" w:eastAsia="Times New Roman" w:hAnsi="Calibri" w:cs="Calibri"/>
                <w:color w:val="000000"/>
                <w:lang w:val="en-ZA" w:eastAsia="en-ZA"/>
              </w:rPr>
              <w:fldChar w:fldCharType="end"/>
            </w:r>
          </w:p>
        </w:tc>
        <w:tc>
          <w:tcPr>
            <w:tcW w:w="1464" w:type="dxa"/>
            <w:noWrap/>
            <w:hideMark/>
          </w:tcPr>
          <w:p w14:paraId="2E7387A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2013</w:t>
            </w:r>
          </w:p>
        </w:tc>
        <w:tc>
          <w:tcPr>
            <w:tcW w:w="2043" w:type="dxa"/>
            <w:noWrap/>
            <w:hideMark/>
          </w:tcPr>
          <w:p w14:paraId="0BC62502"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F37DE55" w14:textId="77777777" w:rsidTr="00366ACD">
        <w:trPr>
          <w:trHeight w:val="270"/>
        </w:trPr>
        <w:tc>
          <w:tcPr>
            <w:tcW w:w="2703" w:type="dxa"/>
            <w:noWrap/>
            <w:hideMark/>
          </w:tcPr>
          <w:p w14:paraId="4C093C98" w14:textId="3C9ABBFA" w:rsidR="00696AF0" w:rsidRPr="00696AF0" w:rsidRDefault="00696AF0" w:rsidP="00B564D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Keiser and </w:t>
            </w:r>
            <w:proofErr w:type="spellStart"/>
            <w:r w:rsidRPr="00696AF0">
              <w:rPr>
                <w:rFonts w:ascii="Calibri" w:eastAsia="Times New Roman" w:hAnsi="Calibri" w:cs="Calibri"/>
                <w:color w:val="000000"/>
                <w:lang w:val="en-ZA" w:eastAsia="en-ZA"/>
              </w:rPr>
              <w:t>Utzinger</w:t>
            </w:r>
            <w:proofErr w:type="spellEnd"/>
            <w:r w:rsidR="00B564D0">
              <w:rPr>
                <w:rFonts w:ascii="Calibri" w:eastAsia="Times New Roman" w:hAnsi="Calibri" w:cs="Calibri"/>
                <w:color w:val="000000"/>
                <w:lang w:val="en-ZA" w:eastAsia="en-ZA"/>
              </w:rPr>
              <w:t xml:space="preserve"> </w:t>
            </w:r>
            <w:r w:rsidR="00B564D0">
              <w:rPr>
                <w:rFonts w:ascii="Calibri" w:eastAsia="Times New Roman" w:hAnsi="Calibri" w:cs="Calibri"/>
                <w:color w:val="000000"/>
                <w:lang w:val="en-ZA" w:eastAsia="en-ZA"/>
              </w:rPr>
              <w:fldChar w:fldCharType="begin"/>
            </w:r>
            <w:r w:rsidR="00B564D0">
              <w:rPr>
                <w:rFonts w:ascii="Calibri" w:eastAsia="Times New Roman" w:hAnsi="Calibri" w:cs="Calibri"/>
                <w:color w:val="000000"/>
                <w:lang w:val="en-ZA" w:eastAsia="en-ZA"/>
              </w:rPr>
              <w:instrText xml:space="preserve"> ADDIN ZOTERO_ITEM CSL_CITATION {"citationID":"np9c6AK4","properties":{"formattedCitation":"(78)","plainCitation":"(78)","noteIndex":0},"citationItems":[{"id":12421,"uris":["http://zotero.org/users/6216265/items/SLXCJNW7"],"itemData":{"id":12421,"type":"article-journal","abstract":"With just one drug used for individual patient management and community-based morbidity control, the treatment, control, and eventual elimination of schistosomiasis is vulnerable should resistance to praziquantel emerge and spread. The discovery and development of novel chemical entities that exhibit antischistosomal properties, and the repurposing of existing drugs for schistosomiasis is thus of central importance as long as praziquantel remains effective. Here, we discuss the public health relevance of schistosomiasis, which is currently considered a neglected tropical disease. We recapitulate the past and current drug armamentarium against schistosomiasis, including shortcomings and a target product profile of an antischistosomal drug. The central piece of our review is the discovery of the antischistosomal properties of various antimalarial drugs, notably the artemisinins, synthetic trioxolanes, and mefloquine. We summarize findings from preclinical investigations and experiences made thus far from clinical studies. We conclude that a closer collaboration between the malaria and schistosomiasis communities might facilitate the discovery and development of novel antischistosomal drugs, and will foster monitoring and evaluation of the ancillary benefits of antimalarial prophylaxis and treatment against schistosomiasis.","container-title":"Current Pharmaceutical Design","ISSN":"1873-4286","issue":"24","journalAbbreviation":"Curr Pharm Des","language":"eng","note":"PMID: 22607145","page":"3531-3538","source":"PubMed","title":"Antimalarials in the treatment of schistosomiasis","volume":"18","author":[{"family":"Keiser","given":"Jennifer"},{"family":"Utzinger","given":"Jurg"}],"issued":{"date-parts":[["2012"]]}}}],"schema":"https://github.com/citation-style-language/schema/raw/master/csl-citation.json"} </w:instrText>
            </w:r>
            <w:r w:rsidR="00B564D0">
              <w:rPr>
                <w:rFonts w:ascii="Calibri" w:eastAsia="Times New Roman" w:hAnsi="Calibri" w:cs="Calibri"/>
                <w:color w:val="000000"/>
                <w:lang w:val="en-ZA" w:eastAsia="en-ZA"/>
              </w:rPr>
              <w:fldChar w:fldCharType="separate"/>
            </w:r>
            <w:r w:rsidR="00B564D0" w:rsidRPr="00B564D0">
              <w:rPr>
                <w:rFonts w:ascii="Calibri" w:hAnsi="Calibri" w:cs="Calibri"/>
              </w:rPr>
              <w:t>(78)</w:t>
            </w:r>
            <w:r w:rsidR="00B564D0">
              <w:rPr>
                <w:rFonts w:ascii="Calibri" w:eastAsia="Times New Roman" w:hAnsi="Calibri" w:cs="Calibri"/>
                <w:color w:val="000000"/>
                <w:lang w:val="en-ZA" w:eastAsia="en-ZA"/>
              </w:rPr>
              <w:fldChar w:fldCharType="end"/>
            </w:r>
          </w:p>
        </w:tc>
        <w:tc>
          <w:tcPr>
            <w:tcW w:w="1464" w:type="dxa"/>
            <w:noWrap/>
            <w:hideMark/>
          </w:tcPr>
          <w:p w14:paraId="196661F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2012</w:t>
            </w:r>
          </w:p>
        </w:tc>
        <w:tc>
          <w:tcPr>
            <w:tcW w:w="2043" w:type="dxa"/>
            <w:noWrap/>
            <w:hideMark/>
          </w:tcPr>
          <w:p w14:paraId="4E4008D5"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163CE3B" w14:textId="77777777" w:rsidTr="00366ACD">
        <w:trPr>
          <w:trHeight w:val="270"/>
        </w:trPr>
        <w:tc>
          <w:tcPr>
            <w:tcW w:w="2703" w:type="dxa"/>
            <w:noWrap/>
            <w:hideMark/>
          </w:tcPr>
          <w:p w14:paraId="2D5941BD" w14:textId="6D1D301F" w:rsidR="00696AF0" w:rsidRPr="00696AF0" w:rsidRDefault="00696AF0" w:rsidP="00B564D0">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Khanolkar</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B564D0">
              <w:rPr>
                <w:rFonts w:ascii="Calibri" w:eastAsia="Times New Roman" w:hAnsi="Calibri" w:cs="Calibri"/>
                <w:color w:val="000000"/>
                <w:lang w:val="en-ZA" w:eastAsia="en-ZA"/>
              </w:rPr>
              <w:t xml:space="preserve"> </w:t>
            </w:r>
            <w:r w:rsidR="00B564D0">
              <w:rPr>
                <w:rFonts w:ascii="Calibri" w:eastAsia="Times New Roman" w:hAnsi="Calibri" w:cs="Calibri"/>
                <w:color w:val="000000"/>
                <w:lang w:val="en-ZA" w:eastAsia="en-ZA"/>
              </w:rPr>
              <w:fldChar w:fldCharType="begin"/>
            </w:r>
            <w:r w:rsidR="00B564D0">
              <w:rPr>
                <w:rFonts w:ascii="Calibri" w:eastAsia="Times New Roman" w:hAnsi="Calibri" w:cs="Calibri"/>
                <w:color w:val="000000"/>
                <w:lang w:val="en-ZA" w:eastAsia="en-ZA"/>
              </w:rPr>
              <w:instrText xml:space="preserve"> ADDIN ZOTERO_ITEM CSL_CITATION {"citationID":"xfnQCyKS","properties":{"formattedCitation":"(79)","plainCitation":"(79)","noteIndex":0},"citationItems":[{"id":12423,"uris":["http://zotero.org/users/6216265/items/R2GCSKYN"],"itemData":{"id":12423,"type":"article-journal","container-title":"AAPS PharmSciTech","DOI":"10.1208/s12249-017-0755-8","ISSN":"1530-9932","issue":"7","journalAbbreviation":"AAPS PharmSciTech","language":"en","page":"2754-2763","source":"DOI.org (Crossref)","title":"Application of Quality by Design: Development to Manufacturing of Diclofenac Sodium Topical Gel","title-short":"Application of Quality by Design","volume":"18","author":[{"family":"Khanolkar","given":"Aruna"},{"family":"Thorat","given":"Viraj"},{"family":"Raut","given":"Preeti"},{"family":"Samanta","given":"Gautam"}],"issued":{"date-parts":[["2017",10]]}}}],"schema":"https://github.com/citation-style-language/schema/raw/master/csl-citation.json"} </w:instrText>
            </w:r>
            <w:r w:rsidR="00B564D0">
              <w:rPr>
                <w:rFonts w:ascii="Calibri" w:eastAsia="Times New Roman" w:hAnsi="Calibri" w:cs="Calibri"/>
                <w:color w:val="000000"/>
                <w:lang w:val="en-ZA" w:eastAsia="en-ZA"/>
              </w:rPr>
              <w:fldChar w:fldCharType="separate"/>
            </w:r>
            <w:r w:rsidR="00B564D0" w:rsidRPr="00B564D0">
              <w:rPr>
                <w:rFonts w:ascii="Calibri" w:hAnsi="Calibri" w:cs="Calibri"/>
              </w:rPr>
              <w:t>(79)</w:t>
            </w:r>
            <w:r w:rsidR="00B564D0">
              <w:rPr>
                <w:rFonts w:ascii="Calibri" w:eastAsia="Times New Roman" w:hAnsi="Calibri" w:cs="Calibri"/>
                <w:color w:val="000000"/>
                <w:lang w:val="en-ZA" w:eastAsia="en-ZA"/>
              </w:rPr>
              <w:fldChar w:fldCharType="end"/>
            </w:r>
          </w:p>
        </w:tc>
        <w:tc>
          <w:tcPr>
            <w:tcW w:w="1464" w:type="dxa"/>
            <w:noWrap/>
            <w:hideMark/>
          </w:tcPr>
          <w:p w14:paraId="543BC7DA"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2017</w:t>
            </w:r>
          </w:p>
        </w:tc>
        <w:tc>
          <w:tcPr>
            <w:tcW w:w="2043" w:type="dxa"/>
            <w:noWrap/>
            <w:hideMark/>
          </w:tcPr>
          <w:p w14:paraId="78FC28C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22757796" w14:textId="77777777" w:rsidTr="00366ACD">
        <w:trPr>
          <w:trHeight w:val="270"/>
        </w:trPr>
        <w:tc>
          <w:tcPr>
            <w:tcW w:w="2703" w:type="dxa"/>
            <w:noWrap/>
            <w:hideMark/>
          </w:tcPr>
          <w:p w14:paraId="7CEB8060" w14:textId="13CC195D" w:rsidR="00696AF0" w:rsidRPr="00696AF0" w:rsidRDefault="00696AF0" w:rsidP="00CF7C77">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Khurana </w:t>
            </w:r>
            <w:r w:rsidR="000620EA">
              <w:rPr>
                <w:rFonts w:ascii="Calibri" w:eastAsia="Times New Roman" w:hAnsi="Calibri" w:cs="Calibri"/>
                <w:color w:val="000000"/>
                <w:lang w:val="en-ZA" w:eastAsia="en-ZA"/>
              </w:rPr>
              <w:t>et al.</w:t>
            </w:r>
            <w:r w:rsidR="00CF7C77">
              <w:rPr>
                <w:rFonts w:ascii="Calibri" w:eastAsia="Times New Roman" w:hAnsi="Calibri" w:cs="Calibri"/>
                <w:color w:val="000000"/>
                <w:lang w:val="en-ZA" w:eastAsia="en-ZA"/>
              </w:rPr>
              <w:t xml:space="preserve"> </w:t>
            </w:r>
            <w:r w:rsidR="00CF7C77">
              <w:rPr>
                <w:rFonts w:ascii="Calibri" w:eastAsia="Times New Roman" w:hAnsi="Calibri" w:cs="Calibri"/>
                <w:color w:val="000000"/>
                <w:lang w:val="en-ZA" w:eastAsia="en-ZA"/>
              </w:rPr>
              <w:fldChar w:fldCharType="begin"/>
            </w:r>
            <w:r w:rsidR="00CF7C77">
              <w:rPr>
                <w:rFonts w:ascii="Calibri" w:eastAsia="Times New Roman" w:hAnsi="Calibri" w:cs="Calibri"/>
                <w:color w:val="000000"/>
                <w:lang w:val="en-ZA" w:eastAsia="en-ZA"/>
              </w:rPr>
              <w:instrText xml:space="preserve"> ADDIN ZOTERO_ITEM CSL_CITATION {"citationID":"7mhhmx2t","properties":{"formattedCitation":"(80)","plainCitation":"(80)","noteIndex":0},"citationItems":[{"id":695,"uris":["http://zotero.org/users/6216265/items/SYXYCCVI"],"itemData":{"id":695,"type":"article-journal","abstract":"BACKGROUND: Resveratrol is a wonder therapy for the treatment of several skin disorders, including psoriasis, but its skin permeation limits its applications.  OBJECTIVE: The present work dealt with optimizing and formulating resveratrol  loaded vitamin E based nanoemulsion and carbomer based nanoemulgel intended for  topical application in the treatment of plaque psoriasis. The major objective of  this study was to achieve the quality target product profile with respect to  enhanced skin permeation and superior skin deposition of the formulated  nanoemulgel to achieve the superlative therapeutic advantages. METHODS:  Formulation by design (FbD) approach was employed to optimize varied critical  material attributes such as the concentration of oil and Smix to achieve the  desired quality characteristics. Carbomer based nanoemulgel was formulated and  evaluated. RESULTS: Optimized formulation was having globule size (168.3 ± 4.98  nm), percentage cumulative permeation (4.81 ± 0.65%), permeation flux (7.62 ±  0.39 μg hr-1cm-2), and skin deposition (668.65 ± 11.98 μg cm-2). Nanoemulgel was  found to have optimum physical properties in terms of viscosity, spreadability,  pH and physical stability. The extent of skin deposition was approximately 6.682  times higher while the permeation enhancement ratio was around 2.872 as compared  to conventional formulation indicating its higher skin targeting abilities, which  was further ratified by Confocal Laser Scanning Microscopy results. CONCLUSION:  Nanoemulgel formulated by the current FbD approach has enhanced skin permeation  and skin deposition properties as compared to conventional carbomer gel. Thus, it  could augment the therapeutic benefits of encapsulated bioactive in the treatment  of several skin disorders like psoriasis.","container-title":"Pharmaceutical nanotechnology","DOI":"10.2174/2211738508666200129160027","ISSN":"2211-7393 2211-7385","issue":"2","journalAbbreviation":"Pharm Nanotechnol","language":"eng","license":"Copyright© Bentham Science Publishers; For any queries, please email at epub@benthamscience.net.","note":"publisher-place: United Arab Emirates\nPMID: 31995028","page":"91-107","title":"FbD Supported Development and In Vitro Evaluation of Carbomer based Resveratrol Loaded Topical Antipsoriatic Nanoemulgel for its Targeted Skin Delivery.","volume":"8","author":[{"family":"Khurana","given":"Bharat"},{"family":"Arora","given":"Daisy"},{"family":"Narang","given":"Raj K."}],"issued":{"date-parts":[["2020"]]}}}],"schema":"https://github.com/citation-style-language/schema/raw/master/csl-citation.json"} </w:instrText>
            </w:r>
            <w:r w:rsidR="00CF7C77">
              <w:rPr>
                <w:rFonts w:ascii="Calibri" w:eastAsia="Times New Roman" w:hAnsi="Calibri" w:cs="Calibri"/>
                <w:color w:val="000000"/>
                <w:lang w:val="en-ZA" w:eastAsia="en-ZA"/>
              </w:rPr>
              <w:fldChar w:fldCharType="separate"/>
            </w:r>
            <w:r w:rsidR="00CF7C77" w:rsidRPr="00CF7C77">
              <w:rPr>
                <w:rFonts w:ascii="Calibri" w:hAnsi="Calibri" w:cs="Calibri"/>
              </w:rPr>
              <w:t>(80)</w:t>
            </w:r>
            <w:r w:rsidR="00CF7C77">
              <w:rPr>
                <w:rFonts w:ascii="Calibri" w:eastAsia="Times New Roman" w:hAnsi="Calibri" w:cs="Calibri"/>
                <w:color w:val="000000"/>
                <w:lang w:val="en-ZA" w:eastAsia="en-ZA"/>
              </w:rPr>
              <w:fldChar w:fldCharType="end"/>
            </w:r>
          </w:p>
        </w:tc>
        <w:tc>
          <w:tcPr>
            <w:tcW w:w="1464" w:type="dxa"/>
            <w:noWrap/>
            <w:hideMark/>
          </w:tcPr>
          <w:p w14:paraId="71A8E5F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5FC07D21"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F17AAC4" w14:textId="77777777" w:rsidTr="00366ACD">
        <w:trPr>
          <w:trHeight w:val="270"/>
        </w:trPr>
        <w:tc>
          <w:tcPr>
            <w:tcW w:w="2703" w:type="dxa"/>
            <w:noWrap/>
            <w:hideMark/>
          </w:tcPr>
          <w:p w14:paraId="0F7978DB" w14:textId="17F5C141" w:rsidR="00696AF0" w:rsidRPr="00696AF0" w:rsidRDefault="00696AF0" w:rsidP="00CF7C77">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Kik </w:t>
            </w:r>
            <w:r w:rsidR="000620EA">
              <w:rPr>
                <w:rFonts w:ascii="Calibri" w:eastAsia="Times New Roman" w:hAnsi="Calibri" w:cs="Calibri"/>
                <w:color w:val="000000"/>
                <w:lang w:val="en-ZA" w:eastAsia="en-ZA"/>
              </w:rPr>
              <w:t>et al.</w:t>
            </w:r>
            <w:r w:rsidR="00CF7C77">
              <w:rPr>
                <w:rFonts w:ascii="Calibri" w:eastAsia="Times New Roman" w:hAnsi="Calibri" w:cs="Calibri"/>
                <w:color w:val="000000"/>
                <w:lang w:val="en-ZA" w:eastAsia="en-ZA"/>
              </w:rPr>
              <w:t xml:space="preserve"> </w:t>
            </w:r>
            <w:r w:rsidR="00CF7C77">
              <w:rPr>
                <w:rFonts w:ascii="Calibri" w:eastAsia="Times New Roman" w:hAnsi="Calibri" w:cs="Calibri"/>
                <w:color w:val="000000"/>
                <w:lang w:val="en-ZA" w:eastAsia="en-ZA"/>
              </w:rPr>
              <w:fldChar w:fldCharType="begin"/>
            </w:r>
            <w:r w:rsidR="00CF7C77">
              <w:rPr>
                <w:rFonts w:ascii="Calibri" w:eastAsia="Times New Roman" w:hAnsi="Calibri" w:cs="Calibri"/>
                <w:color w:val="000000"/>
                <w:lang w:val="en-ZA" w:eastAsia="en-ZA"/>
              </w:rPr>
              <w:instrText xml:space="preserve"> ADDIN ZOTERO_ITEM CSL_CITATION {"citationID":"8k1Vsiv6","properties":{"formattedCitation":"(81)","plainCitation":"(81)","noteIndex":0},"citationItems":[{"id":12425,"uris":["http://zotero.org/users/6216265/items/7LNQAN4U"],"itemData":{"id":12425,"type":"article-journal","abstract":"Novel accurate tests are needed that identify individuals infected with\n              Mycobacterium tuberculosis\n              who have incipient disease and are likely to develop clinical tuberculosis (TB) in the near future to allow for targeted preventive treatment beyond the current risk groups. Recently, a target product profile was developed that outlines the minimal and optimal characteristics for such an incipient TB test. We describe an evaluation framework for generating evidence to inform the development of policy guidance for the use of such a new test by the World Health Organization. Two research objectives are addressed. 1) The predictive ability of an incipient TB test should be assessed in clinical evaluation studies that include the intended target population and follow-up of sufficient duration to observe whether individuals do or do not progress to clinical TB disease. 2) Studies are needed to evaluate the test under routine programmatic conditions and measure its impact on patient- or health-system-important outcomes. For both research objectives, study designs, methods and analysis are described, with the intent to inform the clinical development plans of test manufacturers, researchers and funders.","container-title":"European Respiratory Journal","DOI":"10.1183/13993003.00946-2018","ISSN":"0903-1936, 1399-3003","issue":"4","journalAbbreviation":"Eur Respir J","language":"en","page":"1800946","source":"DOI.org (Crossref)","title":"An evaluation framework for new tests that predict progression from tuberculosis infection to clinical disease","volume":"52","author":[{"family":"Kik","given":"Sandra V."},{"family":"Schumacher","given":"Samuel"},{"family":"Cirillo","given":"Daniela Maria"},{"family":"Churchyard","given":"Gavin"},{"family":"Boehme","given":"Catharina"},{"family":"Goletti","given":"Delia"},{"family":"Rangaka","given":"Molebogeng X."},{"family":"Denkinger","given":"Claudia M."},{"family":"Lienhardt","given":"Christian"},{"family":"Gilpin","given":"Christopher"},{"family":"Matteelli","given":"Alberto"},{"family":"Cobelens","given":"Frank"}],"issued":{"date-parts":[["2018",10]]}}}],"schema":"https://github.com/citation-style-language/schema/raw/master/csl-citation.json"} </w:instrText>
            </w:r>
            <w:r w:rsidR="00CF7C77">
              <w:rPr>
                <w:rFonts w:ascii="Calibri" w:eastAsia="Times New Roman" w:hAnsi="Calibri" w:cs="Calibri"/>
                <w:color w:val="000000"/>
                <w:lang w:val="en-ZA" w:eastAsia="en-ZA"/>
              </w:rPr>
              <w:fldChar w:fldCharType="separate"/>
            </w:r>
            <w:r w:rsidR="00CF7C77" w:rsidRPr="00CF7C77">
              <w:rPr>
                <w:rFonts w:ascii="Calibri" w:hAnsi="Calibri" w:cs="Calibri"/>
              </w:rPr>
              <w:t>(81)</w:t>
            </w:r>
            <w:r w:rsidR="00CF7C77">
              <w:rPr>
                <w:rFonts w:ascii="Calibri" w:eastAsia="Times New Roman" w:hAnsi="Calibri" w:cs="Calibri"/>
                <w:color w:val="000000"/>
                <w:lang w:val="en-ZA" w:eastAsia="en-ZA"/>
              </w:rPr>
              <w:fldChar w:fldCharType="end"/>
            </w:r>
          </w:p>
        </w:tc>
        <w:tc>
          <w:tcPr>
            <w:tcW w:w="1464" w:type="dxa"/>
            <w:noWrap/>
            <w:hideMark/>
          </w:tcPr>
          <w:p w14:paraId="421E285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2018</w:t>
            </w:r>
          </w:p>
        </w:tc>
        <w:tc>
          <w:tcPr>
            <w:tcW w:w="2043" w:type="dxa"/>
            <w:noWrap/>
            <w:hideMark/>
          </w:tcPr>
          <w:p w14:paraId="5D28736E"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B412E28" w14:textId="77777777" w:rsidTr="00366ACD">
        <w:trPr>
          <w:trHeight w:val="270"/>
        </w:trPr>
        <w:tc>
          <w:tcPr>
            <w:tcW w:w="2703" w:type="dxa"/>
            <w:noWrap/>
            <w:hideMark/>
          </w:tcPr>
          <w:p w14:paraId="69FEE95B" w14:textId="4A03A47E" w:rsidR="00696AF0" w:rsidRPr="00696AF0" w:rsidRDefault="00696AF0" w:rsidP="00E83FDC">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Killeen </w:t>
            </w:r>
            <w:r w:rsidR="000620EA">
              <w:rPr>
                <w:rFonts w:ascii="Calibri" w:eastAsia="Times New Roman" w:hAnsi="Calibri" w:cs="Calibri"/>
                <w:color w:val="000000"/>
                <w:lang w:val="en-ZA" w:eastAsia="en-ZA"/>
              </w:rPr>
              <w:t>et al.</w:t>
            </w:r>
            <w:r w:rsidR="00E83FDC">
              <w:rPr>
                <w:rFonts w:ascii="Calibri" w:eastAsia="Times New Roman" w:hAnsi="Calibri" w:cs="Calibri"/>
                <w:color w:val="000000"/>
                <w:lang w:val="en-ZA" w:eastAsia="en-ZA"/>
              </w:rPr>
              <w:t xml:space="preserve"> </w:t>
            </w:r>
            <w:r w:rsidR="00E83FDC">
              <w:rPr>
                <w:rFonts w:ascii="Calibri" w:eastAsia="Times New Roman" w:hAnsi="Calibri" w:cs="Calibri"/>
                <w:color w:val="000000"/>
                <w:lang w:val="en-ZA" w:eastAsia="en-ZA"/>
              </w:rPr>
              <w:fldChar w:fldCharType="begin"/>
            </w:r>
            <w:r w:rsidR="00E83FDC">
              <w:rPr>
                <w:rFonts w:ascii="Calibri" w:eastAsia="Times New Roman" w:hAnsi="Calibri" w:cs="Calibri"/>
                <w:color w:val="000000"/>
                <w:lang w:val="en-ZA" w:eastAsia="en-ZA"/>
              </w:rPr>
              <w:instrText xml:space="preserve"> ADDIN ZOTERO_ITEM CSL_CITATION {"citationID":"sBoGkKHz","properties":{"formattedCitation":"(82)","plainCitation":"(82)","noteIndex":0},"citationItems":[{"id":12427,"uris":["http://zotero.org/users/6216265/items/YUXTWNYF"],"itemData":{"id":12427,"type":"article-journal","container-title":"Malaria Journal","DOI":"10.1186/1475-2875-10-207","ISSN":"1475-2875","issue":"1","journalAbbreviation":"Malar J","language":"en","page":"207","source":"DOI.org (Crossref)","title":"Target product profile choices for intra-domiciliary malaria vector control pesticide products: repel or kill?","title-short":"Target product profile choices for intra-domiciliary malaria vector control pesticide products","volume":"10","author":[{"family":"Killeen","given":"Gerry F"},{"family":"Chitnis","given":"Nakul"},{"family":"Moore","given":"Sarah J"},{"family":"Okumu","given":"Fredros O"}],"issued":{"date-parts":[["2011",12]]}}}],"schema":"https://github.com/citation-style-language/schema/raw/master/csl-citation.json"} </w:instrText>
            </w:r>
            <w:r w:rsidR="00E83FDC">
              <w:rPr>
                <w:rFonts w:ascii="Calibri" w:eastAsia="Times New Roman" w:hAnsi="Calibri" w:cs="Calibri"/>
                <w:color w:val="000000"/>
                <w:lang w:val="en-ZA" w:eastAsia="en-ZA"/>
              </w:rPr>
              <w:fldChar w:fldCharType="separate"/>
            </w:r>
            <w:r w:rsidR="00E83FDC" w:rsidRPr="00E83FDC">
              <w:rPr>
                <w:rFonts w:ascii="Calibri" w:hAnsi="Calibri" w:cs="Calibri"/>
              </w:rPr>
              <w:t>(82)</w:t>
            </w:r>
            <w:r w:rsidR="00E83FDC">
              <w:rPr>
                <w:rFonts w:ascii="Calibri" w:eastAsia="Times New Roman" w:hAnsi="Calibri" w:cs="Calibri"/>
                <w:color w:val="000000"/>
                <w:lang w:val="en-ZA" w:eastAsia="en-ZA"/>
              </w:rPr>
              <w:fldChar w:fldCharType="end"/>
            </w:r>
          </w:p>
        </w:tc>
        <w:tc>
          <w:tcPr>
            <w:tcW w:w="1464" w:type="dxa"/>
            <w:noWrap/>
            <w:hideMark/>
          </w:tcPr>
          <w:p w14:paraId="734B453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2011</w:t>
            </w:r>
          </w:p>
        </w:tc>
        <w:tc>
          <w:tcPr>
            <w:tcW w:w="2043" w:type="dxa"/>
            <w:noWrap/>
            <w:hideMark/>
          </w:tcPr>
          <w:p w14:paraId="7FFFCB0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D537C11" w14:textId="77777777" w:rsidTr="00366ACD">
        <w:trPr>
          <w:trHeight w:val="270"/>
        </w:trPr>
        <w:tc>
          <w:tcPr>
            <w:tcW w:w="2703" w:type="dxa"/>
            <w:noWrap/>
            <w:hideMark/>
          </w:tcPr>
          <w:p w14:paraId="6E94A811" w14:textId="19E84B8B" w:rsidR="00696AF0" w:rsidRPr="00696AF0" w:rsidRDefault="00696AF0" w:rsidP="00E83FDC">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Kondo and </w:t>
            </w:r>
            <w:proofErr w:type="spellStart"/>
            <w:r w:rsidRPr="00696AF0">
              <w:rPr>
                <w:rFonts w:ascii="Calibri" w:eastAsia="Times New Roman" w:hAnsi="Calibri" w:cs="Calibri"/>
                <w:color w:val="000000"/>
                <w:lang w:val="en-ZA" w:eastAsia="en-ZA"/>
              </w:rPr>
              <w:t>Sako</w:t>
            </w:r>
            <w:proofErr w:type="spellEnd"/>
            <w:r w:rsidR="00E83FDC">
              <w:rPr>
                <w:rFonts w:ascii="Calibri" w:eastAsia="Times New Roman" w:hAnsi="Calibri" w:cs="Calibri"/>
                <w:color w:val="000000"/>
                <w:lang w:val="en-ZA" w:eastAsia="en-ZA"/>
              </w:rPr>
              <w:t xml:space="preserve"> </w:t>
            </w:r>
            <w:r w:rsidR="00E83FDC">
              <w:rPr>
                <w:rFonts w:ascii="Calibri" w:eastAsia="Times New Roman" w:hAnsi="Calibri" w:cs="Calibri"/>
                <w:color w:val="000000"/>
                <w:lang w:val="en-ZA" w:eastAsia="en-ZA"/>
              </w:rPr>
              <w:fldChar w:fldCharType="begin"/>
            </w:r>
            <w:r w:rsidR="00E83FDC">
              <w:rPr>
                <w:rFonts w:ascii="Calibri" w:eastAsia="Times New Roman" w:hAnsi="Calibri" w:cs="Calibri"/>
                <w:color w:val="000000"/>
                <w:lang w:val="en-ZA" w:eastAsia="en-ZA"/>
              </w:rPr>
              <w:instrText xml:space="preserve"> ADDIN ZOTERO_ITEM CSL_CITATION {"citationID":"s65ABFZ8","properties":{"formattedCitation":"(83)","plainCitation":"(83)","noteIndex":0},"citationItems":[{"id":9,"uris":["http://zotero.org/users/6216265/items/ZLI3UH36"],"itemData":{"id":9,"type":"article-journal","abstract":"Drug products are developed to meet multiple targets, thereby increasing their value. Pharmaceutical scientists encounter several trade-offs during the  development of novel oral formulations. These trade-offs are generated by their  desire to supply the highest possible quality products under the prevailing  conditions of limited time and cost, and feasible options. When there are two  incompatible factors, it is sometimes difficult to dismiss one element. This is  because a quality target product profile (QTPP) is critical for each product  being developed, and all elements should basically be satisfied with the  criteria. Therefore, technological innovation becomes important to overcome the  trade-offs. This article introduces examples of such innovations which have been  successful in doing this, as well as some encountered in the oral formulation  development and in the selection of proper dosage forms. Based on these examples,  points to be considered in order to produce the drug product are thoroughly  discussed.","container-title":"Yakugaku zasshi : Journal of the Pharmaceutical Society of Japan","DOI":"10.1248/yakushi.14-00228-2","ISSN":"1347-5231 0031-6903","issue":"2","journalAbbreviation":"Yakugaku Zasshi","language":"jpn","note":"publisher-place: Japan\nPMID: 25747218","page":"229-235","title":"[Trade-offs in oral drug product development].","volume":"135","author":[{"family":"Kondo","given":"Hiromu"},{"family":"Sako","given":"Kazuhiro"}],"issued":{"date-parts":[["2015"]]}}}],"schema":"https://github.com/citation-style-language/schema/raw/master/csl-citation.json"} </w:instrText>
            </w:r>
            <w:r w:rsidR="00E83FDC">
              <w:rPr>
                <w:rFonts w:ascii="Calibri" w:eastAsia="Times New Roman" w:hAnsi="Calibri" w:cs="Calibri"/>
                <w:color w:val="000000"/>
                <w:lang w:val="en-ZA" w:eastAsia="en-ZA"/>
              </w:rPr>
              <w:fldChar w:fldCharType="separate"/>
            </w:r>
            <w:r w:rsidR="00E83FDC" w:rsidRPr="00E83FDC">
              <w:rPr>
                <w:rFonts w:ascii="Calibri" w:hAnsi="Calibri" w:cs="Calibri"/>
              </w:rPr>
              <w:t>(83)</w:t>
            </w:r>
            <w:r w:rsidR="00E83FDC">
              <w:rPr>
                <w:rFonts w:ascii="Calibri" w:eastAsia="Times New Roman" w:hAnsi="Calibri" w:cs="Calibri"/>
                <w:color w:val="000000"/>
                <w:lang w:val="en-ZA" w:eastAsia="en-ZA"/>
              </w:rPr>
              <w:fldChar w:fldCharType="end"/>
            </w:r>
          </w:p>
        </w:tc>
        <w:tc>
          <w:tcPr>
            <w:tcW w:w="1464" w:type="dxa"/>
            <w:noWrap/>
            <w:hideMark/>
          </w:tcPr>
          <w:p w14:paraId="580097D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2015</w:t>
            </w:r>
          </w:p>
        </w:tc>
        <w:tc>
          <w:tcPr>
            <w:tcW w:w="2043" w:type="dxa"/>
            <w:noWrap/>
            <w:hideMark/>
          </w:tcPr>
          <w:p w14:paraId="45DD90E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Publication not in English (Japanese)</w:t>
            </w:r>
          </w:p>
        </w:tc>
      </w:tr>
      <w:tr w:rsidR="00696AF0" w:rsidRPr="00696AF0" w14:paraId="216BC420" w14:textId="77777777" w:rsidTr="00366ACD">
        <w:trPr>
          <w:trHeight w:val="270"/>
        </w:trPr>
        <w:tc>
          <w:tcPr>
            <w:tcW w:w="2703" w:type="dxa"/>
            <w:noWrap/>
            <w:hideMark/>
          </w:tcPr>
          <w:p w14:paraId="46CB6BDF" w14:textId="08CA535D" w:rsidR="00696AF0" w:rsidRPr="00696AF0" w:rsidRDefault="00696AF0" w:rsidP="00443F28">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Kotraiah</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443F28">
              <w:rPr>
                <w:rFonts w:ascii="Calibri" w:eastAsia="Times New Roman" w:hAnsi="Calibri" w:cs="Calibri"/>
                <w:color w:val="000000"/>
                <w:lang w:val="en-ZA" w:eastAsia="en-ZA"/>
              </w:rPr>
              <w:t xml:space="preserve"> </w:t>
            </w:r>
            <w:r w:rsidR="00443F28">
              <w:rPr>
                <w:rFonts w:ascii="Calibri" w:eastAsia="Times New Roman" w:hAnsi="Calibri" w:cs="Calibri"/>
                <w:color w:val="000000"/>
                <w:lang w:val="en-ZA" w:eastAsia="en-ZA"/>
              </w:rPr>
              <w:fldChar w:fldCharType="begin"/>
            </w:r>
            <w:r w:rsidR="00443F28">
              <w:rPr>
                <w:rFonts w:ascii="Calibri" w:eastAsia="Times New Roman" w:hAnsi="Calibri" w:cs="Calibri"/>
                <w:color w:val="000000"/>
                <w:lang w:val="en-ZA" w:eastAsia="en-ZA"/>
              </w:rPr>
              <w:instrText xml:space="preserve"> ADDIN ZOTERO_ITEM CSL_CITATION {"citationID":"B4UzPg1C","properties":{"formattedCitation":"(84)","plainCitation":"(84)","noteIndex":0},"citationItems":[{"id":700,"uris":["http://zotero.org/users/6216265/items/XWURXJG2"],"itemData":{"id":700,"type":"article-journal","abstract":"Many pathogens use the same immune evasion mechanisms as cancer cells. Patients with chronic infections have elevated levels of checkpoint receptors (e.g.,  programed cell death 1, PD1) on T cells. Monoclonal antibody (mAb)-based  inhibitors to checkpoint receptors have also been shown to enhance T-cell  responses in models of chronic infection. Therefore, inhibitors have the  potential to act as a vaccine \"adjuvant\" by facilitating the expansion of vaccine  antigen-specific T-cell repertoires. Here, we report the discovery and  characterization of a peptide-based class of PD1 checkpoint inhibitors, which  have a potent adaptive immunity adjuvant capability for vaccines against  infectious diseases. Briefly, after identifying peptides that bind to the  recombinant human PD1, we screened for in vitro efficacy in reporter assays and  human peripheral blood mononuclear cells (PBMC) readouts. We first found the  baseline in vivo performance of the peptides in a standard mouse oncology model  that demonstrated equivalent efficacy compared to mAbs against the PD1  checkpoint. Subsequently, two strategies were used to demonstrate the utility of  our peptides in infectious disease indications: (1) as a therapeutic in a  bacteria-induced lethal sepsis model in which our peptides were found to increase  survival with enhanced bacterial clearance and increased macrophage function; and  (2) as an adjuvant in combination with a prophylactic malaria vaccine in which  our peptides increased T-cell immunogenicity and the protective efficacy of the  vaccine. Therefore, our peptides are promising as both a therapeutic agent and a  vaccine adjuvant for infectious disease with a potentially safer and more  cost-effective target product profile compared to mAbs. These findings are  essential for deploying a new immunomodulatory regimen in infectious disease  primary and clinical care settings.","container-title":"Frontiers in immunology","DOI":"10.3389/fimmu.2020.00264","ISSN":"1664-3224","journalAbbreviation":"Front Immunol","language":"eng","license":"Copyright © 2020 Kotraiah, Phares, Browne, Pannucci, Mansour, Noe, Tucker, Christen, Reed, MacKay, Weir, Rajagopalan, Stanford, Chung, Ayala, Huang, Tsuji  and Gutierrez.","note":"PMID: 32210956 \nPMCID: PMC7068811","page":"264","title":"Novel Peptide-Based PD1 Immunomodulators Demonstrate Efficacy in Infectious Disease Vaccines and Therapeutics.","volume":"11","author":[{"family":"Kotraiah","given":"Vinayaka"},{"family":"Phares","given":"Timothy W."},{"family":"Browne","given":"Cecille D."},{"family":"Pannucci","given":"James"},{"family":"Mansour","given":"Marc"},{"family":"Noe","given":"Amy R."},{"family":"Tucker","given":"Kenneth D."},{"family":"Christen","given":"Jayne M."},{"family":"Reed","given":"Charles"},{"family":"MacKay","given":"Alecia"},{"family":"Weir","given":"Genevieve M."},{"family":"Rajagopalan","given":"Rajkannan"},{"family":"Stanford","given":"Marianne M."},{"family":"Chung","given":"Chun-Shiang"},{"family":"Ayala","given":"Alfred"},{"family":"Huang","given":"Jing"},{"family":"Tsuji","given":"Moriya"},{"family":"Gutierrez","given":"Gabriel M."}],"issued":{"date-parts":[["2020"]]}}}],"schema":"https://github.com/citation-style-language/schema/raw/master/csl-citation.json"} </w:instrText>
            </w:r>
            <w:r w:rsidR="00443F28">
              <w:rPr>
                <w:rFonts w:ascii="Calibri" w:eastAsia="Times New Roman" w:hAnsi="Calibri" w:cs="Calibri"/>
                <w:color w:val="000000"/>
                <w:lang w:val="en-ZA" w:eastAsia="en-ZA"/>
              </w:rPr>
              <w:fldChar w:fldCharType="separate"/>
            </w:r>
            <w:r w:rsidR="00443F28" w:rsidRPr="00443F28">
              <w:rPr>
                <w:rFonts w:ascii="Calibri" w:hAnsi="Calibri" w:cs="Calibri"/>
              </w:rPr>
              <w:t>(84)</w:t>
            </w:r>
            <w:r w:rsidR="00443F28">
              <w:rPr>
                <w:rFonts w:ascii="Calibri" w:eastAsia="Times New Roman" w:hAnsi="Calibri" w:cs="Calibri"/>
                <w:color w:val="000000"/>
                <w:lang w:val="en-ZA" w:eastAsia="en-ZA"/>
              </w:rPr>
              <w:fldChar w:fldCharType="end"/>
            </w:r>
          </w:p>
        </w:tc>
        <w:tc>
          <w:tcPr>
            <w:tcW w:w="1464" w:type="dxa"/>
            <w:noWrap/>
            <w:hideMark/>
          </w:tcPr>
          <w:p w14:paraId="04F61FB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4413E50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32CE793" w14:textId="77777777" w:rsidTr="00366ACD">
        <w:trPr>
          <w:trHeight w:val="270"/>
        </w:trPr>
        <w:tc>
          <w:tcPr>
            <w:tcW w:w="2703" w:type="dxa"/>
            <w:noWrap/>
            <w:hideMark/>
          </w:tcPr>
          <w:p w14:paraId="3E4FB1C1" w14:textId="54ECC53D" w:rsidR="00696AF0" w:rsidRPr="00696AF0" w:rsidRDefault="00696AF0" w:rsidP="00443F28">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Kruchten</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443F28">
              <w:rPr>
                <w:rFonts w:ascii="Calibri" w:eastAsia="Times New Roman" w:hAnsi="Calibri" w:cs="Calibri"/>
                <w:color w:val="000000"/>
                <w:lang w:val="en-ZA" w:eastAsia="en-ZA"/>
              </w:rPr>
              <w:t xml:space="preserve"> </w:t>
            </w:r>
            <w:r w:rsidR="00443F28">
              <w:rPr>
                <w:rFonts w:ascii="Calibri" w:eastAsia="Times New Roman" w:hAnsi="Calibri" w:cs="Calibri"/>
                <w:color w:val="000000"/>
                <w:lang w:val="en-ZA" w:eastAsia="en-ZA"/>
              </w:rPr>
              <w:fldChar w:fldCharType="begin"/>
            </w:r>
            <w:r w:rsidR="00443F28">
              <w:rPr>
                <w:rFonts w:ascii="Calibri" w:eastAsia="Times New Roman" w:hAnsi="Calibri" w:cs="Calibri"/>
                <w:color w:val="000000"/>
                <w:lang w:val="en-ZA" w:eastAsia="en-ZA"/>
              </w:rPr>
              <w:instrText xml:space="preserve"> ADDIN ZOTERO_ITEM CSL_CITATION {"citationID":"Mu1QV1UJ","properties":{"formattedCitation":"(85)","plainCitation":"(85)","noteIndex":0},"citationItems":[{"id":3149,"uris":["http://zotero.org/users/6216265/items/VP2JKAK9"],"itemData":{"id":3149,"type":"article-journal","abstract":"Convergence of geographic regions endemic for human immunodeficiency virus (HIV) and cutaneous leishmaniasis (CL) raise concerns that HIV co-infection may worsen  CL burden, complicating already lengthy and costly CL treatments and highlighting  a need for newer therapies. We constructed two Markov decision models to quantify  impact of HIV on CL and help establish a target product profile for new CL  treatments, accounting for co-infection. The HIV co-infection increased lifetime  cost per CL case 11-371 times ($1,349-45,683) that of HIV-negative individuals  ($123) and Brazil's CL burden from $1.6-16.0 million to $1.6-65.5 million. A new  treatment could be a cost saving at ≤ $254 across several ranges (treatments  seeking probabilities, side effect risks, cure rates) and continues to save costs  up to $508 across treatment-seeking probabilities with a drug cure rate of ≥ 50%.  The HIV co-infection can increase CL burden, suggesting more joint HIV and CL  surveillance and control efforts are needed.","container-title":"The American journal of tropical medicine and hygiene","DOI":"10.4269/ajtmh.13-0309","ISSN":"1476-1645 0002-9637","issue":"3","journalAbbreviation":"Am J Trop Med Hyg","language":"eng","license":"© The American Society of Tropical Medicine and Hygiene.","note":"PMID: 25002296 \nPMCID: PMC4155552","page":"520-527","title":"The impact of human immunodeficiency virus (HIV) co-infection on the economic burden of cutaneous leishmaniasis (CL) in Brazil and potential value of new CL  drug treatments.","volume":"91","author":[{"family":"Kruchten","given":"Stephanie D."},{"family":"Bacon","given":"Kristina M."},{"family":"Lee","given":"Bruce Y."}],"issued":{"date-parts":[["2014",9]]}}}],"schema":"https://github.com/citation-style-language/schema/raw/master/csl-citation.json"} </w:instrText>
            </w:r>
            <w:r w:rsidR="00443F28">
              <w:rPr>
                <w:rFonts w:ascii="Calibri" w:eastAsia="Times New Roman" w:hAnsi="Calibri" w:cs="Calibri"/>
                <w:color w:val="000000"/>
                <w:lang w:val="en-ZA" w:eastAsia="en-ZA"/>
              </w:rPr>
              <w:fldChar w:fldCharType="separate"/>
            </w:r>
            <w:r w:rsidR="00443F28" w:rsidRPr="00443F28">
              <w:rPr>
                <w:rFonts w:ascii="Calibri" w:hAnsi="Calibri" w:cs="Calibri"/>
              </w:rPr>
              <w:t>(85)</w:t>
            </w:r>
            <w:r w:rsidR="00443F28">
              <w:rPr>
                <w:rFonts w:ascii="Calibri" w:eastAsia="Times New Roman" w:hAnsi="Calibri" w:cs="Calibri"/>
                <w:color w:val="000000"/>
                <w:lang w:val="en-ZA" w:eastAsia="en-ZA"/>
              </w:rPr>
              <w:fldChar w:fldCharType="end"/>
            </w:r>
          </w:p>
        </w:tc>
        <w:tc>
          <w:tcPr>
            <w:tcW w:w="1464" w:type="dxa"/>
            <w:noWrap/>
            <w:hideMark/>
          </w:tcPr>
          <w:p w14:paraId="1263007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2014</w:t>
            </w:r>
          </w:p>
        </w:tc>
        <w:tc>
          <w:tcPr>
            <w:tcW w:w="2043" w:type="dxa"/>
            <w:noWrap/>
            <w:hideMark/>
          </w:tcPr>
          <w:p w14:paraId="6CB86775"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B12339B" w14:textId="77777777" w:rsidTr="00366ACD">
        <w:trPr>
          <w:trHeight w:val="270"/>
        </w:trPr>
        <w:tc>
          <w:tcPr>
            <w:tcW w:w="2703" w:type="dxa"/>
            <w:noWrap/>
            <w:hideMark/>
          </w:tcPr>
          <w:p w14:paraId="7CBCD6BA" w14:textId="1A57A6AE" w:rsidR="00696AF0" w:rsidRPr="00696AF0" w:rsidRDefault="00696AF0" w:rsidP="0082290E">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Kumar </w:t>
            </w:r>
            <w:r w:rsidR="000620EA">
              <w:rPr>
                <w:rFonts w:ascii="Calibri" w:eastAsia="Times New Roman" w:hAnsi="Calibri" w:cs="Calibri"/>
                <w:color w:val="000000"/>
                <w:lang w:val="en-ZA" w:eastAsia="en-ZA"/>
              </w:rPr>
              <w:t>et al.</w:t>
            </w:r>
            <w:r w:rsidR="0082290E">
              <w:rPr>
                <w:rFonts w:ascii="Calibri" w:eastAsia="Times New Roman" w:hAnsi="Calibri" w:cs="Calibri"/>
                <w:color w:val="000000"/>
                <w:lang w:val="en-ZA" w:eastAsia="en-ZA"/>
              </w:rPr>
              <w:t xml:space="preserve"> </w:t>
            </w:r>
            <w:r w:rsidR="0082290E">
              <w:rPr>
                <w:rFonts w:ascii="Calibri" w:eastAsia="Times New Roman" w:hAnsi="Calibri" w:cs="Calibri"/>
                <w:color w:val="000000"/>
                <w:lang w:val="en-ZA" w:eastAsia="en-ZA"/>
              </w:rPr>
              <w:fldChar w:fldCharType="begin"/>
            </w:r>
            <w:r w:rsidR="0082290E">
              <w:rPr>
                <w:rFonts w:ascii="Calibri" w:eastAsia="Times New Roman" w:hAnsi="Calibri" w:cs="Calibri"/>
                <w:color w:val="000000"/>
                <w:lang w:val="en-ZA" w:eastAsia="en-ZA"/>
              </w:rPr>
              <w:instrText xml:space="preserve"> ADDIN ZOTERO_ITEM CSL_CITATION {"citationID":"8Dw3Mydv","properties":{"formattedCitation":"(86)","plainCitation":"(86)","noteIndex":0},"citationItems":[{"id":12434,"uris":["http://zotero.org/users/6216265/items/9GNH9BVG"],"itemData":{"id":12434,"type":"article-journal","abstract":"Background: Accurate prediction of absorption, distribution, metabolism and excretion (ADME) properties can facilitate the identification of promising drug candidates. Methodology &amp; Results: The authors present the Janssen generic Target Product Profile (gTPP) model, which predicts 18 early ADME properties, employs a graph convolutional neural network algorithm and was trained on between 1000–10,000 internal data points per predicted parameter. gTPP demonstrated stronger predictive power than pretrained commercial ADME models and automatic model builders. Through a novel logging method, the authors report gTPP usage for more than 200 Janssen drug discovery scientists. Conclusion: The investigators successfully enabled the rapid and systematic implementation of predictive ML tools across a drug discovery pipeline in all therapeutic areas. This experience provides useful guidance for other large-scale AI/ML deployment efforts.","container-title":"Future Medicinal Chemistry","DOI":"10.4155/fmc-2021-0138","ISSN":"1756-8919, 1756-8927","issue":"19","journalAbbreviation":"Future Medicinal Chemistry","language":"en","page":"1639-1654","source":"DOI.org (Crossref)","title":"Development and implementation of an enterprise-wide predictive model for early absorption, distribution, metabolism and excretion properties","volume":"13","author":[{"family":"Kumar","given":"Kiran"},{"family":"Chupakhin","given":"Vladimir"},{"family":"Vos","given":"Ann"},{"family":"Morrison","given":"Denise"},{"family":"Rassokhin","given":"Dmitrii"},{"family":"Dellwo","given":"Martin J"},{"family":"McCormick","given":"Keith"},{"family":"Paternoster","given":"Eric"},{"family":"Ceulemans","given":"Hugo"},{"family":"DesJarlais","given":"Renee L"}],"issued":{"date-parts":[["2021",10]]}}}],"schema":"https://github.com/citation-style-language/schema/raw/master/csl-citation.json"} </w:instrText>
            </w:r>
            <w:r w:rsidR="0082290E">
              <w:rPr>
                <w:rFonts w:ascii="Calibri" w:eastAsia="Times New Roman" w:hAnsi="Calibri" w:cs="Calibri"/>
                <w:color w:val="000000"/>
                <w:lang w:val="en-ZA" w:eastAsia="en-ZA"/>
              </w:rPr>
              <w:fldChar w:fldCharType="separate"/>
            </w:r>
            <w:r w:rsidR="0082290E" w:rsidRPr="0082290E">
              <w:rPr>
                <w:rFonts w:ascii="Calibri" w:hAnsi="Calibri" w:cs="Calibri"/>
              </w:rPr>
              <w:t>(86)</w:t>
            </w:r>
            <w:r w:rsidR="0082290E">
              <w:rPr>
                <w:rFonts w:ascii="Calibri" w:eastAsia="Times New Roman" w:hAnsi="Calibri" w:cs="Calibri"/>
                <w:color w:val="000000"/>
                <w:lang w:val="en-ZA" w:eastAsia="en-ZA"/>
              </w:rPr>
              <w:fldChar w:fldCharType="end"/>
            </w:r>
          </w:p>
        </w:tc>
        <w:tc>
          <w:tcPr>
            <w:tcW w:w="1464" w:type="dxa"/>
            <w:noWrap/>
            <w:hideMark/>
          </w:tcPr>
          <w:p w14:paraId="7386A61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5249450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D85097B" w14:textId="77777777" w:rsidTr="00366ACD">
        <w:trPr>
          <w:trHeight w:val="270"/>
        </w:trPr>
        <w:tc>
          <w:tcPr>
            <w:tcW w:w="2703" w:type="dxa"/>
            <w:noWrap/>
            <w:hideMark/>
          </w:tcPr>
          <w:p w14:paraId="24526EDE" w14:textId="2FA21BCE" w:rsidR="00696AF0" w:rsidRPr="00696AF0" w:rsidRDefault="00696AF0" w:rsidP="0082290E">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Kumari </w:t>
            </w:r>
            <w:r w:rsidR="000620EA">
              <w:rPr>
                <w:rFonts w:ascii="Calibri" w:eastAsia="Times New Roman" w:hAnsi="Calibri" w:cs="Calibri"/>
                <w:color w:val="000000"/>
                <w:lang w:val="en-ZA" w:eastAsia="en-ZA"/>
              </w:rPr>
              <w:t>et al.</w:t>
            </w:r>
            <w:r w:rsidR="0082290E">
              <w:rPr>
                <w:rFonts w:ascii="Calibri" w:eastAsia="Times New Roman" w:hAnsi="Calibri" w:cs="Calibri"/>
                <w:color w:val="000000"/>
                <w:lang w:val="en-ZA" w:eastAsia="en-ZA"/>
              </w:rPr>
              <w:t xml:space="preserve"> </w:t>
            </w:r>
            <w:r w:rsidR="0082290E">
              <w:rPr>
                <w:rFonts w:ascii="Calibri" w:eastAsia="Times New Roman" w:hAnsi="Calibri" w:cs="Calibri"/>
                <w:color w:val="000000"/>
                <w:lang w:val="en-ZA" w:eastAsia="en-ZA"/>
              </w:rPr>
              <w:fldChar w:fldCharType="begin"/>
            </w:r>
            <w:r w:rsidR="0082290E">
              <w:rPr>
                <w:rFonts w:ascii="Calibri" w:eastAsia="Times New Roman" w:hAnsi="Calibri" w:cs="Calibri"/>
                <w:color w:val="000000"/>
                <w:lang w:val="en-ZA" w:eastAsia="en-ZA"/>
              </w:rPr>
              <w:instrText xml:space="preserve"> ADDIN ZOTERO_ITEM CSL_CITATION {"citationID":"Oi5XMq8L","properties":{"formattedCitation":"(87)","plainCitation":"(87)","noteIndex":0},"citationItems":[{"id":12436,"uris":["http://zotero.org/users/6216265/items/UF9L8XVI"],"itemData":{"id":12436,"type":"article-journal","container-title":"Analytical Biochemistry","DOI":"10.1016/j.ab.2018.10.019","ISSN":"00032697","journalAbbreviation":"Analytical Biochemistry","language":"en","page":"80-87","source":"DOI.org (Crossref)","title":"A novel aptamer-based test for the rapid and accurate diagnosis of pleural tuberculosis","volume":"564-565","author":[{"family":"Kumari","given":"Pooja"},{"family":"Lavania","given":"Surabhi"},{"family":"Tyagi","given":"Shaifali"},{"family":"Dhiman","given":"Abhijeet"},{"family":"Rath","given":"Deepak"},{"family":"Anthwal","given":"Divya"},{"family":"Gupta","given":"Rakesh Kumar"},{"family":"Sharma","given":"Neera"},{"family":"Gadpayle","given":"A.K."},{"family":"Taneja","given":"R.S."},{"family":"Sharma","given":"Lokesh"},{"family":"Ahmad","given":"Yusra"},{"family":"Sharma","given":"Tarun Kumar"},{"family":"Haldar","given":"Sagarika"},{"family":"Tyagi","given":"Jaya Sivaswami"}],"issued":{"date-parts":[["2019",1]]}}}],"schema":"https://github.com/citation-style-language/schema/raw/master/csl-citation.json"} </w:instrText>
            </w:r>
            <w:r w:rsidR="0082290E">
              <w:rPr>
                <w:rFonts w:ascii="Calibri" w:eastAsia="Times New Roman" w:hAnsi="Calibri" w:cs="Calibri"/>
                <w:color w:val="000000"/>
                <w:lang w:val="en-ZA" w:eastAsia="en-ZA"/>
              </w:rPr>
              <w:fldChar w:fldCharType="separate"/>
            </w:r>
            <w:r w:rsidR="0082290E" w:rsidRPr="0082290E">
              <w:rPr>
                <w:rFonts w:ascii="Calibri" w:hAnsi="Calibri" w:cs="Calibri"/>
              </w:rPr>
              <w:t>(87)</w:t>
            </w:r>
            <w:r w:rsidR="0082290E">
              <w:rPr>
                <w:rFonts w:ascii="Calibri" w:eastAsia="Times New Roman" w:hAnsi="Calibri" w:cs="Calibri"/>
                <w:color w:val="000000"/>
                <w:lang w:val="en-ZA" w:eastAsia="en-ZA"/>
              </w:rPr>
              <w:fldChar w:fldCharType="end"/>
            </w:r>
          </w:p>
        </w:tc>
        <w:tc>
          <w:tcPr>
            <w:tcW w:w="1464" w:type="dxa"/>
            <w:noWrap/>
            <w:hideMark/>
          </w:tcPr>
          <w:p w14:paraId="0973FEE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2024CB82"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8263756" w14:textId="77777777" w:rsidTr="00366ACD">
        <w:trPr>
          <w:trHeight w:val="270"/>
        </w:trPr>
        <w:tc>
          <w:tcPr>
            <w:tcW w:w="2703" w:type="dxa"/>
            <w:noWrap/>
            <w:hideMark/>
          </w:tcPr>
          <w:p w14:paraId="13C973AD" w14:textId="79118952" w:rsidR="00696AF0" w:rsidRPr="00696AF0" w:rsidRDefault="00696AF0" w:rsidP="00DE1758">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Kumari </w:t>
            </w:r>
            <w:r w:rsidR="000620EA">
              <w:rPr>
                <w:rFonts w:ascii="Calibri" w:eastAsia="Times New Roman" w:hAnsi="Calibri" w:cs="Calibri"/>
                <w:color w:val="000000"/>
                <w:lang w:val="en-ZA" w:eastAsia="en-ZA"/>
              </w:rPr>
              <w:t>et al.</w:t>
            </w:r>
            <w:r w:rsidR="00DE1758">
              <w:rPr>
                <w:rFonts w:ascii="Calibri" w:eastAsia="Times New Roman" w:hAnsi="Calibri" w:cs="Calibri"/>
                <w:color w:val="000000"/>
                <w:lang w:val="en-ZA" w:eastAsia="en-ZA"/>
              </w:rPr>
              <w:t xml:space="preserve"> </w:t>
            </w:r>
            <w:r w:rsidR="00DE1758">
              <w:rPr>
                <w:rFonts w:ascii="Calibri" w:eastAsia="Times New Roman" w:hAnsi="Calibri" w:cs="Calibri"/>
                <w:color w:val="000000"/>
                <w:lang w:val="en-ZA" w:eastAsia="en-ZA"/>
              </w:rPr>
              <w:fldChar w:fldCharType="begin"/>
            </w:r>
            <w:r w:rsidR="00DE1758">
              <w:rPr>
                <w:rFonts w:ascii="Calibri" w:eastAsia="Times New Roman" w:hAnsi="Calibri" w:cs="Calibri"/>
                <w:color w:val="000000"/>
                <w:lang w:val="en-ZA" w:eastAsia="en-ZA"/>
              </w:rPr>
              <w:instrText xml:space="preserve"> ADDIN ZOTERO_ITEM CSL_CITATION {"citationID":"gpSQd0h9","properties":{"formattedCitation":"(88)","plainCitation":"(88)","noteIndex":0},"citationItems":[{"id":12437,"uris":["http://zotero.org/users/6216265/items/L4BR473N"],"itemData":{"id":12437,"type":"article-journal","container-title":"Tuberculosis","DOI":"10.1016/j.tube.2022.102206","ISSN":"14729792","journalAbbreviation":"Tuberculosis","language":"en","page":"102206","source":"DOI.org (Crossref)","title":"Assessment of DNA aptamers targeting GlcB and HspX antigens for application in the diagnosis of abdominal tuberculosis","volume":"134","author":[{"family":"Kumari","given":"Pooja"},{"family":"Dhiman","given":"Abhijeet"},{"family":"Lavania","given":"Surabhi"},{"family":"Sharma","given":"Pratibha"},{"family":"Rath","given":"Deepak"},{"family":"Anthwal","given":"Divya"},{"family":"Gupta","given":"Rakesh Kumar"},{"family":"Kochar","given":"Archit"},{"family":"Sharma","given":"Neera"},{"family":"Gadpayle","given":"A.K."},{"family":"Taneja","given":"R.S."},{"family":"Sharma","given":"Lokesh"},{"family":"Haldar","given":"Sagarika"},{"family":"Sharma","given":"Tarun Kumar"},{"family":"Tyagi","given":"Jaya Sivaswami"}],"issued":{"date-parts":[["2022",5]]}}}],"schema":"https://github.com/citation-style-language/schema/raw/master/csl-citation.json"} </w:instrText>
            </w:r>
            <w:r w:rsidR="00DE1758">
              <w:rPr>
                <w:rFonts w:ascii="Calibri" w:eastAsia="Times New Roman" w:hAnsi="Calibri" w:cs="Calibri"/>
                <w:color w:val="000000"/>
                <w:lang w:val="en-ZA" w:eastAsia="en-ZA"/>
              </w:rPr>
              <w:fldChar w:fldCharType="separate"/>
            </w:r>
            <w:r w:rsidR="00DE1758" w:rsidRPr="00DE1758">
              <w:rPr>
                <w:rFonts w:ascii="Calibri" w:hAnsi="Calibri" w:cs="Calibri"/>
              </w:rPr>
              <w:t>(88)</w:t>
            </w:r>
            <w:r w:rsidR="00DE1758">
              <w:rPr>
                <w:rFonts w:ascii="Calibri" w:eastAsia="Times New Roman" w:hAnsi="Calibri" w:cs="Calibri"/>
                <w:color w:val="000000"/>
                <w:lang w:val="en-ZA" w:eastAsia="en-ZA"/>
              </w:rPr>
              <w:fldChar w:fldCharType="end"/>
            </w:r>
          </w:p>
        </w:tc>
        <w:tc>
          <w:tcPr>
            <w:tcW w:w="1464" w:type="dxa"/>
            <w:noWrap/>
            <w:hideMark/>
          </w:tcPr>
          <w:p w14:paraId="32676BF8"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2B47994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254405E9" w14:textId="77777777" w:rsidTr="00366ACD">
        <w:trPr>
          <w:trHeight w:val="270"/>
        </w:trPr>
        <w:tc>
          <w:tcPr>
            <w:tcW w:w="2703" w:type="dxa"/>
            <w:noWrap/>
            <w:hideMark/>
          </w:tcPr>
          <w:p w14:paraId="4D25C51E" w14:textId="30CE06AD" w:rsidR="00696AF0" w:rsidRPr="00696AF0" w:rsidRDefault="00696AF0" w:rsidP="00DE1758">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Lafeber</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DE1758">
              <w:rPr>
                <w:rFonts w:ascii="Calibri" w:eastAsia="Times New Roman" w:hAnsi="Calibri" w:cs="Calibri"/>
                <w:color w:val="000000"/>
                <w:lang w:val="en-ZA" w:eastAsia="en-ZA"/>
              </w:rPr>
              <w:t xml:space="preserve"> </w:t>
            </w:r>
            <w:r w:rsidR="00DE1758">
              <w:rPr>
                <w:rFonts w:ascii="Calibri" w:eastAsia="Times New Roman" w:hAnsi="Calibri" w:cs="Calibri"/>
                <w:color w:val="000000"/>
                <w:lang w:val="en-ZA" w:eastAsia="en-ZA"/>
              </w:rPr>
              <w:fldChar w:fldCharType="begin"/>
            </w:r>
            <w:r w:rsidR="00DE1758">
              <w:rPr>
                <w:rFonts w:ascii="Calibri" w:eastAsia="Times New Roman" w:hAnsi="Calibri" w:cs="Calibri"/>
                <w:color w:val="000000"/>
                <w:lang w:val="en-ZA" w:eastAsia="en-ZA"/>
              </w:rPr>
              <w:instrText xml:space="preserve"> ADDIN ZOTERO_ITEM CSL_CITATION {"citationID":"lzfFXmDP","properties":{"formattedCitation":"(89)","plainCitation":"(89)","noteIndex":0},"citationItems":[{"id":163,"uris":["http://zotero.org/users/6216265/items/JVTI3DNH"],"itemData":{"id":163,"type":"article-journal","abstract":"3D printing of pediatric-centered drug formulations can provide suitable alternatives to current treatment options, though further research is still  warranted for successful clinical implementation of these innovative drug  products. Extensive research has been conducted on the compliance of 3D-printed  drug products to a pediatric quality target product profile. The 3D-printed  tablets were of particular interest in providing superior dosing and release  profile similarity compared to conventional drug manipulation and compounding  methods, such as oral liquids. In the future, acceptance of 3D-printed tablets in  the pediatric patient population might be better than current treatments due to  improved palatability. Further research should focus on expanding clinical  knowledge, providing regulatory guidance and expansion of the product range,  including dosage form possibilities. Moreover, it should enable the use of  diverse good manufacturing practice (GMP)-ready 3D printing techniques for the  production of various drug products for the pediatric patient population.","container-title":"Pharmaceutics","DOI":"10.3390/pharmaceutics14020416","ISSN":"1999-4923","issue":"2","journalAbbreviation":"Pharmaceutics","language":"eng","note":"PMID: 35214148 \nPMCID: PMC8880000","title":"3D Printing of Pediatric Medication: The End of Bad Tasting Oral Liquids?-A Scoping Review.","volume":"14","author":[{"family":"Lafeber","given":"Iris"},{"family":"Ruijgrok","given":"Elisabeth J."},{"family":"Guchelaar","given":"Henk-Jan"},{"family":"Schimmel","given":"Kirsten J. M."}],"issued":{"date-parts":[["2022",2,14]]}}}],"schema":"https://github.com/citation-style-language/schema/raw/master/csl-citation.json"} </w:instrText>
            </w:r>
            <w:r w:rsidR="00DE1758">
              <w:rPr>
                <w:rFonts w:ascii="Calibri" w:eastAsia="Times New Roman" w:hAnsi="Calibri" w:cs="Calibri"/>
                <w:color w:val="000000"/>
                <w:lang w:val="en-ZA" w:eastAsia="en-ZA"/>
              </w:rPr>
              <w:fldChar w:fldCharType="separate"/>
            </w:r>
            <w:r w:rsidR="00DE1758" w:rsidRPr="00DE1758">
              <w:rPr>
                <w:rFonts w:ascii="Calibri" w:hAnsi="Calibri" w:cs="Calibri"/>
              </w:rPr>
              <w:t>(89)</w:t>
            </w:r>
            <w:r w:rsidR="00DE1758">
              <w:rPr>
                <w:rFonts w:ascii="Calibri" w:eastAsia="Times New Roman" w:hAnsi="Calibri" w:cs="Calibri"/>
                <w:color w:val="000000"/>
                <w:lang w:val="en-ZA" w:eastAsia="en-ZA"/>
              </w:rPr>
              <w:fldChar w:fldCharType="end"/>
            </w:r>
          </w:p>
        </w:tc>
        <w:tc>
          <w:tcPr>
            <w:tcW w:w="1464" w:type="dxa"/>
            <w:noWrap/>
            <w:hideMark/>
          </w:tcPr>
          <w:p w14:paraId="3D07F8C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42E7BF4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286E8C2E" w14:textId="77777777" w:rsidTr="00366ACD">
        <w:trPr>
          <w:trHeight w:val="270"/>
        </w:trPr>
        <w:tc>
          <w:tcPr>
            <w:tcW w:w="2703" w:type="dxa"/>
            <w:noWrap/>
            <w:hideMark/>
          </w:tcPr>
          <w:p w14:paraId="3DA380F4" w14:textId="591D314F" w:rsidR="00696AF0" w:rsidRPr="00696AF0" w:rsidRDefault="00696AF0" w:rsidP="00CE42A4">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Lee and McGlone</w:t>
            </w:r>
            <w:r w:rsidR="00CE42A4">
              <w:rPr>
                <w:rFonts w:ascii="Calibri" w:eastAsia="Times New Roman" w:hAnsi="Calibri" w:cs="Calibri"/>
                <w:color w:val="000000"/>
                <w:lang w:val="en-ZA" w:eastAsia="en-ZA"/>
              </w:rPr>
              <w:t xml:space="preserve"> </w:t>
            </w:r>
            <w:r w:rsidR="00CE42A4">
              <w:rPr>
                <w:rFonts w:ascii="Calibri" w:eastAsia="Times New Roman" w:hAnsi="Calibri" w:cs="Calibri"/>
                <w:color w:val="000000"/>
                <w:lang w:val="en-ZA" w:eastAsia="en-ZA"/>
              </w:rPr>
              <w:fldChar w:fldCharType="begin"/>
            </w:r>
            <w:r w:rsidR="00CE42A4">
              <w:rPr>
                <w:rFonts w:ascii="Calibri" w:eastAsia="Times New Roman" w:hAnsi="Calibri" w:cs="Calibri"/>
                <w:color w:val="000000"/>
                <w:lang w:val="en-ZA" w:eastAsia="en-ZA"/>
              </w:rPr>
              <w:instrText xml:space="preserve"> ADDIN ZOTERO_ITEM CSL_CITATION {"citationID":"UfZygca0","properties":{"formattedCitation":"(90)","plainCitation":"(90)","noteIndex":0},"citationItems":[{"id":188,"uris":["http://zotero.org/users/6216265/items/IZ9E3WNM"],"itemData":{"id":188,"type":"article-journal","abstract":"New vaccine pricing is a complicated process that could have substantial long-standing scientific, medical, and public health ramifications. Pricing can have a considerable impact on new vaccine adoption and, thereby, either culminate or thwart years of research and development and public health efforts. Typically, pricing strategy consists of the following ten components: 1. Conduct a target population analysis; 2. Map potential competitors and alternatives; 3. Construct a vaccine target product profile (TPP) and compare it to projected or actual TPPs of competing vaccines; 4. Quantify the incremental value of the new vaccine's characteristics; 5. Determine vaccine positioning in the marketplace; 6. Estimate the vaccine price-demand curve; 7. Calculate vaccine costs (including those of manufacturing, distribution, and research and development); 8. Account for various legal, regulatory, third party payer, and competitor factors; 9. Consider the overall product portfolio; 10. Set pricing objectives; 11. Select pricing and pricing structure. While the biomedical literature contains some studies that have addressed these components, there is still considerable room for more extensive evaluation of this important area.","archive":"cmedm","archive_location":"20861678","container-title":"Human vaccines","DOI":"10.4161/hv.6.8.11563","ISSN":"1554-8619","issue":"8","journalAbbreviation":"Human vaccines","note":"publisher-place: United States\npublisher: Landes Bioscience","page":"619-626","source":"EBSCOhost","title":"Pricing of new vaccines.","volume":"6","author":[{"family":"Lee","given":"Bruce Y"},{"family":"McGlone","given":"Sarah M"}],"issued":{"date-parts":[["2010",8]]}}}],"schema":"https://github.com/citation-style-language/schema/raw/master/csl-citation.json"} </w:instrText>
            </w:r>
            <w:r w:rsidR="00CE42A4">
              <w:rPr>
                <w:rFonts w:ascii="Calibri" w:eastAsia="Times New Roman" w:hAnsi="Calibri" w:cs="Calibri"/>
                <w:color w:val="000000"/>
                <w:lang w:val="en-ZA" w:eastAsia="en-ZA"/>
              </w:rPr>
              <w:fldChar w:fldCharType="separate"/>
            </w:r>
            <w:r w:rsidR="00CE42A4" w:rsidRPr="00CE42A4">
              <w:rPr>
                <w:rFonts w:ascii="Calibri" w:hAnsi="Calibri" w:cs="Calibri"/>
              </w:rPr>
              <w:t>(90)</w:t>
            </w:r>
            <w:r w:rsidR="00CE42A4">
              <w:rPr>
                <w:rFonts w:ascii="Calibri" w:eastAsia="Times New Roman" w:hAnsi="Calibri" w:cs="Calibri"/>
                <w:color w:val="000000"/>
                <w:lang w:val="en-ZA" w:eastAsia="en-ZA"/>
              </w:rPr>
              <w:fldChar w:fldCharType="end"/>
            </w:r>
          </w:p>
        </w:tc>
        <w:tc>
          <w:tcPr>
            <w:tcW w:w="1464" w:type="dxa"/>
            <w:noWrap/>
            <w:hideMark/>
          </w:tcPr>
          <w:p w14:paraId="4496EB2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2010</w:t>
            </w:r>
          </w:p>
        </w:tc>
        <w:tc>
          <w:tcPr>
            <w:tcW w:w="2043" w:type="dxa"/>
            <w:noWrap/>
            <w:hideMark/>
          </w:tcPr>
          <w:p w14:paraId="54AE2F7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C11B330" w14:textId="77777777" w:rsidTr="00366ACD">
        <w:trPr>
          <w:trHeight w:val="270"/>
        </w:trPr>
        <w:tc>
          <w:tcPr>
            <w:tcW w:w="2703" w:type="dxa"/>
            <w:noWrap/>
            <w:hideMark/>
          </w:tcPr>
          <w:p w14:paraId="34048AD1" w14:textId="6AE2E64C" w:rsidR="00696AF0" w:rsidRPr="00696AF0" w:rsidRDefault="00696AF0" w:rsidP="00CE42A4">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lastRenderedPageBreak/>
              <w:t>Lingg</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CE42A4">
              <w:rPr>
                <w:rFonts w:ascii="Calibri" w:eastAsia="Times New Roman" w:hAnsi="Calibri" w:cs="Calibri"/>
                <w:color w:val="000000"/>
                <w:lang w:val="en-ZA" w:eastAsia="en-ZA"/>
              </w:rPr>
              <w:t xml:space="preserve"> </w:t>
            </w:r>
            <w:r w:rsidR="00CE42A4">
              <w:rPr>
                <w:rFonts w:ascii="Calibri" w:eastAsia="Times New Roman" w:hAnsi="Calibri" w:cs="Calibri"/>
                <w:color w:val="000000"/>
                <w:lang w:val="en-ZA" w:eastAsia="en-ZA"/>
              </w:rPr>
              <w:fldChar w:fldCharType="begin"/>
            </w:r>
            <w:r w:rsidR="00CE42A4">
              <w:rPr>
                <w:rFonts w:ascii="Calibri" w:eastAsia="Times New Roman" w:hAnsi="Calibri" w:cs="Calibri"/>
                <w:color w:val="000000"/>
                <w:lang w:val="en-ZA" w:eastAsia="en-ZA"/>
              </w:rPr>
              <w:instrText xml:space="preserve"> ADDIN ZOTERO_ITEM CSL_CITATION {"citationID":"N6gzDVSE","properties":{"formattedCitation":"(91)","plainCitation":"(91)","noteIndex":0},"citationItems":[{"id":3129,"uris":["http://zotero.org/users/6216265/items/WWUJB982"],"itemData":{"id":3129,"type":"article-journal","abstract":"Biopharmaceuticals currently represent the fastest growing sector of the pharmaceutical industry, mainly driven by a rapid expansion in the manufacture of  recombinant protein-based drugs. Glycosylation is the most prominent  post-translational modification occurring on these protein drugs. It constitutes  one of the critical quality attributes that requires thorough analysis for  optimal efficacy and safety. This review examines the functional importance of  glycosylation of recombinant protein drugs, illustrated using three examples of  protein biopharmaceuticals: IgG antibodies, erythropoietin and  glucocerebrosidase. Current analytical methods are reviewed as solutions for  qualitative and quantitative measurements of glycosylation to monitor quality  target product profiles of recombinant glycoprotein drugs. Finally, we propose a  framework for designing the quality target product profile of recombinant  glycoproteins and planning workflow for glycosylation analysis with the selection  of available analytical methods and tools.","container-title":"Biotechnology journal","DOI":"10.1002/biot.201200078","ISSN":"1860-7314 1860-6768","issue":"12","journalAbbreviation":"Biotechnol J","language":"eng","license":"Copyright © 2012 WILEY-VCH Verlag GmbH &amp; Co. KGaA, Weinheim.","note":"publisher-place: Germany\nPMID: 22829536","page":"1462-1472","title":"The sweet tooth of biopharmaceuticals: importance of recombinant protein glycosylation analysis.","volume":"7","author":[{"family":"Lingg","given":"Nico"},{"family":"Zhang","given":"Peiqing"},{"family":"Song","given":"Zhiwei"},{"family":"Bardor","given":"Muriel"}],"issued":{"date-parts":[["2012",12]]}}}],"schema":"https://github.com/citation-style-language/schema/raw/master/csl-citation.json"} </w:instrText>
            </w:r>
            <w:r w:rsidR="00CE42A4">
              <w:rPr>
                <w:rFonts w:ascii="Calibri" w:eastAsia="Times New Roman" w:hAnsi="Calibri" w:cs="Calibri"/>
                <w:color w:val="000000"/>
                <w:lang w:val="en-ZA" w:eastAsia="en-ZA"/>
              </w:rPr>
              <w:fldChar w:fldCharType="separate"/>
            </w:r>
            <w:r w:rsidR="00CE42A4" w:rsidRPr="00CE42A4">
              <w:rPr>
                <w:rFonts w:ascii="Calibri" w:hAnsi="Calibri" w:cs="Calibri"/>
              </w:rPr>
              <w:t>(91)</w:t>
            </w:r>
            <w:r w:rsidR="00CE42A4">
              <w:rPr>
                <w:rFonts w:ascii="Calibri" w:eastAsia="Times New Roman" w:hAnsi="Calibri" w:cs="Calibri"/>
                <w:color w:val="000000"/>
                <w:lang w:val="en-ZA" w:eastAsia="en-ZA"/>
              </w:rPr>
              <w:fldChar w:fldCharType="end"/>
            </w:r>
          </w:p>
        </w:tc>
        <w:tc>
          <w:tcPr>
            <w:tcW w:w="1464" w:type="dxa"/>
            <w:noWrap/>
            <w:hideMark/>
          </w:tcPr>
          <w:p w14:paraId="2D4E400E"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2012</w:t>
            </w:r>
          </w:p>
        </w:tc>
        <w:tc>
          <w:tcPr>
            <w:tcW w:w="2043" w:type="dxa"/>
            <w:noWrap/>
            <w:hideMark/>
          </w:tcPr>
          <w:p w14:paraId="3C9F9DC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083D9C1B" w14:textId="77777777" w:rsidTr="00366ACD">
        <w:trPr>
          <w:trHeight w:val="270"/>
        </w:trPr>
        <w:tc>
          <w:tcPr>
            <w:tcW w:w="2703" w:type="dxa"/>
            <w:noWrap/>
            <w:hideMark/>
          </w:tcPr>
          <w:p w14:paraId="2E140F95" w14:textId="1DA9EE71" w:rsidR="00696AF0" w:rsidRPr="00696AF0" w:rsidRDefault="00696AF0" w:rsidP="00914DA7">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Liu </w:t>
            </w:r>
            <w:r w:rsidR="000620EA">
              <w:rPr>
                <w:rFonts w:ascii="Calibri" w:eastAsia="Times New Roman" w:hAnsi="Calibri" w:cs="Calibri"/>
                <w:color w:val="000000"/>
                <w:lang w:val="en-ZA" w:eastAsia="en-ZA"/>
              </w:rPr>
              <w:t>et al.</w:t>
            </w:r>
            <w:r w:rsidR="00914DA7">
              <w:rPr>
                <w:rFonts w:ascii="Calibri" w:eastAsia="Times New Roman" w:hAnsi="Calibri" w:cs="Calibri"/>
                <w:color w:val="000000"/>
                <w:lang w:val="en-ZA" w:eastAsia="en-ZA"/>
              </w:rPr>
              <w:t xml:space="preserve"> </w:t>
            </w:r>
            <w:r w:rsidR="00914DA7">
              <w:rPr>
                <w:rFonts w:ascii="Calibri" w:eastAsia="Times New Roman" w:hAnsi="Calibri" w:cs="Calibri"/>
                <w:color w:val="000000"/>
                <w:lang w:val="en-ZA" w:eastAsia="en-ZA"/>
              </w:rPr>
              <w:fldChar w:fldCharType="begin"/>
            </w:r>
            <w:r w:rsidR="00914DA7">
              <w:rPr>
                <w:rFonts w:ascii="Calibri" w:eastAsia="Times New Roman" w:hAnsi="Calibri" w:cs="Calibri"/>
                <w:color w:val="000000"/>
                <w:lang w:val="en-ZA" w:eastAsia="en-ZA"/>
              </w:rPr>
              <w:instrText xml:space="preserve"> ADDIN ZOTERO_ITEM CSL_CITATION {"citationID":"1fPjYxsV","properties":{"formattedCitation":"(92)","plainCitation":"(92)","noteIndex":0},"citationItems":[{"id":12443,"uris":["http://zotero.org/users/6216265/items/97I733N3"],"itemData":{"id":12443,"type":"article-journal","container-title":"International Journal of Pharmaceutics","DOI":"10.1016/j.ijpharm.2020.119473","ISSN":"03785173","journalAbbreviation":"International Journal of Pharmaceutics","language":"en","page":"119473","source":"DOI.org (Crossref)","title":"Optimization of the manufacturing process of a complex amphotericin B liposomal formulation using quality by design approach","volume":"585","author":[{"family":"Liu","given":"Huolong"},{"family":"Rivnay","given":"Benjamin"},{"family":"Avery","given":"Ken"},{"family":"Myung","given":"Ja Hye"},{"family":"Kozak","given":"Darby"},{"family":"Landrau","given":"Nelson"},{"family":"Nivorozhkin","given":"Alex"},{"family":"Ashraf","given":"Muhammad"},{"family":"Yoon","given":"Seongkyu"}],"issued":{"date-parts":[["2020",7]]}}}],"schema":"https://github.com/citation-style-language/schema/raw/master/csl-citation.json"} </w:instrText>
            </w:r>
            <w:r w:rsidR="00914DA7">
              <w:rPr>
                <w:rFonts w:ascii="Calibri" w:eastAsia="Times New Roman" w:hAnsi="Calibri" w:cs="Calibri"/>
                <w:color w:val="000000"/>
                <w:lang w:val="en-ZA" w:eastAsia="en-ZA"/>
              </w:rPr>
              <w:fldChar w:fldCharType="separate"/>
            </w:r>
            <w:r w:rsidR="00914DA7" w:rsidRPr="00914DA7">
              <w:rPr>
                <w:rFonts w:ascii="Calibri" w:hAnsi="Calibri" w:cs="Calibri"/>
              </w:rPr>
              <w:t>(92)</w:t>
            </w:r>
            <w:r w:rsidR="00914DA7">
              <w:rPr>
                <w:rFonts w:ascii="Calibri" w:eastAsia="Times New Roman" w:hAnsi="Calibri" w:cs="Calibri"/>
                <w:color w:val="000000"/>
                <w:lang w:val="en-ZA" w:eastAsia="en-ZA"/>
              </w:rPr>
              <w:fldChar w:fldCharType="end"/>
            </w:r>
          </w:p>
        </w:tc>
        <w:tc>
          <w:tcPr>
            <w:tcW w:w="1464" w:type="dxa"/>
            <w:noWrap/>
            <w:hideMark/>
          </w:tcPr>
          <w:p w14:paraId="52A6841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58A2C7B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59A6300" w14:textId="77777777" w:rsidTr="00366ACD">
        <w:trPr>
          <w:trHeight w:val="270"/>
        </w:trPr>
        <w:tc>
          <w:tcPr>
            <w:tcW w:w="2703" w:type="dxa"/>
            <w:noWrap/>
            <w:hideMark/>
          </w:tcPr>
          <w:p w14:paraId="3E9A7BC5" w14:textId="1B2D300E" w:rsidR="00696AF0" w:rsidRPr="00696AF0" w:rsidRDefault="00696AF0" w:rsidP="00914DA7">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Llibre</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914DA7">
              <w:rPr>
                <w:rFonts w:ascii="Calibri" w:eastAsia="Times New Roman" w:hAnsi="Calibri" w:cs="Calibri"/>
                <w:color w:val="000000"/>
                <w:lang w:val="en-ZA" w:eastAsia="en-ZA"/>
              </w:rPr>
              <w:t xml:space="preserve"> </w:t>
            </w:r>
            <w:r w:rsidR="00914DA7">
              <w:rPr>
                <w:rFonts w:ascii="Calibri" w:eastAsia="Times New Roman" w:hAnsi="Calibri" w:cs="Calibri"/>
                <w:color w:val="000000"/>
                <w:lang w:val="en-ZA" w:eastAsia="en-ZA"/>
              </w:rPr>
              <w:fldChar w:fldCharType="begin"/>
            </w:r>
            <w:r w:rsidR="00914DA7">
              <w:rPr>
                <w:rFonts w:ascii="Calibri" w:eastAsia="Times New Roman" w:hAnsi="Calibri" w:cs="Calibri"/>
                <w:color w:val="000000"/>
                <w:lang w:val="en-ZA" w:eastAsia="en-ZA"/>
              </w:rPr>
              <w:instrText xml:space="preserve"> ADDIN ZOTERO_ITEM CSL_CITATION {"citationID":"2NfZpZ9n","properties":{"formattedCitation":"(93)","plainCitation":"(93)","noteIndex":0},"citationItems":[{"id":91,"uris":["http://zotero.org/users/6216265/items/T28H2LVS"],"itemData":{"id":91,"type":"article-journal","abstract":"OBJECTIVE: Recently approved direct acting antivirals provide transformative therapies for chronic hepatitis C virus (HCV) infection. The major clinical  challenge remains to identify the undiagnosed patients worldwide, many of whom  live in low-income and middle-income countries, where access to nucleic acid  testing remains limited. The aim of this study was to develop and validate a  point-of-care (PoC) assay for the qualitative detection of HCV RNA. DESIGN: We  developed a PoC assay for the qualitative detection of HCV RNA on the PCR  Genedrive instrument. We validated the Genedrive HCV assay through a case-control  study comparing results with those obtained with the Abbott RealTime HCV test.  RESULTS: The PoC assay identified all major HCV genotypes, with a limit of  detection of 2362 IU/mL (95% CI 1966 to 2788). Using 422 patients chronically  infected with HCV and 503 controls negative for anti-HCV and HCV RNA, the  Genedrive HCV assay showed 98.6% sensitivity (95% CI 96.9% to 99.5%) and 100%  specificity (95% CI 99.3% to 100%) to detect HCV. In addition, melting peak  ratiometric analysis demonstrated proof-of-principle for semiquantification of  HCV. The test was further validated in a real clinical setting in a  resource-limited country. CONCLUSION: We report a rapid, simple, portable and  accurate PoC molecular test for HCV, with sensitivity and specificity that  fulfils the recent FIND/WHO Target Product Profile for HCV decentralised testing  in low-income and middle-income countries. This Genedrive HCV assay may  positively impact the continuum of HCV care from screening to cure by supporting  real-time treatment decisions. TRIAL REGISTRATION NUMBER: NCT02992184 .","container-title":"Gut","DOI":"10.1136/gutjnl-2017-315783","ISSN":"1468-3288 0017-5749","issue":"11","journalAbbreviation":"Gut","language":"eng","license":"© Article author(s) (or their employer(s) unless otherwise stated in the text of the article) 2018. All rights reserved. No commercial use is permitted unless  otherwise expressly granted.","note":"PMID: 29615488 \nPMCID: PMC6176522","page":"2017-2024","title":"Development and clinical validation of the Genedrive point-of-care test for qualitative detection of hepatitis C virus.","volume":"67","author":[{"family":"Llibre","given":"Alba"},{"family":"Shimakawa","given":"Yusuke"},{"family":"Mottez","given":"Estelle"},{"family":"Ainsworth","given":"Shaun"},{"family":"Buivan","given":"Tan-Phuc"},{"family":"Firth","given":"Rick"},{"family":"Harrison","given":"Elliott"},{"family":"Rosenberg","given":"Arielle R."},{"family":"Meritet","given":"Jean-François"},{"family":"Fontanet","given":"Arnaud"},{"family":"Castan","given":"Pablo"},{"family":"Madejón","given":"Antonio"},{"family":"Laverick","given":"Mark"},{"family":"Glass","given":"Allison"},{"family":"Viana","given":"Raquel"},{"family":"Pol","given":"Stanislas"},{"family":"McClure","given":"C. Patrick"},{"family":"Irving","given":"William Lucien"},{"family":"Miele","given":"Gino"},{"family":"Albert","given":"Matthew L."},{"family":"Duffy","given":"Darragh"}],"issued":{"date-parts":[["2018",11]]}}}],"schema":"https://github.com/citation-style-language/schema/raw/master/csl-citation.json"} </w:instrText>
            </w:r>
            <w:r w:rsidR="00914DA7">
              <w:rPr>
                <w:rFonts w:ascii="Calibri" w:eastAsia="Times New Roman" w:hAnsi="Calibri" w:cs="Calibri"/>
                <w:color w:val="000000"/>
                <w:lang w:val="en-ZA" w:eastAsia="en-ZA"/>
              </w:rPr>
              <w:fldChar w:fldCharType="separate"/>
            </w:r>
            <w:r w:rsidR="00914DA7" w:rsidRPr="00914DA7">
              <w:rPr>
                <w:rFonts w:ascii="Calibri" w:hAnsi="Calibri" w:cs="Calibri"/>
              </w:rPr>
              <w:t>(93)</w:t>
            </w:r>
            <w:r w:rsidR="00914DA7">
              <w:rPr>
                <w:rFonts w:ascii="Calibri" w:eastAsia="Times New Roman" w:hAnsi="Calibri" w:cs="Calibri"/>
                <w:color w:val="000000"/>
                <w:lang w:val="en-ZA" w:eastAsia="en-ZA"/>
              </w:rPr>
              <w:fldChar w:fldCharType="end"/>
            </w:r>
          </w:p>
        </w:tc>
        <w:tc>
          <w:tcPr>
            <w:tcW w:w="1464" w:type="dxa"/>
            <w:noWrap/>
            <w:hideMark/>
          </w:tcPr>
          <w:p w14:paraId="478B04B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2018</w:t>
            </w:r>
          </w:p>
        </w:tc>
        <w:tc>
          <w:tcPr>
            <w:tcW w:w="2043" w:type="dxa"/>
            <w:noWrap/>
            <w:hideMark/>
          </w:tcPr>
          <w:p w14:paraId="61C248A2"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DE4A1CF" w14:textId="77777777" w:rsidTr="00366ACD">
        <w:trPr>
          <w:trHeight w:val="270"/>
        </w:trPr>
        <w:tc>
          <w:tcPr>
            <w:tcW w:w="2703" w:type="dxa"/>
            <w:noWrap/>
            <w:hideMark/>
          </w:tcPr>
          <w:p w14:paraId="6ED4F481" w14:textId="2F995C1C" w:rsidR="00696AF0" w:rsidRPr="00696AF0" w:rsidRDefault="00696AF0" w:rsidP="006B3B3A">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Love </w:t>
            </w:r>
            <w:r w:rsidR="000620EA">
              <w:rPr>
                <w:rFonts w:ascii="Calibri" w:eastAsia="Times New Roman" w:hAnsi="Calibri" w:cs="Calibri"/>
                <w:color w:val="000000"/>
                <w:lang w:val="en-ZA" w:eastAsia="en-ZA"/>
              </w:rPr>
              <w:t>et al.</w:t>
            </w:r>
            <w:r w:rsidR="006B3B3A">
              <w:rPr>
                <w:rFonts w:ascii="Calibri" w:eastAsia="Times New Roman" w:hAnsi="Calibri" w:cs="Calibri"/>
                <w:color w:val="000000"/>
                <w:lang w:val="en-ZA" w:eastAsia="en-ZA"/>
              </w:rPr>
              <w:t xml:space="preserve"> </w:t>
            </w:r>
            <w:r w:rsidR="006B3B3A">
              <w:rPr>
                <w:rFonts w:ascii="Calibri" w:eastAsia="Times New Roman" w:hAnsi="Calibri" w:cs="Calibri"/>
                <w:color w:val="000000"/>
                <w:lang w:val="en-ZA" w:eastAsia="en-ZA"/>
              </w:rPr>
              <w:fldChar w:fldCharType="begin"/>
            </w:r>
            <w:r w:rsidR="006B3B3A">
              <w:rPr>
                <w:rFonts w:ascii="Calibri" w:eastAsia="Times New Roman" w:hAnsi="Calibri" w:cs="Calibri"/>
                <w:color w:val="000000"/>
                <w:lang w:val="en-ZA" w:eastAsia="en-ZA"/>
              </w:rPr>
              <w:instrText xml:space="preserve"> ADDIN ZOTERO_ITEM CSL_CITATION {"citationID":"NPbvQi0S","properties":{"formattedCitation":"(94)","plainCitation":"(94)","noteIndex":0},"citationItems":[{"id":12445,"uris":["http://zotero.org/users/6216265/items/YXTRBST7"],"itemData":{"id":12445,"type":"article-journal","container-title":"PLOS Neglected Tropical Diseases","DOI":"10.1371/journal.pntd.0005373","ISSN":"1935-2735","issue":"2","journalAbbreviation":"PLoS Negl Trop Dis","language":"en","page":"e0005373","source":"DOI.org (Crossref)","title":"A high-throughput phenotypic screen identifies clofazimine as a potential treatment for cryptosporidiosis","volume":"11","author":[{"family":"Love","given":"Melissa S."},{"family":"Beasley","given":"Federico C."},{"family":"Jumani","given":"Rajiv S."},{"family":"Wright","given":"Timothy M."},{"family":"Chatterjee","given":"Arnab K."},{"family":"Huston","given":"Christopher D."},{"family":"Schultz","given":"Peter G."},{"family":"McNamara","given":"Case W."}],"editor":[{"family":"Geary","given":"Timothy G."}],"issued":{"date-parts":[["2017",2,3]]}}}],"schema":"https://github.com/citation-style-language/schema/raw/master/csl-citation.json"} </w:instrText>
            </w:r>
            <w:r w:rsidR="006B3B3A">
              <w:rPr>
                <w:rFonts w:ascii="Calibri" w:eastAsia="Times New Roman" w:hAnsi="Calibri" w:cs="Calibri"/>
                <w:color w:val="000000"/>
                <w:lang w:val="en-ZA" w:eastAsia="en-ZA"/>
              </w:rPr>
              <w:fldChar w:fldCharType="separate"/>
            </w:r>
            <w:r w:rsidR="006B3B3A" w:rsidRPr="006B3B3A">
              <w:rPr>
                <w:rFonts w:ascii="Calibri" w:hAnsi="Calibri" w:cs="Calibri"/>
              </w:rPr>
              <w:t>(94)</w:t>
            </w:r>
            <w:r w:rsidR="006B3B3A">
              <w:rPr>
                <w:rFonts w:ascii="Calibri" w:eastAsia="Times New Roman" w:hAnsi="Calibri" w:cs="Calibri"/>
                <w:color w:val="000000"/>
                <w:lang w:val="en-ZA" w:eastAsia="en-ZA"/>
              </w:rPr>
              <w:fldChar w:fldCharType="end"/>
            </w:r>
          </w:p>
        </w:tc>
        <w:tc>
          <w:tcPr>
            <w:tcW w:w="1464" w:type="dxa"/>
            <w:noWrap/>
            <w:hideMark/>
          </w:tcPr>
          <w:p w14:paraId="7AB4DC3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2017</w:t>
            </w:r>
          </w:p>
        </w:tc>
        <w:tc>
          <w:tcPr>
            <w:tcW w:w="2043" w:type="dxa"/>
            <w:noWrap/>
            <w:hideMark/>
          </w:tcPr>
          <w:p w14:paraId="1A9D282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E3C3931" w14:textId="77777777" w:rsidTr="00366ACD">
        <w:trPr>
          <w:trHeight w:val="270"/>
        </w:trPr>
        <w:tc>
          <w:tcPr>
            <w:tcW w:w="2703" w:type="dxa"/>
            <w:noWrap/>
            <w:hideMark/>
          </w:tcPr>
          <w:p w14:paraId="272065B5" w14:textId="296F5B8A" w:rsidR="00696AF0" w:rsidRPr="00696AF0" w:rsidRDefault="00696AF0" w:rsidP="006B3B3A">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Luciani</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6B3B3A">
              <w:rPr>
                <w:rFonts w:ascii="Calibri" w:eastAsia="Times New Roman" w:hAnsi="Calibri" w:cs="Calibri"/>
                <w:color w:val="000000"/>
                <w:lang w:val="en-ZA" w:eastAsia="en-ZA"/>
              </w:rPr>
              <w:t xml:space="preserve"> </w:t>
            </w:r>
            <w:r w:rsidR="006B3B3A">
              <w:rPr>
                <w:rFonts w:ascii="Calibri" w:eastAsia="Times New Roman" w:hAnsi="Calibri" w:cs="Calibri"/>
                <w:color w:val="000000"/>
                <w:lang w:val="en-ZA" w:eastAsia="en-ZA"/>
              </w:rPr>
              <w:fldChar w:fldCharType="begin"/>
            </w:r>
            <w:r w:rsidR="006B3B3A">
              <w:rPr>
                <w:rFonts w:ascii="Calibri" w:eastAsia="Times New Roman" w:hAnsi="Calibri" w:cs="Calibri"/>
                <w:color w:val="000000"/>
                <w:lang w:val="en-ZA" w:eastAsia="en-ZA"/>
              </w:rPr>
              <w:instrText xml:space="preserve"> ADDIN ZOTERO_ITEM CSL_CITATION {"citationID":"avdJPDKL","properties":{"formattedCitation":"(95)","plainCitation":"(95)","noteIndex":0},"citationItems":[{"id":14,"uris":["http://zotero.org/users/6216265/items/KVKQ6Y6V"],"itemData":{"id":14,"type":"article-journal","abstract":"Quality by design (QbD) is an innovative approach to drug development that has started to be implemented into the regulatory framework, but currently mainly for  chemical drugs. The recent marketing authorization of the first monoclonal  antibody developed using extensive QbD concepts in the European Union paves the  way for future further regulatory approvals of complex products employing this  cutting-edge technological concept. In this paper, we report and comment on  insights and lessons learnt from the non-public discussions in the European  Medicines Agency's Biologicals Working Party and Committee for Medicinal Products  for Human Use on the key issues during evaluation related to the implementation  of an extensive QbD approach for biotechnology-derived medicinal products.  Sharing these insights could prove useful for future developments in QbD for  biotech products in general and monoclonal antibodies in particular.","container-title":"mAbs","DOI":"10.1080/19420862.2015.1023058","ISSN":"1942-0870 1942-0862","issue":"3","journalAbbreviation":"MAbs","language":"eng","note":"PMID: 25853461 \nPMCID: PMC4623250","page":"451-455","title":"Implementing quality by design for biotech products: Are regulators on track?","volume":"7","author":[{"family":"Luciani","given":"Francesca"},{"family":"Galluzzo","given":"Sara"},{"family":"Gaggioli","given":"Andrea"},{"family":"Kruse","given":"Nanna Aaby"},{"family":"Venneugues","given":"Pascal"},{"family":"Schneider","given":"Christian K."},{"family":"Pini","given":"Carlo"},{"family":"Melchiorri","given":"Daniela"}],"issued":{"date-parts":[["2015"]]}}}],"schema":"https://github.com/citation-style-language/schema/raw/master/csl-citation.json"} </w:instrText>
            </w:r>
            <w:r w:rsidR="006B3B3A">
              <w:rPr>
                <w:rFonts w:ascii="Calibri" w:eastAsia="Times New Roman" w:hAnsi="Calibri" w:cs="Calibri"/>
                <w:color w:val="000000"/>
                <w:lang w:val="en-ZA" w:eastAsia="en-ZA"/>
              </w:rPr>
              <w:fldChar w:fldCharType="separate"/>
            </w:r>
            <w:r w:rsidR="006B3B3A" w:rsidRPr="006B3B3A">
              <w:rPr>
                <w:rFonts w:ascii="Calibri" w:hAnsi="Calibri" w:cs="Calibri"/>
              </w:rPr>
              <w:t>(95)</w:t>
            </w:r>
            <w:r w:rsidR="006B3B3A">
              <w:rPr>
                <w:rFonts w:ascii="Calibri" w:eastAsia="Times New Roman" w:hAnsi="Calibri" w:cs="Calibri"/>
                <w:color w:val="000000"/>
                <w:lang w:val="en-ZA" w:eastAsia="en-ZA"/>
              </w:rPr>
              <w:fldChar w:fldCharType="end"/>
            </w:r>
          </w:p>
        </w:tc>
        <w:tc>
          <w:tcPr>
            <w:tcW w:w="1464" w:type="dxa"/>
            <w:noWrap/>
            <w:hideMark/>
          </w:tcPr>
          <w:p w14:paraId="20EA8CA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2015</w:t>
            </w:r>
          </w:p>
        </w:tc>
        <w:tc>
          <w:tcPr>
            <w:tcW w:w="2043" w:type="dxa"/>
            <w:noWrap/>
            <w:hideMark/>
          </w:tcPr>
          <w:p w14:paraId="5F6941F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8A4FB3E" w14:textId="77777777" w:rsidTr="00366ACD">
        <w:trPr>
          <w:trHeight w:val="270"/>
        </w:trPr>
        <w:tc>
          <w:tcPr>
            <w:tcW w:w="2703" w:type="dxa"/>
            <w:noWrap/>
            <w:hideMark/>
          </w:tcPr>
          <w:p w14:paraId="176AF926" w14:textId="30178DE8" w:rsidR="00696AF0" w:rsidRPr="00696AF0" w:rsidRDefault="00696AF0" w:rsidP="00932F28">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Lujan </w:t>
            </w:r>
            <w:r w:rsidR="000620EA">
              <w:rPr>
                <w:rFonts w:ascii="Calibri" w:eastAsia="Times New Roman" w:hAnsi="Calibri" w:cs="Calibri"/>
                <w:color w:val="000000"/>
                <w:lang w:val="en-ZA" w:eastAsia="en-ZA"/>
              </w:rPr>
              <w:t>et al.</w:t>
            </w:r>
            <w:r w:rsidR="00932F28">
              <w:rPr>
                <w:rFonts w:ascii="Calibri" w:eastAsia="Times New Roman" w:hAnsi="Calibri" w:cs="Calibri"/>
                <w:color w:val="000000"/>
                <w:lang w:val="en-ZA" w:eastAsia="en-ZA"/>
              </w:rPr>
              <w:t xml:space="preserve"> </w:t>
            </w:r>
            <w:r w:rsidR="00932F28">
              <w:rPr>
                <w:rFonts w:ascii="Calibri" w:eastAsia="Times New Roman" w:hAnsi="Calibri" w:cs="Calibri"/>
                <w:color w:val="000000"/>
                <w:lang w:val="en-ZA" w:eastAsia="en-ZA"/>
              </w:rPr>
              <w:fldChar w:fldCharType="begin"/>
            </w:r>
            <w:r w:rsidR="00932F28">
              <w:rPr>
                <w:rFonts w:ascii="Calibri" w:eastAsia="Times New Roman" w:hAnsi="Calibri" w:cs="Calibri"/>
                <w:color w:val="000000"/>
                <w:lang w:val="en-ZA" w:eastAsia="en-ZA"/>
              </w:rPr>
              <w:instrText xml:space="preserve"> ADDIN ZOTERO_ITEM CSL_CITATION {"citationID":"2KyZy09s","properties":{"formattedCitation":"(96)","plainCitation":"(96)","noteIndex":0},"citationItems":[{"id":669,"uris":["http://zotero.org/users/6216265/items/5P9F7Y38"],"itemData":{"id":669,"type":"article-journal","abstract":"Introduction: The use of liposomes as a drug delivery carrier (DDC) for the treatment of various diseases, especially cancer, is rapidly increasing,  requiring more stringent synthesis, formulation, and preservation techniques to  bolster safety and efficacy. Liposomes otherwise referred to as phospholipid  vesicles are self-assembled colloidal particles. When formed in either the  micrometer or nanometer size range, they are ideal candidates as DDC because of  their biological availability, performance, activity, and compatibility. Defining  and addressing the critical quality attributes (CQAs) along the pharmaceutical  production scale will enable a higher level of quality control for  reproducibility. More specifically, understanding the CQAs of nanoliposomes that  dictate its homogeneity and stability has the potential to widen applications in  biomedical science. Methods: To this end, we designed a study that aimed to  define synthesis, characterization, formulation (encapsulation), preservation,  and cargo delivery and trafficking as the major components within a target  product profile for nanoliposomes. A series of synthetic schemes were employed to  measure physicochemical properties relevant to nanomaterial drug product  development, including concentration gradients, probe versus bath sonication, and  storage temperature measured by microscopy (electron and light) and dynamic light  scattering. Results: Concentration was found to be a vital CQA as reducing  concentrations resulted in nanometer-sized liposomes of &lt;350 nm. Liposomes were  loaded with microRNA and fluorescence spectroscopy was used to determine loading  efficacy and stability over time. Lyophilization was used to create a dry powder  formulation that was then assessed for stability for 6 months. Lastly, breast  cancer cell lines were used to ensure efficacy of microRNA delivery and  localization. Conclusion: We conclude that microRNA can be loaded into  nanometer-sized liposomes, preserved for months in a dried form, and maintain  encapsulation after extended time periods in storage.","container-title":"International journal of nanomedicine","DOI":"10.2147/IJN.S203330","ISSN":"1178-2013 1176-9114","journalAbbreviation":"Int J Nanomedicine","language":"eng","note":"PMID: 31371954 \nPMCID: PMC6632672","page":"5159-5173","title":"Synthesis and characterization of nanometer-sized liposomes for encapsulation and microRNA transfer to breast cancer cells.","volume":"14","author":[{"family":"Lujan","given":"Henry"},{"family":"Griffin","given":"Wezley C."},{"family":"Taube","given":"Joseph H."},{"family":"Sayes","given":"Christie M."}],"issued":{"date-parts":[["2019"]]}}}],"schema":"https://github.com/citation-style-language/schema/raw/master/csl-citation.json"} </w:instrText>
            </w:r>
            <w:r w:rsidR="00932F28">
              <w:rPr>
                <w:rFonts w:ascii="Calibri" w:eastAsia="Times New Roman" w:hAnsi="Calibri" w:cs="Calibri"/>
                <w:color w:val="000000"/>
                <w:lang w:val="en-ZA" w:eastAsia="en-ZA"/>
              </w:rPr>
              <w:fldChar w:fldCharType="separate"/>
            </w:r>
            <w:r w:rsidR="00932F28" w:rsidRPr="00932F28">
              <w:rPr>
                <w:rFonts w:ascii="Calibri" w:hAnsi="Calibri" w:cs="Calibri"/>
              </w:rPr>
              <w:t>(96)</w:t>
            </w:r>
            <w:r w:rsidR="00932F28">
              <w:rPr>
                <w:rFonts w:ascii="Calibri" w:eastAsia="Times New Roman" w:hAnsi="Calibri" w:cs="Calibri"/>
                <w:color w:val="000000"/>
                <w:lang w:val="en-ZA" w:eastAsia="en-ZA"/>
              </w:rPr>
              <w:fldChar w:fldCharType="end"/>
            </w:r>
          </w:p>
        </w:tc>
        <w:tc>
          <w:tcPr>
            <w:tcW w:w="1464" w:type="dxa"/>
            <w:noWrap/>
            <w:hideMark/>
          </w:tcPr>
          <w:p w14:paraId="7DE4F37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23CE12D2"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7191C806" w14:textId="77777777" w:rsidTr="00366ACD">
        <w:trPr>
          <w:trHeight w:val="270"/>
        </w:trPr>
        <w:tc>
          <w:tcPr>
            <w:tcW w:w="2703" w:type="dxa"/>
            <w:noWrap/>
            <w:hideMark/>
          </w:tcPr>
          <w:p w14:paraId="2C475AA2" w14:textId="12ABCFC8" w:rsidR="00696AF0" w:rsidRPr="00696AF0" w:rsidRDefault="00696AF0" w:rsidP="009C09A5">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Lukashevich </w:t>
            </w:r>
            <w:r w:rsidR="000620EA">
              <w:rPr>
                <w:rFonts w:ascii="Calibri" w:eastAsia="Times New Roman" w:hAnsi="Calibri" w:cs="Calibri"/>
                <w:color w:val="000000"/>
                <w:lang w:val="en-ZA" w:eastAsia="en-ZA"/>
              </w:rPr>
              <w:t>et al.</w:t>
            </w:r>
            <w:r w:rsidR="009C09A5">
              <w:rPr>
                <w:rFonts w:ascii="Calibri" w:eastAsia="Times New Roman" w:hAnsi="Calibri" w:cs="Calibri"/>
                <w:color w:val="000000"/>
                <w:lang w:val="en-ZA" w:eastAsia="en-ZA"/>
              </w:rPr>
              <w:t xml:space="preserve"> </w:t>
            </w:r>
            <w:r w:rsidR="009C09A5">
              <w:rPr>
                <w:rFonts w:ascii="Calibri" w:eastAsia="Times New Roman" w:hAnsi="Calibri" w:cs="Calibri"/>
                <w:color w:val="000000"/>
                <w:lang w:val="en-ZA" w:eastAsia="en-ZA"/>
              </w:rPr>
              <w:fldChar w:fldCharType="begin"/>
            </w:r>
            <w:r w:rsidR="009C09A5">
              <w:rPr>
                <w:rFonts w:ascii="Calibri" w:eastAsia="Times New Roman" w:hAnsi="Calibri" w:cs="Calibri"/>
                <w:color w:val="000000"/>
                <w:lang w:val="en-ZA" w:eastAsia="en-ZA"/>
              </w:rPr>
              <w:instrText xml:space="preserve"> ADDIN ZOTERO_ITEM CSL_CITATION {"citationID":"V8BkMByl","properties":{"formattedCitation":"(97)","plainCitation":"(97)","noteIndex":0},"citationItems":[{"id":655,"uris":["http://zotero.org/users/6216265/items/4KTXWWDN"],"itemData":{"id":655,"type":"article-journal","abstract":"Lassa virus (LASV) is a highly prevalent mammarenavirus in West Africa and is maintained in nature in a persistently infected rodent host, Mastomys natalensis,  which is widely spread in sub-Saharan Africa. LASV infection of humans can cause  Lassa fever (LF), a disease associated with high morbidity and significant  mortality. Recent evidence indicates an LASV expansion outside its traditional  endemic areas. In 2017, the World Health Organization (WHO) included LASV in  top-priority pathogens and released a Target Product Profile (TPP) for vaccine  development. Likewise, in 2018, the US Food and Drug Administration added LF to a  priority review voucher program to encourage the development of preventive and  therapeutics measures. In this article, we review recent progress in LASV vaccine  research and development with a focus on the impact of LASV genetic and  biological diversity on the design and development of vaccine candidates meeting  the WHO's TPP for an LASV vaccine.","container-title":"F1000Research","DOI":"10.12688/f1000research.16989.1","ISSN":"2046-1402","journalAbbreviation":"F1000Res","language":"eng","note":"PMID: 30774934 \nPMCID: PMC6357994","page":"F1000 Faculty Rev-134","title":"Lassa virus diversity and feasibility for universal prophylactic vaccine.","volume":"8","author":[{"family":"Lukashevich","given":"Igor S."},{"family":"Paessler","given":"Slobodan"},{"family":"Torre","given":"Juan Carlos","non-dropping-particle":"de la"}],"issued":{"date-parts":[["2019"]]}}}],"schema":"https://github.com/citation-style-language/schema/raw/master/csl-citation.json"} </w:instrText>
            </w:r>
            <w:r w:rsidR="009C09A5">
              <w:rPr>
                <w:rFonts w:ascii="Calibri" w:eastAsia="Times New Roman" w:hAnsi="Calibri" w:cs="Calibri"/>
                <w:color w:val="000000"/>
                <w:lang w:val="en-ZA" w:eastAsia="en-ZA"/>
              </w:rPr>
              <w:fldChar w:fldCharType="separate"/>
            </w:r>
            <w:r w:rsidR="009C09A5" w:rsidRPr="009C09A5">
              <w:rPr>
                <w:rFonts w:ascii="Calibri" w:hAnsi="Calibri" w:cs="Calibri"/>
              </w:rPr>
              <w:t>(97)</w:t>
            </w:r>
            <w:r w:rsidR="009C09A5">
              <w:rPr>
                <w:rFonts w:ascii="Calibri" w:eastAsia="Times New Roman" w:hAnsi="Calibri" w:cs="Calibri"/>
                <w:color w:val="000000"/>
                <w:lang w:val="en-ZA" w:eastAsia="en-ZA"/>
              </w:rPr>
              <w:fldChar w:fldCharType="end"/>
            </w:r>
          </w:p>
        </w:tc>
        <w:tc>
          <w:tcPr>
            <w:tcW w:w="1464" w:type="dxa"/>
            <w:noWrap/>
            <w:hideMark/>
          </w:tcPr>
          <w:p w14:paraId="486CBBEA"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3E43E81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96B2B2A" w14:textId="77777777" w:rsidTr="00366ACD">
        <w:trPr>
          <w:trHeight w:val="270"/>
        </w:trPr>
        <w:tc>
          <w:tcPr>
            <w:tcW w:w="2703" w:type="dxa"/>
            <w:noWrap/>
            <w:hideMark/>
          </w:tcPr>
          <w:p w14:paraId="00B38B50" w14:textId="644EDE9B" w:rsidR="00696AF0" w:rsidRPr="00696AF0" w:rsidRDefault="00696AF0" w:rsidP="009C09A5">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Lyu </w:t>
            </w:r>
            <w:r w:rsidR="000620EA">
              <w:rPr>
                <w:rFonts w:ascii="Calibri" w:eastAsia="Times New Roman" w:hAnsi="Calibri" w:cs="Calibri"/>
                <w:color w:val="000000"/>
                <w:lang w:val="en-ZA" w:eastAsia="en-ZA"/>
              </w:rPr>
              <w:t>et al.</w:t>
            </w:r>
            <w:r w:rsidR="009C09A5">
              <w:rPr>
                <w:rFonts w:ascii="Calibri" w:eastAsia="Times New Roman" w:hAnsi="Calibri" w:cs="Calibri"/>
                <w:color w:val="000000"/>
                <w:lang w:val="en-ZA" w:eastAsia="en-ZA"/>
              </w:rPr>
              <w:t xml:space="preserve"> </w:t>
            </w:r>
            <w:r w:rsidR="009C09A5">
              <w:rPr>
                <w:rFonts w:ascii="Calibri" w:eastAsia="Times New Roman" w:hAnsi="Calibri" w:cs="Calibri"/>
                <w:color w:val="000000"/>
                <w:lang w:val="en-ZA" w:eastAsia="en-ZA"/>
              </w:rPr>
              <w:fldChar w:fldCharType="begin"/>
            </w:r>
            <w:r w:rsidR="009C09A5">
              <w:rPr>
                <w:rFonts w:ascii="Calibri" w:eastAsia="Times New Roman" w:hAnsi="Calibri" w:cs="Calibri"/>
                <w:color w:val="000000"/>
                <w:lang w:val="en-ZA" w:eastAsia="en-ZA"/>
              </w:rPr>
              <w:instrText xml:space="preserve"> ADDIN ZOTERO_ITEM CSL_CITATION {"citationID":"9MijB9ep","properties":{"formattedCitation":"(98)","plainCitation":"(98)","noteIndex":0},"citationItems":[{"id":12453,"uris":["http://zotero.org/users/6216265/items/YYUQL8XU"],"itemData":{"id":12453,"type":"article-journal","abstract":"Abstract\n            \n              We systematically summarized tuberculosis (TB)‐related non‐coding RNA (ncRNA) diagnostic panels, validated and compared panel performance. We searched TB‐related ncRNA panels in PubMed, OVID and Web of Science up to 28 February 2020, and available datasets in GEO, SRA and EBI ArrayExpress up to 1 March 2020. We rebuilt models and synthesized the results of each model in validation sets by bivariate mixed models. Specificity at 90% sensitivity, area under curve (AUC) and inconsistence index (\n              I\n              2\n              ) were calculated. NcRNA biofunctions were analysed. Nineteen models based on 18 ncRNA panels (miRNA, lncRNA, circRNA and snoRNA panels) and 18 datasets were included. Limited available datasets only allowed to evaluate miRNA panels further. Cui 2017 and Latorre 2015 exhibited specificity &gt;70% at 90% sensitivity and AUC &gt;80% in all validation sets. Cui 2017 showed higher specificity at 90% sensitivity (92%) and AUC (95%) and lower heterogeneity (\n              I\n              2\n               = 0%) in ethological‐confirmation validation sets. Gene Ontology and Kyoto Encyclopedia of Genes and Genomes analysis indicated that most ncRNAs in panels involved in immune cell activation, oxidative stress, and Wnt and MAPK signalling pathway. Cui 2017 outperformed other models in both all available and aetiological‐confirmed validation sets, meeting the criteria of target product profile of WHO. This work provided a basis for clinical choice of TB‐related ncRNA diagnostic panels to a certain extent.","container-title":"Journal of Cellular and Molecular Medicine","DOI":"10.1111/jcmm.15903","ISSN":"1582-1838, 1582-4934","issue":"1","journalAbbreviation":"J Cellular Molecular Medi","language":"en","page":"184-202","source":"DOI.org (Crossref)","title":"Systematic evaluation, verification and comparison of tuberculosis‐related non‐coding RNA diagnostic panels","volume":"25","author":[{"family":"Lyu","given":"Mengyuan"},{"family":"Cheng","given":"Yuhui"},{"family":"Zhou","given":"Jian"},{"family":"Chong","given":"Weelic"},{"family":"Wang","given":"Yili"},{"family":"Xu","given":"Wei"},{"family":"Ying","given":"Binwu"}],"issued":{"date-parts":[["2021",1]]}}}],"schema":"https://github.com/citation-style-language/schema/raw/master/csl-citation.json"} </w:instrText>
            </w:r>
            <w:r w:rsidR="009C09A5">
              <w:rPr>
                <w:rFonts w:ascii="Calibri" w:eastAsia="Times New Roman" w:hAnsi="Calibri" w:cs="Calibri"/>
                <w:color w:val="000000"/>
                <w:lang w:val="en-ZA" w:eastAsia="en-ZA"/>
              </w:rPr>
              <w:fldChar w:fldCharType="separate"/>
            </w:r>
            <w:r w:rsidR="009C09A5" w:rsidRPr="009C09A5">
              <w:rPr>
                <w:rFonts w:ascii="Calibri" w:hAnsi="Calibri" w:cs="Calibri"/>
              </w:rPr>
              <w:t>(98)</w:t>
            </w:r>
            <w:r w:rsidR="009C09A5">
              <w:rPr>
                <w:rFonts w:ascii="Calibri" w:eastAsia="Times New Roman" w:hAnsi="Calibri" w:cs="Calibri"/>
                <w:color w:val="000000"/>
                <w:lang w:val="en-ZA" w:eastAsia="en-ZA"/>
              </w:rPr>
              <w:fldChar w:fldCharType="end"/>
            </w:r>
          </w:p>
        </w:tc>
        <w:tc>
          <w:tcPr>
            <w:tcW w:w="1464" w:type="dxa"/>
            <w:noWrap/>
            <w:hideMark/>
          </w:tcPr>
          <w:p w14:paraId="02F43CB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69059A7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ADDA473" w14:textId="77777777" w:rsidTr="00366ACD">
        <w:trPr>
          <w:trHeight w:val="270"/>
        </w:trPr>
        <w:tc>
          <w:tcPr>
            <w:tcW w:w="2703" w:type="dxa"/>
            <w:noWrap/>
            <w:hideMark/>
          </w:tcPr>
          <w:p w14:paraId="3F639EEF" w14:textId="40BECDEE" w:rsidR="00696AF0" w:rsidRPr="00696AF0" w:rsidRDefault="00696AF0" w:rsidP="004F02DB">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Mabille</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4F02DB">
              <w:rPr>
                <w:rFonts w:ascii="Calibri" w:eastAsia="Times New Roman" w:hAnsi="Calibri" w:cs="Calibri"/>
                <w:color w:val="000000"/>
                <w:lang w:val="en-ZA" w:eastAsia="en-ZA"/>
              </w:rPr>
              <w:t xml:space="preserve"> </w:t>
            </w:r>
            <w:r w:rsidR="004F02DB">
              <w:rPr>
                <w:rFonts w:ascii="Calibri" w:eastAsia="Times New Roman" w:hAnsi="Calibri" w:cs="Calibri"/>
                <w:color w:val="000000"/>
                <w:lang w:val="en-ZA" w:eastAsia="en-ZA"/>
              </w:rPr>
              <w:fldChar w:fldCharType="begin"/>
            </w:r>
            <w:r w:rsidR="004F02DB">
              <w:rPr>
                <w:rFonts w:ascii="Calibri" w:eastAsia="Times New Roman" w:hAnsi="Calibri" w:cs="Calibri"/>
                <w:color w:val="000000"/>
                <w:lang w:val="en-ZA" w:eastAsia="en-ZA"/>
              </w:rPr>
              <w:instrText xml:space="preserve"> ADDIN ZOTERO_ITEM CSL_CITATION {"citationID":"kCJjGYKF","properties":{"formattedCitation":"(99)","plainCitation":"(99)","noteIndex":0},"citationItems":[{"id":12456,"uris":["http://zotero.org/users/6216265/items/P56FJQAJ"],"itemData":{"id":12456,"type":"article-journal","container-title":"International Journal for Parasitology: Drugs and Drug Resistance","DOI":"10.1016/j.ijpddr.2022.05.001","ISSN":"22113207","journalAbbreviation":"International Journal for Parasitology: Drugs and Drug Resistance","language":"en","page":"21-30","source":"DOI.org (Crossref)","title":"Nucleoside analogues for the treatment of animal trypanosomiasis","volume":"19","author":[{"family":"Mabille","given":"Dorien"},{"family":"Ilbeigi","given":"Kayhan"},{"family":"Hendrickx","given":"Sarah"},{"family":"Ungogo","given":"Marzuq A."},{"family":"Hulpia","given":"Fabian"},{"family":"Lin","given":"Cai"},{"family":"Maes","given":"Louis"},{"family":"De Koning","given":"Harry P."},{"family":"Van Calenbergh","given":"Serge"},{"family":"Caljon","given":"Guy"}],"issued":{"date-parts":[["2022",8]]}}}],"schema":"https://github.com/citation-style-language/schema/raw/master/csl-citation.json"} </w:instrText>
            </w:r>
            <w:r w:rsidR="004F02DB">
              <w:rPr>
                <w:rFonts w:ascii="Calibri" w:eastAsia="Times New Roman" w:hAnsi="Calibri" w:cs="Calibri"/>
                <w:color w:val="000000"/>
                <w:lang w:val="en-ZA" w:eastAsia="en-ZA"/>
              </w:rPr>
              <w:fldChar w:fldCharType="separate"/>
            </w:r>
            <w:r w:rsidR="004F02DB" w:rsidRPr="004F02DB">
              <w:rPr>
                <w:rFonts w:ascii="Calibri" w:hAnsi="Calibri" w:cs="Calibri"/>
              </w:rPr>
              <w:t>(99)</w:t>
            </w:r>
            <w:r w:rsidR="004F02DB">
              <w:rPr>
                <w:rFonts w:ascii="Calibri" w:eastAsia="Times New Roman" w:hAnsi="Calibri" w:cs="Calibri"/>
                <w:color w:val="000000"/>
                <w:lang w:val="en-ZA" w:eastAsia="en-ZA"/>
              </w:rPr>
              <w:fldChar w:fldCharType="end"/>
            </w:r>
          </w:p>
        </w:tc>
        <w:tc>
          <w:tcPr>
            <w:tcW w:w="1464" w:type="dxa"/>
            <w:noWrap/>
            <w:hideMark/>
          </w:tcPr>
          <w:p w14:paraId="6BD504E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6D13339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EA7CE8C" w14:textId="77777777" w:rsidTr="00366ACD">
        <w:trPr>
          <w:trHeight w:val="270"/>
        </w:trPr>
        <w:tc>
          <w:tcPr>
            <w:tcW w:w="2703" w:type="dxa"/>
            <w:noWrap/>
            <w:hideMark/>
          </w:tcPr>
          <w:p w14:paraId="43FA8247" w14:textId="72EEF355" w:rsidR="00696AF0" w:rsidRPr="00696AF0" w:rsidRDefault="00696AF0" w:rsidP="004F02DB">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MacLean </w:t>
            </w:r>
            <w:r w:rsidR="000620EA">
              <w:rPr>
                <w:rFonts w:ascii="Calibri" w:eastAsia="Times New Roman" w:hAnsi="Calibri" w:cs="Calibri"/>
                <w:color w:val="000000"/>
                <w:lang w:val="en-ZA" w:eastAsia="en-ZA"/>
              </w:rPr>
              <w:t>et al.</w:t>
            </w:r>
            <w:r w:rsidR="004F02DB">
              <w:rPr>
                <w:rFonts w:ascii="Calibri" w:eastAsia="Times New Roman" w:hAnsi="Calibri" w:cs="Calibri"/>
                <w:color w:val="000000"/>
                <w:lang w:val="en-ZA" w:eastAsia="en-ZA"/>
              </w:rPr>
              <w:t xml:space="preserve"> </w:t>
            </w:r>
            <w:r w:rsidR="004F02DB">
              <w:rPr>
                <w:rFonts w:ascii="Calibri" w:eastAsia="Times New Roman" w:hAnsi="Calibri" w:cs="Calibri"/>
                <w:color w:val="000000"/>
                <w:lang w:val="en-ZA" w:eastAsia="en-ZA"/>
              </w:rPr>
              <w:fldChar w:fldCharType="begin"/>
            </w:r>
            <w:r w:rsidR="004F02DB">
              <w:rPr>
                <w:rFonts w:ascii="Calibri" w:eastAsia="Times New Roman" w:hAnsi="Calibri" w:cs="Calibri"/>
                <w:color w:val="000000"/>
                <w:lang w:val="en-ZA" w:eastAsia="en-ZA"/>
              </w:rPr>
              <w:instrText xml:space="preserve"> ADDIN ZOTERO_ITEM CSL_CITATION {"citationID":"KfBxuhK1","properties":{"formattedCitation":"(100)","plainCitation":"(100)","noteIndex":0},"citationItems":[{"id":656,"uris":["http://zotero.org/users/6216265/items/BDZQM4U6"],"itemData":{"id":656,"type":"article-journal","abstract":"Millions of cases of tuberculosis (TB) go undiagnosed each year. Better diagnostic tools are urgently needed. Biomarker-based or multiple marker  biosignature-based tests, ideally performed on blood or urine, for the detection  of active TB might help to meet target product profiles proposed by the World  Health Organization for point-of-care testing. We conducted a systematic review  to summarize evidence on proposed biomarkers and biosignatures and evaluate their  quality and level of evidence. We screened the titles and abstracts of 7,631  citations and included 443 publications that fulfilled the inclusion criteria and  were published in 2010-2017. The types of biomarkers identified included  antibodies, cytokines, metabolic activity markers, mycobacterial antigens and  volatile organic compounds. Only 47% of studies reported a culture-based  reference standard and diagnostic sensitivity and specificity. Forty-four  biomarkers (4%) were identified in high-quality studies and met the target  product profile minimum criteria, of which two have been incorporated into  commercial assays. Of the 44 highest-quality biomarkers, 24 (55%) were multiple  marker biosignatures. No meta-analyses were performed owing to between-study  heterogeneity. In conclusion, TB biomarker discovery studies are often poorly  designed and findings are rarely confirmed in independent studies. Few markers  progress to a further developmental stage. More validation studies that consider  the intended diagnostic use cases and apply rigorous design are needed. The  extracted data from this review are currently being used by FIND as the  foundation of a dynamic database in which biomarker data and developmental status  will be presented.","container-title":"Nature microbiology","DOI":"10.1038/s41564-019-0380-2","ISSN":"2058-5276","issue":"5","journalAbbreviation":"Nat Microbiol","language":"eng","note":"publisher-place: England\nPMID: 30804546","page":"748-758","title":"A systematic review of biomarkers to detect active tuberculosis.","volume":"4","author":[{"family":"MacLean","given":"Emily"},{"family":"Broger","given":"Tobias"},{"family":"Yerlikaya","given":"Seda"},{"family":"Fernandez-Carballo","given":"B. Leticia"},{"family":"Pai","given":"Madhukar"},{"family":"Denkinger","given":"Claudia M."}],"issued":{"date-parts":[["2019",5]]}}}],"schema":"https://github.com/citation-style-language/schema/raw/master/csl-citation.json"} </w:instrText>
            </w:r>
            <w:r w:rsidR="004F02DB">
              <w:rPr>
                <w:rFonts w:ascii="Calibri" w:eastAsia="Times New Roman" w:hAnsi="Calibri" w:cs="Calibri"/>
                <w:color w:val="000000"/>
                <w:lang w:val="en-ZA" w:eastAsia="en-ZA"/>
              </w:rPr>
              <w:fldChar w:fldCharType="separate"/>
            </w:r>
            <w:r w:rsidR="004F02DB" w:rsidRPr="004F02DB">
              <w:rPr>
                <w:rFonts w:ascii="Calibri" w:hAnsi="Calibri" w:cs="Calibri"/>
              </w:rPr>
              <w:t>(100)</w:t>
            </w:r>
            <w:r w:rsidR="004F02DB">
              <w:rPr>
                <w:rFonts w:ascii="Calibri" w:eastAsia="Times New Roman" w:hAnsi="Calibri" w:cs="Calibri"/>
                <w:color w:val="000000"/>
                <w:lang w:val="en-ZA" w:eastAsia="en-ZA"/>
              </w:rPr>
              <w:fldChar w:fldCharType="end"/>
            </w:r>
          </w:p>
        </w:tc>
        <w:tc>
          <w:tcPr>
            <w:tcW w:w="1464" w:type="dxa"/>
            <w:noWrap/>
            <w:hideMark/>
          </w:tcPr>
          <w:p w14:paraId="7C64C7F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704F813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2A54ADEE" w14:textId="77777777" w:rsidTr="00366ACD">
        <w:trPr>
          <w:trHeight w:val="270"/>
        </w:trPr>
        <w:tc>
          <w:tcPr>
            <w:tcW w:w="2703" w:type="dxa"/>
            <w:noWrap/>
            <w:hideMark/>
          </w:tcPr>
          <w:p w14:paraId="16ABA754" w14:textId="53F9F5D8" w:rsidR="00696AF0" w:rsidRPr="00696AF0" w:rsidRDefault="00696AF0" w:rsidP="00E93C76">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Makepeace </w:t>
            </w:r>
            <w:r w:rsidR="000620EA">
              <w:rPr>
                <w:rFonts w:ascii="Calibri" w:eastAsia="Times New Roman" w:hAnsi="Calibri" w:cs="Calibri"/>
                <w:color w:val="000000"/>
                <w:lang w:val="en-ZA" w:eastAsia="en-ZA"/>
              </w:rPr>
              <w:t>et al.</w:t>
            </w:r>
            <w:r w:rsidR="00E93C76">
              <w:rPr>
                <w:rFonts w:ascii="Calibri" w:eastAsia="Times New Roman" w:hAnsi="Calibri" w:cs="Calibri"/>
                <w:color w:val="000000"/>
                <w:lang w:val="en-ZA" w:eastAsia="en-ZA"/>
              </w:rPr>
              <w:t xml:space="preserve"> </w:t>
            </w:r>
            <w:r w:rsidR="00E93C76">
              <w:rPr>
                <w:rFonts w:ascii="Calibri" w:eastAsia="Times New Roman" w:hAnsi="Calibri" w:cs="Calibri"/>
                <w:color w:val="000000"/>
                <w:lang w:val="en-ZA" w:eastAsia="en-ZA"/>
              </w:rPr>
              <w:fldChar w:fldCharType="begin"/>
            </w:r>
            <w:r w:rsidR="00E93C76">
              <w:rPr>
                <w:rFonts w:ascii="Calibri" w:eastAsia="Times New Roman" w:hAnsi="Calibri" w:cs="Calibri"/>
                <w:color w:val="000000"/>
                <w:lang w:val="en-ZA" w:eastAsia="en-ZA"/>
              </w:rPr>
              <w:instrText xml:space="preserve"> ADDIN ZOTERO_ITEM CSL_CITATION {"citationID":"ALDpD7xO","properties":{"formattedCitation":"(101)","plainCitation":"(101)","noteIndex":0},"citationItems":[{"id":185,"uris":["http://zotero.org/users/6216265/items/R4G22VAZ"],"itemData":{"id":185,"type":"article-journal","abstract":"Human onchocerciasis, caused by the filarial nematode Onchocerca volvulus, is controlled almost exclusively by the drug ivermectin, which prevents pathology by targeting the microfilariae. However, this reliance on a single control tool has led to interest in vaccination as a potentially complementary strategy. Here, we describe the results of a trial in West Africa to evaluate a multivalent, subunit vaccine for onchocerciasis in the naturally evolved host-parasite relationship of Onchocerca ochengi in cattle. Naïve calves, reared in fly-proof accommodation, were immunised with eight recombinant antigens of O. ochengi, administered separately with either Freund's adjuvant or alum. The selected antigens were orthologues of O. volvulus recombinant proteins that had previously been shown to confer protection against filarial larvae in rodent models and, in some cases, were recognised by serum antibodies from putatively immune humans. The vaccine was highly immunogenic, eliciting a mixed IgG isotype response. Four weeks after the final immunisation, vaccinated and adjuvant-treated control calves were exposed to natural parasite transmission by the blackfly vectors in an area of Cameroon hyperendemic for O. ochengi. After 22 months, all the control animals had patent infections (i.e., microfilaridermia), compared with only 58% of vaccinated cattle (P = 0.015). This study indicates that vaccination to prevent patent infection may be an achievable goal in onchocerciasis, reducing both the pathology and transmissibility of the infection. The cattle model has also demonstrated its utility for preclinical vaccine discovery, although much research will be required to achieve the requisite target product profile of a clinical candidate.","archive":"cmedm","archive_location":"19901988","container-title":"PLoS neglected tropical diseases","DOI":"10.1371/journal.pntd.0000544","ISSN":"1935-2735","issue":"11","journalAbbreviation":"PLoS neglected tropical diseases","note":"publisher-place: United States\npublisher: Public Library of Science","page":"e544","source":"EBSCOhost","title":"Immunisation with a multivalent, subunit vaccine reduces patent infection in a natural bovine model of onchocerciasis during intense field exposure.","volume":"3","author":[{"family":"Makepeace","given":"Benjamin L"},{"family":"Jensen","given":"Siv Aina"},{"family":"Laney","given":"Sandra J"},{"family":"Nfon","given":"Charles K"},{"family":"Njongmeta","given":"Leo M"},{"family":"Tanya","given":"Vincent N"},{"family":"Williams","given":"Steven A"},{"family":"Bianco","given":"Albert E"},{"family":"Trees","given":"Alexander J"}],"issued":{"date-parts":[["2009",11,10]]}}}],"schema":"https://github.com/citation-style-language/schema/raw/master/csl-citation.json"} </w:instrText>
            </w:r>
            <w:r w:rsidR="00E93C76">
              <w:rPr>
                <w:rFonts w:ascii="Calibri" w:eastAsia="Times New Roman" w:hAnsi="Calibri" w:cs="Calibri"/>
                <w:color w:val="000000"/>
                <w:lang w:val="en-ZA" w:eastAsia="en-ZA"/>
              </w:rPr>
              <w:fldChar w:fldCharType="separate"/>
            </w:r>
            <w:r w:rsidR="00E93C76" w:rsidRPr="00E93C76">
              <w:rPr>
                <w:rFonts w:ascii="Calibri" w:hAnsi="Calibri" w:cs="Calibri"/>
              </w:rPr>
              <w:t>(101)</w:t>
            </w:r>
            <w:r w:rsidR="00E93C76">
              <w:rPr>
                <w:rFonts w:ascii="Calibri" w:eastAsia="Times New Roman" w:hAnsi="Calibri" w:cs="Calibri"/>
                <w:color w:val="000000"/>
                <w:lang w:val="en-ZA" w:eastAsia="en-ZA"/>
              </w:rPr>
              <w:fldChar w:fldCharType="end"/>
            </w:r>
          </w:p>
        </w:tc>
        <w:tc>
          <w:tcPr>
            <w:tcW w:w="1464" w:type="dxa"/>
            <w:noWrap/>
            <w:hideMark/>
          </w:tcPr>
          <w:p w14:paraId="523F0C85"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2009</w:t>
            </w:r>
          </w:p>
        </w:tc>
        <w:tc>
          <w:tcPr>
            <w:tcW w:w="2043" w:type="dxa"/>
            <w:noWrap/>
            <w:hideMark/>
          </w:tcPr>
          <w:p w14:paraId="66024FF8"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AD2F4B" w14:paraId="6F22CB85" w14:textId="77777777" w:rsidTr="00366ACD">
        <w:trPr>
          <w:trHeight w:val="270"/>
        </w:trPr>
        <w:tc>
          <w:tcPr>
            <w:tcW w:w="2703" w:type="dxa"/>
            <w:noWrap/>
            <w:hideMark/>
          </w:tcPr>
          <w:p w14:paraId="0DA15CC8" w14:textId="375943F3" w:rsidR="00696AF0" w:rsidRPr="00696AF0" w:rsidRDefault="00696AF0" w:rsidP="00E93C76">
            <w:pPr>
              <w:rPr>
                <w:rFonts w:ascii="Calibri" w:eastAsia="Times New Roman" w:hAnsi="Calibri" w:cs="Calibri"/>
                <w:color w:val="000000"/>
                <w:lang w:val="it-IT" w:eastAsia="en-ZA"/>
              </w:rPr>
            </w:pPr>
            <w:r w:rsidRPr="00696AF0">
              <w:rPr>
                <w:rFonts w:ascii="Calibri" w:eastAsia="Times New Roman" w:hAnsi="Calibri" w:cs="Calibri"/>
                <w:color w:val="000000"/>
                <w:lang w:val="en-ZA" w:eastAsia="en-ZA"/>
              </w:rPr>
              <w:t xml:space="preserve">Malebo </w:t>
            </w:r>
            <w:r w:rsidR="000620EA">
              <w:rPr>
                <w:rFonts w:ascii="Calibri" w:eastAsia="Times New Roman" w:hAnsi="Calibri" w:cs="Calibri"/>
                <w:color w:val="000000"/>
                <w:lang w:val="en-ZA" w:eastAsia="en-ZA"/>
              </w:rPr>
              <w:t>et al.</w:t>
            </w:r>
            <w:r w:rsidR="00E93C76">
              <w:rPr>
                <w:rFonts w:ascii="Calibri" w:eastAsia="Times New Roman" w:hAnsi="Calibri" w:cs="Calibri"/>
                <w:color w:val="000000"/>
                <w:lang w:val="en-ZA" w:eastAsia="en-ZA"/>
              </w:rPr>
              <w:t xml:space="preserve"> </w:t>
            </w:r>
            <w:r w:rsidR="00E93C76">
              <w:rPr>
                <w:rFonts w:ascii="Calibri" w:eastAsia="Times New Roman" w:hAnsi="Calibri" w:cs="Calibri"/>
                <w:color w:val="000000"/>
                <w:lang w:val="en-ZA" w:eastAsia="en-ZA"/>
              </w:rPr>
              <w:fldChar w:fldCharType="begin"/>
            </w:r>
            <w:r w:rsidR="00E93C76">
              <w:rPr>
                <w:rFonts w:ascii="Calibri" w:eastAsia="Times New Roman" w:hAnsi="Calibri" w:cs="Calibri"/>
                <w:color w:val="000000"/>
                <w:lang w:val="en-ZA" w:eastAsia="en-ZA"/>
              </w:rPr>
              <w:instrText xml:space="preserve"> ADDIN ZOTERO_ITEM CSL_CITATION {"citationID":"4xBy9ZYD","properties":{"formattedCitation":"(102)","plainCitation":"(102)","noteIndex":0},"citationItems":[{"id":3025,"uris":["http://zotero.org/users/6216265/items/TSTGLILM"],"itemData":{"id":3025,"type":"article-journal","abstract":"PURPOSE: Continuous efforts into the discovery and development of new antimalarials are required to face the emerging resistance of the parasite to  available treatments. Thus, new effective drugs, ideally able to inhibit the  Plasmodium life-cycle stages that cause the disease as well as those responsible  for its transmission, are needed. Eight compounds from the Medicines for Malaria  Venture (MMV) Malaria Box, potentially interfering with the parasite polyamine  biosynthesis were selected and assessed in vitro for activity against malaria  transmissible stages, namely mature gametocytes and early sporogonic stages.  METHODS: Compound activity against asexual blood stages of chloroquine-sensitive  3D7 and chloroquine-resistant W2 strains of Plasmodium falciparum was tested  measuring the parasite lactate dehydrogenase activity. The gametocytocidal effect  was determined against the P. falciparum 3D7elo1-pfs16-CBG99 strain with a  luminescent method. The murine P. berghei CTRP.GFP strain was employed to assess  compounds activities against early sporogonic stage development in an in vitro  assay simulating mosquito midgut conditions. RESULTS: Among the eight tested  molecules, MMV000642, MMV000662 and MMV006429, containing a  1,2,3,4-tetrahydroisoquinoline-4-carboxamide chemical skeleton substituted at  N-2, C-3 and C-4, displayed multi-stage activity. Activity against asexual blood  stages of both strains was confirmed with values of IC(50) (50% in</w:instrText>
            </w:r>
            <w:r w:rsidR="00E93C76" w:rsidRPr="00D201C4">
              <w:rPr>
                <w:rFonts w:ascii="Calibri" w:eastAsia="Times New Roman" w:hAnsi="Calibri" w:cs="Calibri"/>
                <w:color w:val="000000"/>
                <w:lang w:val="it-IT" w:eastAsia="en-ZA"/>
              </w:rPr>
              <w:instrText xml:space="preserve">hibitory  concentration) in the range of 0.07-0.13 µM. They were also active against mature  stage V gametocytes with IC(50) values below 5 µM (range: 3.43-4.42 µM). These  molecules exhibited moderate effects on early sporogonic stage development,  displaying IC(50) values between 20 and 40 µM. CONCLUSION: Given the multi-stage,  transmission-blocking profiles of MMV000642, MMV000662, MMV006429, and their  chemical characteristics, these compounds can be considered worthy for further  optimisation toward a TCP5 or TCP6 target product profile proposed by MMV for  transmission-blocking antimalarials.","container-title":"Drug design, development and therapy","DOI":"10.2147/DDDT.S242883","ISSN":"1177-8881","journalAbbreviation":"Drug Des Devel Ther","language":"eng","license":"© 2020 Malebo et al.","note":"PMID: 32425505 \nPMCID: PMC7196193","page":"1593-1607","title":"In vitro Multistage Malaria Transmission Blocking Activity of Selected Malaria Box Compounds.","volume":"14","author":[{"family":"Malebo","given":"Hamisi M."},{"family":"D'Alessandro","given":"Sarah"},{"family":"Ebstie","given":"Yehenew A."},{"family":"Sorè","given":"Harouna"},{"family":"Tenoh Guedoung","given":"Alain R."},{"family":"Katani","given":"Shaaban J."},{"family":"Parapini","given":"Silvia"},{"family":"Taramelli","given":"Donatella"},{"family":"Habluetzel","given":"Annette"}],"issued":{"date-parts":[["2020"]]}}}],"schema":"https://github.com/citation-style-language/schema/raw/master/csl-citation.json"} </w:instrText>
            </w:r>
            <w:r w:rsidR="00E93C76">
              <w:rPr>
                <w:rFonts w:ascii="Calibri" w:eastAsia="Times New Roman" w:hAnsi="Calibri" w:cs="Calibri"/>
                <w:color w:val="000000"/>
                <w:lang w:val="en-ZA" w:eastAsia="en-ZA"/>
              </w:rPr>
              <w:fldChar w:fldCharType="separate"/>
            </w:r>
            <w:r w:rsidR="00E93C76" w:rsidRPr="00D201C4">
              <w:rPr>
                <w:rFonts w:ascii="Calibri" w:hAnsi="Calibri" w:cs="Calibri"/>
                <w:lang w:val="it-IT"/>
              </w:rPr>
              <w:t>(102)</w:t>
            </w:r>
            <w:r w:rsidR="00E93C76">
              <w:rPr>
                <w:rFonts w:ascii="Calibri" w:eastAsia="Times New Roman" w:hAnsi="Calibri" w:cs="Calibri"/>
                <w:color w:val="000000"/>
                <w:lang w:val="en-ZA" w:eastAsia="en-ZA"/>
              </w:rPr>
              <w:fldChar w:fldCharType="end"/>
            </w:r>
          </w:p>
        </w:tc>
        <w:tc>
          <w:tcPr>
            <w:tcW w:w="1464" w:type="dxa"/>
            <w:noWrap/>
            <w:hideMark/>
          </w:tcPr>
          <w:p w14:paraId="02711C8F" w14:textId="77777777" w:rsidR="00696AF0" w:rsidRPr="00696AF0" w:rsidRDefault="00696AF0" w:rsidP="00696AF0">
            <w:pPr>
              <w:rPr>
                <w:rFonts w:ascii="Calibri" w:eastAsia="Times New Roman" w:hAnsi="Calibri" w:cs="Calibri"/>
                <w:color w:val="000000"/>
                <w:lang w:val="it-IT" w:eastAsia="en-ZA"/>
              </w:rPr>
            </w:pPr>
            <w:r w:rsidRPr="00696AF0">
              <w:rPr>
                <w:rFonts w:ascii="Calibri" w:eastAsia="Times New Roman" w:hAnsi="Calibri" w:cs="Calibri"/>
                <w:color w:val="000000"/>
                <w:lang w:val="it-IT" w:eastAsia="en-ZA"/>
              </w:rPr>
              <w:t>2020</w:t>
            </w:r>
          </w:p>
        </w:tc>
        <w:tc>
          <w:tcPr>
            <w:tcW w:w="2043" w:type="dxa"/>
            <w:noWrap/>
            <w:hideMark/>
          </w:tcPr>
          <w:p w14:paraId="550A011F" w14:textId="77777777" w:rsidR="00696AF0" w:rsidRPr="00696AF0" w:rsidRDefault="00696AF0" w:rsidP="00696AF0">
            <w:pPr>
              <w:rPr>
                <w:rFonts w:ascii="Calibri" w:eastAsia="Times New Roman" w:hAnsi="Calibri" w:cs="Calibri"/>
                <w:color w:val="000000"/>
                <w:lang w:val="it-IT" w:eastAsia="en-ZA"/>
              </w:rPr>
            </w:pPr>
            <w:r w:rsidRPr="00696AF0">
              <w:rPr>
                <w:rFonts w:ascii="Calibri" w:eastAsia="Times New Roman" w:hAnsi="Calibri" w:cs="Calibri"/>
                <w:color w:val="000000"/>
                <w:lang w:val="it-IT" w:eastAsia="en-ZA"/>
              </w:rPr>
              <w:t xml:space="preserve">No TPP </w:t>
            </w:r>
            <w:proofErr w:type="spellStart"/>
            <w:r w:rsidRPr="00696AF0">
              <w:rPr>
                <w:rFonts w:ascii="Calibri" w:eastAsia="Times New Roman" w:hAnsi="Calibri" w:cs="Calibri"/>
                <w:color w:val="000000"/>
                <w:lang w:val="it-IT" w:eastAsia="en-ZA"/>
              </w:rPr>
              <w:t>structure</w:t>
            </w:r>
            <w:proofErr w:type="spellEnd"/>
          </w:p>
        </w:tc>
      </w:tr>
      <w:tr w:rsidR="00696AF0" w:rsidRPr="00AD2F4B" w14:paraId="34C773D0" w14:textId="77777777" w:rsidTr="00366ACD">
        <w:trPr>
          <w:trHeight w:val="270"/>
        </w:trPr>
        <w:tc>
          <w:tcPr>
            <w:tcW w:w="2703" w:type="dxa"/>
            <w:noWrap/>
            <w:hideMark/>
          </w:tcPr>
          <w:p w14:paraId="24E6AC79" w14:textId="76908B01" w:rsidR="00696AF0" w:rsidRPr="00696AF0" w:rsidRDefault="00696AF0" w:rsidP="00F63B66">
            <w:pPr>
              <w:rPr>
                <w:rFonts w:ascii="Calibri" w:eastAsia="Times New Roman" w:hAnsi="Calibri" w:cs="Calibri"/>
                <w:color w:val="000000"/>
                <w:lang w:val="it-IT" w:eastAsia="en-ZA"/>
              </w:rPr>
            </w:pPr>
            <w:r w:rsidRPr="00696AF0">
              <w:rPr>
                <w:rFonts w:ascii="Calibri" w:eastAsia="Times New Roman" w:hAnsi="Calibri" w:cs="Calibri"/>
                <w:color w:val="000000"/>
                <w:lang w:val="it-IT" w:eastAsia="en-ZA"/>
              </w:rPr>
              <w:t xml:space="preserve">Manga </w:t>
            </w:r>
            <w:r w:rsidR="000620EA">
              <w:rPr>
                <w:rFonts w:ascii="Calibri" w:eastAsia="Times New Roman" w:hAnsi="Calibri" w:cs="Calibri"/>
                <w:color w:val="000000"/>
                <w:lang w:val="it-IT" w:eastAsia="en-ZA"/>
              </w:rPr>
              <w:t>et al.</w:t>
            </w:r>
            <w:r w:rsidR="00F63B66" w:rsidRPr="00D201C4">
              <w:rPr>
                <w:rFonts w:ascii="Calibri" w:eastAsia="Times New Roman" w:hAnsi="Calibri" w:cs="Calibri"/>
                <w:color w:val="000000"/>
                <w:lang w:val="it-IT" w:eastAsia="en-ZA"/>
              </w:rPr>
              <w:t xml:space="preserve"> </w:t>
            </w:r>
            <w:r w:rsidR="00F63B66">
              <w:rPr>
                <w:rFonts w:ascii="Calibri" w:eastAsia="Times New Roman" w:hAnsi="Calibri" w:cs="Calibri"/>
                <w:color w:val="000000"/>
                <w:lang w:val="en-ZA" w:eastAsia="en-ZA"/>
              </w:rPr>
              <w:fldChar w:fldCharType="begin"/>
            </w:r>
            <w:r w:rsidR="00F63B66" w:rsidRPr="00D201C4">
              <w:rPr>
                <w:rFonts w:ascii="Calibri" w:eastAsia="Times New Roman" w:hAnsi="Calibri" w:cs="Calibri"/>
                <w:color w:val="000000"/>
                <w:lang w:val="it-IT" w:eastAsia="en-ZA"/>
              </w:rPr>
              <w:instrText xml:space="preserve"> ADDIN ZOTERO_ITEM CSL_CITATION {"citationID":"wgt6oGvw","properties":{"formattedCitation":"(103)","plainCitation":"(103)","noteIndex":0},"citationItems":[{"id":12463,"uris":["http://zotero.org/users/6216265/items/V9ZEEM3M"],"itemData":{"id":12463,"type":"article-journal","container-title":"Journal of Thoracic Disease","DOI":"10.21037/jtd.2016.11.51","ISSN":"20721439, 20776624","issue":"11","journalAbbreviation":"J. Thorac. Dis.","page":"3307-3313","source":"DOI.org (Crossref)","title":"Performance of a lateral flow immunochromatography test for the rapid diagnosis of active tuberculosis in a large multicentre study in areas with different clinical settings and tuberculosis exposure levels","volume":"8","author":[{"family":"Manga","given":"Selene"},{"family":"Perales","given":"Rocio"},{"family":"Reaño","given":"Maria"},{"family":"D’Ambrosio","given":"Lia"},{"family":"Migliori","given":"Giovanni Battista"},{"family":"Amicosante","given":"Massimo"}],"issued":{"date-parts":[["2016",11]]}}}],"schema":"https://github.com/citation-style-language/schema/raw/master/csl-citation.json"} </w:instrText>
            </w:r>
            <w:r w:rsidR="00F63B66">
              <w:rPr>
                <w:rFonts w:ascii="Calibri" w:eastAsia="Times New Roman" w:hAnsi="Calibri" w:cs="Calibri"/>
                <w:color w:val="000000"/>
                <w:lang w:val="en-ZA" w:eastAsia="en-ZA"/>
              </w:rPr>
              <w:fldChar w:fldCharType="separate"/>
            </w:r>
            <w:r w:rsidR="00F63B66" w:rsidRPr="00D201C4">
              <w:rPr>
                <w:rFonts w:ascii="Calibri" w:hAnsi="Calibri" w:cs="Calibri"/>
                <w:lang w:val="it-IT"/>
              </w:rPr>
              <w:t>(103)</w:t>
            </w:r>
            <w:r w:rsidR="00F63B66">
              <w:rPr>
                <w:rFonts w:ascii="Calibri" w:eastAsia="Times New Roman" w:hAnsi="Calibri" w:cs="Calibri"/>
                <w:color w:val="000000"/>
                <w:lang w:val="en-ZA" w:eastAsia="en-ZA"/>
              </w:rPr>
              <w:fldChar w:fldCharType="end"/>
            </w:r>
          </w:p>
        </w:tc>
        <w:tc>
          <w:tcPr>
            <w:tcW w:w="1464" w:type="dxa"/>
            <w:noWrap/>
            <w:hideMark/>
          </w:tcPr>
          <w:p w14:paraId="40735AE0" w14:textId="77777777" w:rsidR="00696AF0" w:rsidRPr="00696AF0" w:rsidRDefault="00696AF0" w:rsidP="00696AF0">
            <w:pPr>
              <w:rPr>
                <w:rFonts w:ascii="Calibri" w:eastAsia="Times New Roman" w:hAnsi="Calibri" w:cs="Calibri"/>
                <w:color w:val="000000"/>
                <w:lang w:val="it-IT" w:eastAsia="en-ZA"/>
              </w:rPr>
            </w:pPr>
            <w:r w:rsidRPr="00696AF0">
              <w:rPr>
                <w:rFonts w:ascii="Calibri" w:eastAsia="Times New Roman" w:hAnsi="Calibri" w:cs="Calibri"/>
                <w:color w:val="000000"/>
                <w:lang w:val="it-IT" w:eastAsia="en-ZA"/>
              </w:rPr>
              <w:t>2016</w:t>
            </w:r>
          </w:p>
        </w:tc>
        <w:tc>
          <w:tcPr>
            <w:tcW w:w="2043" w:type="dxa"/>
            <w:noWrap/>
            <w:hideMark/>
          </w:tcPr>
          <w:p w14:paraId="46F78E40" w14:textId="77777777" w:rsidR="00696AF0" w:rsidRPr="00696AF0" w:rsidRDefault="00696AF0" w:rsidP="00696AF0">
            <w:pPr>
              <w:rPr>
                <w:rFonts w:ascii="Calibri" w:eastAsia="Times New Roman" w:hAnsi="Calibri" w:cs="Calibri"/>
                <w:color w:val="000000"/>
                <w:lang w:val="it-IT" w:eastAsia="en-ZA"/>
              </w:rPr>
            </w:pPr>
            <w:r w:rsidRPr="00696AF0">
              <w:rPr>
                <w:rFonts w:ascii="Calibri" w:eastAsia="Times New Roman" w:hAnsi="Calibri" w:cs="Calibri"/>
                <w:color w:val="000000"/>
                <w:lang w:val="it-IT" w:eastAsia="en-ZA"/>
              </w:rPr>
              <w:t xml:space="preserve">No TPP </w:t>
            </w:r>
            <w:proofErr w:type="spellStart"/>
            <w:r w:rsidRPr="00696AF0">
              <w:rPr>
                <w:rFonts w:ascii="Calibri" w:eastAsia="Times New Roman" w:hAnsi="Calibri" w:cs="Calibri"/>
                <w:color w:val="000000"/>
                <w:lang w:val="it-IT" w:eastAsia="en-ZA"/>
              </w:rPr>
              <w:t>structure</w:t>
            </w:r>
            <w:proofErr w:type="spellEnd"/>
          </w:p>
        </w:tc>
      </w:tr>
      <w:tr w:rsidR="00696AF0" w:rsidRPr="00696AF0" w14:paraId="4291C44F" w14:textId="77777777" w:rsidTr="00366ACD">
        <w:trPr>
          <w:trHeight w:val="270"/>
        </w:trPr>
        <w:tc>
          <w:tcPr>
            <w:tcW w:w="2703" w:type="dxa"/>
            <w:noWrap/>
            <w:hideMark/>
          </w:tcPr>
          <w:p w14:paraId="62B2CAFA" w14:textId="22319B61" w:rsidR="00696AF0" w:rsidRPr="00696AF0" w:rsidRDefault="00696AF0" w:rsidP="00F63B66">
            <w:pPr>
              <w:rPr>
                <w:rFonts w:ascii="Calibri" w:eastAsia="Times New Roman" w:hAnsi="Calibri" w:cs="Calibri"/>
                <w:color w:val="000000"/>
                <w:lang w:val="en-ZA" w:eastAsia="en-ZA"/>
              </w:rPr>
            </w:pPr>
            <w:r w:rsidRPr="00696AF0">
              <w:rPr>
                <w:rFonts w:ascii="Calibri" w:eastAsia="Times New Roman" w:hAnsi="Calibri" w:cs="Calibri"/>
                <w:color w:val="000000"/>
                <w:lang w:val="it-IT" w:eastAsia="en-ZA"/>
              </w:rPr>
              <w:t xml:space="preserve">Marcantonio </w:t>
            </w:r>
            <w:r w:rsidR="000620EA">
              <w:rPr>
                <w:rFonts w:ascii="Calibri" w:eastAsia="Times New Roman" w:hAnsi="Calibri" w:cs="Calibri"/>
                <w:color w:val="000000"/>
                <w:lang w:val="it-IT" w:eastAsia="en-ZA"/>
              </w:rPr>
              <w:t>et al.</w:t>
            </w:r>
            <w:r w:rsidR="00F63B66" w:rsidRPr="00D201C4">
              <w:rPr>
                <w:rFonts w:ascii="Calibri" w:eastAsia="Times New Roman" w:hAnsi="Calibri" w:cs="Calibri"/>
                <w:color w:val="000000"/>
                <w:lang w:val="it-IT" w:eastAsia="en-ZA"/>
              </w:rPr>
              <w:t xml:space="preserve"> </w:t>
            </w:r>
            <w:r w:rsidR="00F63B66">
              <w:rPr>
                <w:rFonts w:ascii="Calibri" w:eastAsia="Times New Roman" w:hAnsi="Calibri" w:cs="Calibri"/>
                <w:color w:val="000000"/>
                <w:lang w:val="en-ZA" w:eastAsia="en-ZA"/>
              </w:rPr>
              <w:fldChar w:fldCharType="begin"/>
            </w:r>
            <w:r w:rsidR="00F63B66" w:rsidRPr="00D201C4">
              <w:rPr>
                <w:rFonts w:ascii="Calibri" w:eastAsia="Times New Roman" w:hAnsi="Calibri" w:cs="Calibri"/>
                <w:color w:val="000000"/>
                <w:lang w:val="it-IT" w:eastAsia="en-ZA"/>
              </w:rPr>
              <w:instrText xml:space="preserve"> ADDIN ZOTERO_ITEM CSL_CITATION {"citationID":"suEWqyEk","properties":{"formattedCitation":"(104)","plainCitation":"(104)","noteIndex":0},"citationItems":[{"id":179,"uris":["http://zotero.org/users/6216265/items/8QR5ELLY"],"itemData":{"id":179,"type":"article-journal","abstract":"The application of model-informe</w:instrText>
            </w:r>
            <w:r w:rsidR="00F63B66">
              <w:rPr>
                <w:rFonts w:ascii="Calibri" w:eastAsia="Times New Roman" w:hAnsi="Calibri" w:cs="Calibri"/>
                <w:color w:val="000000"/>
                <w:lang w:val="en-ZA" w:eastAsia="en-ZA"/>
              </w:rPr>
              <w:instrText xml:space="preserve">d drug discovery and development (MID3) approaches in the early stages of drug discovery can help determine feasibility  of drugging a target, prioritize between targets, or define optimal drug  properties for a target product profile (TPP). However, applying MID3 in early  discovery can be challenging due to the lack of pharmacokinetic (PK) and  pharmacodynamic (PD) data at this stage. Early Feasibility Assessment (EFA) is  the application of mechanistic PKPD models, built from first principles, and  parameterized by data that is readily available early in drug discovery to make  effective dose predictions. This manuscript demonstrates the ability of EFA to  make accurate predictions of clinical effective doses for nine approved  biotherapeutics and outlines the potential of extending this approach to novel  therapeutics to impact early drug discovery decisions.","container-title":"Frontiers in pharmacology","DOI":"10.3389/fphar.2022.864768","ISSN":"1663-9812","journalAbbreviation":"Front Pharmacol","language":"eng","license":"Copyright © 2022 Marcantonio, Matteson, Presler, Burke, Hagen, Hua and Apgar.","note":"PMID: 35754500 \nPMCID: PMC9214263","page":"864768","title":"Early Feasibility Assessment: A Method for Accurately Predicting Biotherapeutic Dosing to Inform Early Drug Discovery Decisions.","volume":"13","author":[{"family":"Marcantonio","given":"Diana H."},{"family":"Matteson","given":"Andrew"},{"family":"Presler","given":"Marc"},{"family":"Burke","given":"John M."},{"family":"Hagen","given":"David R."},{"family":"Hua","given":"Fei"},{"family":"Apgar","given":"Joshua F."}],"issued":{"date-parts":[["2022"]]}}}],"schema":"https://github.com/citation-style-language/schema/raw/master/csl-citation.json"} </w:instrText>
            </w:r>
            <w:r w:rsidR="00F63B66">
              <w:rPr>
                <w:rFonts w:ascii="Calibri" w:eastAsia="Times New Roman" w:hAnsi="Calibri" w:cs="Calibri"/>
                <w:color w:val="000000"/>
                <w:lang w:val="en-ZA" w:eastAsia="en-ZA"/>
              </w:rPr>
              <w:fldChar w:fldCharType="separate"/>
            </w:r>
            <w:r w:rsidR="00F63B66" w:rsidRPr="00F63B66">
              <w:rPr>
                <w:rFonts w:ascii="Calibri" w:hAnsi="Calibri" w:cs="Calibri"/>
              </w:rPr>
              <w:t>(104)</w:t>
            </w:r>
            <w:r w:rsidR="00F63B66">
              <w:rPr>
                <w:rFonts w:ascii="Calibri" w:eastAsia="Times New Roman" w:hAnsi="Calibri" w:cs="Calibri"/>
                <w:color w:val="000000"/>
                <w:lang w:val="en-ZA" w:eastAsia="en-ZA"/>
              </w:rPr>
              <w:fldChar w:fldCharType="end"/>
            </w:r>
          </w:p>
        </w:tc>
        <w:tc>
          <w:tcPr>
            <w:tcW w:w="1464" w:type="dxa"/>
            <w:noWrap/>
            <w:hideMark/>
          </w:tcPr>
          <w:p w14:paraId="0021BF8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0196BDC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2A62DE6" w14:textId="77777777" w:rsidTr="00366ACD">
        <w:trPr>
          <w:trHeight w:val="270"/>
        </w:trPr>
        <w:tc>
          <w:tcPr>
            <w:tcW w:w="2703" w:type="dxa"/>
            <w:noWrap/>
            <w:hideMark/>
          </w:tcPr>
          <w:p w14:paraId="6D24E1E0" w14:textId="64228F02" w:rsidR="00696AF0" w:rsidRPr="00696AF0" w:rsidRDefault="00696AF0" w:rsidP="003C38CB">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Marie </w:t>
            </w:r>
            <w:r w:rsidR="000620EA">
              <w:rPr>
                <w:rFonts w:ascii="Calibri" w:eastAsia="Times New Roman" w:hAnsi="Calibri" w:cs="Calibri"/>
                <w:color w:val="000000"/>
                <w:lang w:val="en-ZA" w:eastAsia="en-ZA"/>
              </w:rPr>
              <w:t>et al.</w:t>
            </w:r>
            <w:r w:rsidR="003C38CB">
              <w:rPr>
                <w:rFonts w:ascii="Calibri" w:eastAsia="Times New Roman" w:hAnsi="Calibri" w:cs="Calibri"/>
                <w:color w:val="000000"/>
                <w:lang w:val="en-ZA" w:eastAsia="en-ZA"/>
              </w:rPr>
              <w:t xml:space="preserve"> </w:t>
            </w:r>
            <w:r w:rsidR="003C38CB">
              <w:rPr>
                <w:rFonts w:ascii="Calibri" w:eastAsia="Times New Roman" w:hAnsi="Calibri" w:cs="Calibri"/>
                <w:color w:val="000000"/>
                <w:lang w:val="en-ZA" w:eastAsia="en-ZA"/>
              </w:rPr>
              <w:fldChar w:fldCharType="begin"/>
            </w:r>
            <w:r w:rsidR="003C38CB">
              <w:rPr>
                <w:rFonts w:ascii="Calibri" w:eastAsia="Times New Roman" w:hAnsi="Calibri" w:cs="Calibri"/>
                <w:color w:val="000000"/>
                <w:lang w:val="en-ZA" w:eastAsia="en-ZA"/>
              </w:rPr>
              <w:instrText xml:space="preserve"> ADDIN ZOTERO_ITEM CSL_CITATION {"citationID":"R17Fh5eP","properties":{"formattedCitation":"(105)","plainCitation":"(105)","noteIndex":0},"citationItems":[{"id":178,"uris":["http://zotero.org/users/6216265/items/YJVKR2D6"],"itemData":{"id":178,"type":"article-journal","abstract":"Employing the Quality by Design paradigm through this work helped conclude the method operable design region for optimizing the high performance liquid  chromatography (HPLC) assay using Design of Experiments and response surface  methodology to obtain a good resolution and determination of all analysed  compounds and to achieve a suitable analysis time. A deep understanding of the  quality target product profile, analytical target profile and risk assessment for  parameters that affect the method performance led to developing an accurate,  precise and cost-effective method. Quality risk management principles were  applied for determining the critical method parameters affecting the simultaneous  determination of metformin hydrochloride (MET), linagliptin (LIN) and  empagliflozin (EMP) by reversed-phase HPLC . The ternary mixture was successfully  resolved in 5 min with a linearity range of (0.1-600) µg ml(-1) for MET and  (0.05-50) µg ml(-1) for LIN and EMP. The newly developed method was validated  according to the International Council for Harmonization of Technical  Requirements for Registration of Pharmaceuticals for Human Use guidelines. Good  agreement was observed with the assay results of the reported UPLC one. To  evaluate the greenness of the proposed method, an analytical Eco-Scale method was  used.","container-title":"Royal Society open science","DOI":"10.1098/rsos.220215","ISSN":"2054-5703","issue":"6","journalAbbreviation":"R Soc Open Sci","language":"eng","license":"© 2022 The Authors.","note":"PMID: 35719884 \nPMCID: PMC9198514","page":"220215","title":"Analytical quality by design based on design space in reversed-phase-high performance liquid chromatography analysis for simultaneous estimation of  metformin, linagliptin and empagliflozin.","volume":"9","author":[{"family":"Marie","given":"Aya A."},{"family":"Salim","given":"Mohamed M."},{"family":"Kamal","given":"Amira H."},{"family":"Hammad","given":"Sherin F."},{"family":"Elkhoudary","given":"Mahmoud M."}],"issued":{"date-parts":[["2022",6]]}}}],"schema":"https://github.com/citation-style-language/schema/raw/master/csl-citation.json"} </w:instrText>
            </w:r>
            <w:r w:rsidR="003C38CB">
              <w:rPr>
                <w:rFonts w:ascii="Calibri" w:eastAsia="Times New Roman" w:hAnsi="Calibri" w:cs="Calibri"/>
                <w:color w:val="000000"/>
                <w:lang w:val="en-ZA" w:eastAsia="en-ZA"/>
              </w:rPr>
              <w:fldChar w:fldCharType="separate"/>
            </w:r>
            <w:r w:rsidR="003C38CB" w:rsidRPr="003C38CB">
              <w:rPr>
                <w:rFonts w:ascii="Calibri" w:hAnsi="Calibri" w:cs="Calibri"/>
              </w:rPr>
              <w:t>(105)</w:t>
            </w:r>
            <w:r w:rsidR="003C38CB">
              <w:rPr>
                <w:rFonts w:ascii="Calibri" w:eastAsia="Times New Roman" w:hAnsi="Calibri" w:cs="Calibri"/>
                <w:color w:val="000000"/>
                <w:lang w:val="en-ZA" w:eastAsia="en-ZA"/>
              </w:rPr>
              <w:fldChar w:fldCharType="end"/>
            </w:r>
          </w:p>
        </w:tc>
        <w:tc>
          <w:tcPr>
            <w:tcW w:w="1464" w:type="dxa"/>
            <w:noWrap/>
            <w:hideMark/>
          </w:tcPr>
          <w:p w14:paraId="3AFA485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33F72E2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41E2607" w14:textId="77777777" w:rsidTr="00366ACD">
        <w:trPr>
          <w:trHeight w:val="270"/>
        </w:trPr>
        <w:tc>
          <w:tcPr>
            <w:tcW w:w="2703" w:type="dxa"/>
            <w:noWrap/>
            <w:hideMark/>
          </w:tcPr>
          <w:p w14:paraId="4C3BB2C9" w14:textId="1CD53777" w:rsidR="00696AF0" w:rsidRPr="00696AF0" w:rsidRDefault="00696AF0" w:rsidP="003C38CB">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Marshall </w:t>
            </w:r>
            <w:r w:rsidR="000620EA">
              <w:rPr>
                <w:rFonts w:ascii="Calibri" w:eastAsia="Times New Roman" w:hAnsi="Calibri" w:cs="Calibri"/>
                <w:color w:val="000000"/>
                <w:lang w:val="en-ZA" w:eastAsia="en-ZA"/>
              </w:rPr>
              <w:t>et al.</w:t>
            </w:r>
            <w:r w:rsidR="003C38CB">
              <w:rPr>
                <w:rFonts w:ascii="Calibri" w:eastAsia="Times New Roman" w:hAnsi="Calibri" w:cs="Calibri"/>
                <w:color w:val="000000"/>
                <w:lang w:val="en-ZA" w:eastAsia="en-ZA"/>
              </w:rPr>
              <w:t xml:space="preserve"> </w:t>
            </w:r>
            <w:r w:rsidR="003C38CB">
              <w:rPr>
                <w:rFonts w:ascii="Calibri" w:eastAsia="Times New Roman" w:hAnsi="Calibri" w:cs="Calibri"/>
                <w:color w:val="000000"/>
                <w:lang w:val="en-ZA" w:eastAsia="en-ZA"/>
              </w:rPr>
              <w:fldChar w:fldCharType="begin"/>
            </w:r>
            <w:r w:rsidR="003C38CB">
              <w:rPr>
                <w:rFonts w:ascii="Calibri" w:eastAsia="Times New Roman" w:hAnsi="Calibri" w:cs="Calibri"/>
                <w:color w:val="000000"/>
                <w:lang w:val="en-ZA" w:eastAsia="en-ZA"/>
              </w:rPr>
              <w:instrText xml:space="preserve"> ADDIN ZOTERO_ITEM CSL_CITATION {"citationID":"QcD2EQE9","properties":{"formattedCitation":"(106)","plainCitation":"(106)","noteIndex":0},"citationItems":[{"id":685,"uris":["http://zotero.org/users/6216265/items/6AM75WWY"],"itemData":{"id":685,"type":"article-journal","abstract":"While efforts to control malaria with available tools have stagnated, and arbovirus outbreaks persist around the globe, the advent of clustered regularly  interspaced short palindromic repeat (CRISPR)-based gene editing has provided  exciting new opportunities for genetics-based strategies to control these  diseases. In one such strategy, called \"population replacement\", mosquitoes, and  other disease vectors are engineered with effector genes that render them unable  to transmit pathogens. These effector genes can be linked to \"gene drive\" systems  that can bias inheritance in their favor, providing novel opportunities to  replace disease-susceptible vector populations with disease-refractory ones over  the course of several generations. While promising for the control of  vector-borne diseases on a wide scale, this sets up an evolutionary tug-of-war  between the introduced effector genes and the pathogen. Here, we review the  disease-refractory genes designed to date to target Plasmodium falciparum malaria  transmitted by Anopheles gambiae, and arboviruses transmitted by Aedes aegypti,  including dengue serotypes 2 and 3, chikungunya, and Zika viruses. We discuss  resistance concerns for these effector genes, and genetic approaches to prevent  parasite and viral escape variants. One general approach is to increase the  evolutionary hurdle required for the pathogen to evolve resistance by attacking  it at multiple sites in its genome and/or multiple stages of development. Another  is to reduce the size of the pathogen population by other means, such as with  vector control and antimalarial drugs. We discuss lessons learned from the  evolution of resistance to antimalarial and antiviral drugs and implications for  the management of resistance after its emergence. Finally, we discuss the target  product profile for population replacement strategies for vector-borne disease  control. This differs between early phase field trials and wide-scale disease  control. In the latter case, the demands on effector gene efficacy are great;  however, with new possibilities ushered in by CRISPR-based gene editing, and when  combined with surveillance, monitoring, and rapid management of pathogen  resistance, the odds are increasingly favoring effector genes in the upcoming  evolutionary tug-of-war.","container-title":"Frontiers in genetics","DOI":"10.3389/fgene.2019.01072","ISSN":"1664-8021","journalAbbreviation":"Front Genet","language":"eng","license":"Copyright © 2019 Marshall, Raban, Kandul, Edula, León and Akbari.","note":"PMID: 31737050 \nPMCID: PMC6831721","page":"1072","title":"Winning the Tug-of-War Between Effector Gene Design and Pathogen Evolution in Vector Population Replacement Strategies.","volume":"10","author":[{"family":"Marshall","given":"John M."},{"family":"Raban","given":"Robyn R."},{"family":"Kandul","given":"Nikolay P."},{"family":"Edula","given":"Jyotheeswara R."},{"family":"León","given":"Tomás M."},{"family":"Akbari","given":"Omar S."}],"issued":{"date-parts":[["2019"]]}}}],"schema":"https://github.com/citation-style-language/schema/raw/master/csl-citation.json"} </w:instrText>
            </w:r>
            <w:r w:rsidR="003C38CB">
              <w:rPr>
                <w:rFonts w:ascii="Calibri" w:eastAsia="Times New Roman" w:hAnsi="Calibri" w:cs="Calibri"/>
                <w:color w:val="000000"/>
                <w:lang w:val="en-ZA" w:eastAsia="en-ZA"/>
              </w:rPr>
              <w:fldChar w:fldCharType="separate"/>
            </w:r>
            <w:r w:rsidR="003C38CB" w:rsidRPr="003C38CB">
              <w:rPr>
                <w:rFonts w:ascii="Calibri" w:hAnsi="Calibri" w:cs="Calibri"/>
              </w:rPr>
              <w:t>(106)</w:t>
            </w:r>
            <w:r w:rsidR="003C38CB">
              <w:rPr>
                <w:rFonts w:ascii="Calibri" w:eastAsia="Times New Roman" w:hAnsi="Calibri" w:cs="Calibri"/>
                <w:color w:val="000000"/>
                <w:lang w:val="en-ZA" w:eastAsia="en-ZA"/>
              </w:rPr>
              <w:fldChar w:fldCharType="end"/>
            </w:r>
          </w:p>
        </w:tc>
        <w:tc>
          <w:tcPr>
            <w:tcW w:w="1464" w:type="dxa"/>
            <w:noWrap/>
            <w:hideMark/>
          </w:tcPr>
          <w:p w14:paraId="2946A7E1"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0F188E4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043367C" w14:textId="77777777" w:rsidTr="00366ACD">
        <w:trPr>
          <w:trHeight w:val="270"/>
        </w:trPr>
        <w:tc>
          <w:tcPr>
            <w:tcW w:w="2703" w:type="dxa"/>
            <w:noWrap/>
            <w:hideMark/>
          </w:tcPr>
          <w:p w14:paraId="73A5CD68" w14:textId="3ABD8DBF" w:rsidR="00696AF0" w:rsidRPr="00696AF0" w:rsidRDefault="00696AF0" w:rsidP="00D201C4">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Martín-</w:t>
            </w:r>
            <w:proofErr w:type="spellStart"/>
            <w:r w:rsidRPr="00696AF0">
              <w:rPr>
                <w:rFonts w:ascii="Calibri" w:eastAsia="Times New Roman" w:hAnsi="Calibri" w:cs="Calibri"/>
                <w:color w:val="000000"/>
                <w:lang w:val="en-ZA" w:eastAsia="en-ZA"/>
              </w:rPr>
              <w:t>Escolano</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D201C4">
              <w:rPr>
                <w:rFonts w:ascii="Calibri" w:eastAsia="Times New Roman" w:hAnsi="Calibri" w:cs="Calibri"/>
                <w:color w:val="000000"/>
                <w:lang w:val="en-ZA" w:eastAsia="en-ZA"/>
              </w:rPr>
              <w:t xml:space="preserve"> </w:t>
            </w:r>
            <w:r w:rsidR="00D201C4">
              <w:rPr>
                <w:rFonts w:ascii="Calibri" w:eastAsia="Times New Roman" w:hAnsi="Calibri" w:cs="Calibri"/>
                <w:color w:val="000000"/>
                <w:lang w:val="en-ZA" w:eastAsia="en-ZA"/>
              </w:rPr>
              <w:fldChar w:fldCharType="begin"/>
            </w:r>
            <w:r w:rsidR="00D201C4">
              <w:rPr>
                <w:rFonts w:ascii="Calibri" w:eastAsia="Times New Roman" w:hAnsi="Calibri" w:cs="Calibri"/>
                <w:color w:val="000000"/>
                <w:lang w:val="en-ZA" w:eastAsia="en-ZA"/>
              </w:rPr>
              <w:instrText xml:space="preserve"> ADDIN ZOTERO_ITEM CSL_CITATION {"citationID":"rkiVM0eW","properties":{"formattedCitation":"(107)","plainCitation":"(107)","noteIndex":0},"citationItems":[{"id":12471,"uris":["http://zotero.org/users/6216265/items/EAP5DJI2"],"itemData":{"id":12471,"type":"article-journal","container-title":"ACS Infectious Diseases","DOI":"10.1021/acsinfecdis.2c00123","ISSN":"2373-8227, 2373-8227","issue":"6","journalAbbreviation":"ACS Infect. Dis.","language":"en","page":"1107-1115","source":"DOI.org (Crossref)","title":"An Updated View of the &lt;i&gt;Trypanosoma cruzi&lt;/i&gt; Life Cycle: Intervention Points for an Effective Treatment","title-short":"An Updated View of the &lt;i&gt;Trypanosoma cruzi&lt;/i&gt; Life Cycle","volume":"8","author":[{"family":"Martín-Escolano","given":"Javier"},{"family":"Marín","given":"Clotilde"},{"family":"Rosales","given":"María J."},{"family":"Tsaousis","given":"Anastasios D."},{"family":"Medina-Carmona","given":"Encarnación"},{"family":"Martín-Escolano","given":"Rubén"}],"issued":{"date-parts":[["2022",6,10]]}}}],"schema":"https://github.com/citation-style-language/schema/raw/master/csl-citation.json"} </w:instrText>
            </w:r>
            <w:r w:rsidR="00D201C4">
              <w:rPr>
                <w:rFonts w:ascii="Calibri" w:eastAsia="Times New Roman" w:hAnsi="Calibri" w:cs="Calibri"/>
                <w:color w:val="000000"/>
                <w:lang w:val="en-ZA" w:eastAsia="en-ZA"/>
              </w:rPr>
              <w:fldChar w:fldCharType="separate"/>
            </w:r>
            <w:r w:rsidR="00D201C4" w:rsidRPr="00D201C4">
              <w:rPr>
                <w:rFonts w:ascii="Calibri" w:hAnsi="Calibri" w:cs="Calibri"/>
              </w:rPr>
              <w:t>(107)</w:t>
            </w:r>
            <w:r w:rsidR="00D201C4">
              <w:rPr>
                <w:rFonts w:ascii="Calibri" w:eastAsia="Times New Roman" w:hAnsi="Calibri" w:cs="Calibri"/>
                <w:color w:val="000000"/>
                <w:lang w:val="en-ZA" w:eastAsia="en-ZA"/>
              </w:rPr>
              <w:fldChar w:fldCharType="end"/>
            </w:r>
          </w:p>
        </w:tc>
        <w:tc>
          <w:tcPr>
            <w:tcW w:w="1464" w:type="dxa"/>
            <w:noWrap/>
            <w:hideMark/>
          </w:tcPr>
          <w:p w14:paraId="3AC5FA1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1FACF53E"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F5B43E3" w14:textId="77777777" w:rsidTr="00366ACD">
        <w:trPr>
          <w:trHeight w:val="270"/>
        </w:trPr>
        <w:tc>
          <w:tcPr>
            <w:tcW w:w="2703" w:type="dxa"/>
            <w:noWrap/>
            <w:hideMark/>
          </w:tcPr>
          <w:p w14:paraId="7D8DF967" w14:textId="14F3B719" w:rsidR="00696AF0" w:rsidRPr="00696AF0" w:rsidRDefault="00696AF0" w:rsidP="00D201C4">
            <w:pPr>
              <w:rPr>
                <w:rFonts w:ascii="Calibri" w:eastAsia="Times New Roman" w:hAnsi="Calibri" w:cs="Calibri"/>
                <w:color w:val="000000"/>
                <w:lang w:val="it-IT" w:eastAsia="en-ZA"/>
              </w:rPr>
            </w:pPr>
            <w:r w:rsidRPr="00696AF0">
              <w:rPr>
                <w:rFonts w:ascii="Calibri" w:eastAsia="Times New Roman" w:hAnsi="Calibri" w:cs="Calibri"/>
                <w:color w:val="000000"/>
                <w:lang w:val="it-IT" w:eastAsia="en-ZA"/>
              </w:rPr>
              <w:t>Martín-</w:t>
            </w:r>
            <w:proofErr w:type="spellStart"/>
            <w:r w:rsidRPr="00696AF0">
              <w:rPr>
                <w:rFonts w:ascii="Calibri" w:eastAsia="Times New Roman" w:hAnsi="Calibri" w:cs="Calibri"/>
                <w:color w:val="000000"/>
                <w:lang w:val="it-IT" w:eastAsia="en-ZA"/>
              </w:rPr>
              <w:t>Escolano</w:t>
            </w:r>
            <w:proofErr w:type="spellEnd"/>
            <w:r w:rsidRPr="00696AF0">
              <w:rPr>
                <w:rFonts w:ascii="Calibri" w:eastAsia="Times New Roman" w:hAnsi="Calibri" w:cs="Calibri"/>
                <w:color w:val="000000"/>
                <w:lang w:val="it-IT" w:eastAsia="en-ZA"/>
              </w:rPr>
              <w:t xml:space="preserve"> </w:t>
            </w:r>
            <w:r w:rsidR="000620EA">
              <w:rPr>
                <w:rFonts w:ascii="Calibri" w:eastAsia="Times New Roman" w:hAnsi="Calibri" w:cs="Calibri"/>
                <w:color w:val="000000"/>
                <w:lang w:val="it-IT" w:eastAsia="en-ZA"/>
              </w:rPr>
              <w:t>et al.</w:t>
            </w:r>
            <w:r w:rsidR="00D201C4" w:rsidRPr="00D201C4">
              <w:rPr>
                <w:rFonts w:ascii="Calibri" w:eastAsia="Times New Roman" w:hAnsi="Calibri" w:cs="Calibri"/>
                <w:color w:val="000000"/>
                <w:lang w:val="it-IT" w:eastAsia="en-ZA"/>
              </w:rPr>
              <w:t xml:space="preserve"> </w:t>
            </w:r>
            <w:r w:rsidR="00D201C4">
              <w:rPr>
                <w:rFonts w:ascii="Calibri" w:eastAsia="Times New Roman" w:hAnsi="Calibri" w:cs="Calibri"/>
                <w:color w:val="000000"/>
                <w:lang w:val="en-ZA" w:eastAsia="en-ZA"/>
              </w:rPr>
              <w:fldChar w:fldCharType="begin"/>
            </w:r>
            <w:r w:rsidR="00D201C4">
              <w:rPr>
                <w:rFonts w:ascii="Calibri" w:eastAsia="Times New Roman" w:hAnsi="Calibri" w:cs="Calibri"/>
                <w:color w:val="000000"/>
                <w:lang w:val="it-IT" w:eastAsia="en-ZA"/>
              </w:rPr>
              <w:instrText xml:space="preserve"> ADDIN ZOTERO_ITEM CSL_CITATION {"citationID":"2wPTge9S","properties":{"formattedCitation":"(108)","plainCitation":"(108)","noteIndex":0},"citationItems":[{"id":12473,"uris":["http://zotero.org/users/6216265/items/3EG79KQM"],"itemData":{"id":12473,"type":"article-journal","abstract":"Chagas disease is usually caused by tropical infection with the insect-transmitted protozoan Trypanosoma cruzi. Currently, Chagas disease is a major public health concern worldwide due to globalization, and there are no treatments neither vaccines because of the long-term nature of the disease and its complex pathology. Current treatments are limited to two obsolete drugs, benznidazole and nifurtimox, which lead to serious drawbacks. Taking into account the urgent need for strict research efforts to find new therapies, here, we describe the in vitro and in vivo trypanocidal activity of a library of selected forty-eight selenocyanate and diselenide derivatives that exhibited leishmanicidal properties. The inclusion of selenium, an essential trace element, was due to the well-known extensive pharmacological activities for selenium compounds including parasitic diseases as T. cruzi. Here we present compound 8 as a potential compound that exhibits a better profile than benznidazole both in vitro and in vivo. It shows a fast-acting behaviour that could be attributed to its mode of action: it acts in a mitochondrion-dependent manner, causing cell death by bioenergetic collapse. This finding provides a step forward for the development of a new antichagasic agent.","container-title":"Pharmaceuticals","DOI":"10.3390/ph14050419","ISSN":"1424-8247","issue":"5","journalAbbreviation":"Pharmaceuticals","language":"en","page":"419","source":"DOI.org (Crossref)","title":"Library of Selenocyanate and Diselenide Derivatives as In Vivo Antichagasic Compounds Targeting Trypanosoma cruzi Mitochondrion","volume":"14","author":[{"family":"Martín-Escolano","given":"Rubén"},{"family":"Molina-Carreño","given":"Daniel"},{"family":"Plano","given":"Daniel"},{"family":"Espuelas","given":"Socorro"},{"family":"Rosales","given":"María J."},{"family":"Moreno","given":"Esther"},{"family":"Aydillo","given":"Carlos"},{"family":"Sanmartín","given":"Carmen"},{"family":"Sánchez-Moreno","given":"Manuel"},{"family":"Marín","given":"Clotilde"}],"issued":{"date-parts":[["2021",5,1]]}}}],"schema":"https://github.com/citation-style-language/schema/raw/master/csl-citation.json"} </w:instrText>
            </w:r>
            <w:r w:rsidR="00D201C4">
              <w:rPr>
                <w:rFonts w:ascii="Calibri" w:eastAsia="Times New Roman" w:hAnsi="Calibri" w:cs="Calibri"/>
                <w:color w:val="000000"/>
                <w:lang w:val="en-ZA" w:eastAsia="en-ZA"/>
              </w:rPr>
              <w:fldChar w:fldCharType="separate"/>
            </w:r>
            <w:r w:rsidR="00D201C4" w:rsidRPr="00D201C4">
              <w:rPr>
                <w:rFonts w:ascii="Calibri" w:hAnsi="Calibri" w:cs="Calibri"/>
                <w:lang w:val="it-IT"/>
              </w:rPr>
              <w:t>(108)</w:t>
            </w:r>
            <w:r w:rsidR="00D201C4">
              <w:rPr>
                <w:rFonts w:ascii="Calibri" w:eastAsia="Times New Roman" w:hAnsi="Calibri" w:cs="Calibri"/>
                <w:color w:val="000000"/>
                <w:lang w:val="en-ZA" w:eastAsia="en-ZA"/>
              </w:rPr>
              <w:fldChar w:fldCharType="end"/>
            </w:r>
          </w:p>
        </w:tc>
        <w:tc>
          <w:tcPr>
            <w:tcW w:w="1464" w:type="dxa"/>
            <w:noWrap/>
            <w:hideMark/>
          </w:tcPr>
          <w:p w14:paraId="4AA5D3C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2DA21F0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44DBBC5" w14:textId="77777777" w:rsidTr="00366ACD">
        <w:trPr>
          <w:trHeight w:val="270"/>
        </w:trPr>
        <w:tc>
          <w:tcPr>
            <w:tcW w:w="2703" w:type="dxa"/>
            <w:noWrap/>
            <w:hideMark/>
          </w:tcPr>
          <w:p w14:paraId="7B4840FD" w14:textId="64C40456" w:rsidR="00696AF0" w:rsidRPr="00696AF0" w:rsidRDefault="00696AF0" w:rsidP="005C276F">
            <w:pPr>
              <w:rPr>
                <w:rFonts w:ascii="Calibri" w:eastAsia="Times New Roman" w:hAnsi="Calibri" w:cs="Calibri"/>
                <w:color w:val="000000"/>
                <w:lang w:val="it-IT" w:eastAsia="en-ZA"/>
              </w:rPr>
            </w:pPr>
            <w:r w:rsidRPr="00696AF0">
              <w:rPr>
                <w:rFonts w:ascii="Calibri" w:eastAsia="Times New Roman" w:hAnsi="Calibri" w:cs="Calibri"/>
                <w:color w:val="000000"/>
                <w:lang w:val="it-IT" w:eastAsia="en-ZA"/>
              </w:rPr>
              <w:t xml:space="preserve">Martinez-Marquez </w:t>
            </w:r>
            <w:r w:rsidR="000620EA">
              <w:rPr>
                <w:rFonts w:ascii="Calibri" w:eastAsia="Times New Roman" w:hAnsi="Calibri" w:cs="Calibri"/>
                <w:color w:val="000000"/>
                <w:lang w:val="it-IT" w:eastAsia="en-ZA"/>
              </w:rPr>
              <w:t>et al.</w:t>
            </w:r>
            <w:r w:rsidR="005C276F" w:rsidRPr="005C276F">
              <w:rPr>
                <w:rFonts w:ascii="Calibri" w:eastAsia="Times New Roman" w:hAnsi="Calibri" w:cs="Calibri"/>
                <w:color w:val="000000"/>
                <w:lang w:val="it-IT" w:eastAsia="en-ZA"/>
              </w:rPr>
              <w:t xml:space="preserve"> </w:t>
            </w:r>
            <w:r w:rsidR="005C276F">
              <w:rPr>
                <w:rFonts w:ascii="Calibri" w:eastAsia="Times New Roman" w:hAnsi="Calibri" w:cs="Calibri"/>
                <w:color w:val="000000"/>
                <w:lang w:val="en-ZA" w:eastAsia="en-ZA"/>
              </w:rPr>
              <w:fldChar w:fldCharType="begin"/>
            </w:r>
            <w:r w:rsidR="005C276F">
              <w:rPr>
                <w:rFonts w:ascii="Calibri" w:eastAsia="Times New Roman" w:hAnsi="Calibri" w:cs="Calibri"/>
                <w:color w:val="000000"/>
                <w:lang w:val="it-IT" w:eastAsia="en-ZA"/>
              </w:rPr>
              <w:instrText xml:space="preserve"> ADDIN ZOTERO_ITEM CSL_CITATION {"citationID":"0UVOOeMe","properties":{"formattedCitation":"(109)","plainCitation":"(109)","noteIndex":0},"citationItems":[{"id":12475,"uris":["http://zotero.org/users/6216265/items/9SJGZXF5"],"itemData":{"id":12475,"type":"article-journal","abstract":"Additive manufacturing facilitates the design of porous metal implants with detailed internal architecture. A rationally designed porous structure can provide to biocompatible titanium alloys biomimetic mechanical and biological properties for bone regeneration. However, increased porosity results in decreased material strength. The porosity and pore sizes that are ideal for porous implants are still controversial in the literature, complicating the justification of a design decision. Recently, metallic porous biomaterials have been proposed for load-bearing applications beyond surface coatings. This recent science lacks standards, but the Quality by Design (QbD) system can assist the design process in a systematic way. This study used the QbD system to explore the Quality Target Product Profile and Ideal Quality Attributes of additively manufactured titanium porous scaffolds for bone regeneration with a biomimetic approach. For this purpose, a total of 807 experimental results extracted from 50 different studies were benchmarked against proposed target values based on bone properties, governmental regulations, and scientific research relevant to bone implants. The scaffold properties such as unit cell geometry, pore size, porosity, compressive strength, and fatigue strength were studied. The results of this study may help future research to effectively direct the design process under the QbD system.","container-title":"Materials","DOI":"10.3390/ma13214794","ISSN":"1996-1944","issue":"21","journalAbbreviation":"Materials","language":"en","page":"4794","source":"DOI.org (Crossref)","title":"Exploring Macroporosity of Additively Manufactured Titanium Metamaterials for Bone Regeneration with Quality by Design: A Systematic Literature Review","title-short":"Exploring Macroporosity of Additively Manufactured Titanium Metamaterials for Bone Regeneration with Quality by Design","volume":"13","author":[{"family":"Martinez-Marquez","given":"Daniel"},{"family":"Delmar","given":"Ylva"},{"family":"Sun","given":"Shoujin"},{"family":"Stewart","given":"Rodney A."}],"issued":{"date-parts":[["2020",10,27]]}}}],"schema":"https://github.com/citation-style-language/schema/raw/master/csl-citation.json"} </w:instrText>
            </w:r>
            <w:r w:rsidR="005C276F">
              <w:rPr>
                <w:rFonts w:ascii="Calibri" w:eastAsia="Times New Roman" w:hAnsi="Calibri" w:cs="Calibri"/>
                <w:color w:val="000000"/>
                <w:lang w:val="en-ZA" w:eastAsia="en-ZA"/>
              </w:rPr>
              <w:fldChar w:fldCharType="separate"/>
            </w:r>
            <w:r w:rsidR="005C276F" w:rsidRPr="005C276F">
              <w:rPr>
                <w:rFonts w:ascii="Calibri" w:hAnsi="Calibri" w:cs="Calibri"/>
                <w:lang w:val="it-IT"/>
              </w:rPr>
              <w:t>(109)</w:t>
            </w:r>
            <w:r w:rsidR="005C276F">
              <w:rPr>
                <w:rFonts w:ascii="Calibri" w:eastAsia="Times New Roman" w:hAnsi="Calibri" w:cs="Calibri"/>
                <w:color w:val="000000"/>
                <w:lang w:val="en-ZA" w:eastAsia="en-ZA"/>
              </w:rPr>
              <w:fldChar w:fldCharType="end"/>
            </w:r>
          </w:p>
        </w:tc>
        <w:tc>
          <w:tcPr>
            <w:tcW w:w="1464" w:type="dxa"/>
            <w:noWrap/>
            <w:hideMark/>
          </w:tcPr>
          <w:p w14:paraId="1DF22ED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420BD57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2A1F1EA" w14:textId="77777777" w:rsidTr="00366ACD">
        <w:trPr>
          <w:trHeight w:val="270"/>
        </w:trPr>
        <w:tc>
          <w:tcPr>
            <w:tcW w:w="2703" w:type="dxa"/>
            <w:noWrap/>
            <w:hideMark/>
          </w:tcPr>
          <w:p w14:paraId="2529377B" w14:textId="6A47F3E1" w:rsidR="00696AF0" w:rsidRPr="00696AF0" w:rsidRDefault="00696AF0" w:rsidP="005C276F">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Mduluza</w:t>
            </w:r>
            <w:proofErr w:type="spellEnd"/>
            <w:r w:rsidRPr="00696AF0">
              <w:rPr>
                <w:rFonts w:ascii="Calibri" w:eastAsia="Times New Roman" w:hAnsi="Calibri" w:cs="Calibri"/>
                <w:color w:val="000000"/>
                <w:lang w:val="en-ZA" w:eastAsia="en-ZA"/>
              </w:rPr>
              <w:t xml:space="preserve"> and </w:t>
            </w:r>
            <w:proofErr w:type="spellStart"/>
            <w:r w:rsidRPr="00696AF0">
              <w:rPr>
                <w:rFonts w:ascii="Calibri" w:eastAsia="Times New Roman" w:hAnsi="Calibri" w:cs="Calibri"/>
                <w:color w:val="000000"/>
                <w:lang w:val="en-ZA" w:eastAsia="en-ZA"/>
              </w:rPr>
              <w:t>Mutapi</w:t>
            </w:r>
            <w:proofErr w:type="spellEnd"/>
            <w:r w:rsidR="005C276F">
              <w:rPr>
                <w:rFonts w:ascii="Calibri" w:eastAsia="Times New Roman" w:hAnsi="Calibri" w:cs="Calibri"/>
                <w:color w:val="000000"/>
                <w:lang w:val="en-ZA" w:eastAsia="en-ZA"/>
              </w:rPr>
              <w:t xml:space="preserve"> </w:t>
            </w:r>
            <w:r w:rsidR="005C276F">
              <w:rPr>
                <w:rFonts w:ascii="Calibri" w:eastAsia="Times New Roman" w:hAnsi="Calibri" w:cs="Calibri"/>
                <w:color w:val="000000"/>
                <w:lang w:val="en-ZA" w:eastAsia="en-ZA"/>
              </w:rPr>
              <w:fldChar w:fldCharType="begin"/>
            </w:r>
            <w:r w:rsidR="005C276F">
              <w:rPr>
                <w:rFonts w:ascii="Calibri" w:eastAsia="Times New Roman" w:hAnsi="Calibri" w:cs="Calibri"/>
                <w:color w:val="000000"/>
                <w:lang w:val="en-ZA" w:eastAsia="en-ZA"/>
              </w:rPr>
              <w:instrText xml:space="preserve"> ADDIN ZOTERO_ITEM CSL_CITATION {"citationID":"iuD727O0","properties":{"formattedCitation":"(110)","plainCitation":"(110)","noteIndex":0},"citationItems":[{"id":12477,"uris":["http://zotero.org/users/6216265/items/KMG3PRH2"],"itemData":{"id":12477,"type":"article-journal","container-title":"Infectious Diseases of Poverty","DOI":"10.1186/s40249-017-0300-8","ISSN":"2049-9957","issue":"1","journalAbbreviation":"Infect Dis Poverty","language":"en","page":"85","source":"DOI.org (Crossref)","title":"Putting the treatment of paediatric schistosomiasis into context","volume":"6","author":[{"family":"Mduluza","given":"Takafira"},{"family":"Mutapi","given":"Francisca"}],"issued":{"date-parts":[["2017",12]]}}}],"schema":"https://github.com/citation-style-language/schema/raw/master/csl-citation.json"} </w:instrText>
            </w:r>
            <w:r w:rsidR="005C276F">
              <w:rPr>
                <w:rFonts w:ascii="Calibri" w:eastAsia="Times New Roman" w:hAnsi="Calibri" w:cs="Calibri"/>
                <w:color w:val="000000"/>
                <w:lang w:val="en-ZA" w:eastAsia="en-ZA"/>
              </w:rPr>
              <w:fldChar w:fldCharType="separate"/>
            </w:r>
            <w:r w:rsidR="005C276F" w:rsidRPr="005C276F">
              <w:rPr>
                <w:rFonts w:ascii="Calibri" w:hAnsi="Calibri" w:cs="Calibri"/>
              </w:rPr>
              <w:t>(110)</w:t>
            </w:r>
            <w:r w:rsidR="005C276F">
              <w:rPr>
                <w:rFonts w:ascii="Calibri" w:eastAsia="Times New Roman" w:hAnsi="Calibri" w:cs="Calibri"/>
                <w:color w:val="000000"/>
                <w:lang w:val="en-ZA" w:eastAsia="en-ZA"/>
              </w:rPr>
              <w:fldChar w:fldCharType="end"/>
            </w:r>
          </w:p>
        </w:tc>
        <w:tc>
          <w:tcPr>
            <w:tcW w:w="1464" w:type="dxa"/>
            <w:noWrap/>
            <w:hideMark/>
          </w:tcPr>
          <w:p w14:paraId="3942250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2017</w:t>
            </w:r>
          </w:p>
        </w:tc>
        <w:tc>
          <w:tcPr>
            <w:tcW w:w="2043" w:type="dxa"/>
            <w:noWrap/>
            <w:hideMark/>
          </w:tcPr>
          <w:p w14:paraId="63BD2595"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DD6AD4C" w14:textId="77777777" w:rsidTr="00366ACD">
        <w:trPr>
          <w:trHeight w:val="270"/>
        </w:trPr>
        <w:tc>
          <w:tcPr>
            <w:tcW w:w="2703" w:type="dxa"/>
            <w:noWrap/>
            <w:hideMark/>
          </w:tcPr>
          <w:p w14:paraId="59CA8123" w14:textId="4EE7314E" w:rsidR="00696AF0" w:rsidRPr="00696AF0" w:rsidRDefault="00696AF0" w:rsidP="00CF6FA9">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Mendelsohn </w:t>
            </w:r>
            <w:r w:rsidR="000620EA">
              <w:rPr>
                <w:rFonts w:ascii="Calibri" w:eastAsia="Times New Roman" w:hAnsi="Calibri" w:cs="Calibri"/>
                <w:color w:val="000000"/>
                <w:lang w:val="en-ZA" w:eastAsia="en-ZA"/>
              </w:rPr>
              <w:t>et al.</w:t>
            </w:r>
            <w:r w:rsidR="00CF6FA9">
              <w:rPr>
                <w:rFonts w:ascii="Calibri" w:eastAsia="Times New Roman" w:hAnsi="Calibri" w:cs="Calibri"/>
                <w:color w:val="000000"/>
                <w:lang w:val="en-ZA" w:eastAsia="en-ZA"/>
              </w:rPr>
              <w:t xml:space="preserve"> </w:t>
            </w:r>
            <w:r w:rsidR="00CF6FA9">
              <w:rPr>
                <w:rFonts w:ascii="Calibri" w:eastAsia="Times New Roman" w:hAnsi="Calibri" w:cs="Calibri"/>
                <w:color w:val="000000"/>
                <w:lang w:val="en-ZA" w:eastAsia="en-ZA"/>
              </w:rPr>
              <w:fldChar w:fldCharType="begin"/>
            </w:r>
            <w:r w:rsidR="00CF6FA9">
              <w:rPr>
                <w:rFonts w:ascii="Calibri" w:eastAsia="Times New Roman" w:hAnsi="Calibri" w:cs="Calibri"/>
                <w:color w:val="000000"/>
                <w:lang w:val="en-ZA" w:eastAsia="en-ZA"/>
              </w:rPr>
              <w:instrText xml:space="preserve"> ADDIN ZOTERO_ITEM CSL_CITATION {"citationID":"FRxPFTXi","properties":{"formattedCitation":"(111)","plainCitation":"(111)","noteIndex":0},"citationItems":[{"id":12479,"uris":["http://zotero.org/users/6216265/items/JBLE5MZZ"],"itemData":{"id":12479,"type":"article-journal","container-title":"The Lancet Global Health","DOI":"10.1016/S2214-109X(21)00045-0","ISSN":"2214109X","issue":"6","journalAbbreviation":"The Lancet Global Health","language":"en","page":"e841-e853","source":"DOI.org (Crossref)","title":"Validation of a host blood transcriptomic biomarker for pulmonary tuberculosis in people living with HIV: a prospective diagnostic and prognostic accuracy study","title-short":"Validation of a host blood transcriptomic biomarker for pulmonary tuberculosis in people living with HIV","volume":"9","author":[{"family":"Mendelsohn","given":"Simon C"},{"family":"Fiore-Gartland","given":"Andrew"},{"family":"Penn-Nicholson","given":"Adam"},{"family":"Mulenga","given":"Humphrey"},{"family":"Mbandi","given":"Stanley Kimbung"},{"family":"Borate","given":"Bhavesh"},{"family":"Hadley","given":"Katie"},{"family":"Hikuam","given":"Chris"},{"family":"Musvosvi","given":"Munyaradzi"},{"family":"Bilek","given":"Nicole"},{"family":"Erasmus","given":"Mzwandile"},{"family":"Jaxa","given":"Lungisa"},{"family":"Raphela","given":"Rodney"},{"family":"Nombida","given":"Onke"},{"family":"Kaskar","given":"Masooda"},{"family":"Sumner","given":"Tom"},{"family":"White","given":"Richard G"},{"family":"Innes","given":"Craig"},{"family":"Brumskine","given":"William"},{"family":"Hiemstra","given":"Andriëtte"},{"family":"Malherbe","given":"Stephanus T"},{"family":"Hassan-Moosa","given":"Razia"},{"family":"Tameris","given":"Michèle"},{"family":"Walzl","given":"Gerhard"},{"family":"Naidoo","given":"Kogieleum"},{"family":"Churchyard","given":"Gavin"},{"family":"Scriba","given":"Thomas J"},{"family":"Hatherill","given":"Mark"},{"family":"Abrahams","given":"Charmaine"},{"family":"Africa","given":"Hadn"},{"family":"Ahlers","given":"Petri"},{"family":"Arendsen","given":"Denis"},{"family":"Badimo","given":"Tebogo"},{"family":"Baepanye","given":"Kagiso"},{"family":"Baepanye","given":"Kesenogile Edna"},{"family":"Bande","given":"Bianca"},{"family":"Batyi","given":"Nomfuneko Cynthia"},{"family":"Beukes","given":"Roslyn"},{"family":"Bontsi","given":"Laudicia Tshenolo"},{"family":"Booi","given":"Obakeng Peter"},{"family":"Botha","given":"Mari Cathrin"},{"family":"Braaf","given":"Samentra"},{"family":"Buhlungu","given":"Sivuyile"},{"family":"Carstens","given":"Alida"},{"family":"Chauke","given":"Kgomotso Violet"},{"family":"Chinappa","given":"Thilagavathy"},{"family":"Chung","given":"Eva"},{"family":"Chung","given":"Michelle"},{"family":"Clarke","given":"Ken"},{"family":"Cloete","given":"Yolundi"},{"family":"Coetzee","given":"Lorraine"},{"family":"Collignon","given":"Marelize"},{"family":"Companie","given":"Alessandro"},{"family":"Corris","given":"Cara-mia"},{"family":"Cwaile","given":"Mooketsi Theophillius"},{"family":"Cwele","given":"Thobelani"},{"family":"Davids","given":"Ilse"},{"family":"Davies","given":"Isabella Johanna"},{"family":"De Klerk","given":"Emilia"},{"family":"De Kock","given":"Marwou"},{"family":"Dhlamini","given":"Audrey Lebohang"},{"family":"Diamond","given":"Bongani"},{"family":"Didloff","given":"Maria"},{"family":"Dlamini","given":"Celaphiwe"},{"family":"Dolo","given":"Palesa"},{"family":"Eyre","given":"Candice"},{"family":"Feni","given":"Tebogo"},{"family":"Ferreira","given":"Juanita"},{"family":"Ferus","given":"Christal"},{"family":"Fisher","given":"Michelle"},{"family":"Flinn","given":"Marika"},{"family":"Fransman","given":"Bernadine"},{"family":"Galane","given":"Welseh Phindile"},{"family":"Geldenhuys","given":"Hennie"},{"family":"Gempies","given":"Diann"},{"family":"Goliath","given":"Thelma"},{"family":"Govender","given":"Dhineshree"},{"family":"Gregg","given":"Yolande"},{"family":"Gumede","given":"Goodness"},{"family":"Gwamada","given":"Zanele"},{"family":"Halti","given":"Senzo"},{"family":"Hassiem","given":"Rieyaat"},{"family":"Herling","given":"Roxane"},{"family":"Herselman","given":"Yulandi"},{"family":"Hughes","given":"Ellis"},{"family":"Issel","given":"Henry"},{"family":"Iyemosolo","given":"Blanchard Mbay"},{"family":"Jali","given":"Zandile"},{"family":"Janse Van Rensburg","given":"Bonita"},{"family":"Jansen","given":"Ruwiyda"},{"family":"Jeleni","given":"James Michael"},{"family":"Jonkane","given":"Olebogeng"},{"family":"Julies","given":"Fabio"},{"family":"Kafaar","given":"Fazlin"},{"family":"Kasongo","given":"Christian Mabika"},{"family":"Kasongo","given":"Christian Mabika"},{"family":"Keffers","given":"Sophie"},{"family":"Kekana","given":"Boitumelo Sophy"},{"family":"Kekana","given":"Sebaetseng Jeanette"},{"family":"Kelepu","given":"Xoliswa"},{"family":"Khanyile","given":"Lungile"},{"family":"Khobedi","given":"Gomotsegang Virginia"},{"family":"Khomba","given":"Gloria"},{"family":"Khoza","given":"Lucky Sipho"},{"family":"King","given":"Marietjie"},{"family":"Kolobe","given":"Gloria Keitumetse"},{"family":"Kruger","given":"Sandra"},{"family":"Kruger","given":"Jaftha"},{"family":"Kunene","given":"Ndlela Israel"},{"family":"Lakay","given":"Sunelza"},{"family":"Lakhi","given":"Aneesa"},{"family":"Langa","given":"Nondumiso"},{"family":"Ledwaba","given":"Hildah"},{"family":"Lekagane","given":"Lerato Julia"},{"family":"Lekotloane","given":"Sheiley Christina"},{"family":"Leopeng","given":"Thelma"},{"family":"Louw","given":"Ilze Jeanette"},{"family":"Luabeya","given":"Angelique Kany Kany"},{"family":"Lusale","given":"Sarah Teboso"},{"family":"Maatjie","given":"Perfect Tiisetso"},{"family":"Mabasa","given":"Immaculate"},{"family":"Mabe","given":"Tshegofatso Dorah"},{"family":"Mabena","given":"Kamogelo Fortunate"},{"family":"Mabuza","given":"Nkosinathi Charles"},{"family":"Mabwe","given":"Simbarashe"},{"family":"Madikwe","given":"Johanna Thapelo"},{"family":"Madikwe","given":"Octavia Mahkosazana"},{"family":"Maebana","given":"Rapontwana Letlhogonolo"},{"family":"Magwasha","given":"Malobisa Sylvester"},{"family":"Majola","given":"Molly"},{"family":"Makhetha","given":"Mantai"},{"family":"Makhethe","given":"Lebohang"},{"family":"Malay","given":"Vernon"},{"family":"Manzini","given":"Vutlhari-I-Vunhenha Fairlord"},{"family":"Maphanga","given":"Jabu"},{"family":"Maphanga","given":"Nonhle"},{"family":"Market","given":"Juanita"},{"family":"Maroele","given":"Isholedi Samuel"},{"family":"Masibi","given":"Omphile Petunia"},{"family":"Mathabanzini","given":"July Rocky"},{"family":"Mathode","given":"Tendamudzimu Ivan"},{"family":"Matsane","given":"Ellen Ditaba"},{"family":"Mbata","given":"Lungile"},{"family":"Mbata","given":"Lungile"},{"family":"Meyer","given":"Faheema"},{"family":"Mhandire","given":"Nyasha Karen"},{"family":"Miga","given":"Thembisiwe"},{"family":"Mkhize","given":"Nosisa Charity Thandeka"},{"family":"Mkhokho","given":"Caroline"},{"family":"Mkwalase","given":"Neo Hilda"},{"family":"Mnqonywa","given":"Nondzakazi"},{"family":"Moche","given":"Karabo"},{"family":"Modisaotsile","given":"Brenda Matshidiso"},{"family":"Mokgetsengoane","given":"Patricia Pakiso"},{"family":"Mokone","given":"Selemeng Matseliso Carol"},{"family":"Molatlhegi","given":"Kegomoditswe Magdeline"},{"family":"Molefe","given":"Thuso Andrew"},{"family":"Moloko","given":"Joseph Panie"},{"family":"Molosi","given":"Kabelo"},{"family":"Molotsi","given":"Motlatsi Evelyn"},{"family":"Montwedi","given":"Tebogo Edwin"},{"family":"Monyemangene","given":"Boikanyo Dinah"},{"family":"Mooketsi","given":"Hellen Mokopi"},{"family":"Moses","given":"Miriam"},{"family":"Mosito","given":"Boitumelo"},{"family":"Mosito","given":"Tshplpfelo Mapula"},{"family":"Mosweu","given":"Ireen Lesebang"},{"family":"Mothaga","given":"Primrose"},{"family":"Motlagomang","given":"Banyana Olga"},{"family":"Mouton","given":"Angelique"},{"family":"Mpofu","given":"Onesisa"},{"family":"Mthembu","given":"Funeka Nomvula"},{"family":"Mtlali","given":"Mpho"},{"family":"Ndlovu","given":"Nhlamulo"},{"family":"Ngcobo","given":"Nompumelelo"},{"family":"Noble","given":"Julia"},{"family":"Ntamo","given":"Bantubonke Bertrum"},{"family":"Ntanjana","given":"Gloria"},{"family":"Ntshauba","given":"Tedrius"},{"family":"Opperman","given":"Fajwa"},{"family":"Padayatchi","given":"Nesri"},{"family":"Papalagae","given":"Thandiwe"},{"family":"Petersen","given":"Christel"},{"family":"Phakathi","given":"Themba"},{"family":"Phatshwane","given":"Mapule Ozma"},{"family":"Plaatjie","given":"Patiswa"},{"family":"Pretorius","given":"Abe"},{"family":"Rameetse","given":"Victor Kgothatso"},{"family":"Ramjit","given":"Dirhona"},{"family":"Ratangee","given":"Frances"},{"family":"Ratangee","given":"Maigan"},{"family":"Sanyaka","given":"Pearl Nomsa"},{"family":"Sato","given":"Alicia"},{"family":"Schoeman","given":"Elisma"},{"family":"Schreuder","given":"Constance"},{"family":"Seabela","given":"Letlhogonolo"},{"family":"Segaetsho","given":"Kelebogile Magdeline"},{"family":"Sein","given":"Ni Ni"},{"family":"Selepe","given":"Raesibe Agnes Pearl"},{"family":"Senne","given":"Melissa Neo"},{"family":"Senne","given":"Melissa Neo"},{"family":"September","given":"Alison"},{"family":"September","given":"Cashwin"},{"family":"Serake","given":"Moeti"},{"family":"Shenje","given":"Justin"},{"family":"Shezi","given":"Thandiwe"},{"family":"Shezi","given":"Sifiso Cornelius"},{"family":"Sing","given":"Phindile"},{"family":"Singh","given":"Chandrapharbha"},{"family":"Sithetho","given":"Zona"},{"family":"Solomons","given":"Dorothy"},{"family":"Stanley","given":"Kim"},{"family":"Steyn","given":"Marcia"},{"family":"Stofile","given":"Bongiwe"},{"family":"Stryers","given":"Sonia"},{"family":"Swanepoel","given":"Liticia"},{"family":"Swarts","given":"Anne"},{"family":"Thaba","given":"Mando Mmakhora"},{"family":"Theko","given":"Lethabo Collen"},{"family":"Thembela","given":"Philile"},{"family":"Thompo","given":"Mugwena"},{"family":"Toefy","given":"Asma"},{"family":"Toto","given":"Khayalethu"},{"family":"Tsagae","given":"Dimakatso Sylvia"},{"family":"Tsamane","given":"Ayanda"},{"family":"Tshikovhi","given":"Vincent"},{"family":"Tswaile","given":"Lebogang Isaac"},{"family":"Tyambetyu","given":"Petrus"},{"family":"Tönsing","given":"Susanne"},{"family":"Valley","given":"Habibullah"},{"family":"Van Der Merwe","given":"Linda"},{"family":"Van Rooyen","given":"Elma"},{"family":"Veldsman","given":"Ashley"},{"family":"Veldtsman","given":"Helen"},{"family":"Vollenhoven","given":"Kelvin"},{"family":"Zaca","given":"Londiwe"},{"family":"Zimri","given":"Elaine"},{"family":"Zulu","given":"Mbali"}],"issued":{"date-parts":[["2021",6]]}}}],"schema":"https://github.com/citation-style-language/schema/raw/master/csl-citation.json"} </w:instrText>
            </w:r>
            <w:r w:rsidR="00CF6FA9">
              <w:rPr>
                <w:rFonts w:ascii="Calibri" w:eastAsia="Times New Roman" w:hAnsi="Calibri" w:cs="Calibri"/>
                <w:color w:val="000000"/>
                <w:lang w:val="en-ZA" w:eastAsia="en-ZA"/>
              </w:rPr>
              <w:fldChar w:fldCharType="separate"/>
            </w:r>
            <w:r w:rsidR="00CF6FA9" w:rsidRPr="00CF6FA9">
              <w:rPr>
                <w:rFonts w:ascii="Calibri" w:hAnsi="Calibri" w:cs="Calibri"/>
              </w:rPr>
              <w:t>(111)</w:t>
            </w:r>
            <w:r w:rsidR="00CF6FA9">
              <w:rPr>
                <w:rFonts w:ascii="Calibri" w:eastAsia="Times New Roman" w:hAnsi="Calibri" w:cs="Calibri"/>
                <w:color w:val="000000"/>
                <w:lang w:val="en-ZA" w:eastAsia="en-ZA"/>
              </w:rPr>
              <w:fldChar w:fldCharType="end"/>
            </w:r>
          </w:p>
        </w:tc>
        <w:tc>
          <w:tcPr>
            <w:tcW w:w="1464" w:type="dxa"/>
            <w:noWrap/>
            <w:hideMark/>
          </w:tcPr>
          <w:p w14:paraId="48C90178"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5194F3F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F5FD3E0" w14:textId="77777777" w:rsidTr="00366ACD">
        <w:trPr>
          <w:trHeight w:val="270"/>
        </w:trPr>
        <w:tc>
          <w:tcPr>
            <w:tcW w:w="2703" w:type="dxa"/>
            <w:noWrap/>
            <w:hideMark/>
          </w:tcPr>
          <w:p w14:paraId="3FC31F97" w14:textId="165B63EA" w:rsidR="00696AF0" w:rsidRPr="00696AF0" w:rsidRDefault="00696AF0" w:rsidP="00CF6FA9">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Meyer </w:t>
            </w:r>
            <w:r w:rsidR="000620EA">
              <w:rPr>
                <w:rFonts w:ascii="Calibri" w:eastAsia="Times New Roman" w:hAnsi="Calibri" w:cs="Calibri"/>
                <w:color w:val="000000"/>
                <w:lang w:val="en-ZA" w:eastAsia="en-ZA"/>
              </w:rPr>
              <w:t>et al.</w:t>
            </w:r>
            <w:r w:rsidR="00CF6FA9">
              <w:rPr>
                <w:rFonts w:ascii="Calibri" w:eastAsia="Times New Roman" w:hAnsi="Calibri" w:cs="Calibri"/>
                <w:color w:val="000000"/>
                <w:lang w:val="en-ZA" w:eastAsia="en-ZA"/>
              </w:rPr>
              <w:t xml:space="preserve"> </w:t>
            </w:r>
            <w:r w:rsidR="00CF6FA9">
              <w:rPr>
                <w:rFonts w:ascii="Calibri" w:eastAsia="Times New Roman" w:hAnsi="Calibri" w:cs="Calibri"/>
                <w:color w:val="000000"/>
                <w:lang w:val="en-ZA" w:eastAsia="en-ZA"/>
              </w:rPr>
              <w:fldChar w:fldCharType="begin"/>
            </w:r>
            <w:r w:rsidR="00CF6FA9">
              <w:rPr>
                <w:rFonts w:ascii="Calibri" w:eastAsia="Times New Roman" w:hAnsi="Calibri" w:cs="Calibri"/>
                <w:color w:val="000000"/>
                <w:lang w:val="en-ZA" w:eastAsia="en-ZA"/>
              </w:rPr>
              <w:instrText xml:space="preserve"> ADDIN ZOTERO_ITEM CSL_CITATION {"citationID":"Ln5bMIb7","properties":{"formattedCitation":"(112)","plainCitation":"(112)","noteIndex":0},"citationItems":[{"id":12481,"uris":["http://zotero.org/users/6216265/items/FEDVDHX5"],"itemData":{"id":12481,"type":"article-journal","abstract":"The objective of this prospective cross-sectional study, conducted at a national referral hospital in Kampala, Uganda, was to determine diagnostic performance of serum C-reactive protein (CRP) as a triage test for tuberculosis (TB) among HIV-seronegative inpatients. We calculated the sensitivity, specificity, positive and negative likelihood ratios, and positive and negative predictive values to determine the diagnostic performance of a CRP enzyme-linked immunosorbent assay (ELISA) (Eurolyser) in comparison to that of a reference standard of\n              Mycobacterium tuberculosis\n              culture on two sputum samples.\n            \n          , \n            ABSTRACT\n            \n              The objective of this prospective cross-sectional study, conducted at a national referral hospital in Kampala, Uganda, was to determine diagnostic performance of serum C-reactive protein (CRP) as a triage test for tuberculosis (TB) among HIV-seronegative inpatients. We calculated the sensitivity, specificity, positive and negative likelihood ratios, and positive and negative predictive values to determine the diagnostic performance of a CRP enzyme-linked immunosorbent assay (ELISA) (Eurolyser) in comparison to that of a reference standard of\n              Mycobacterium tuberculosis\n              culture on two sputum samples. We constructed receiver operating curves and reported performance in reference to the manufacturer’s cutoff and also to a threshold chosen to achieve sensitivity of &gt;90%, in accordance with the WHO’s target-product profile for a triage test. Among 119 HIV-seronegative inpatients, 46 (39%) had culture-positive pulmonary TB. In reference to\n              M. tuberculosis\n              culture, CRP had a sensitivity of 78% (95% confidence interval [CI], 64 to 89%) and a specificity of 52% (95% CI, 40 to 64%) at the manufacturer’s threshold of 10 mg/liter. At a threshold of 1.5 mg/liter, the sensitivity was 91% (95% CI, 79 to 98%) but the specificity was only 21% (95% CI, 12 to 32%). Performance did not differ when stratified by illness severity at either threshold. In conclusion, among HIV-seronegative inpatients, CRP testing performed substantially below targets for a TB triage test. Additional studies among HIV-seronegative individuals in clinics and community settings are needed to assess the utility of CRP for TB screening.","container-title":"Journal of Clinical Microbiology","DOI":"10.1128/JCM.02162-20","ISSN":"0095-1137, 1098-660X","issue":"1","journalAbbreviation":"J Clin Microbiol","language":"en","page":"e02162-20","source":"DOI.org (Crossref)","title":"C-Reactive Protein Testing for Active Tuberculosis among Inpatients without HIV in Uganda: a Diagnostic Accuracy Study","title-short":"C-Reactive Protein Testing for Active Tuberculosis among Inpatients without HIV in Uganda","volume":"59","author":[{"family":"Meyer","given":"Amanda J."},{"family":"Ochom","given":"Emmanuel"},{"family":"Turimumahoro","given":"Patricia"},{"family":"Byanyima","given":"Patrick"},{"family":"Sanyu","given":"Ingvar"},{"family":"Lalitha","given":"Rejani"},{"family":"Kaswabuli","given":"Sylvia"},{"family":"Andama","given":"Alfred"},{"family":"Walter","given":"Nicholas D."},{"family":"Katamba","given":"Achilles"},{"family":"Cattamanchi","given":"Adithya"},{"family":"Worodria","given":"William"},{"family":"Huang","given":"Laurence"},{"family":"Yoon","given":"Christina"},{"family":"Davis","given":"J. Lucian"}],"editor":[{"family":"Diekema","given":"Daniel J."}],"issued":{"date-parts":[["2020",12,17]]}}}],"schema":"https://github.com/citation-style-language/schema/raw/master/csl-citation.json"} </w:instrText>
            </w:r>
            <w:r w:rsidR="00CF6FA9">
              <w:rPr>
                <w:rFonts w:ascii="Calibri" w:eastAsia="Times New Roman" w:hAnsi="Calibri" w:cs="Calibri"/>
                <w:color w:val="000000"/>
                <w:lang w:val="en-ZA" w:eastAsia="en-ZA"/>
              </w:rPr>
              <w:fldChar w:fldCharType="separate"/>
            </w:r>
            <w:r w:rsidR="00CF6FA9" w:rsidRPr="00CF6FA9">
              <w:rPr>
                <w:rFonts w:ascii="Calibri" w:hAnsi="Calibri" w:cs="Calibri"/>
              </w:rPr>
              <w:t>(112)</w:t>
            </w:r>
            <w:r w:rsidR="00CF6FA9">
              <w:rPr>
                <w:rFonts w:ascii="Calibri" w:eastAsia="Times New Roman" w:hAnsi="Calibri" w:cs="Calibri"/>
                <w:color w:val="000000"/>
                <w:lang w:val="en-ZA" w:eastAsia="en-ZA"/>
              </w:rPr>
              <w:fldChar w:fldCharType="end"/>
            </w:r>
          </w:p>
        </w:tc>
        <w:tc>
          <w:tcPr>
            <w:tcW w:w="1464" w:type="dxa"/>
            <w:noWrap/>
            <w:hideMark/>
          </w:tcPr>
          <w:p w14:paraId="3B9FBBA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75ADBC95"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0B1C5AE" w14:textId="77777777" w:rsidTr="00366ACD">
        <w:trPr>
          <w:trHeight w:val="270"/>
        </w:trPr>
        <w:tc>
          <w:tcPr>
            <w:tcW w:w="2703" w:type="dxa"/>
            <w:noWrap/>
            <w:hideMark/>
          </w:tcPr>
          <w:p w14:paraId="3A4FEFF9" w14:textId="4B14D509" w:rsidR="00696AF0" w:rsidRPr="00696AF0" w:rsidRDefault="00696AF0" w:rsidP="00590114">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Michel </w:t>
            </w:r>
            <w:r w:rsidR="000620EA">
              <w:rPr>
                <w:rFonts w:ascii="Calibri" w:eastAsia="Times New Roman" w:hAnsi="Calibri" w:cs="Calibri"/>
                <w:color w:val="000000"/>
                <w:lang w:val="en-ZA" w:eastAsia="en-ZA"/>
              </w:rPr>
              <w:t>et al.</w:t>
            </w:r>
            <w:r w:rsidR="00590114">
              <w:rPr>
                <w:rFonts w:ascii="Calibri" w:eastAsia="Times New Roman" w:hAnsi="Calibri" w:cs="Calibri"/>
                <w:color w:val="000000"/>
                <w:lang w:val="en-ZA" w:eastAsia="en-ZA"/>
              </w:rPr>
              <w:t xml:space="preserve"> </w:t>
            </w:r>
            <w:r w:rsidR="00590114">
              <w:rPr>
                <w:rFonts w:ascii="Calibri" w:eastAsia="Times New Roman" w:hAnsi="Calibri" w:cs="Calibri"/>
                <w:color w:val="000000"/>
                <w:lang w:val="en-ZA" w:eastAsia="en-ZA"/>
              </w:rPr>
              <w:fldChar w:fldCharType="begin"/>
            </w:r>
            <w:r w:rsidR="00590114">
              <w:rPr>
                <w:rFonts w:ascii="Calibri" w:eastAsia="Times New Roman" w:hAnsi="Calibri" w:cs="Calibri"/>
                <w:color w:val="000000"/>
                <w:lang w:val="en-ZA" w:eastAsia="en-ZA"/>
              </w:rPr>
              <w:instrText xml:space="preserve"> ADDIN ZOTERO_ITEM CSL_CITATION {"citationID":"oSWDfSuH","properties":{"formattedCitation":"(113)","plainCitation":"(113)","noteIndex":0},"citationItems":[{"id":12483,"uris":["http://zotero.org/users/6216265/items/JJYTCDGJ"],"itemData":{"id":12483,"type":"article-journal","abstract":"As many, if not most, ligands at G protein-coupled receptor antagonists are inverse agonists, we systematically reviewed inverse agonism at the nine adrenoceptor subtypes. Except for β3-adrenoceptors, inverse agonism has been reported for each of the adrenoceptor subtypes, most often for β2-adrenoceptors, including endogenously expressed receptors in human tissues. As with other receptors, the detection and degree of inverse agonism depend on the cells and tissues under investigation, i.e., they are greatest when the model has a high intrinsic tone/constitutive activity for the response being studied. Accordingly, they may differ between parts of a tissue, for instance, atria vs. ventricles of the heart, and within a cell type, between cellular responses. The basal tone of endogenously expressed receptors is often low, leading to less consistent detection and a lesser extent of observed inverse agonism. Extent inverse agonism depends on specific molecular properties of a compound, but inverse agonism appears to be more common in certain chemical classes. While inverse agonism is a fascinating facet in attempts to mechanistically understand observed drug effects, we are skeptical whether an a priori definition of the extent of inverse agonism in the target product profile of a developmental candidate is a meaningful option in drug discovery and development.","container-title":"Cells","DOI":"10.3390/cells9091923","ISSN":"2073-4409","issue":"9","journalAbbreviation":"Cells","language":"en","page":"1923","source":"DOI.org (Crossref)","title":"A Systematic Review of Inverse Agonism at Adrenoceptor Subtypes","volume":"9","author":[{"family":"Michel","given":"Martin C."},{"family":"Michel-Reher","given":"Martina B."},{"family":"Hein","given":"Peter"}],"issued":{"date-parts":[["2020",8,19]]}}}],"schema":"https://github.com/citation-style-language/schema/raw/master/csl-citation.json"} </w:instrText>
            </w:r>
            <w:r w:rsidR="00590114">
              <w:rPr>
                <w:rFonts w:ascii="Calibri" w:eastAsia="Times New Roman" w:hAnsi="Calibri" w:cs="Calibri"/>
                <w:color w:val="000000"/>
                <w:lang w:val="en-ZA" w:eastAsia="en-ZA"/>
              </w:rPr>
              <w:fldChar w:fldCharType="separate"/>
            </w:r>
            <w:r w:rsidR="00590114" w:rsidRPr="00590114">
              <w:rPr>
                <w:rFonts w:ascii="Calibri" w:hAnsi="Calibri" w:cs="Calibri"/>
              </w:rPr>
              <w:t>(113)</w:t>
            </w:r>
            <w:r w:rsidR="00590114">
              <w:rPr>
                <w:rFonts w:ascii="Calibri" w:eastAsia="Times New Roman" w:hAnsi="Calibri" w:cs="Calibri"/>
                <w:color w:val="000000"/>
                <w:lang w:val="en-ZA" w:eastAsia="en-ZA"/>
              </w:rPr>
              <w:fldChar w:fldCharType="end"/>
            </w:r>
          </w:p>
        </w:tc>
        <w:tc>
          <w:tcPr>
            <w:tcW w:w="1464" w:type="dxa"/>
            <w:noWrap/>
            <w:hideMark/>
          </w:tcPr>
          <w:p w14:paraId="27B5F4C2"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3C12620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2D460083" w14:textId="77777777" w:rsidTr="00366ACD">
        <w:trPr>
          <w:trHeight w:val="270"/>
        </w:trPr>
        <w:tc>
          <w:tcPr>
            <w:tcW w:w="2703" w:type="dxa"/>
            <w:noWrap/>
            <w:hideMark/>
          </w:tcPr>
          <w:p w14:paraId="7EF97907" w14:textId="793D899E" w:rsidR="00696AF0" w:rsidRPr="00696AF0" w:rsidRDefault="00696AF0" w:rsidP="00590114">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Milner </w:t>
            </w:r>
            <w:r w:rsidR="000620EA">
              <w:rPr>
                <w:rFonts w:ascii="Calibri" w:eastAsia="Times New Roman" w:hAnsi="Calibri" w:cs="Calibri"/>
                <w:color w:val="000000"/>
                <w:lang w:val="en-ZA" w:eastAsia="en-ZA"/>
              </w:rPr>
              <w:t>et al.</w:t>
            </w:r>
            <w:r w:rsidR="00590114">
              <w:rPr>
                <w:rFonts w:ascii="Calibri" w:eastAsia="Times New Roman" w:hAnsi="Calibri" w:cs="Calibri"/>
                <w:color w:val="000000"/>
                <w:lang w:val="en-ZA" w:eastAsia="en-ZA"/>
              </w:rPr>
              <w:t xml:space="preserve"> </w:t>
            </w:r>
            <w:r w:rsidR="00590114">
              <w:rPr>
                <w:rFonts w:ascii="Calibri" w:eastAsia="Times New Roman" w:hAnsi="Calibri" w:cs="Calibri"/>
                <w:color w:val="000000"/>
                <w:lang w:val="en-ZA" w:eastAsia="en-ZA"/>
              </w:rPr>
              <w:fldChar w:fldCharType="begin"/>
            </w:r>
            <w:r w:rsidR="00590114">
              <w:rPr>
                <w:rFonts w:ascii="Calibri" w:eastAsia="Times New Roman" w:hAnsi="Calibri" w:cs="Calibri"/>
                <w:color w:val="000000"/>
                <w:lang w:val="en-ZA" w:eastAsia="en-ZA"/>
              </w:rPr>
              <w:instrText xml:space="preserve"> ADDIN ZOTERO_ITEM CSL_CITATION {"citationID":"H3ZuQKnj","properties":{"formattedCitation":"(114)","plainCitation":"(114)","noteIndex":0},"citationItems":[{"id":12485,"uris":["http://zotero.org/users/6216265/items/87HEW6HS"],"itemData":{"id":12485,"type":"article-journal","container-title":"Bioorganic &amp; Medicinal Chemistry Letters","DOI":"10.1016/j.bmcl.2010.01.001","ISSN":"0960894X","issue":"4","journalAbbreviation":"Bioorganic &amp; Medicinal Chemistry Letters","language":"en","page":"1347-1351","source":"DOI.org (Crossref)","title":"Structure–activity relationships amongst 4-position quinoline methanol antimalarials that inhibit the growth of drug sensitive and resistant strains of Plasmodium falciparum","volume":"20","author":[{"family":"Milner","given":"Erin"},{"family":"McCalmont","given":"William"},{"family":"Bhonsle","given":"Jayendra"},{"family":"Caridha","given":"Diana"},{"family":"Carroll","given":"Dustin"},{"family":"Gardner","given":"Sean"},{"family":"Gerena","given":"Lucia"},{"family":"Gettayacamin","given":"Montip"},{"family":"Lanteri","given":"Charlotte"},{"family":"Luong","given":"ThuLan"},{"family":"Melendez","given":"Victor"},{"family":"Moon","given":"Jay"},{"family":"Roncal","given":"Norma"},{"family":"Sousa","given":"Jason"},{"family":"Tungtaeng","given":"Anchalee"},{"family":"Wipf","given":"Peter"},{"family":"Dow","given":"Geoffrey"}],"issued":{"date-parts":[["2010",2]]}}}],"schema":"https://github.com/citation-style-language/schema/raw/master/csl-citation.json"} </w:instrText>
            </w:r>
            <w:r w:rsidR="00590114">
              <w:rPr>
                <w:rFonts w:ascii="Calibri" w:eastAsia="Times New Roman" w:hAnsi="Calibri" w:cs="Calibri"/>
                <w:color w:val="000000"/>
                <w:lang w:val="en-ZA" w:eastAsia="en-ZA"/>
              </w:rPr>
              <w:fldChar w:fldCharType="separate"/>
            </w:r>
            <w:r w:rsidR="00590114" w:rsidRPr="00590114">
              <w:rPr>
                <w:rFonts w:ascii="Calibri" w:hAnsi="Calibri" w:cs="Calibri"/>
              </w:rPr>
              <w:t>(114)</w:t>
            </w:r>
            <w:r w:rsidR="00590114">
              <w:rPr>
                <w:rFonts w:ascii="Calibri" w:eastAsia="Times New Roman" w:hAnsi="Calibri" w:cs="Calibri"/>
                <w:color w:val="000000"/>
                <w:lang w:val="en-ZA" w:eastAsia="en-ZA"/>
              </w:rPr>
              <w:fldChar w:fldCharType="end"/>
            </w:r>
          </w:p>
        </w:tc>
        <w:tc>
          <w:tcPr>
            <w:tcW w:w="1464" w:type="dxa"/>
            <w:noWrap/>
            <w:hideMark/>
          </w:tcPr>
          <w:p w14:paraId="43A4F30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2010</w:t>
            </w:r>
          </w:p>
        </w:tc>
        <w:tc>
          <w:tcPr>
            <w:tcW w:w="2043" w:type="dxa"/>
            <w:noWrap/>
            <w:hideMark/>
          </w:tcPr>
          <w:p w14:paraId="5F47BC2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773D6310" w14:textId="77777777" w:rsidTr="00366ACD">
        <w:trPr>
          <w:trHeight w:val="270"/>
        </w:trPr>
        <w:tc>
          <w:tcPr>
            <w:tcW w:w="2703" w:type="dxa"/>
            <w:noWrap/>
            <w:hideMark/>
          </w:tcPr>
          <w:p w14:paraId="718E7488" w14:textId="48D559F3" w:rsidR="00696AF0" w:rsidRPr="00696AF0" w:rsidRDefault="00696AF0" w:rsidP="00783B70">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Mordt</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783B70">
              <w:rPr>
                <w:rFonts w:ascii="Calibri" w:eastAsia="Times New Roman" w:hAnsi="Calibri" w:cs="Calibri"/>
                <w:color w:val="000000"/>
                <w:lang w:val="en-ZA" w:eastAsia="en-ZA"/>
              </w:rPr>
              <w:t xml:space="preserve"> </w:t>
            </w:r>
            <w:r w:rsidR="00783B70">
              <w:rPr>
                <w:rFonts w:ascii="Calibri" w:eastAsia="Times New Roman" w:hAnsi="Calibri" w:cs="Calibri"/>
                <w:color w:val="000000"/>
                <w:lang w:val="en-ZA" w:eastAsia="en-ZA"/>
              </w:rPr>
              <w:fldChar w:fldCharType="begin"/>
            </w:r>
            <w:r w:rsidR="00783B70">
              <w:rPr>
                <w:rFonts w:ascii="Calibri" w:eastAsia="Times New Roman" w:hAnsi="Calibri" w:cs="Calibri"/>
                <w:color w:val="000000"/>
                <w:lang w:val="en-ZA" w:eastAsia="en-ZA"/>
              </w:rPr>
              <w:instrText xml:space="preserve"> ADDIN ZOTERO_ITEM CSL_CITATION {"citationID":"czL1KrA4","properties":{"formattedCitation":"(115)","plainCitation":"(115)","noteIndex":0},"citationItems":[{"id":164,"uris":["http://zotero.org/users/6216265/items/K99QRRXM"],"itemData":{"id":164,"type":"article-journal","abstract":"In this article, the authors show the strategy used to streamline the introduction of fexinidazole, the first all oral treatment of human African  trypanosomiasis (HAT) caused by Trypanosoma brucei gambiense. The dose range was  determined in phase 1 studies and a significant food effect was observed, which  was tested with field-adapted meals. The pharmacokinetic profile required  definition of a higher loading dosage for the first 4 days and administration of  the daily dose together with a typical local meal to optimize product absorption  and rapidly achieve drug steady state. This allowed for a combined phase II/III  pivotal study directly after phase I trials. Partnerships with highly engaged  actors from endemic country control programs and international research  institutions started early through the HAT platform, building on an agreed target  product profile (TPP), establishing a regulatory plan early and transparently  including endemic countries in the research and data flow. A key element that  enabled a quick start to access activities was preparing for World Health  Organization guidelines early and starting the process prior to registration.  Distribution plans were identified and supply was established from the start, by  taking advantage of the existing supply agreement between the producers of all  HAT drugs (Sanofi and Bayer) and the WHO. Pharmacovigilance and phase 4 studies  were nested into wider implementation activities. Targeted sequential  introduction into national programs was prioritized, based on medical need and  epidemiologically updated information.","container-title":"The American journal of tropical medicine and hygiene","DOI":"10.4269/ajtmh.21-1176","ISSN":"1476-1645 0002-9637","issue":"5 Suppl","journalAbbreviation":"Am J Trop Med Hyg","language":"eng","note":"PMID: 35292581 \nPMCID: PMC9154641","page":"61-66","title":"Development and Introduction of Fexinidazole into the Global Human African Trypanosomiasis Program.","volume":"106","author":[{"family":"Valverde Mordt","given":"Olaf"},{"family":"Tarral","given":"Antoine"},{"family":"Strub-Wourgaft","given":"Nathalie"}],"issued":{"date-parts":[["2022",3,15]]}}}],"schema":"https://github.com/citation-style-language/schema/raw/master/csl-citation.json"} </w:instrText>
            </w:r>
            <w:r w:rsidR="00783B70">
              <w:rPr>
                <w:rFonts w:ascii="Calibri" w:eastAsia="Times New Roman" w:hAnsi="Calibri" w:cs="Calibri"/>
                <w:color w:val="000000"/>
                <w:lang w:val="en-ZA" w:eastAsia="en-ZA"/>
              </w:rPr>
              <w:fldChar w:fldCharType="separate"/>
            </w:r>
            <w:r w:rsidR="00783B70" w:rsidRPr="00783B70">
              <w:rPr>
                <w:rFonts w:ascii="Calibri" w:hAnsi="Calibri" w:cs="Calibri"/>
              </w:rPr>
              <w:t>(115)</w:t>
            </w:r>
            <w:r w:rsidR="00783B70">
              <w:rPr>
                <w:rFonts w:ascii="Calibri" w:eastAsia="Times New Roman" w:hAnsi="Calibri" w:cs="Calibri"/>
                <w:color w:val="000000"/>
                <w:lang w:val="en-ZA" w:eastAsia="en-ZA"/>
              </w:rPr>
              <w:fldChar w:fldCharType="end"/>
            </w:r>
          </w:p>
        </w:tc>
        <w:tc>
          <w:tcPr>
            <w:tcW w:w="1464" w:type="dxa"/>
            <w:noWrap/>
            <w:hideMark/>
          </w:tcPr>
          <w:p w14:paraId="0119888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12A681D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7F798D1D" w14:textId="77777777" w:rsidTr="00366ACD">
        <w:trPr>
          <w:trHeight w:val="270"/>
        </w:trPr>
        <w:tc>
          <w:tcPr>
            <w:tcW w:w="2703" w:type="dxa"/>
            <w:noWrap/>
            <w:hideMark/>
          </w:tcPr>
          <w:p w14:paraId="090E5FCA" w14:textId="3BE89A2A" w:rsidR="00696AF0" w:rsidRPr="00696AF0" w:rsidRDefault="00696AF0" w:rsidP="00783B7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Moreira </w:t>
            </w:r>
            <w:r w:rsidR="000620EA">
              <w:rPr>
                <w:rFonts w:ascii="Calibri" w:eastAsia="Times New Roman" w:hAnsi="Calibri" w:cs="Calibri"/>
                <w:color w:val="000000"/>
                <w:lang w:val="en-ZA" w:eastAsia="en-ZA"/>
              </w:rPr>
              <w:t>et al.</w:t>
            </w:r>
            <w:r w:rsidR="00783B70">
              <w:rPr>
                <w:rFonts w:ascii="Calibri" w:eastAsia="Times New Roman" w:hAnsi="Calibri" w:cs="Calibri"/>
                <w:color w:val="000000"/>
                <w:lang w:val="en-ZA" w:eastAsia="en-ZA"/>
              </w:rPr>
              <w:t xml:space="preserve"> </w:t>
            </w:r>
            <w:r w:rsidR="00783B70">
              <w:rPr>
                <w:rFonts w:ascii="Calibri" w:eastAsia="Times New Roman" w:hAnsi="Calibri" w:cs="Calibri"/>
                <w:color w:val="000000"/>
                <w:lang w:val="en-ZA" w:eastAsia="en-ZA"/>
              </w:rPr>
              <w:fldChar w:fldCharType="begin"/>
            </w:r>
            <w:r w:rsidR="00783B70">
              <w:rPr>
                <w:rFonts w:ascii="Calibri" w:eastAsia="Times New Roman" w:hAnsi="Calibri" w:cs="Calibri"/>
                <w:color w:val="000000"/>
                <w:lang w:val="en-ZA" w:eastAsia="en-ZA"/>
              </w:rPr>
              <w:instrText xml:space="preserve"> ADDIN ZOTERO_ITEM CSL_CITATION {"citationID":"45wI7qRd","properties":{"formattedCitation":"(116)","plainCitation":"(116)","noteIndex":0},"citationItems":[{"id":125,"uris":["http://zotero.org/users/6216265/items/9N7PADVS"],"itemData":{"id":125,"type":"article-journal","abstract":"BACKGROUND: There is a need to identify scalable tuberculosis screening strategies among high burden populations. The WHO has identified a  non-sputum-based triage test as a development priority. METHODS: We performed a  diagnostic case-control study of point-of-care C-reactive protein (CRP) and  Prototype-Xpert-MTB-Host-Response (Xpert-MTB-HR) assays in the context of a mass  screening program for tuberculosis in two prisons in Brazil. All incarcerated  individuals irrespective of symptoms were screened by sputum Xpert MTB/RIF and  sputum culture. Among consecutive, Xpert MTB/RIF or culture-confirmed cases and  Xpert MTB/RIF and culture-negative controls, CRP was quantified in serum by a  point-of-care assay (iChroma-II) and a 3-gene expression score was quantified  from whole blood using the Xpert-MTB-HR cartridge. We evaluated receiver  operating characteristic area under the curve (AUC) and assessed specificity at  90% sensitivity and sensitivity at 70% specificity, consistent with WHO target  product profile (TPP) benchmarks. FINDINGS: Two hundred controls (no TB) and 100  culture- or Xpert MTB/RIF-positive tuberculosis cases were included. Half of  tuberculosis cases and 11% of controls reported any tuberculosis symptoms. AUC  for CRP was 0·79 (95% CI: 0·73-0·84) and for Xpert-MTB-HR was 0·84 (95% CI:  0·79-0·89). At 90% sensitivity, Xpert-MTB-HR had significantly higher specificity  (53·0%, 95% CI: 45·0-69·0%) than CRP (28·1%, 95% CI: 20·2-41·8%) (p = 0·003),  both well below the TPP benchmark of 70%. Among individuals with medium or high  sputum Xpert MTB/RIF semi-quantitative load, sensitivity (at 70% specificity) of  CRP (90·3%, 95% CI: 74·2-98·0) and Xpert-MTB-HR (96·8%, 95% CI: 83·3-99·9%) was  higher. INTERPRETATION: For active case finding in this high tuberculosis-burden  setting, CRP and Xpert-MTB-HR did not meet TPP benchmarks for a triage test.  However, Xpert-MTB-HR was highly sensitive in detecting individuals with medium  or high sputum bacillary burden. FUNDING: National Institutes of Health (R01  AI130058 and R01 AI149620) and Brazilian National Council for Scientific and  Technological Development (CNPq-404182/2019-4).","container-title":"EClinicalMedicine","DOI":"10.1016/j.eclinm.2021.100776","ISSN":"2589-5370","journalAbbreviation":"EClinicalMedicine","language":"eng","license":"© 2021 The Author(s).","note":"PMID: 33842866 \nPMCID: PMC8020164","page":"100776","title":"Blood-based host biomarker diagnostics in active case finding for pulmonary tuberculosis: A diagnostic case-control study.","volume":"33","author":[{"family":"Moreira","given":"Flora Martinez Figueira"},{"family":"Verma","given":"Renu"},{"family":"Pereira Dos Santos","given":"Paulo Cesar"},{"family":"Leite","given":"Alessandra"},{"family":"Silva Santos","given":"Andrea","non-dropping-particle":"da"},{"family":"Araujo","given":"Rafaele Carla Pivetta","non-dropping-particle":"de"},{"family":"Silva","given":"Bruna Oliveira","non-dropping-particle":"da"},{"family":"Sá Queiroz","given":"Júlio Henrique Ferreira","non-dropping-particle":"de"},{"family":"Persing","given":"David H."},{"family":"Södersten","given":"Erik"},{"family":"Gnanashanmugam","given":"Devasena"},{"family":"Khatri","given":"Purvesh"},{"family":"Croda","given":"Julio"},{"family":"Andrews","given":"Jason R."}],"issued":{"date-parts":[["2021",3]]}}}],"schema":"https://github.com/citation-style-language/schema/raw/master/csl-citation.json"} </w:instrText>
            </w:r>
            <w:r w:rsidR="00783B70">
              <w:rPr>
                <w:rFonts w:ascii="Calibri" w:eastAsia="Times New Roman" w:hAnsi="Calibri" w:cs="Calibri"/>
                <w:color w:val="000000"/>
                <w:lang w:val="en-ZA" w:eastAsia="en-ZA"/>
              </w:rPr>
              <w:fldChar w:fldCharType="separate"/>
            </w:r>
            <w:r w:rsidR="00783B70" w:rsidRPr="00783B70">
              <w:rPr>
                <w:rFonts w:ascii="Calibri" w:hAnsi="Calibri" w:cs="Calibri"/>
              </w:rPr>
              <w:t>(116)</w:t>
            </w:r>
            <w:r w:rsidR="00783B70">
              <w:rPr>
                <w:rFonts w:ascii="Calibri" w:eastAsia="Times New Roman" w:hAnsi="Calibri" w:cs="Calibri"/>
                <w:color w:val="000000"/>
                <w:lang w:val="en-ZA" w:eastAsia="en-ZA"/>
              </w:rPr>
              <w:fldChar w:fldCharType="end"/>
            </w:r>
          </w:p>
        </w:tc>
        <w:tc>
          <w:tcPr>
            <w:tcW w:w="1464" w:type="dxa"/>
            <w:noWrap/>
            <w:hideMark/>
          </w:tcPr>
          <w:p w14:paraId="077D8F58"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1073C42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7F702629" w14:textId="77777777" w:rsidTr="00366ACD">
        <w:trPr>
          <w:trHeight w:val="270"/>
        </w:trPr>
        <w:tc>
          <w:tcPr>
            <w:tcW w:w="2703" w:type="dxa"/>
            <w:noWrap/>
            <w:hideMark/>
          </w:tcPr>
          <w:p w14:paraId="75278D3D" w14:textId="656F23C2" w:rsidR="00696AF0" w:rsidRPr="00696AF0" w:rsidRDefault="00696AF0" w:rsidP="00C16B91">
            <w:pPr>
              <w:rPr>
                <w:rFonts w:ascii="Calibri" w:eastAsia="Times New Roman" w:hAnsi="Calibri" w:cs="Calibri"/>
                <w:color w:val="000000"/>
                <w:lang w:val="it-IT" w:eastAsia="en-ZA"/>
              </w:rPr>
            </w:pPr>
            <w:proofErr w:type="spellStart"/>
            <w:r w:rsidRPr="00696AF0">
              <w:rPr>
                <w:rFonts w:ascii="Calibri" w:eastAsia="Times New Roman" w:hAnsi="Calibri" w:cs="Calibri"/>
                <w:color w:val="000000"/>
                <w:lang w:val="it-IT" w:eastAsia="en-ZA"/>
              </w:rPr>
              <w:t>Mukadi-Bamuleka</w:t>
            </w:r>
            <w:proofErr w:type="spellEnd"/>
            <w:r w:rsidRPr="00696AF0">
              <w:rPr>
                <w:rFonts w:ascii="Calibri" w:eastAsia="Times New Roman" w:hAnsi="Calibri" w:cs="Calibri"/>
                <w:color w:val="000000"/>
                <w:lang w:val="it-IT" w:eastAsia="en-ZA"/>
              </w:rPr>
              <w:t xml:space="preserve"> </w:t>
            </w:r>
            <w:r w:rsidR="000620EA">
              <w:rPr>
                <w:rFonts w:ascii="Calibri" w:eastAsia="Times New Roman" w:hAnsi="Calibri" w:cs="Calibri"/>
                <w:color w:val="000000"/>
                <w:lang w:val="it-IT" w:eastAsia="en-ZA"/>
              </w:rPr>
              <w:t>et al.</w:t>
            </w:r>
            <w:r w:rsidR="00C16B91" w:rsidRPr="00C16B91">
              <w:rPr>
                <w:rFonts w:ascii="Calibri" w:eastAsia="Times New Roman" w:hAnsi="Calibri" w:cs="Calibri"/>
                <w:color w:val="000000"/>
                <w:lang w:val="it-IT" w:eastAsia="en-ZA"/>
              </w:rPr>
              <w:t xml:space="preserve"> </w:t>
            </w:r>
            <w:r w:rsidR="00C16B91">
              <w:rPr>
                <w:rFonts w:ascii="Calibri" w:eastAsia="Times New Roman" w:hAnsi="Calibri" w:cs="Calibri"/>
                <w:color w:val="000000"/>
                <w:lang w:val="en-ZA" w:eastAsia="en-ZA"/>
              </w:rPr>
              <w:fldChar w:fldCharType="begin"/>
            </w:r>
            <w:r w:rsidR="00C16B91">
              <w:rPr>
                <w:rFonts w:ascii="Calibri" w:eastAsia="Times New Roman" w:hAnsi="Calibri" w:cs="Calibri"/>
                <w:color w:val="000000"/>
                <w:lang w:val="it-IT" w:eastAsia="en-ZA"/>
              </w:rPr>
              <w:instrText xml:space="preserve"> ADDIN ZOTERO_ITEM CSL_CITATION {"citationID":"ScQtzg6A","properties":{"formattedCitation":"(117)","plainCitation":"(117)","noteIndex":0},"citationItems":[{"id":165,"uris":["http://zotero.org/users/6216265/items/FPEDQFQN"],"itemData":{"id":165,"type":"article-journal","abstract":"BACKGROUND: The Democratic Republic of the Congo has confronted 13 outbreaks of Ebola virus disease since 1976. Rapid diagnostic tests (RDTs) detecting viral  antigens have been developed to circumvent difficulties encountered with RT-PCR  for diagnosis in remote low-resource settings, but there is still uncertainty  about their performance characteristics and usability during outbreaks. We aimed  to assess the field performance of three antigen detection RDTs compared with the  gold-standard Cepheid GeneXpert Ebola assay results. METHODS: We conducted a  retrospective, multicentre observational study using complete and de-identified  databases of five mobile laboratories (managed by the Institut National de  Recherche Biomédicale) to assess the performance of three Ebola virus disease  RDTs (QuickNavi-Ebola, OraQuick Ebola Rapid Antigen Test, and Coris EBOLA Ag  K-SeT rapid test) run on blood samples of patients with suspected Ebola virus  disease in direct comparison with the Cepheid GeneXpert Ebola assay reference  test during the 2018-20 outbreak in the eastern Democratic Republic of the Congo.  We estimated the sensitivity and specificity of each test through generalised  linear mixed models against the GeneXpert Ebola assay reference test and  corrected for cycle threshold value and random site effects. FINDINGS: 719 (7·9%)  of 9157 samples had a positive GeneXpert Ebola assay result. The QuickNavi-Ebola  RDT had a sensitivity of 87·4% (95% CI 63·6-96·8) around the mean cycle threshold  value and a specificity of 99·6% (99·3-99·8). The OraQuick Ebola Rapid Antigen  Test had a sensitivity of 57·4% (95% CI 38·8-75·8) and specificity of 98·3%  (97·5-99·0), and the Coris EBOLA Ag K-SeT rapid test had a sensitivity of 38·9%  (23·0-63·6) against the GeneXpert Ebola assay reference and specificity of 97·4%  (85·3-99·6). The QuickNavi-Ebola RDT showed a robust performance with good  sensitivity, particularly with increasing viral loads (ie, low cycle threshold  values), and specificity. INTERPRETATION: The three RDTs evaluated did not  achieve the desired sensitivity and specificity of the WHO target product  profile. Although the RDTs cannot triage and rule out Ebola virus infection among  clinical suspects, they can still help to sort people with suspected Ebola virus  disease into high-risk and low-risk groups while waiting for GeneXpert Ebola  assay reference testing. FUNDING: None. TRANSLATION: For the French translation  of the abstract see Supplementary Materials section.","container-title":"The Lancet. Infectious diseases","DOI":"10.1016/S1473-3099(21)00675-7","ISSN":"1474-4457 1473-3099","issue":"6","journalAbbreviation":"Lancet Infect Dis","language":"eng","license":"Copyright © 2022 Elsevier Ltd. All rights reserved.","note":"publisher-place: United States\nPMID: 35298901","page":"891-900","title":"Field performance of three Ebola rapid diagnostic tests used during the 2018-20 outbreak in the eastern Democratic Republic of the Congo: a retrospective,  multicentre observational study.","volume":"22","author":[{"family":"Mukadi-Bamuleka","given":"Daniel"},{"family":"Bulabula-Penge","given":"Junior"},{"family":"De Weggheleire","given":"Anja"},{"family":"Jacobs","given":"Bart K. M."},{"family":"Edidi-Atani","given":"François"},{"family":"Mambu-Mbika","given":"Fabrice"},{"family":"Mbala-Kingebeni","given":"Placide"},{"family":"Makiala-Mandanda","given":"Sheila"},{"family":"Faye","given":"Martin"},{"family":"Diagne","given":"Cheick T."},{"family":"Diagne","given":"Moussa M."},{"family":"Faye","given":"Oumar"},{"family":"Kajihara","given":"Masahiro"},{"family":"Faye","given":"Ousmane"},{"family":"Takada","given":"Ayato"},{"family":"Sall","given":"Amadou A."},{"family":"Muyembe-Tamfum","given":"Jean-Jacques"},{"family":"Griensven","given":"Johan","non-dropping-particle":"van"},{"family":"Ariën","given":"Kevin K."},{"family":"Ahuka-Mundeke","given":"Steve"}],"issued":{"date-parts":[["2022",6]]}}}],"schema":"https://github.com/citation-style-language/schema/raw/master/csl-citation.json"} </w:instrText>
            </w:r>
            <w:r w:rsidR="00C16B91">
              <w:rPr>
                <w:rFonts w:ascii="Calibri" w:eastAsia="Times New Roman" w:hAnsi="Calibri" w:cs="Calibri"/>
                <w:color w:val="000000"/>
                <w:lang w:val="en-ZA" w:eastAsia="en-ZA"/>
              </w:rPr>
              <w:fldChar w:fldCharType="separate"/>
            </w:r>
            <w:r w:rsidR="00C16B91" w:rsidRPr="00C16B91">
              <w:rPr>
                <w:rFonts w:ascii="Calibri" w:hAnsi="Calibri" w:cs="Calibri"/>
                <w:lang w:val="it-IT"/>
              </w:rPr>
              <w:t>(117)</w:t>
            </w:r>
            <w:r w:rsidR="00C16B91">
              <w:rPr>
                <w:rFonts w:ascii="Calibri" w:eastAsia="Times New Roman" w:hAnsi="Calibri" w:cs="Calibri"/>
                <w:color w:val="000000"/>
                <w:lang w:val="en-ZA" w:eastAsia="en-ZA"/>
              </w:rPr>
              <w:fldChar w:fldCharType="end"/>
            </w:r>
          </w:p>
        </w:tc>
        <w:tc>
          <w:tcPr>
            <w:tcW w:w="1464" w:type="dxa"/>
            <w:noWrap/>
            <w:hideMark/>
          </w:tcPr>
          <w:p w14:paraId="0962592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2CFC39E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72A0DC69" w14:textId="77777777" w:rsidTr="00366ACD">
        <w:trPr>
          <w:trHeight w:val="270"/>
        </w:trPr>
        <w:tc>
          <w:tcPr>
            <w:tcW w:w="2703" w:type="dxa"/>
            <w:noWrap/>
            <w:hideMark/>
          </w:tcPr>
          <w:p w14:paraId="0C74E4B7" w14:textId="73BBB5E5" w:rsidR="00696AF0" w:rsidRPr="00696AF0" w:rsidRDefault="00696AF0" w:rsidP="00C16B91">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Mulenga </w:t>
            </w:r>
            <w:r w:rsidR="000620EA">
              <w:rPr>
                <w:rFonts w:ascii="Calibri" w:eastAsia="Times New Roman" w:hAnsi="Calibri" w:cs="Calibri"/>
                <w:color w:val="000000"/>
                <w:lang w:val="en-ZA" w:eastAsia="en-ZA"/>
              </w:rPr>
              <w:t>et al.</w:t>
            </w:r>
            <w:r w:rsidR="00C16B91">
              <w:rPr>
                <w:rFonts w:ascii="Calibri" w:eastAsia="Times New Roman" w:hAnsi="Calibri" w:cs="Calibri"/>
                <w:color w:val="000000"/>
                <w:lang w:val="en-ZA" w:eastAsia="en-ZA"/>
              </w:rPr>
              <w:t xml:space="preserve"> </w:t>
            </w:r>
            <w:r w:rsidR="00C16B91">
              <w:rPr>
                <w:rFonts w:ascii="Calibri" w:eastAsia="Times New Roman" w:hAnsi="Calibri" w:cs="Calibri"/>
                <w:color w:val="000000"/>
                <w:lang w:val="en-ZA" w:eastAsia="en-ZA"/>
              </w:rPr>
              <w:fldChar w:fldCharType="begin"/>
            </w:r>
            <w:r w:rsidR="00C16B91">
              <w:rPr>
                <w:rFonts w:ascii="Calibri" w:eastAsia="Times New Roman" w:hAnsi="Calibri" w:cs="Calibri"/>
                <w:color w:val="000000"/>
                <w:lang w:val="en-ZA" w:eastAsia="en-ZA"/>
              </w:rPr>
              <w:instrText xml:space="preserve"> ADDIN ZOTERO_ITEM CSL_CITATION {"citationID":"TiJNpclC","properties":{"formattedCitation":"(118)","plainCitation":"(118)","noteIndex":0},"citationItems":[{"id":3038,"uris":["http://zotero.org/users/6216265/items/IB83MEVJ"],"itemData":{"id":3038,"type":"article-journal","abstract":"INTRODUCTION: Host blood transcriptomic biomarkers have potential as rapid point-of-care triage, diagnostic, and predictive tests for Tuberculosis disease.  We aimed to summarise the performance of host blood transcriptomic signatures for  diagnosis of and prediction of progression to Tuberculosis disease; and compare  their performance to the recommended World Health Organisation target product  profile. METHODS: A systematic review and meta-analysis of the performance of  host blood mRNA signatures for diagnosing and predicting progression to  Tuberculosis disease in HIV-negative adults and adolescents, in studies with an  independent validation cohort. Medline, Scopus, Web of Science, and EBSCO  libraries were searched for articles published between January 2005 and May 2019,  complemented by a search of bibliographies. Study selection, data extraction and  quality assessment were done independently by two reviewers. Meta-analysis was  performed for signatures that were validated in ≥3 comparable cohorts, using a  bivariate random effects model. RESULTS: Twenty studies evaluating 25 signatures  for diagnosis of or prediction of progression to TB disease in a total of 68  cohorts were included. Eighteen studies evaluated 24 signatures for TB diagnosis  and 17 signatures met at least one TPP minimum performance criterion. Three  diagnostic signatures were validated in clinically relevant cohorts to  differentiate TB from other diseases, with pooled sensitivity 84%, 87% and 90%  and pooled specificity 79%, 88% and 74%, respectively. Four studies evaluated  signatures for progression to TB disease and performance of one signature,  assessed within six months of TB diagnosis, met the minimal TPP for a predictive  test for progression to TB disease. CONCLUSION: Host blood mRNA signatures hold  promise as triage tests for TB. Further optimisation is needed if mRNA signatures  are to be used as standalone diagnostic or predictive tests for therapeutic  decision-making.","container-title":"PloS one","DOI":"10.1371/journal.pone.0237574","ISSN":"1932-6203","issue":"8","journalAbbreviation":"PLoS One","language":"eng","note":"PMID: 32822359 \nPMCID: PMC7442252","page":"e0237574","title":"Performance of diagnostic and predictive host blood transcriptomic signatures for Tuberculosis disease: A systematic review and meta-analysis.","volume":"15","author":[{"family":"Mulenga","given":"Humphrey"},{"family":"Zauchenberger","given":"Chambrez-Zita"},{"family":"Bunyasi","given":"Erick W."},{"family":"Mbandi","given":"Stanley Kimbung"},{"family":"Mendelsohn","given":"Simon C."},{"family":"Kagina","given":"Benjamin"},{"family":"Penn-Nicholson","given":"Adam"},{"family":"Scriba","given":"Thomas J."},{"family":"Hatherill","given":"Mark"}],"issued":{"date-parts":[["2020"]]}}}],"schema":"https://github.com/citation-style-language/schema/raw/master/csl-citation.json"} </w:instrText>
            </w:r>
            <w:r w:rsidR="00C16B91">
              <w:rPr>
                <w:rFonts w:ascii="Calibri" w:eastAsia="Times New Roman" w:hAnsi="Calibri" w:cs="Calibri"/>
                <w:color w:val="000000"/>
                <w:lang w:val="en-ZA" w:eastAsia="en-ZA"/>
              </w:rPr>
              <w:fldChar w:fldCharType="separate"/>
            </w:r>
            <w:r w:rsidR="00C16B91" w:rsidRPr="00C16B91">
              <w:rPr>
                <w:rFonts w:ascii="Calibri" w:hAnsi="Calibri" w:cs="Calibri"/>
              </w:rPr>
              <w:t>(118)</w:t>
            </w:r>
            <w:r w:rsidR="00C16B91">
              <w:rPr>
                <w:rFonts w:ascii="Calibri" w:eastAsia="Times New Roman" w:hAnsi="Calibri" w:cs="Calibri"/>
                <w:color w:val="000000"/>
                <w:lang w:val="en-ZA" w:eastAsia="en-ZA"/>
              </w:rPr>
              <w:fldChar w:fldCharType="end"/>
            </w:r>
          </w:p>
        </w:tc>
        <w:tc>
          <w:tcPr>
            <w:tcW w:w="1464" w:type="dxa"/>
            <w:noWrap/>
            <w:hideMark/>
          </w:tcPr>
          <w:p w14:paraId="7B76F0A8"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7106C632"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DC897B2" w14:textId="77777777" w:rsidTr="00366ACD">
        <w:trPr>
          <w:trHeight w:val="270"/>
        </w:trPr>
        <w:tc>
          <w:tcPr>
            <w:tcW w:w="2703" w:type="dxa"/>
            <w:noWrap/>
            <w:hideMark/>
          </w:tcPr>
          <w:p w14:paraId="20349B16" w14:textId="033E0C07" w:rsidR="00696AF0" w:rsidRPr="00696AF0" w:rsidRDefault="00696AF0" w:rsidP="00741C2D">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Muller </w:t>
            </w:r>
            <w:r w:rsidR="000620EA">
              <w:rPr>
                <w:rFonts w:ascii="Calibri" w:eastAsia="Times New Roman" w:hAnsi="Calibri" w:cs="Calibri"/>
                <w:color w:val="000000"/>
                <w:lang w:val="en-ZA" w:eastAsia="en-ZA"/>
              </w:rPr>
              <w:t>et al.</w:t>
            </w:r>
            <w:r w:rsidR="00741C2D">
              <w:rPr>
                <w:rFonts w:ascii="Calibri" w:eastAsia="Times New Roman" w:hAnsi="Calibri" w:cs="Calibri"/>
                <w:color w:val="000000"/>
                <w:lang w:val="en-ZA" w:eastAsia="en-ZA"/>
              </w:rPr>
              <w:t xml:space="preserve"> </w:t>
            </w:r>
            <w:r w:rsidR="00741C2D">
              <w:rPr>
                <w:rFonts w:ascii="Calibri" w:eastAsia="Times New Roman" w:hAnsi="Calibri" w:cs="Calibri"/>
                <w:color w:val="000000"/>
                <w:lang w:val="en-ZA" w:eastAsia="en-ZA"/>
              </w:rPr>
              <w:fldChar w:fldCharType="begin"/>
            </w:r>
            <w:r w:rsidR="00741C2D">
              <w:rPr>
                <w:rFonts w:ascii="Calibri" w:eastAsia="Times New Roman" w:hAnsi="Calibri" w:cs="Calibri"/>
                <w:color w:val="000000"/>
                <w:lang w:val="en-ZA" w:eastAsia="en-ZA"/>
              </w:rPr>
              <w:instrText xml:space="preserve"> ADDIN ZOTERO_ITEM CSL_CITATION {"citationID":"7BXDENxu","properties":{"formattedCitation":"(119)","plainCitation":"(119)","noteIndex":0},"citationItems":[{"id":12493,"uris":["http://zotero.org/users/6216265/items/CMGN5BSR"],"itemData":{"id":12493,"type":"article-journal","container-title":"European Journal of Pharmaceutics and Biopharmaceutics","DOI":"10.1016/j.ejpb.2014.07.014","ISSN":"09396411","issue":"3","journalAbbreviation":"European Journal of Pharmaceutics and Biopharmaceutics","language":"en","page":"787-794","source":"DOI.org (Crossref)","title":"Study of the Lactobacillus rhamnosus Lcr35® properties after compression and proposition of a model to predict tablet stability","volume":"88","author":[{"family":"Muller","given":"Claudia"},{"family":"Mazel","given":"Vincent"},{"family":"Dausset","given":"Caroline"},{"family":"Busignies","given":"Virginie"},{"family":"Bornes","given":"Stéphanie"},{"family":"Nivoliez","given":"Adrien"},{"family":"Tchoreloff","given":"Pierre"}],"issued":{"date-parts":[["2014",11]]}}}],"schema":"https://github.com/citation-style-language/schema/raw/master/csl-citation.json"} </w:instrText>
            </w:r>
            <w:r w:rsidR="00741C2D">
              <w:rPr>
                <w:rFonts w:ascii="Calibri" w:eastAsia="Times New Roman" w:hAnsi="Calibri" w:cs="Calibri"/>
                <w:color w:val="000000"/>
                <w:lang w:val="en-ZA" w:eastAsia="en-ZA"/>
              </w:rPr>
              <w:fldChar w:fldCharType="separate"/>
            </w:r>
            <w:r w:rsidR="00741C2D" w:rsidRPr="00741C2D">
              <w:rPr>
                <w:rFonts w:ascii="Calibri" w:hAnsi="Calibri" w:cs="Calibri"/>
              </w:rPr>
              <w:t>(119)</w:t>
            </w:r>
            <w:r w:rsidR="00741C2D">
              <w:rPr>
                <w:rFonts w:ascii="Calibri" w:eastAsia="Times New Roman" w:hAnsi="Calibri" w:cs="Calibri"/>
                <w:color w:val="000000"/>
                <w:lang w:val="en-ZA" w:eastAsia="en-ZA"/>
              </w:rPr>
              <w:fldChar w:fldCharType="end"/>
            </w:r>
          </w:p>
        </w:tc>
        <w:tc>
          <w:tcPr>
            <w:tcW w:w="1464" w:type="dxa"/>
            <w:noWrap/>
            <w:hideMark/>
          </w:tcPr>
          <w:p w14:paraId="1D2E670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2014</w:t>
            </w:r>
          </w:p>
        </w:tc>
        <w:tc>
          <w:tcPr>
            <w:tcW w:w="2043" w:type="dxa"/>
            <w:noWrap/>
            <w:hideMark/>
          </w:tcPr>
          <w:p w14:paraId="1CDE6D3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573BC45" w14:textId="77777777" w:rsidTr="00366ACD">
        <w:trPr>
          <w:trHeight w:val="270"/>
        </w:trPr>
        <w:tc>
          <w:tcPr>
            <w:tcW w:w="2703" w:type="dxa"/>
            <w:noWrap/>
            <w:hideMark/>
          </w:tcPr>
          <w:p w14:paraId="73707368" w14:textId="7E60295A" w:rsidR="00696AF0" w:rsidRPr="00696AF0" w:rsidRDefault="00696AF0" w:rsidP="00741C2D">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Murphy </w:t>
            </w:r>
            <w:r w:rsidR="000620EA">
              <w:rPr>
                <w:rFonts w:ascii="Calibri" w:eastAsia="Times New Roman" w:hAnsi="Calibri" w:cs="Calibri"/>
                <w:color w:val="000000"/>
                <w:lang w:val="en-ZA" w:eastAsia="en-ZA"/>
              </w:rPr>
              <w:t>et al.</w:t>
            </w:r>
            <w:r w:rsidR="00741C2D">
              <w:rPr>
                <w:rFonts w:ascii="Calibri" w:eastAsia="Times New Roman" w:hAnsi="Calibri" w:cs="Calibri"/>
                <w:color w:val="000000"/>
                <w:lang w:val="en-ZA" w:eastAsia="en-ZA"/>
              </w:rPr>
              <w:t xml:space="preserve"> </w:t>
            </w:r>
            <w:r w:rsidR="00741C2D">
              <w:rPr>
                <w:rFonts w:ascii="Calibri" w:eastAsia="Times New Roman" w:hAnsi="Calibri" w:cs="Calibri"/>
                <w:color w:val="000000"/>
                <w:lang w:val="en-ZA" w:eastAsia="en-ZA"/>
              </w:rPr>
              <w:fldChar w:fldCharType="begin"/>
            </w:r>
            <w:r w:rsidR="00741C2D">
              <w:rPr>
                <w:rFonts w:ascii="Calibri" w:eastAsia="Times New Roman" w:hAnsi="Calibri" w:cs="Calibri"/>
                <w:color w:val="000000"/>
                <w:lang w:val="en-ZA" w:eastAsia="en-ZA"/>
              </w:rPr>
              <w:instrText xml:space="preserve"> ADDIN ZOTERO_ITEM CSL_CITATION {"citationID":"41yj90Bm","properties":{"formattedCitation":"(120)","plainCitation":"(120)","noteIndex":0},"citationItems":[{"id":12494,"uris":["http://zotero.org/users/6216265/items/GE5TALXG"],"itemData":{"id":12494,"type":"article-journal","abstract":"SUMMARY\n            In 2011 the Incidence Assay Critical Path Working Group reviewed the current state of HIV incidence assays and helped to determine a critical path to the introduction of an HIV incidence assay. At that time the Consortium for Evaluation and Performance of HIV Incidence Assays (CEPHIA) was formed to spur progress and raise standards among assay developers, scientists and laboratories involved in HIV incidence measurement and to structure and conduct a direct independent comparative evaluation of the performance of 10 existing HIV incidence assays, to be considered singly and in combinations as recent infection test algorithms. In this paper we report on a new framework for HIV incidence assay evaluation that has emerged from this effort over the past 5 years, which includes a preliminary target product profile for an incidence assay, a consensus around key performance metrics along with analytical tools and deployment of a standardized approach for incidence assay evaluation. The specimen panels for this evaluation have been collected in large volumes, characterized using a novel approach for infection dating rules and assembled into panels designed to assess the impact of important sources of measurement error with incidence assays such as viral subtype, elite host control of viraemia and antiretroviral treatment. We present the specific rationale for several of these innovations, and discuss important resources for assay developers and researchers that have recently become available. Finally, we summarize the key remaining steps on the path to development and implementation of reliable assays for monitoring HIV incidence at a population level.","container-title":"Epidemiology and Infection","DOI":"10.1017/S0950268816002910","ISSN":"0950-2688, 1469-4409","issue":"5","journalAbbreviation":"Epidemiol. Infect.","language":"en","page":"925-941","source":"DOI.org (Crossref)","title":"Moving towards a reliable HIV incidence test – current status, resources available, future directions and challenges ahead","volume":"145","author":[{"family":"Murphy","given":"G."},{"family":"Pilcher","given":"C. D."},{"family":"Keating","given":"S. M."},{"family":"Kassanjee","given":"R."},{"family":"Facente","given":"S. N."},{"family":"Welte","given":"A."},{"family":"Grebe","given":"E."},{"family":"Marson","given":"K."},{"family":"Busch","given":"M. P."},{"family":"Dailey","given":"P."},{"family":"Parkin","given":"N."},{"family":"Osborn","given":"J."},{"family":"Ongarello","given":"S."},{"family":"Marsh","given":"K."},{"family":"Garcia-Calleja","given":"J. M."}],"issued":{"date-parts":[["2017",4]]}}}],"schema":"https://github.com/citation-style-language/schema/raw/master/csl-citation.json"} </w:instrText>
            </w:r>
            <w:r w:rsidR="00741C2D">
              <w:rPr>
                <w:rFonts w:ascii="Calibri" w:eastAsia="Times New Roman" w:hAnsi="Calibri" w:cs="Calibri"/>
                <w:color w:val="000000"/>
                <w:lang w:val="en-ZA" w:eastAsia="en-ZA"/>
              </w:rPr>
              <w:fldChar w:fldCharType="separate"/>
            </w:r>
            <w:r w:rsidR="00741C2D" w:rsidRPr="00741C2D">
              <w:rPr>
                <w:rFonts w:ascii="Calibri" w:hAnsi="Calibri" w:cs="Calibri"/>
              </w:rPr>
              <w:t>(120)</w:t>
            </w:r>
            <w:r w:rsidR="00741C2D">
              <w:rPr>
                <w:rFonts w:ascii="Calibri" w:eastAsia="Times New Roman" w:hAnsi="Calibri" w:cs="Calibri"/>
                <w:color w:val="000000"/>
                <w:lang w:val="en-ZA" w:eastAsia="en-ZA"/>
              </w:rPr>
              <w:fldChar w:fldCharType="end"/>
            </w:r>
          </w:p>
        </w:tc>
        <w:tc>
          <w:tcPr>
            <w:tcW w:w="1464" w:type="dxa"/>
            <w:noWrap/>
            <w:hideMark/>
          </w:tcPr>
          <w:p w14:paraId="3C0864A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2017</w:t>
            </w:r>
          </w:p>
        </w:tc>
        <w:tc>
          <w:tcPr>
            <w:tcW w:w="2043" w:type="dxa"/>
            <w:noWrap/>
            <w:hideMark/>
          </w:tcPr>
          <w:p w14:paraId="6120AB7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0845E54D" w14:textId="77777777" w:rsidTr="00366ACD">
        <w:trPr>
          <w:trHeight w:val="270"/>
        </w:trPr>
        <w:tc>
          <w:tcPr>
            <w:tcW w:w="2703" w:type="dxa"/>
            <w:noWrap/>
            <w:hideMark/>
          </w:tcPr>
          <w:p w14:paraId="240A9A21" w14:textId="4A1F6678" w:rsidR="00696AF0" w:rsidRPr="00696AF0" w:rsidRDefault="00696AF0" w:rsidP="006C1BAA">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Mutavhatsindi</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6C1BAA">
              <w:rPr>
                <w:rFonts w:ascii="Calibri" w:eastAsia="Times New Roman" w:hAnsi="Calibri" w:cs="Calibri"/>
                <w:color w:val="000000"/>
                <w:lang w:val="en-ZA" w:eastAsia="en-ZA"/>
              </w:rPr>
              <w:t xml:space="preserve"> </w:t>
            </w:r>
            <w:r w:rsidR="006C1BAA">
              <w:rPr>
                <w:rFonts w:ascii="Calibri" w:eastAsia="Times New Roman" w:hAnsi="Calibri" w:cs="Calibri"/>
                <w:color w:val="000000"/>
                <w:lang w:val="en-ZA" w:eastAsia="en-ZA"/>
              </w:rPr>
              <w:fldChar w:fldCharType="begin"/>
            </w:r>
            <w:r w:rsidR="006C1BAA">
              <w:rPr>
                <w:rFonts w:ascii="Calibri" w:eastAsia="Times New Roman" w:hAnsi="Calibri" w:cs="Calibri"/>
                <w:color w:val="000000"/>
                <w:lang w:val="en-ZA" w:eastAsia="en-ZA"/>
              </w:rPr>
              <w:instrText xml:space="preserve"> ADDIN ZOTERO_ITEM CSL_CITATION {"citationID":"pFpLyTyj","properties":{"formattedCitation":"(121)","plainCitation":"(121)","noteIndex":0},"citationItems":[{"id":118,"uris":["http://zotero.org/users/6216265/items/5GWKLULZ"],"itemData":{"id":118,"type":"article-journal","abstract":"The development of a non-sputum-based, point-of-care diagnostic test for tuberculosis (TB) is a priority in the global effort to combat this disease,  particularly in resource-constrained settings. Previous studies have identified  host biomarker signatures which showed potential, but there is a need to validate  and refine these for development as a test. We recruited 1,403 adults presenting  with symptoms suggestive of pulmonary TB at primary healthcare clinics in six  countries from West, East and Southern Africa. Of the study cohort, 326 were  diagnosed with TB and 787 with other respiratory diseases, from whom we randomly  selected 1005 participants. Using Luminex(®) technology, we measured the levels  of 20 host biomarkers in serum samples which we used to evaluate the diagnostic  accuracy of previously identified and novel bio-signatures. Our previously  identified seven-marker bio-signature did not perform well (sensitivity: 89%,  specificity: 60%). We also identified an optimal, two-marker bio-signature with a  sensitivity of 94% and specificity of 69% in patients with no history of previous  TB. This signature performed slightly better than C-reactive protein (CRP) alone.  The cut-off value for a positive diagnosis differed for human immuno-deficiency  virus (HIV)-positive and -negative individuals. Notably, we also found that no  signature was able to diagnose TB adequately in patients with a prior history of  the disease. We have identified a two-marker, pan-African bio-signature which is  more robust than CRP alone and meets the World Health Organization (WHO) target  product profile requirements for a triage test in both HIV-negative and  HIV-positive individuals. This signature could be incorporated into a  point-of-care device, greatly reducing the necessity for expensive confirmatory  diagnostics and potentially reducing the number of cases currently lost to  follow-up. It might also potentially be useful with individuals unable to provide  sputum or with paucibacillary disease. We suggest that the performance of TB  diagnostic signatures can be improved by incorporating the HIV-status of the  patient. We further suggest that only patients who have never had TB be subjected  to a triage test and that those with a history of previous TB be evaluated using  more direct diagnostic techniques.","container-title":"Frontiers in immunology","DOI":"10.3389/fimmu.2021.607827","ISSN":"1664-3224","journalAbbreviation":"Front Immunol","language":"eng","license":"Copyright © 2021 Mutavhatsindi, van der Spuy, Malherbe, Sutherland, Geluk, Mayanja-Kizza, Crampin, Kassa, Howe, Mihret, Sheehama, Nepolo, Günther, Dockrell,  Corstjens, Stanley, Walzl, Chegou and the AE-TBC ScreenTB Consortia.","note":"PMID: 33717089 \nPMCID: PMC7952865","page":"607827","title":"Validation and Optimization of Host Immunological Bio-Signatures for a Point-of-Care Test for TB Disease.","volume":"12","author":[{"family":"Mutavhatsindi","given":"Hygon"},{"family":"Spuy","given":"Gian D.","non-dropping-particle":"van der"},{"family":"Malherbe","given":"Stephanus T."},{"family":"Sutherland","given":"Jayne S."},{"family":"Geluk","given":"Annemieke"},{"family":"Mayanja-Kizza","given":"Harriet"},{"family":"Crampin","given":"Amelia C."},{"family":"Kassa","given":"Desta"},{"family":"Howe","given":"Rawleigh"},{"family":"Mihret","given":"Adane"},{"family":"Sheehama","given":"Jacob A."},{"family":"Nepolo","given":"Emmanuel"},{"family":"Günther","given":"Gunar"},{"family":"Dockrell","given":"Hazel M."},{"family":"Corstjens","given":"Paul L. A. M."},{"family":"Stanley","given":"Kim"},{"family":"Walzl","given":"Gerhard"},{"family":"Chegou","given":"Novel N."}],"issued":{"date-parts":[["2021"]]}}}],"schema":"https://github.com/citation-style-language/schema/raw/master/csl-citation.json"} </w:instrText>
            </w:r>
            <w:r w:rsidR="006C1BAA">
              <w:rPr>
                <w:rFonts w:ascii="Calibri" w:eastAsia="Times New Roman" w:hAnsi="Calibri" w:cs="Calibri"/>
                <w:color w:val="000000"/>
                <w:lang w:val="en-ZA" w:eastAsia="en-ZA"/>
              </w:rPr>
              <w:fldChar w:fldCharType="separate"/>
            </w:r>
            <w:r w:rsidR="006C1BAA" w:rsidRPr="006C1BAA">
              <w:rPr>
                <w:rFonts w:ascii="Calibri" w:hAnsi="Calibri" w:cs="Calibri"/>
              </w:rPr>
              <w:t>(121)</w:t>
            </w:r>
            <w:r w:rsidR="006C1BAA">
              <w:rPr>
                <w:rFonts w:ascii="Calibri" w:eastAsia="Times New Roman" w:hAnsi="Calibri" w:cs="Calibri"/>
                <w:color w:val="000000"/>
                <w:lang w:val="en-ZA" w:eastAsia="en-ZA"/>
              </w:rPr>
              <w:fldChar w:fldCharType="end"/>
            </w:r>
          </w:p>
        </w:tc>
        <w:tc>
          <w:tcPr>
            <w:tcW w:w="1464" w:type="dxa"/>
            <w:noWrap/>
            <w:hideMark/>
          </w:tcPr>
          <w:p w14:paraId="45C7AF8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15711B3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FA2D736" w14:textId="77777777" w:rsidTr="00366ACD">
        <w:trPr>
          <w:trHeight w:val="270"/>
        </w:trPr>
        <w:tc>
          <w:tcPr>
            <w:tcW w:w="2703" w:type="dxa"/>
            <w:noWrap/>
            <w:hideMark/>
          </w:tcPr>
          <w:p w14:paraId="7C7A7723" w14:textId="31AAF544" w:rsidR="00696AF0" w:rsidRPr="00696AF0" w:rsidRDefault="00696AF0" w:rsidP="006C1BAA">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Muzembo</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6C1BAA">
              <w:rPr>
                <w:rFonts w:ascii="Calibri" w:eastAsia="Times New Roman" w:hAnsi="Calibri" w:cs="Calibri"/>
                <w:color w:val="000000"/>
                <w:lang w:val="en-ZA" w:eastAsia="en-ZA"/>
              </w:rPr>
              <w:t xml:space="preserve"> </w:t>
            </w:r>
            <w:r w:rsidR="006C1BAA">
              <w:rPr>
                <w:rFonts w:ascii="Calibri" w:eastAsia="Times New Roman" w:hAnsi="Calibri" w:cs="Calibri"/>
                <w:color w:val="000000"/>
                <w:lang w:val="en-ZA" w:eastAsia="en-ZA"/>
              </w:rPr>
              <w:fldChar w:fldCharType="begin"/>
            </w:r>
            <w:r w:rsidR="006C1BAA">
              <w:rPr>
                <w:rFonts w:ascii="Calibri" w:eastAsia="Times New Roman" w:hAnsi="Calibri" w:cs="Calibri"/>
                <w:color w:val="000000"/>
                <w:lang w:val="en-ZA" w:eastAsia="en-ZA"/>
              </w:rPr>
              <w:instrText xml:space="preserve"> ADDIN ZOTERO_ITEM CSL_CITATION {"citationID":"rOjCPEcv","properties":{"formattedCitation":"(122)","plainCitation":"(122)","noteIndex":0},"citationItems":[{"id":151,"uris":["http://zotero.org/users/6216265/items/TD9VRPR8"],"itemData":{"id":151,"type":"article-journal","abstract":"BACKGROUND: Cholera is an acute diarrheal disease caused by Vibrio cholerae O1 or O139. Cholera rapid diagnostic tests (RDTs) are widely used to screen for cholera  cases. However, their accuracy has not been systematically reviewed. OBJECTIVES:  To evaluate the diagnostic accuracy of cholera RDTs. METHODS: Systematic review  and meta-analysis. DATA SOURCES: Medline, EMBASE and Web of science through to  November 2020; references of included studies and a technical guidance on cholera  RDTs. This review is registered with PROSPERO (CRD42021233124). STUDY ELIGIBILITY  CRITERIA: Cross-sectional studies comparing the performance of cholera RDTs  either to stool culture or PCR. PARTICIPANTS: Individuals with clinically  suspected cholera. DATA EXTRACTION: Two authors independently extracted data and  assessed the quality using Quality Assessment of Diagnostic Accuracy Studies 2  (QUADAS-2) criteria. RESULTS: Eighteen studies were included in the systematic  review of which 17 were used for meta-analysis. Crystal VC was the most  frequently used RDT (13 studies), followed by Cholkit and Institut Pasteur  cholera dipstick (three studies each), SD Bioline (two studies), Artron (one  study) and Smart (one study). Using direct testing (n = 12 627 specimens), the  bivariate random-effects model yielded a pooled sensitivity and specificity of  91% (95% CI 87%-94%) and 80% (95% CI 74%-84%), respectively. However, through  alkaline peptone water (APW) enrichment (n = 3403 specimens), the pooled  sensitivity and specificity were 89% (95% CI 79%-95%) and 98% (95% CI 95%-99%),  respectively. CONCLUSION: Cholera RDTs, especially when enriched with APW, have  moderate sensitivity and specificity. Although less useful for clinical  management, the current generation of RDTs have clear utility for surveillance  efforts if used in a principled manner. Enrichment of stool specimens in APW  before using cholera RDTs reduces the possibility of obtaining false-positive  results, despite the few cholera cases that go undetected. It is noteworthy that  APW-enriched cholera RDTs are not necessarily rapid tests, and are not listed in  the Global Task Force on Cholera Control/WHO target product profile.","container-title":"Clinical microbiology and infection : the official publication of the European Society of Clinical Microbiology and Infectious Diseases","DOI":"10.1016/j.cmi.2021.08.027","ISSN":"1469-0691 1198-743X","issue":"2","journalAbbreviation":"Clin Microbiol Infect","language":"eng","license":"Copyright © 2021 European Society of Clinical Microbiology and Infectious Diseases. Published by Elsevier Ltd. All rights reserved.","note":"publisher-place: England\nPMID: 34506946","page":"155-162","title":"Accuracy of cholera rapid diagnostic tests: a systematic review and meta-analysis.","volume":"28","author":[{"family":"Muzembo","given":"Basilua Andre"},{"family":"Kitahara","given":"Kei"},{"family":"Debnath","given":"Anusuya"},{"family":"Okamoto","given":"Keinosuke"},{"family":"Miyoshi","given":"Shin-Ichi"}],"issued":{"date-parts":[["2022",2]]}}}],"schema":"https://github.com/citation-style-language/schema/raw/master/csl-citation.json"} </w:instrText>
            </w:r>
            <w:r w:rsidR="006C1BAA">
              <w:rPr>
                <w:rFonts w:ascii="Calibri" w:eastAsia="Times New Roman" w:hAnsi="Calibri" w:cs="Calibri"/>
                <w:color w:val="000000"/>
                <w:lang w:val="en-ZA" w:eastAsia="en-ZA"/>
              </w:rPr>
              <w:fldChar w:fldCharType="separate"/>
            </w:r>
            <w:r w:rsidR="006C1BAA" w:rsidRPr="006C1BAA">
              <w:rPr>
                <w:rFonts w:ascii="Calibri" w:hAnsi="Calibri" w:cs="Calibri"/>
              </w:rPr>
              <w:t>(122)</w:t>
            </w:r>
            <w:r w:rsidR="006C1BAA">
              <w:rPr>
                <w:rFonts w:ascii="Calibri" w:eastAsia="Times New Roman" w:hAnsi="Calibri" w:cs="Calibri"/>
                <w:color w:val="000000"/>
                <w:lang w:val="en-ZA" w:eastAsia="en-ZA"/>
              </w:rPr>
              <w:fldChar w:fldCharType="end"/>
            </w:r>
          </w:p>
        </w:tc>
        <w:tc>
          <w:tcPr>
            <w:tcW w:w="1464" w:type="dxa"/>
            <w:noWrap/>
            <w:hideMark/>
          </w:tcPr>
          <w:p w14:paraId="0139747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563E531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96E9CCB" w14:textId="77777777" w:rsidTr="00366ACD">
        <w:trPr>
          <w:trHeight w:val="270"/>
        </w:trPr>
        <w:tc>
          <w:tcPr>
            <w:tcW w:w="2703" w:type="dxa"/>
            <w:noWrap/>
            <w:hideMark/>
          </w:tcPr>
          <w:p w14:paraId="4526F048" w14:textId="06900C38" w:rsidR="00696AF0" w:rsidRPr="00696AF0" w:rsidRDefault="00696AF0" w:rsidP="00E21F0E">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Nukala</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E21F0E">
              <w:rPr>
                <w:rFonts w:ascii="Calibri" w:eastAsia="Times New Roman" w:hAnsi="Calibri" w:cs="Calibri"/>
                <w:color w:val="000000"/>
                <w:lang w:val="en-ZA" w:eastAsia="en-ZA"/>
              </w:rPr>
              <w:t xml:space="preserve"> </w:t>
            </w:r>
            <w:r w:rsidR="00E21F0E">
              <w:rPr>
                <w:rFonts w:ascii="Calibri" w:eastAsia="Times New Roman" w:hAnsi="Calibri" w:cs="Calibri"/>
                <w:color w:val="000000"/>
                <w:lang w:val="en-ZA" w:eastAsia="en-ZA"/>
              </w:rPr>
              <w:fldChar w:fldCharType="begin"/>
            </w:r>
            <w:r w:rsidR="00E21F0E">
              <w:rPr>
                <w:rFonts w:ascii="Calibri" w:eastAsia="Times New Roman" w:hAnsi="Calibri" w:cs="Calibri"/>
                <w:color w:val="000000"/>
                <w:lang w:val="en-ZA" w:eastAsia="en-ZA"/>
              </w:rPr>
              <w:instrText xml:space="preserve"> ADDIN ZOTERO_ITEM CSL_CITATION {"citationID":"V5dRZlfF","properties":{"formattedCitation":"(123)","plainCitation":"(123)","noteIndex":0},"citationItems":[{"id":651,"uris":["http://zotero.org/users/6216265/items/RS2EKIJP"],"itemData":{"id":651,"type":"article-journal","abstract":"Opioid abuse is a growing problem and has become a national health crisis over the past decade in the USA. Oral ingestion, snorting, and injection are the most  commonly employed routes of abuse for an immediate release product. To circumvent  these issues, we have developed an egg-shaped tablet (egglet) using fused  deposition modeling (FDM) 3D printing technology. Drug-loaded polymeric filaments  (1.5 mm) were prepared using hot melt extrusion (HME) followed by printing into  egglets of different sizes and infill densities. Based on printability and crush  resistance, polyvinyl alcohol (PVA) was found to be the most suitable polymer for  the preparation of abuse deterrent egglets. Further, egglets were evaluated and  optimized for mechanical manipulation using household equipment, milling,  particle size distribution, solvent extraction, and drug release as per the FDA  guidance (November 2017). A multifactorial design was used to optimize egglets  for solvent extraction and drug release. Extreme hardness (&gt; 500 N) and very  large particle size (&gt; 1 mm) on mechanical manipulation confirmed the snorting  deterring property while less than 15% drug extraction in 5 min (% S(ext))  demonstrated the deterrence for injection abuse. Quality target product profile  D85 &lt; 30 min and % S(ext) &lt; 15 was achieved with egglets of 6 mm diameter, 45%  infill density, and 15% w/w drug loading. Dose of drug can be easily customized  by varying dimension and infill density without altering the composition. HME  coupled with FDM 3D printing could be a promising tool in the preparation of  patient-tailored, immediate release abuse deterrent formulation.","container-title":"AAPS PharmSciTech","DOI":"10.1208/s12249-019-1298-y","ISSN":"1530-9932","issue":"2","journalAbbreviation":"AAPS PharmSciTech","language":"eng","note":"publisher-place: United States\nPMID: 30645704","page":"80","title":"Abuse Deterrent Immediate Release Egg-Shaped Tablet (Egglets) Using 3D Printing Technology: Quality by Design to Optimize Drug Release and Extraction.","volume":"20","author":[{"family":"Nukala","given":"Pavan Kumar"},{"family":"Palekar","given":"Siddhant"},{"family":"Patki","given":"Manali"},{"family":"Patel","given":"Ketan"}],"issued":{"date-parts":[["2019",1,15]]}}}],"schema":"https://github.com/citation-style-language/schema/raw/master/csl-citation.json"} </w:instrText>
            </w:r>
            <w:r w:rsidR="00E21F0E">
              <w:rPr>
                <w:rFonts w:ascii="Calibri" w:eastAsia="Times New Roman" w:hAnsi="Calibri" w:cs="Calibri"/>
                <w:color w:val="000000"/>
                <w:lang w:val="en-ZA" w:eastAsia="en-ZA"/>
              </w:rPr>
              <w:fldChar w:fldCharType="separate"/>
            </w:r>
            <w:r w:rsidR="00E21F0E" w:rsidRPr="00E21F0E">
              <w:rPr>
                <w:rFonts w:ascii="Calibri" w:hAnsi="Calibri" w:cs="Calibri"/>
              </w:rPr>
              <w:t>(123)</w:t>
            </w:r>
            <w:r w:rsidR="00E21F0E">
              <w:rPr>
                <w:rFonts w:ascii="Calibri" w:eastAsia="Times New Roman" w:hAnsi="Calibri" w:cs="Calibri"/>
                <w:color w:val="000000"/>
                <w:lang w:val="en-ZA" w:eastAsia="en-ZA"/>
              </w:rPr>
              <w:fldChar w:fldCharType="end"/>
            </w:r>
          </w:p>
        </w:tc>
        <w:tc>
          <w:tcPr>
            <w:tcW w:w="1464" w:type="dxa"/>
            <w:noWrap/>
            <w:hideMark/>
          </w:tcPr>
          <w:p w14:paraId="01DCE6CE"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1A0515A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8FDEF5C" w14:textId="77777777" w:rsidTr="00366ACD">
        <w:trPr>
          <w:trHeight w:val="270"/>
        </w:trPr>
        <w:tc>
          <w:tcPr>
            <w:tcW w:w="2703" w:type="dxa"/>
            <w:noWrap/>
            <w:hideMark/>
          </w:tcPr>
          <w:p w14:paraId="53821207" w14:textId="5F318401" w:rsidR="00696AF0" w:rsidRPr="00696AF0" w:rsidRDefault="00696AF0" w:rsidP="00E21F0E">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Ogoma</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E21F0E">
              <w:rPr>
                <w:rFonts w:ascii="Calibri" w:eastAsia="Times New Roman" w:hAnsi="Calibri" w:cs="Calibri"/>
                <w:color w:val="000000"/>
                <w:lang w:val="en-ZA" w:eastAsia="en-ZA"/>
              </w:rPr>
              <w:t xml:space="preserve"> </w:t>
            </w:r>
            <w:r w:rsidR="00E21F0E">
              <w:rPr>
                <w:rFonts w:ascii="Calibri" w:eastAsia="Times New Roman" w:hAnsi="Calibri" w:cs="Calibri"/>
                <w:color w:val="000000"/>
                <w:lang w:val="en-ZA" w:eastAsia="en-ZA"/>
              </w:rPr>
              <w:fldChar w:fldCharType="begin"/>
            </w:r>
            <w:r w:rsidR="00E21F0E">
              <w:rPr>
                <w:rFonts w:ascii="Calibri" w:eastAsia="Times New Roman" w:hAnsi="Calibri" w:cs="Calibri"/>
                <w:color w:val="000000"/>
                <w:lang w:val="en-ZA" w:eastAsia="en-ZA"/>
              </w:rPr>
              <w:instrText xml:space="preserve"> ADDIN ZOTERO_ITEM CSL_CITATION {"citationID":"rY0NUWrY","properties":{"formattedCitation":"(124)","plainCitation":"(124)","noteIndex":0},"citationItems":[{"id":3135,"uris":["http://zotero.org/users/6216265/items/CJYNWF9W"],"itemData":{"id":3135,"type":"article-journal","abstract":"Mosquito coils, vaporizer mats and emanators confer protection against mosquito bites through the spatial action of emanated vapor or airborne pyrethroid  particles. These products dominate the pest control market; therefore, it is  vital to characterize mosquito responses elicited by the chemical actives and  their potential for disease prevention. The aim of this review was to determine  effects of mosquito coils and emanators on mosquito responses that reduce  human-vector contact and to propose scientific consensus on terminologies and  methodologies used for evaluation of product formats that could contain spatial  chemical actives, including indoor residual spraying (IRS), long lasting  insecticide treated nets (LLINs) and insecticide treated materials (ITMs).  PubMed, (National Centre for Biotechnology Information (NCBI), U.S. National  Library of Medicine, NIH), MEDLINE, LILAC, Cochrane library, IBECS and Armed  Forces Pest Management Board Literature Retrieval System search engines were used  to identify studies of pyrethroid based coils and emanators with key-words  \"Mosquito coils\" \"Mosquito emanators\" and \"Spatial repellents\". It was concluded  that there is need to improve statistical reporting of studies, and reach  consensus in the methodologies and terminologies used through standardized  testing guidelines. Despite differing evaluation methodologies, data showed that  coils and emanators induce mortality, deterrence, repellency as well as reduce  the ability of mosquitoes to feed on humans. Available data on efficacy outdoors,  dose-response relationships and effective distance of coils and emanators is  inadequate for developing a target product profile (TPP), which will be required  for such chemicals before optimized implementation can occur for maximum benefits  in disease control.","container-title":"Parasites &amp; vectors","DOI":"10.1186/1756-3305-5-287","ISSN":"1756-3305","journalAbbreviation":"Parasit Vectors","language":"eng","note":"PMID: 23216844 \nPMCID: PMC3549831","page":"287","title":"A systematic review of mosquito coils and passive emanators: defining recommendations for spatial repellency testing methodologies.","volume":"5","author":[{"family":"Ogoma","given":"Sheila B."},{"family":"Moore","given":"Sarah J."},{"family":"Maia","given":"Marta F."}],"issued":{"date-parts":[["2012",12,7]]}}}],"schema":"https://github.com/citation-style-language/schema/raw/master/csl-citation.json"} </w:instrText>
            </w:r>
            <w:r w:rsidR="00E21F0E">
              <w:rPr>
                <w:rFonts w:ascii="Calibri" w:eastAsia="Times New Roman" w:hAnsi="Calibri" w:cs="Calibri"/>
                <w:color w:val="000000"/>
                <w:lang w:val="en-ZA" w:eastAsia="en-ZA"/>
              </w:rPr>
              <w:fldChar w:fldCharType="separate"/>
            </w:r>
            <w:r w:rsidR="00E21F0E" w:rsidRPr="00E21F0E">
              <w:rPr>
                <w:rFonts w:ascii="Calibri" w:hAnsi="Calibri" w:cs="Calibri"/>
              </w:rPr>
              <w:t>(124)</w:t>
            </w:r>
            <w:r w:rsidR="00E21F0E">
              <w:rPr>
                <w:rFonts w:ascii="Calibri" w:eastAsia="Times New Roman" w:hAnsi="Calibri" w:cs="Calibri"/>
                <w:color w:val="000000"/>
                <w:lang w:val="en-ZA" w:eastAsia="en-ZA"/>
              </w:rPr>
              <w:fldChar w:fldCharType="end"/>
            </w:r>
          </w:p>
        </w:tc>
        <w:tc>
          <w:tcPr>
            <w:tcW w:w="1464" w:type="dxa"/>
            <w:noWrap/>
            <w:hideMark/>
          </w:tcPr>
          <w:p w14:paraId="3FFA812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2012</w:t>
            </w:r>
          </w:p>
        </w:tc>
        <w:tc>
          <w:tcPr>
            <w:tcW w:w="2043" w:type="dxa"/>
            <w:noWrap/>
            <w:hideMark/>
          </w:tcPr>
          <w:p w14:paraId="3729CB5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8292A47" w14:textId="77777777" w:rsidTr="00366ACD">
        <w:trPr>
          <w:trHeight w:val="270"/>
        </w:trPr>
        <w:tc>
          <w:tcPr>
            <w:tcW w:w="2703" w:type="dxa"/>
            <w:noWrap/>
            <w:hideMark/>
          </w:tcPr>
          <w:p w14:paraId="20D482C7" w14:textId="09A1F508" w:rsidR="00696AF0" w:rsidRPr="00696AF0" w:rsidRDefault="00696AF0" w:rsidP="00F954D7">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Olías-Molero</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F954D7">
              <w:rPr>
                <w:rFonts w:ascii="Calibri" w:eastAsia="Times New Roman" w:hAnsi="Calibri" w:cs="Calibri"/>
                <w:color w:val="000000"/>
                <w:lang w:val="en-ZA" w:eastAsia="en-ZA"/>
              </w:rPr>
              <w:t xml:space="preserve"> </w:t>
            </w:r>
            <w:r w:rsidR="00F954D7">
              <w:rPr>
                <w:rFonts w:ascii="Calibri" w:eastAsia="Times New Roman" w:hAnsi="Calibri" w:cs="Calibri"/>
                <w:color w:val="000000"/>
                <w:lang w:val="en-ZA" w:eastAsia="en-ZA"/>
              </w:rPr>
              <w:fldChar w:fldCharType="begin"/>
            </w:r>
            <w:r w:rsidR="00F954D7">
              <w:rPr>
                <w:rFonts w:ascii="Calibri" w:eastAsia="Times New Roman" w:hAnsi="Calibri" w:cs="Calibri"/>
                <w:color w:val="000000"/>
                <w:lang w:val="en-ZA" w:eastAsia="en-ZA"/>
              </w:rPr>
              <w:instrText xml:space="preserve"> ADDIN ZOTERO_ITEM CSL_CITATION {"citationID":"baeltv8I","properties":{"formattedCitation":"(125)","plainCitation":"(125)","noteIndex":0},"citationItems":[{"id":158,"uris":["http://zotero.org/users/6216265/items/K7PKBZLD"],"itemData":{"id":158,"type":"article-journal","abstract":"Leishmaniasis is a vector-borne parasitic disease caused by Leishmania species. The disease affects humans and animals, particularly dogs, provoking cutaneous,  mucocutaneous, or visceral processes depending on the Leishmania sp. and the host  immune response. No vaccine for humans is available, and the control relies  mainly on chemotherapy. However, currently used drugs are old, some are toxic,  and the safer presentations are largely unaffordable by the most severely  affected human populations. Moreover, its efficacy has shortcomings, and it has  been challenged by the growing reports of resistance and therapeutic failure.  This manuscript presents an overview of the currently used drugs, the prevailing  model to develop new antileishmanial drugs and its low efficiency, and the impact  of deconstruction of the drug pipeline on the high failure rate of potential  drugs. To improve the predictive value of preclinical research in the  chemotherapy of leishmaniasis, several proposals are presented to circumvent  critical hurdles-namely, lack of common goals of collaborative research,  particularly in public-private partnership; fragmented efforts; use of inadequate  surrogate models, especially for in vivo trials; shortcomings of target product  profile (TPP) guides.","container-title":"Microorganisms","DOI":"10.3390/microorganisms9122500","ISSN":"2076-2607","issue":"12","journalAbbreviation":"Microorganisms","language":"eng","note":"PMID: 34946102 \nPMCID: PMC8703564","title":"Antileishmanial Drug Discovery and Development: Time to Reset the Model?","volume":"9","author":[{"family":"Olías-Molero","given":"Ana Isabel"},{"family":"Fuente","given":"Concepción","non-dropping-particle":"de la"},{"family":"Cuquerella","given":"Montserrat"},{"family":"Torrado","given":"Juan J."},{"family":"Alunda","given":"José M."}],"issued":{"date-parts":[["2021",12,2]]}}}],"schema":"https://github.com/citation-style-language/schema/raw/master/csl-citation.json"} </w:instrText>
            </w:r>
            <w:r w:rsidR="00F954D7">
              <w:rPr>
                <w:rFonts w:ascii="Calibri" w:eastAsia="Times New Roman" w:hAnsi="Calibri" w:cs="Calibri"/>
                <w:color w:val="000000"/>
                <w:lang w:val="en-ZA" w:eastAsia="en-ZA"/>
              </w:rPr>
              <w:fldChar w:fldCharType="separate"/>
            </w:r>
            <w:r w:rsidR="00F954D7" w:rsidRPr="00F954D7">
              <w:rPr>
                <w:rFonts w:ascii="Calibri" w:hAnsi="Calibri" w:cs="Calibri"/>
              </w:rPr>
              <w:t>(125)</w:t>
            </w:r>
            <w:r w:rsidR="00F954D7">
              <w:rPr>
                <w:rFonts w:ascii="Calibri" w:eastAsia="Times New Roman" w:hAnsi="Calibri" w:cs="Calibri"/>
                <w:color w:val="000000"/>
                <w:lang w:val="en-ZA" w:eastAsia="en-ZA"/>
              </w:rPr>
              <w:fldChar w:fldCharType="end"/>
            </w:r>
          </w:p>
        </w:tc>
        <w:tc>
          <w:tcPr>
            <w:tcW w:w="1464" w:type="dxa"/>
            <w:noWrap/>
            <w:hideMark/>
          </w:tcPr>
          <w:p w14:paraId="13A9C46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3AB934C5"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06D51CA6" w14:textId="77777777" w:rsidTr="00366ACD">
        <w:trPr>
          <w:trHeight w:val="270"/>
        </w:trPr>
        <w:tc>
          <w:tcPr>
            <w:tcW w:w="2703" w:type="dxa"/>
            <w:noWrap/>
            <w:hideMark/>
          </w:tcPr>
          <w:p w14:paraId="0E47C8A0" w14:textId="2541DF24" w:rsidR="00696AF0" w:rsidRPr="00696AF0" w:rsidRDefault="00696AF0" w:rsidP="00F954D7">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Olliaro</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F954D7">
              <w:rPr>
                <w:rFonts w:ascii="Calibri" w:eastAsia="Times New Roman" w:hAnsi="Calibri" w:cs="Calibri"/>
                <w:color w:val="000000"/>
                <w:lang w:val="en-ZA" w:eastAsia="en-ZA"/>
              </w:rPr>
              <w:t xml:space="preserve"> </w:t>
            </w:r>
            <w:r w:rsidR="00F954D7">
              <w:rPr>
                <w:rFonts w:ascii="Calibri" w:eastAsia="Times New Roman" w:hAnsi="Calibri" w:cs="Calibri"/>
                <w:color w:val="000000"/>
                <w:lang w:val="en-ZA" w:eastAsia="en-ZA"/>
              </w:rPr>
              <w:fldChar w:fldCharType="begin"/>
            </w:r>
            <w:r w:rsidR="00F954D7">
              <w:rPr>
                <w:rFonts w:ascii="Calibri" w:eastAsia="Times New Roman" w:hAnsi="Calibri" w:cs="Calibri"/>
                <w:color w:val="000000"/>
                <w:lang w:val="en-ZA" w:eastAsia="en-ZA"/>
              </w:rPr>
              <w:instrText xml:space="preserve"> ADDIN ZOTERO_ITEM CSL_CITATION {"citationID":"8MUpnBTo","properties":{"formattedCitation":"(126)","plainCitation":"(126)","noteIndex":0},"citationItems":[{"id":193,"uris":["http://zotero.org/users/6216265/items/6FN7TQMW"],"itemData":{"id":193,"type":"article-journal","abstract":"Background: Few drugs are available for soil-transmitted helminthiasis (STH); the benzimidazoles albendazole and mebendazole are the only drugs being used for preventive chemotherapy as they can be given in one single dose with no weight adjustment. While generally safe and effective in reducing intensity of infection, they are contra-indicated in first-trimester pregnancy and have suboptimal efficacy against Trichuris trichiura. In addition, drug resistance is a threat. It is therefore important to find alternatives.; Methodology: We searched the literature and the animal health marketed products and pipeline for potential drug development candidates. Recently registered veterinary products offer advantages in that they have undergone extensive and rigorous animal testing, thus reducing the risk, cost and time to approval for human trials. For selected compounds, we retrieved and summarised publicly available information (through US Freedom of Information (FoI) statements, European Public Assessment Reports (EPAR) and published literature). Concomitantly, we developed a target product profile (TPP) against which the products were compared.; Principal Findings: The paper summarizes the general findings including various classes of compounds, and more specific information on two veterinary anthelmintics (monepantel, emodepside) and nitazoxanide, an antiprotozoal drug, compiled from the EMA EPAR and FDA registration files.; Conclusions/significance: Few of the compounds already approved for use in human or animal medicine qualify for development track decision. Fast-tracking to approval for human studies may be possible for veterinary compounds like emodepside and monepantel, but additional information remains to be acquired before an informed decision can be made.","archive":"cmedm","archive_location":"21695247","container-title":"PLoS neglected tropical diseases","DOI":"10.1371/journal.pntd.0001138","ISSN":"1935-2735","issue":"6","journalAbbreviation":"PLoS neglected tropical diseases","note":"publisher-place: United States\npublisher: Public Library of Science","page":"e1138","source":"EBSCOhost","title":"Potential drug development candidates for human soil-transmitted helminthiases.","volume":"5","author":[{"family":"Olliaro","given":"Piero"},{"family":"Seiler","given":"Jürg"},{"family":"Kuesel","given":"Annette"},{"family":"Horton","given":"John"},{"family":"Clark","given":"Jeffrey N"},{"family":"Don","given":"Robert"},{"family":"Keiser","given":"Jennifer"}],"issued":{"date-parts":[["2011",6]]}}}],"schema":"https://github.com/citation-style-language/schema/raw/master/csl-citation.json"} </w:instrText>
            </w:r>
            <w:r w:rsidR="00F954D7">
              <w:rPr>
                <w:rFonts w:ascii="Calibri" w:eastAsia="Times New Roman" w:hAnsi="Calibri" w:cs="Calibri"/>
                <w:color w:val="000000"/>
                <w:lang w:val="en-ZA" w:eastAsia="en-ZA"/>
              </w:rPr>
              <w:fldChar w:fldCharType="separate"/>
            </w:r>
            <w:r w:rsidR="00F954D7" w:rsidRPr="00F954D7">
              <w:rPr>
                <w:rFonts w:ascii="Calibri" w:hAnsi="Calibri" w:cs="Calibri"/>
              </w:rPr>
              <w:t>(126)</w:t>
            </w:r>
            <w:r w:rsidR="00F954D7">
              <w:rPr>
                <w:rFonts w:ascii="Calibri" w:eastAsia="Times New Roman" w:hAnsi="Calibri" w:cs="Calibri"/>
                <w:color w:val="000000"/>
                <w:lang w:val="en-ZA" w:eastAsia="en-ZA"/>
              </w:rPr>
              <w:fldChar w:fldCharType="end"/>
            </w:r>
          </w:p>
        </w:tc>
        <w:tc>
          <w:tcPr>
            <w:tcW w:w="1464" w:type="dxa"/>
            <w:noWrap/>
            <w:hideMark/>
          </w:tcPr>
          <w:p w14:paraId="72E86C0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2011</w:t>
            </w:r>
          </w:p>
        </w:tc>
        <w:tc>
          <w:tcPr>
            <w:tcW w:w="2043" w:type="dxa"/>
            <w:noWrap/>
            <w:hideMark/>
          </w:tcPr>
          <w:p w14:paraId="4196222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1F56FA2" w14:textId="77777777" w:rsidTr="00366ACD">
        <w:trPr>
          <w:trHeight w:val="270"/>
        </w:trPr>
        <w:tc>
          <w:tcPr>
            <w:tcW w:w="2703" w:type="dxa"/>
            <w:noWrap/>
            <w:hideMark/>
          </w:tcPr>
          <w:p w14:paraId="38B8C1CE" w14:textId="6B1A3A7F" w:rsidR="00696AF0" w:rsidRPr="00696AF0" w:rsidRDefault="00696AF0" w:rsidP="003A1FCE">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Orlandini</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3A1FCE">
              <w:rPr>
                <w:rFonts w:ascii="Calibri" w:eastAsia="Times New Roman" w:hAnsi="Calibri" w:cs="Calibri"/>
                <w:color w:val="000000"/>
                <w:lang w:val="en-ZA" w:eastAsia="en-ZA"/>
              </w:rPr>
              <w:t xml:space="preserve"> </w:t>
            </w:r>
            <w:r w:rsidR="003A1FCE">
              <w:rPr>
                <w:rFonts w:ascii="Calibri" w:eastAsia="Times New Roman" w:hAnsi="Calibri" w:cs="Calibri"/>
                <w:color w:val="000000"/>
                <w:lang w:val="en-ZA" w:eastAsia="en-ZA"/>
              </w:rPr>
              <w:fldChar w:fldCharType="begin"/>
            </w:r>
            <w:r w:rsidR="003A1FCE">
              <w:rPr>
                <w:rFonts w:ascii="Calibri" w:eastAsia="Times New Roman" w:hAnsi="Calibri" w:cs="Calibri"/>
                <w:color w:val="000000"/>
                <w:lang w:val="en-ZA" w:eastAsia="en-ZA"/>
              </w:rPr>
              <w:instrText xml:space="preserve"> ADDIN ZOTERO_ITEM CSL_CITATION {"citationID":"VsLwL5p9","properties":{"formattedCitation":"(127)","plainCitation":"(127)","noteIndex":0},"citationItems":[{"id":3134,"uris":["http://zotero.org/users/6216265/items/HQJYISP7"],"itemData":{"id":3134,"type":"article-journal","abstract":"Recent pharmaceutical regulatory documents have stressed the critical importance of applying quality by design (QbD) principles for in-depth process understanding  to ensure that product quality is built in by design. This article outlines the  application of QbD concepts to the development of analytical separation methods,  for example chromatography and capillary electrophoresis. QbD tools, for example  risk assessment and design of experiments, enable enhanced quality to be  integrated into the analytical method, enabling earlier understanding and  identification of variables affecting method performance. A QbD guide is  described, from identification of quality target product profile to definition of  control strategy, emphasizing the main differences from the traditional quality  by testing (QbT) approach. The different ways several authors have treated single  QbD steps of method development are reviewed and compared. In a final section on  outlook, attention is focused on general issues which have arisen from the  surveyed literature, and on the need to change the researcher's mindset from the  QbT to QbD approach as an important analytical trend for the near future.","container-title":"Analytical and bioanalytical chemistry","DOI":"10.1007/s00216-012-6302-2","ISSN":"1618-2650 1618-2642","issue":"2-3","journalAbbreviation":"Anal Bioanal Chem","language":"eng","note":"publisher-place: Germany\nPMID: 22941176","page":"443-450","title":"Application of quality by design to the development of analytical separation methods.","volume":"405","author":[{"family":"Orlandini","given":"Serena"},{"family":"Pinzauti","given":"Sergio"},{"family":"Furlanetto","given":"Sandra"}],"issued":{"date-parts":[["2013",1]]}}}],"schema":"https://github.com/citation-style-language/schema/raw/master/csl-citation.json"} </w:instrText>
            </w:r>
            <w:r w:rsidR="003A1FCE">
              <w:rPr>
                <w:rFonts w:ascii="Calibri" w:eastAsia="Times New Roman" w:hAnsi="Calibri" w:cs="Calibri"/>
                <w:color w:val="000000"/>
                <w:lang w:val="en-ZA" w:eastAsia="en-ZA"/>
              </w:rPr>
              <w:fldChar w:fldCharType="separate"/>
            </w:r>
            <w:r w:rsidR="003A1FCE" w:rsidRPr="003A1FCE">
              <w:rPr>
                <w:rFonts w:ascii="Calibri" w:hAnsi="Calibri" w:cs="Calibri"/>
              </w:rPr>
              <w:t>(127)</w:t>
            </w:r>
            <w:r w:rsidR="003A1FCE">
              <w:rPr>
                <w:rFonts w:ascii="Calibri" w:eastAsia="Times New Roman" w:hAnsi="Calibri" w:cs="Calibri"/>
                <w:color w:val="000000"/>
                <w:lang w:val="en-ZA" w:eastAsia="en-ZA"/>
              </w:rPr>
              <w:fldChar w:fldCharType="end"/>
            </w:r>
          </w:p>
        </w:tc>
        <w:tc>
          <w:tcPr>
            <w:tcW w:w="1464" w:type="dxa"/>
            <w:noWrap/>
            <w:hideMark/>
          </w:tcPr>
          <w:p w14:paraId="22EFC9D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2013</w:t>
            </w:r>
          </w:p>
        </w:tc>
        <w:tc>
          <w:tcPr>
            <w:tcW w:w="2043" w:type="dxa"/>
            <w:noWrap/>
            <w:hideMark/>
          </w:tcPr>
          <w:p w14:paraId="1281AFF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0DF16C5" w14:textId="77777777" w:rsidTr="00366ACD">
        <w:trPr>
          <w:trHeight w:val="270"/>
        </w:trPr>
        <w:tc>
          <w:tcPr>
            <w:tcW w:w="2703" w:type="dxa"/>
            <w:noWrap/>
            <w:hideMark/>
          </w:tcPr>
          <w:p w14:paraId="4FC886F2" w14:textId="684312D8" w:rsidR="00696AF0" w:rsidRPr="00696AF0" w:rsidRDefault="00696AF0" w:rsidP="003A1FCE">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Page </w:t>
            </w:r>
            <w:r w:rsidR="000620EA">
              <w:rPr>
                <w:rFonts w:ascii="Calibri" w:eastAsia="Times New Roman" w:hAnsi="Calibri" w:cs="Calibri"/>
                <w:color w:val="000000"/>
                <w:lang w:val="en-ZA" w:eastAsia="en-ZA"/>
              </w:rPr>
              <w:t>et al.</w:t>
            </w:r>
            <w:r w:rsidR="003A1FCE">
              <w:rPr>
                <w:rFonts w:ascii="Calibri" w:eastAsia="Times New Roman" w:hAnsi="Calibri" w:cs="Calibri"/>
                <w:color w:val="000000"/>
                <w:lang w:val="en-ZA" w:eastAsia="en-ZA"/>
              </w:rPr>
              <w:t xml:space="preserve"> </w:t>
            </w:r>
            <w:r w:rsidR="003A1FCE">
              <w:rPr>
                <w:rFonts w:ascii="Calibri" w:eastAsia="Times New Roman" w:hAnsi="Calibri" w:cs="Calibri"/>
                <w:color w:val="000000"/>
                <w:lang w:val="en-ZA" w:eastAsia="en-ZA"/>
              </w:rPr>
              <w:fldChar w:fldCharType="begin"/>
            </w:r>
            <w:r w:rsidR="003A1FCE">
              <w:rPr>
                <w:rFonts w:ascii="Calibri" w:eastAsia="Times New Roman" w:hAnsi="Calibri" w:cs="Calibri"/>
                <w:color w:val="000000"/>
                <w:lang w:val="en-ZA" w:eastAsia="en-ZA"/>
              </w:rPr>
              <w:instrText xml:space="preserve"> ADDIN ZOTERO_ITEM CSL_CITATION {"citationID":"LWGBCJrQ","properties":{"formattedCitation":"(128)","plainCitation":"(128)","noteIndex":0},"citationItems":[{"id":12507,"uris":["http://zotero.org/users/6216265/items/EU8DJWFA"],"itemData":{"id":12507,"type":"article-journal","container-title":"International Journal of Pharmaceutics","DOI":"10.1016/j.ijpharm.2016.03.008","ISSN":"03785173","issue":"2","journalAbbreviation":"International Journal of Pharmaceutics","language":"en","page":"352-354","source":"DOI.org (Crossref)","title":"An industrial perspective on the design and development of medicines for older patients","volume":"512","author":[{"family":"Page","given":"Sharon"},{"family":"Coupe","given":"Alastair"},{"family":"Barrett","given":"Andrew"}],"issued":{"date-parts":[["2016",10]]}}}],"schema":"https://github.com/citation-style-language/schema/raw/master/csl-citation.json"} </w:instrText>
            </w:r>
            <w:r w:rsidR="003A1FCE">
              <w:rPr>
                <w:rFonts w:ascii="Calibri" w:eastAsia="Times New Roman" w:hAnsi="Calibri" w:cs="Calibri"/>
                <w:color w:val="000000"/>
                <w:lang w:val="en-ZA" w:eastAsia="en-ZA"/>
              </w:rPr>
              <w:fldChar w:fldCharType="separate"/>
            </w:r>
            <w:r w:rsidR="003A1FCE" w:rsidRPr="003A1FCE">
              <w:rPr>
                <w:rFonts w:ascii="Calibri" w:hAnsi="Calibri" w:cs="Calibri"/>
              </w:rPr>
              <w:t>(128)</w:t>
            </w:r>
            <w:r w:rsidR="003A1FCE">
              <w:rPr>
                <w:rFonts w:ascii="Calibri" w:eastAsia="Times New Roman" w:hAnsi="Calibri" w:cs="Calibri"/>
                <w:color w:val="000000"/>
                <w:lang w:val="en-ZA" w:eastAsia="en-ZA"/>
              </w:rPr>
              <w:fldChar w:fldCharType="end"/>
            </w:r>
          </w:p>
        </w:tc>
        <w:tc>
          <w:tcPr>
            <w:tcW w:w="1464" w:type="dxa"/>
            <w:noWrap/>
            <w:hideMark/>
          </w:tcPr>
          <w:p w14:paraId="5AEDDDB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2016</w:t>
            </w:r>
          </w:p>
        </w:tc>
        <w:tc>
          <w:tcPr>
            <w:tcW w:w="2043" w:type="dxa"/>
            <w:noWrap/>
            <w:hideMark/>
          </w:tcPr>
          <w:p w14:paraId="75F94A2A"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20DA3175" w14:textId="77777777" w:rsidTr="00366ACD">
        <w:trPr>
          <w:trHeight w:val="270"/>
        </w:trPr>
        <w:tc>
          <w:tcPr>
            <w:tcW w:w="2703" w:type="dxa"/>
            <w:noWrap/>
            <w:hideMark/>
          </w:tcPr>
          <w:p w14:paraId="7979560F" w14:textId="7036DA48" w:rsidR="00696AF0" w:rsidRPr="00696AF0" w:rsidRDefault="00696AF0" w:rsidP="003E0FEA">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Pan-</w:t>
            </w:r>
            <w:proofErr w:type="spellStart"/>
            <w:r w:rsidRPr="00696AF0">
              <w:rPr>
                <w:rFonts w:ascii="Calibri" w:eastAsia="Times New Roman" w:hAnsi="Calibri" w:cs="Calibri"/>
                <w:color w:val="000000"/>
                <w:lang w:val="en-ZA" w:eastAsia="en-ZA"/>
              </w:rPr>
              <w:t>Ngum</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3E0FEA">
              <w:rPr>
                <w:rFonts w:ascii="Calibri" w:eastAsia="Times New Roman" w:hAnsi="Calibri" w:cs="Calibri"/>
                <w:color w:val="000000"/>
                <w:lang w:val="en-ZA" w:eastAsia="en-ZA"/>
              </w:rPr>
              <w:t xml:space="preserve"> </w:t>
            </w:r>
            <w:r w:rsidR="003E0FEA">
              <w:rPr>
                <w:rFonts w:ascii="Calibri" w:eastAsia="Times New Roman" w:hAnsi="Calibri" w:cs="Calibri"/>
                <w:color w:val="000000"/>
                <w:lang w:val="en-ZA" w:eastAsia="en-ZA"/>
              </w:rPr>
              <w:fldChar w:fldCharType="begin"/>
            </w:r>
            <w:r w:rsidR="003E0FEA">
              <w:rPr>
                <w:rFonts w:ascii="Calibri" w:eastAsia="Times New Roman" w:hAnsi="Calibri" w:cs="Calibri"/>
                <w:color w:val="000000"/>
                <w:lang w:val="en-ZA" w:eastAsia="en-ZA"/>
              </w:rPr>
              <w:instrText xml:space="preserve"> ADDIN ZOTERO_ITEM CSL_CITATION {"citationID":"XCc01iD0","properties":{"formattedCitation":"(129)","plainCitation":"(129)","noteIndex":0},"citationItems":[{"id":12508,"uris":["http://zotero.org/users/6216265/items/UG672A89"],"itemData":{"id":12508,"type":"article-journal","container-title":"Vaccine","DOI":"10.1016/j.vaccine.2016.10.073","ISSN":"0264410X","issue":"2","journalAbbreviation":"Vaccine","language":"en","page":"403-409","source":"DOI.org (Crossref)","title":"Predicting the relative impacts of maternal and neonatal respiratory syncytial virus (RSV) vaccine target product profiles: A consensus modelling approach","title-short":"Predicting the relative impacts of maternal and neonatal respiratory syncytial virus (RSV) vaccine target product profiles","volume":"35","author":[{"family":"Pan-Ngum","given":"Wirichada"},{"family":"Kinyanjui","given":"Timothy"},{"family":"Kiti","given":"Moses"},{"family":"Taylor","given":"Sylvia"},{"family":"Toussaint","given":"Jean-François"},{"family":"Saralamba","given":"Sompob"},{"family":"Van Effelterre","given":"Thierry"},{"family":"Nokes","given":"D. James"},{"family":"White","given":"Lisa J."}],"issued":{"date-parts":[["2017",1]]}}}],"schema":"https://github.com/citation-style-language/schema/raw/master/csl-citation.json"} </w:instrText>
            </w:r>
            <w:r w:rsidR="003E0FEA">
              <w:rPr>
                <w:rFonts w:ascii="Calibri" w:eastAsia="Times New Roman" w:hAnsi="Calibri" w:cs="Calibri"/>
                <w:color w:val="000000"/>
                <w:lang w:val="en-ZA" w:eastAsia="en-ZA"/>
              </w:rPr>
              <w:fldChar w:fldCharType="separate"/>
            </w:r>
            <w:r w:rsidR="003E0FEA" w:rsidRPr="003E0FEA">
              <w:rPr>
                <w:rFonts w:ascii="Calibri" w:hAnsi="Calibri" w:cs="Calibri"/>
              </w:rPr>
              <w:t>(129)</w:t>
            </w:r>
            <w:r w:rsidR="003E0FEA">
              <w:rPr>
                <w:rFonts w:ascii="Calibri" w:eastAsia="Times New Roman" w:hAnsi="Calibri" w:cs="Calibri"/>
                <w:color w:val="000000"/>
                <w:lang w:val="en-ZA" w:eastAsia="en-ZA"/>
              </w:rPr>
              <w:fldChar w:fldCharType="end"/>
            </w:r>
          </w:p>
        </w:tc>
        <w:tc>
          <w:tcPr>
            <w:tcW w:w="1464" w:type="dxa"/>
            <w:noWrap/>
            <w:hideMark/>
          </w:tcPr>
          <w:p w14:paraId="3EE77D21"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2017</w:t>
            </w:r>
          </w:p>
        </w:tc>
        <w:tc>
          <w:tcPr>
            <w:tcW w:w="2043" w:type="dxa"/>
            <w:noWrap/>
            <w:hideMark/>
          </w:tcPr>
          <w:p w14:paraId="20069AC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63A4A6F" w14:textId="77777777" w:rsidTr="00366ACD">
        <w:trPr>
          <w:trHeight w:val="270"/>
        </w:trPr>
        <w:tc>
          <w:tcPr>
            <w:tcW w:w="2703" w:type="dxa"/>
            <w:noWrap/>
            <w:hideMark/>
          </w:tcPr>
          <w:p w14:paraId="6DA81843" w14:textId="0360F8FE" w:rsidR="00696AF0" w:rsidRPr="00696AF0" w:rsidRDefault="00696AF0" w:rsidP="00EA5A49">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Pantelias</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EA5A49">
              <w:rPr>
                <w:rFonts w:ascii="Calibri" w:eastAsia="Times New Roman" w:hAnsi="Calibri" w:cs="Calibri"/>
                <w:color w:val="000000"/>
                <w:lang w:val="en-ZA" w:eastAsia="en-ZA"/>
              </w:rPr>
              <w:t xml:space="preserve"> </w:t>
            </w:r>
            <w:r w:rsidR="00EA5A49">
              <w:rPr>
                <w:rFonts w:ascii="Calibri" w:eastAsia="Times New Roman" w:hAnsi="Calibri" w:cs="Calibri"/>
                <w:color w:val="000000"/>
                <w:lang w:val="en-ZA" w:eastAsia="en-ZA"/>
              </w:rPr>
              <w:fldChar w:fldCharType="begin"/>
            </w:r>
            <w:r w:rsidR="00EA5A49">
              <w:rPr>
                <w:rFonts w:ascii="Calibri" w:eastAsia="Times New Roman" w:hAnsi="Calibri" w:cs="Calibri"/>
                <w:color w:val="000000"/>
                <w:lang w:val="en-ZA" w:eastAsia="en-ZA"/>
              </w:rPr>
              <w:instrText xml:space="preserve"> ADDIN ZOTERO_ITEM CSL_CITATION {"citationID":"7ZUBkgN3","properties":{"formattedCitation":"(130)","plainCitation":"(130)","noteIndex":0},"citationItems":[{"id":161,"uris":["http://zotero.org/users/6216265/items/YLB3W67P"],"itemData":{"id":161,"type":"article-journal","abstract":"A key component to achieving the global goal of elimination of lymphatic filariasis (LF) is the availability of appropriate tools for disease mapping,  monitoring, and surveillance. However, the development of these tools for a  neglected disease such as LF can be a challenge. The lack of a commercial market  and low familiarity with these diseases leave little incentive for diagnostic  manufacturers to invest in this space. The Filarial Test Strip (FTS) development  story provides a case study on how a multi-stakeholder, public-private  partnership model facilitated the development, evaluation, and introduction of a  new monitoring and surveillance tool for LF. This paper will reflect on the  experience with the FTS and document the process from development of the target  product profile to adoption and scale-up in country programs. Lessons learned  from both the successes and challenges experienced during this process may help  inform future efforts to develop and introduce new diagnostic or surveillance  tools for neglected diseases.","container-title":"The American journal of tropical medicine and hygiene","DOI":"10.4269/ajtmh.21-0990","ISSN":"1476-1645 0002-9637","issue":"5 Suppl","journalAbbreviation":"Am J Trop Med Hyg","language":"eng","note":"PMID: 35292584 \nPMCID: PMC9154646","page":"56-60","title":"Development and Introduction of the Filariasis Test Strip: A New Diagnostic Test for the Global Program to Eliminate Lymphatic Filariasis.","volume":"106","author":[{"family":"Pantelias","given":"Anastasia"},{"family":"King","given":"Jonathan D."},{"family":"Lammie","given":"Patrick"},{"family":"Weil","given":"Gary J."}],"issued":{"date-parts":[["2022",3,15]]}}}],"schema":"https://github.com/citation-style-language/schema/raw/master/csl-citation.json"} </w:instrText>
            </w:r>
            <w:r w:rsidR="00EA5A49">
              <w:rPr>
                <w:rFonts w:ascii="Calibri" w:eastAsia="Times New Roman" w:hAnsi="Calibri" w:cs="Calibri"/>
                <w:color w:val="000000"/>
                <w:lang w:val="en-ZA" w:eastAsia="en-ZA"/>
              </w:rPr>
              <w:fldChar w:fldCharType="separate"/>
            </w:r>
            <w:r w:rsidR="00EA5A49" w:rsidRPr="00EA5A49">
              <w:rPr>
                <w:rFonts w:ascii="Calibri" w:hAnsi="Calibri" w:cs="Calibri"/>
              </w:rPr>
              <w:t>(130)</w:t>
            </w:r>
            <w:r w:rsidR="00EA5A49">
              <w:rPr>
                <w:rFonts w:ascii="Calibri" w:eastAsia="Times New Roman" w:hAnsi="Calibri" w:cs="Calibri"/>
                <w:color w:val="000000"/>
                <w:lang w:val="en-ZA" w:eastAsia="en-ZA"/>
              </w:rPr>
              <w:fldChar w:fldCharType="end"/>
            </w:r>
          </w:p>
        </w:tc>
        <w:tc>
          <w:tcPr>
            <w:tcW w:w="1464" w:type="dxa"/>
            <w:noWrap/>
            <w:hideMark/>
          </w:tcPr>
          <w:p w14:paraId="64B7BC7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0D30299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FCBD025" w14:textId="77777777" w:rsidTr="00366ACD">
        <w:trPr>
          <w:trHeight w:val="270"/>
        </w:trPr>
        <w:tc>
          <w:tcPr>
            <w:tcW w:w="2703" w:type="dxa"/>
            <w:noWrap/>
            <w:hideMark/>
          </w:tcPr>
          <w:p w14:paraId="15467ACA" w14:textId="3A3CCCEA" w:rsidR="00696AF0" w:rsidRPr="00696AF0" w:rsidRDefault="00696AF0" w:rsidP="00EA5A49">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Paolantonacci</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EA5A49">
              <w:rPr>
                <w:rFonts w:ascii="Calibri" w:eastAsia="Times New Roman" w:hAnsi="Calibri" w:cs="Calibri"/>
                <w:color w:val="000000"/>
                <w:lang w:val="en-ZA" w:eastAsia="en-ZA"/>
              </w:rPr>
              <w:t xml:space="preserve"> </w:t>
            </w:r>
            <w:r w:rsidR="00EA5A49">
              <w:rPr>
                <w:rFonts w:ascii="Calibri" w:eastAsia="Times New Roman" w:hAnsi="Calibri" w:cs="Calibri"/>
                <w:color w:val="000000"/>
                <w:lang w:val="en-ZA" w:eastAsia="en-ZA"/>
              </w:rPr>
              <w:fldChar w:fldCharType="begin"/>
            </w:r>
            <w:r w:rsidR="00EA5A49">
              <w:rPr>
                <w:rFonts w:ascii="Calibri" w:eastAsia="Times New Roman" w:hAnsi="Calibri" w:cs="Calibri"/>
                <w:color w:val="000000"/>
                <w:lang w:val="en-ZA" w:eastAsia="en-ZA"/>
              </w:rPr>
              <w:instrText xml:space="preserve"> ADDIN ZOTERO_ITEM CSL_CITATION {"citationID":"8bfkor9H","properties":{"formattedCitation":"(131)","plainCitation":"(131)","noteIndex":0},"citationItems":[{"id":76,"uris":["http://zotero.org/users/6216265/items/G4EU2ERQ"],"itemData":{"id":76,"type":"article-journal","abstract":"Polyvalent human normal immunoglobulins for intravenous use (IVIg), indicated for rare and often severe diseases, are complex plasma-derived protein preparations.  A quality by design approach has been used to develop the Laboratoire Français du  Fractionnement et des Biotechnologies new-generation IVIg, targeting a high level  of purity to generate an enhanced safety profile while maintaining a high level  of efficacy. A modular approach of quality by design was implemented consisting  of five consecutive steps to cover all the stages from the product design to the  final product control strategy.A well-defined target product profile was  translated into 27 product quality attributes that formed the basis of the  process design. In parallel, a product risk analysis was conducted and identified  19 critical quality attributes among the product quality attributes. Process risk  analysis was carried out to establish the links between process parameters and  critical quality attributes. Twelve critical steps were identified, and for each  of these steps a risk mitigation plan was established.Among the different process  risk mitigation exercises, five process robustness studies were conducted at  qualified small scale with a design of experiment approach. For each process  step, critical process parameters were identified and, for each critical process  parameter, proven acceptable ranges were established. The quality risk management  and risk mitigation outputs, including verification of proven acceptable ranges,  were used to design the process verification exercise at industrial  scale.Finally, the control strategy was established using a mix, or hybrid, of  the traditional approach plus elements of the quality by design enhanced  approach, as illustrated, to more robustly assign material and process controls  and in order to securely meet product specifications.The advantages of this  quality by design approach were improved process knowledge for industrial design  and process validation and a clear justification of the process and product  specifications as a basis for control strategy and future comparability  exercises.","container-title":"PDA journal of pharmaceutical science and technology","DOI":"10.5731/pdajpst.2016.007393","ISSN":"1948-2124 1079-7440","issue":"2","journalAbbreviation":"PDA J Pharm Sci Technol","language":"eng","license":"© PDA, Inc. 2018.","note":"publisher-place: United States\nPMID: 29158287","page":"176-187","title":"Development of a Premium Quality Plasma-derived IVIg (IQYMUNE(®)) Utilizing the Principles of Quality by Design-A Worked-through Case Study.","volume":"72","author":[{"family":"Paolantonacci","given":"Philippe"},{"family":"Appourchaux","given":"Philippe"},{"family":"Claudel","given":"Béatrice"},{"family":"Ollivier","given":"Monique"},{"family":"Dennett","given":"Richard"},{"family":"Siret","given":"Laurent"}],"issued":{"date-parts":[["2018",4]]}}}],"schema":"https://github.com/citation-style-language/schema/raw/master/csl-citation.json"} </w:instrText>
            </w:r>
            <w:r w:rsidR="00EA5A49">
              <w:rPr>
                <w:rFonts w:ascii="Calibri" w:eastAsia="Times New Roman" w:hAnsi="Calibri" w:cs="Calibri"/>
                <w:color w:val="000000"/>
                <w:lang w:val="en-ZA" w:eastAsia="en-ZA"/>
              </w:rPr>
              <w:fldChar w:fldCharType="separate"/>
            </w:r>
            <w:r w:rsidR="00EA5A49" w:rsidRPr="00EA5A49">
              <w:rPr>
                <w:rFonts w:ascii="Calibri" w:hAnsi="Calibri" w:cs="Calibri"/>
              </w:rPr>
              <w:t>(131)</w:t>
            </w:r>
            <w:r w:rsidR="00EA5A49">
              <w:rPr>
                <w:rFonts w:ascii="Calibri" w:eastAsia="Times New Roman" w:hAnsi="Calibri" w:cs="Calibri"/>
                <w:color w:val="000000"/>
                <w:lang w:val="en-ZA" w:eastAsia="en-ZA"/>
              </w:rPr>
              <w:fldChar w:fldCharType="end"/>
            </w:r>
          </w:p>
        </w:tc>
        <w:tc>
          <w:tcPr>
            <w:tcW w:w="1464" w:type="dxa"/>
            <w:noWrap/>
            <w:hideMark/>
          </w:tcPr>
          <w:p w14:paraId="4BE1518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2018</w:t>
            </w:r>
          </w:p>
        </w:tc>
        <w:tc>
          <w:tcPr>
            <w:tcW w:w="2043" w:type="dxa"/>
            <w:noWrap/>
            <w:hideMark/>
          </w:tcPr>
          <w:p w14:paraId="3A9B8FE1"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780EC31" w14:textId="77777777" w:rsidTr="00366ACD">
        <w:trPr>
          <w:trHeight w:val="270"/>
        </w:trPr>
        <w:tc>
          <w:tcPr>
            <w:tcW w:w="2703" w:type="dxa"/>
            <w:noWrap/>
            <w:hideMark/>
          </w:tcPr>
          <w:p w14:paraId="78FD1559" w14:textId="0D83BC95" w:rsidR="00696AF0" w:rsidRPr="00696AF0" w:rsidRDefault="00696AF0" w:rsidP="009216C1">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Patel and Rohan</w:t>
            </w:r>
            <w:r w:rsidR="009216C1">
              <w:rPr>
                <w:rFonts w:ascii="Calibri" w:eastAsia="Times New Roman" w:hAnsi="Calibri" w:cs="Calibri"/>
                <w:color w:val="000000"/>
                <w:lang w:val="en-ZA" w:eastAsia="en-ZA"/>
              </w:rPr>
              <w:t xml:space="preserve"> </w:t>
            </w:r>
            <w:r w:rsidR="009216C1">
              <w:rPr>
                <w:rFonts w:ascii="Calibri" w:eastAsia="Times New Roman" w:hAnsi="Calibri" w:cs="Calibri"/>
                <w:color w:val="000000"/>
                <w:lang w:val="en-ZA" w:eastAsia="en-ZA"/>
              </w:rPr>
              <w:fldChar w:fldCharType="begin"/>
            </w:r>
            <w:r w:rsidR="009216C1">
              <w:rPr>
                <w:rFonts w:ascii="Calibri" w:eastAsia="Times New Roman" w:hAnsi="Calibri" w:cs="Calibri"/>
                <w:color w:val="000000"/>
                <w:lang w:val="en-ZA" w:eastAsia="en-ZA"/>
              </w:rPr>
              <w:instrText xml:space="preserve"> ADDIN ZOTERO_ITEM CSL_CITATION {"citationID":"nP0tC0Tz","properties":{"formattedCitation":"(132)","plainCitation":"(132)","noteIndex":0},"citationItems":[{"id":68,"uris":["http://zotero.org/users/6216265/items/GEWSC6N9"],"itemData":{"id":68,"type":"article-journal","abstract":"Sexual intercourse (vaginal and anal) is the predominant mode of human immunodeficiency virus (HIV) transmission. Topical microbicides used in an  on-demand format (i.e., immediately before or after sex) can be part of an  effective tool kit utilized to prevent sexual transmission of HIV. The  effectiveness of prevention products is positively correlated with adherence,  which is likely to depend on user acceptability of the product. The development  of an efficacious and acceptable product is therefore paramount for the success  of an on-demand product. Acceptability of on-demand products (e.g., gels, films,  and tablets) and their attributes is influenced by a multitude of user-specific  factors that span behavioral, lifestyle, socio-economic, and cultural aspects. In  addition, physicochemical properties of the drug, anatomical and physiological  aspects of anorectal and vaginal compartments, issues relating to large-scale  production, and cost can impact product development. These factors together with  user preferences determine the design space of an effective, acceptable, and  feasible on-demand product. In this review, we summarize the interacting factors  that together determine product choice and its target product profile.","container-title":"Drug delivery and translational research","DOI":"10.1007/s13346-017-0385-4","ISSN":"2190-3948 2190-393X","issue":"6","journalAbbreviation":"Drug Deliv Transl Res","language":"eng","note":"PMID: 28589452 \nPMCID: PMC5658236","page":"775-795","title":"On-demand microbicide products: design matters.","volume":"7","author":[{"family":"Patel","given":"Sravan Kumar"},{"family":"Rohan","given":"Lisa Cencia"}],"issued":{"date-parts":[["2017",12]]}}}],"schema":"https://github.com/citation-style-language/schema/raw/master/csl-citation.json"} </w:instrText>
            </w:r>
            <w:r w:rsidR="009216C1">
              <w:rPr>
                <w:rFonts w:ascii="Calibri" w:eastAsia="Times New Roman" w:hAnsi="Calibri" w:cs="Calibri"/>
                <w:color w:val="000000"/>
                <w:lang w:val="en-ZA" w:eastAsia="en-ZA"/>
              </w:rPr>
              <w:fldChar w:fldCharType="separate"/>
            </w:r>
            <w:r w:rsidR="009216C1" w:rsidRPr="009216C1">
              <w:rPr>
                <w:rFonts w:ascii="Calibri" w:hAnsi="Calibri" w:cs="Calibri"/>
              </w:rPr>
              <w:t>(132)</w:t>
            </w:r>
            <w:r w:rsidR="009216C1">
              <w:rPr>
                <w:rFonts w:ascii="Calibri" w:eastAsia="Times New Roman" w:hAnsi="Calibri" w:cs="Calibri"/>
                <w:color w:val="000000"/>
                <w:lang w:val="en-ZA" w:eastAsia="en-ZA"/>
              </w:rPr>
              <w:fldChar w:fldCharType="end"/>
            </w:r>
          </w:p>
        </w:tc>
        <w:tc>
          <w:tcPr>
            <w:tcW w:w="1464" w:type="dxa"/>
            <w:noWrap/>
            <w:hideMark/>
          </w:tcPr>
          <w:p w14:paraId="2028E58E"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2017</w:t>
            </w:r>
          </w:p>
        </w:tc>
        <w:tc>
          <w:tcPr>
            <w:tcW w:w="2043" w:type="dxa"/>
            <w:noWrap/>
            <w:hideMark/>
          </w:tcPr>
          <w:p w14:paraId="4EF5A68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C783808" w14:textId="77777777" w:rsidTr="00366ACD">
        <w:trPr>
          <w:trHeight w:val="270"/>
        </w:trPr>
        <w:tc>
          <w:tcPr>
            <w:tcW w:w="2703" w:type="dxa"/>
            <w:noWrap/>
            <w:hideMark/>
          </w:tcPr>
          <w:p w14:paraId="67F1D8A8" w14:textId="62D25827" w:rsidR="00696AF0" w:rsidRPr="007C75E1" w:rsidRDefault="00696AF0" w:rsidP="00696AF0">
            <w:pPr>
              <w:rPr>
                <w:rFonts w:ascii="Calibri" w:eastAsia="Times New Roman" w:hAnsi="Calibri" w:cs="Calibri"/>
                <w:color w:val="000000"/>
                <w:lang w:eastAsia="en-ZA"/>
              </w:rPr>
            </w:pPr>
            <w:r w:rsidRPr="007C75E1">
              <w:rPr>
                <w:rFonts w:ascii="Calibri" w:eastAsia="Times New Roman" w:hAnsi="Calibri" w:cs="Calibri"/>
                <w:color w:val="000000"/>
                <w:lang w:eastAsia="en-ZA"/>
              </w:rPr>
              <w:t xml:space="preserve">Peck </w:t>
            </w:r>
            <w:r w:rsidR="000620EA" w:rsidRPr="007C75E1">
              <w:rPr>
                <w:rFonts w:ascii="Calibri" w:eastAsia="Times New Roman" w:hAnsi="Calibri" w:cs="Calibri"/>
                <w:color w:val="000000"/>
                <w:lang w:eastAsia="en-ZA"/>
              </w:rPr>
              <w:t>et al.</w:t>
            </w:r>
            <w:r w:rsidR="009216C1" w:rsidRPr="007C75E1">
              <w:rPr>
                <w:rFonts w:ascii="Calibri" w:eastAsia="Times New Roman" w:hAnsi="Calibri" w:cs="Calibri"/>
                <w:color w:val="000000"/>
                <w:lang w:eastAsia="en-ZA"/>
              </w:rPr>
              <w:t xml:space="preserve"> (</w:t>
            </w:r>
            <w:r w:rsidR="002E04AE" w:rsidRPr="007C75E1">
              <w:rPr>
                <w:rFonts w:ascii="Calibri" w:eastAsia="Times New Roman" w:hAnsi="Calibri" w:cs="Calibri"/>
                <w:color w:val="000000"/>
                <w:lang w:eastAsia="en-ZA"/>
              </w:rPr>
              <w:t xml:space="preserve">From </w:t>
            </w:r>
            <w:proofErr w:type="spellStart"/>
            <w:r w:rsidR="002E04AE" w:rsidRPr="007C75E1">
              <w:rPr>
                <w:rFonts w:ascii="Calibri" w:eastAsia="Times New Roman" w:hAnsi="Calibri" w:cs="Calibri"/>
                <w:color w:val="000000"/>
                <w:lang w:eastAsia="en-ZA"/>
              </w:rPr>
              <w:t>Cocco’s</w:t>
            </w:r>
            <w:proofErr w:type="spellEnd"/>
            <w:r w:rsidR="002E04AE" w:rsidRPr="007C75E1">
              <w:rPr>
                <w:rFonts w:ascii="Calibri" w:eastAsia="Times New Roman" w:hAnsi="Calibri" w:cs="Calibri"/>
                <w:color w:val="000000"/>
                <w:lang w:eastAsia="en-ZA"/>
              </w:rPr>
              <w:t xml:space="preserve"> </w:t>
            </w:r>
            <w:r w:rsidR="002E04AE">
              <w:rPr>
                <w:rFonts w:ascii="Calibri" w:eastAsia="Times New Roman" w:hAnsi="Calibri" w:cs="Calibri"/>
                <w:color w:val="000000"/>
                <w:lang w:eastAsia="en-ZA"/>
              </w:rPr>
              <w:t xml:space="preserve">(35) </w:t>
            </w:r>
            <w:r w:rsidR="002E04AE" w:rsidRPr="007C75E1">
              <w:rPr>
                <w:rFonts w:ascii="Calibri" w:eastAsia="Times New Roman" w:hAnsi="Calibri" w:cs="Calibri"/>
                <w:color w:val="000000"/>
                <w:lang w:eastAsia="en-ZA"/>
              </w:rPr>
              <w:t xml:space="preserve">references; full </w:t>
            </w:r>
            <w:r w:rsidR="009216C1" w:rsidRPr="007C75E1">
              <w:rPr>
                <w:rFonts w:ascii="Calibri" w:eastAsia="Times New Roman" w:hAnsi="Calibri" w:cs="Calibri"/>
                <w:color w:val="000000"/>
                <w:lang w:eastAsia="en-ZA"/>
              </w:rPr>
              <w:t xml:space="preserve">citation </w:t>
            </w:r>
            <w:proofErr w:type="spellStart"/>
            <w:r w:rsidR="009216C1" w:rsidRPr="007C75E1">
              <w:rPr>
                <w:rFonts w:ascii="Calibri" w:eastAsia="Times New Roman" w:hAnsi="Calibri" w:cs="Calibri"/>
                <w:color w:val="000000"/>
                <w:lang w:eastAsia="en-ZA"/>
              </w:rPr>
              <w:t>unavaiable</w:t>
            </w:r>
            <w:proofErr w:type="spellEnd"/>
            <w:r w:rsidR="009216C1" w:rsidRPr="007C75E1">
              <w:rPr>
                <w:rFonts w:ascii="Calibri" w:eastAsia="Times New Roman" w:hAnsi="Calibri" w:cs="Calibri"/>
                <w:color w:val="000000"/>
                <w:lang w:eastAsia="en-ZA"/>
              </w:rPr>
              <w:t>)</w:t>
            </w:r>
          </w:p>
        </w:tc>
        <w:tc>
          <w:tcPr>
            <w:tcW w:w="1464" w:type="dxa"/>
            <w:noWrap/>
            <w:hideMark/>
          </w:tcPr>
          <w:p w14:paraId="4411A27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2012</w:t>
            </w:r>
          </w:p>
        </w:tc>
        <w:tc>
          <w:tcPr>
            <w:tcW w:w="2043" w:type="dxa"/>
            <w:noWrap/>
            <w:hideMark/>
          </w:tcPr>
          <w:p w14:paraId="5243470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Full-text unavailable, online page does not exist</w:t>
            </w:r>
          </w:p>
        </w:tc>
      </w:tr>
      <w:tr w:rsidR="00696AF0" w:rsidRPr="00696AF0" w14:paraId="74514D6F" w14:textId="77777777" w:rsidTr="00366ACD">
        <w:trPr>
          <w:trHeight w:val="270"/>
        </w:trPr>
        <w:tc>
          <w:tcPr>
            <w:tcW w:w="2703" w:type="dxa"/>
            <w:noWrap/>
            <w:hideMark/>
          </w:tcPr>
          <w:p w14:paraId="6B0A5229" w14:textId="67A3F045" w:rsidR="00696AF0" w:rsidRPr="00696AF0" w:rsidRDefault="00696AF0" w:rsidP="00F752CC">
            <w:pPr>
              <w:rPr>
                <w:rFonts w:ascii="Calibri" w:eastAsia="Times New Roman" w:hAnsi="Calibri" w:cs="Calibri"/>
                <w:color w:val="000000"/>
                <w:lang w:val="de-DE" w:eastAsia="en-ZA"/>
              </w:rPr>
            </w:pPr>
            <w:r w:rsidRPr="00696AF0">
              <w:rPr>
                <w:rFonts w:ascii="Calibri" w:eastAsia="Times New Roman" w:hAnsi="Calibri" w:cs="Calibri"/>
                <w:color w:val="000000"/>
                <w:lang w:val="de-DE" w:eastAsia="en-ZA"/>
              </w:rPr>
              <w:t xml:space="preserve">Penn-Nicholson </w:t>
            </w:r>
            <w:r w:rsidR="000620EA">
              <w:rPr>
                <w:rFonts w:ascii="Calibri" w:eastAsia="Times New Roman" w:hAnsi="Calibri" w:cs="Calibri"/>
                <w:color w:val="000000"/>
                <w:lang w:val="de-DE" w:eastAsia="en-ZA"/>
              </w:rPr>
              <w:t>et al.</w:t>
            </w:r>
            <w:r w:rsidR="00F752CC">
              <w:rPr>
                <w:rFonts w:ascii="Calibri" w:eastAsia="Times New Roman" w:hAnsi="Calibri" w:cs="Calibri"/>
                <w:color w:val="000000"/>
                <w:lang w:val="de-DE" w:eastAsia="en-ZA"/>
              </w:rPr>
              <w:fldChar w:fldCharType="begin"/>
            </w:r>
            <w:r w:rsidR="00F752CC">
              <w:rPr>
                <w:rFonts w:ascii="Calibri" w:eastAsia="Times New Roman" w:hAnsi="Calibri" w:cs="Calibri"/>
                <w:color w:val="000000"/>
                <w:lang w:val="de-DE" w:eastAsia="en-ZA"/>
              </w:rPr>
              <w:instrText xml:space="preserve"> ADDIN ZOTERO_ITEM CSL_CITATION {"citationID":"7NfvBtlB","properties":{"formattedCitation":"(133)","plainCitation":"(133)","noteIndex":0},"citationItems":[{"id":12515,"uris":["http://zotero.org/users/6216265/items/RV2PA3R7"],"itemData":{"id":12515,"type":"article-journal","container-title":"The Lancet Infectious Diseases","DOI":"10.1016/S1473-3099(21)00452-7","ISSN":"14733099","issue":"2","journalAbbreviation":"The Lancet Infectious Diseases","language":"en","page":"242-249","source":"DOI.org (Crossref)","title":"Detection of isoniazid, fluoroquinolone, ethionamide, amikacin, kanamycin, and capreomycin resistance by the Xpert MTB/XDR assay: a cross-sectional multicentre diagnostic accuracy study","title-short":"Detection of isoniazid, fluoroquinolone, ethionamide, amikacin, kanamycin, and capreomycin resistance by the Xpert MTB/XDR assay","volume":"22","author":[{"family":"Penn-Nicholson","given":"Adam"},{"family":"Georghiou","given":"Sophia B"},{"family":"Ciobanu","given":"Nelly"},{"family":"Kazi","given":"Mubin"},{"family":"Bhalla","given":"Manpreet"},{"family":"David","given":"Anura"},{"family":"Conradie","given":"Francesca"},{"family":"Ruhwald","given":"Morten"},{"family":"Crudu","given":"Valeriu"},{"family":"Rodrigues","given":"Camilla"},{"family":"Myneedu","given":"Vithal Prasad"},{"family":"Scott","given":"Lesley"},{"family":"Denkinger","given":"Claudia M"},{"family":"Schumacher","given":"Samuel G"}],"issued":{"date-parts":[["2022",2]]}}}],"schema":"https://github.com/citation-style-language/schema/raw/master/csl-citation.json"} </w:instrText>
            </w:r>
            <w:r w:rsidR="00F752CC">
              <w:rPr>
                <w:rFonts w:ascii="Calibri" w:eastAsia="Times New Roman" w:hAnsi="Calibri" w:cs="Calibri"/>
                <w:color w:val="000000"/>
                <w:lang w:val="de-DE" w:eastAsia="en-ZA"/>
              </w:rPr>
              <w:fldChar w:fldCharType="separate"/>
            </w:r>
            <w:r w:rsidR="00F752CC" w:rsidRPr="00F752CC">
              <w:rPr>
                <w:rFonts w:ascii="Calibri" w:hAnsi="Calibri" w:cs="Calibri"/>
              </w:rPr>
              <w:t>(133)</w:t>
            </w:r>
            <w:r w:rsidR="00F752CC">
              <w:rPr>
                <w:rFonts w:ascii="Calibri" w:eastAsia="Times New Roman" w:hAnsi="Calibri" w:cs="Calibri"/>
                <w:color w:val="000000"/>
                <w:lang w:val="de-DE" w:eastAsia="en-ZA"/>
              </w:rPr>
              <w:fldChar w:fldCharType="end"/>
            </w:r>
          </w:p>
        </w:tc>
        <w:tc>
          <w:tcPr>
            <w:tcW w:w="1464" w:type="dxa"/>
            <w:noWrap/>
            <w:hideMark/>
          </w:tcPr>
          <w:p w14:paraId="05FEE52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579B78C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053908B6" w14:textId="77777777" w:rsidTr="00366ACD">
        <w:trPr>
          <w:trHeight w:val="270"/>
        </w:trPr>
        <w:tc>
          <w:tcPr>
            <w:tcW w:w="2703" w:type="dxa"/>
            <w:noWrap/>
            <w:hideMark/>
          </w:tcPr>
          <w:p w14:paraId="6E149755" w14:textId="17457E35" w:rsidR="00696AF0" w:rsidRPr="00696AF0" w:rsidRDefault="00696AF0" w:rsidP="00F752CC">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Penn-Nicholson </w:t>
            </w:r>
            <w:r w:rsidR="000620EA">
              <w:rPr>
                <w:rFonts w:ascii="Calibri" w:eastAsia="Times New Roman" w:hAnsi="Calibri" w:cs="Calibri"/>
                <w:color w:val="000000"/>
                <w:lang w:val="en-ZA" w:eastAsia="en-ZA"/>
              </w:rPr>
              <w:t>et al.</w:t>
            </w:r>
            <w:r w:rsidR="00F752CC" w:rsidRPr="009216C1">
              <w:rPr>
                <w:rFonts w:ascii="Calibri" w:eastAsia="Times New Roman" w:hAnsi="Calibri" w:cs="Calibri"/>
                <w:color w:val="000000"/>
                <w:lang w:val="de-DE" w:eastAsia="en-ZA"/>
              </w:rPr>
              <w:t xml:space="preserve"> </w:t>
            </w:r>
            <w:r w:rsidR="00F752CC">
              <w:rPr>
                <w:rFonts w:ascii="Calibri" w:eastAsia="Times New Roman" w:hAnsi="Calibri" w:cs="Calibri"/>
                <w:color w:val="000000"/>
                <w:lang w:val="en-ZA" w:eastAsia="en-ZA"/>
              </w:rPr>
              <w:fldChar w:fldCharType="begin"/>
            </w:r>
            <w:r w:rsidR="00F752CC">
              <w:rPr>
                <w:rFonts w:ascii="Calibri" w:eastAsia="Times New Roman" w:hAnsi="Calibri" w:cs="Calibri"/>
                <w:color w:val="000000"/>
                <w:lang w:val="de-DE" w:eastAsia="en-ZA"/>
              </w:rPr>
              <w:instrText xml:space="preserve"> ADDIN ZOTERO_ITEM CSL_CITATION {"citationID":"G1WYkWP2","properties":{"formattedCitation":"(134)","plainCitation":"(134)","noteIndex":0},"citationItems":[{"id":12517,"uris":["http://zotero.org/users/6216265/items/I9IXGFCH"],"itemData":{"id":12517,"type":"article-journal","container-title":"PLOS Medicine","DOI":"10.1371/journal.pmed.1002781","ISSN":"1549-1676","issue":"4","journalAbbreviation":"PLoS Med","language":"en","page":"e1002781","source":"DOI.org (Crossref)","title":"Discovery and validation of a prognostic proteomic signature for tuberculosis progression: A prospective cohort study","title-short":"Discovery and validation of a prognostic proteomic signature for tuberculosis progression","volume":"16","author":[{"family":"Penn-Nicholson","given":"Adam"},{"family":"Hraha","given":"Thomas"},{"family":"Thompson","given":"Ethan G."},{"family":"Sterling","given":"David"},{"family":"Mbandi","given":"Stanley Kimbung"},{"family":"Wall","given":"Kirsten M."},{"family":"Fisher","given":"Michelle"},{"family":"Suliman","given":"Sara"},{"family":"Shankar","given":"Smitha"},{"family":"Hanekom","given":"Willem A."},{"family":"Janjic","given":"Nebojsa"},{"family":"Hatherill","given":"Mark"},{"family":"Kaufmann","given":"Stefan H. E."},{"family":"Sutherland","given":"Jayne"},{"family":"Walzl","given":"Gerhard"},{"family":"De Groote","given":"Mary Ann"},{"family":"Ochsner","given":"Urs"},{"family":"Zak","given":"Daniel E."},{"family":"Scriba","given":"Thomas J."},{"literal":"ACS and GC6–74 cohort study groups"}],"editor":[{"family":"Chaisson","given":"Richard"}],"issued":{"date-parts":[["2019",4,16]]}}}],"schema":"https://github.com/citation-style-language/schema/raw/master/csl-citation.json"} </w:instrText>
            </w:r>
            <w:r w:rsidR="00F752CC">
              <w:rPr>
                <w:rFonts w:ascii="Calibri" w:eastAsia="Times New Roman" w:hAnsi="Calibri" w:cs="Calibri"/>
                <w:color w:val="000000"/>
                <w:lang w:val="en-ZA" w:eastAsia="en-ZA"/>
              </w:rPr>
              <w:fldChar w:fldCharType="separate"/>
            </w:r>
            <w:r w:rsidR="00F752CC" w:rsidRPr="00F752CC">
              <w:rPr>
                <w:rFonts w:ascii="Calibri" w:hAnsi="Calibri" w:cs="Calibri"/>
              </w:rPr>
              <w:t>(134)</w:t>
            </w:r>
            <w:r w:rsidR="00F752CC">
              <w:rPr>
                <w:rFonts w:ascii="Calibri" w:eastAsia="Times New Roman" w:hAnsi="Calibri" w:cs="Calibri"/>
                <w:color w:val="000000"/>
                <w:lang w:val="en-ZA" w:eastAsia="en-ZA"/>
              </w:rPr>
              <w:fldChar w:fldCharType="end"/>
            </w:r>
          </w:p>
        </w:tc>
        <w:tc>
          <w:tcPr>
            <w:tcW w:w="1464" w:type="dxa"/>
            <w:noWrap/>
            <w:hideMark/>
          </w:tcPr>
          <w:p w14:paraId="26FE79F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201D0E3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A1DA274" w14:textId="77777777" w:rsidTr="00366ACD">
        <w:trPr>
          <w:trHeight w:val="270"/>
        </w:trPr>
        <w:tc>
          <w:tcPr>
            <w:tcW w:w="2703" w:type="dxa"/>
            <w:noWrap/>
            <w:hideMark/>
          </w:tcPr>
          <w:p w14:paraId="780FF36C" w14:textId="60076363" w:rsidR="00696AF0" w:rsidRPr="00696AF0" w:rsidRDefault="00696AF0" w:rsidP="00F752CC">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lastRenderedPageBreak/>
              <w:t xml:space="preserve">Pham </w:t>
            </w:r>
            <w:r w:rsidR="000620EA">
              <w:rPr>
                <w:rFonts w:ascii="Calibri" w:eastAsia="Times New Roman" w:hAnsi="Calibri" w:cs="Calibri"/>
                <w:color w:val="000000"/>
                <w:lang w:val="en-ZA" w:eastAsia="en-ZA"/>
              </w:rPr>
              <w:t>et al.</w:t>
            </w:r>
            <w:r w:rsidR="00F752CC">
              <w:rPr>
                <w:rFonts w:ascii="Calibri" w:eastAsia="Times New Roman" w:hAnsi="Calibri" w:cs="Calibri"/>
                <w:color w:val="000000"/>
                <w:lang w:val="en-ZA" w:eastAsia="en-ZA"/>
              </w:rPr>
              <w:t xml:space="preserve"> </w:t>
            </w:r>
            <w:r w:rsidR="00F752CC">
              <w:rPr>
                <w:rFonts w:ascii="Calibri" w:eastAsia="Times New Roman" w:hAnsi="Calibri" w:cs="Calibri"/>
                <w:color w:val="000000"/>
                <w:lang w:val="en-ZA" w:eastAsia="en-ZA"/>
              </w:rPr>
              <w:fldChar w:fldCharType="begin"/>
            </w:r>
            <w:r w:rsidR="00F752CC">
              <w:rPr>
                <w:rFonts w:ascii="Calibri" w:eastAsia="Times New Roman" w:hAnsi="Calibri" w:cs="Calibri"/>
                <w:color w:val="000000"/>
                <w:lang w:val="en-ZA" w:eastAsia="en-ZA"/>
              </w:rPr>
              <w:instrText xml:space="preserve"> ADDIN ZOTERO_ITEM CSL_CITATION {"citationID":"LM6UWZz0","properties":{"formattedCitation":"(135)","plainCitation":"(135)","noteIndex":0},"citationItems":[{"id":12519,"uris":["http://zotero.org/users/6216265/items/8XF825D4"],"itemData":{"id":12519,"type":"article-journal","container-title":"eClinicalMedicine","DOI":"10.1016/j.eclinm.2020.100440","ISSN":"25895370","journalAbbreviation":"eClinicalMedicine","language":"en","page":"100440","source":"DOI.org (Crossref)","title":"Improving the coverage and accuracy of syphilis testing: The development of a novel rapid, point-of-care test for confirmatory testing of active syphilis infection and its early evaluation in China and South Africa","title-short":"Improving the coverage and accuracy of syphilis testing","volume":"24","author":[{"family":"Pham","given":"Minh D."},{"family":"Wise","given":"Amy"},{"family":"Garcia","given":"Mary L."},{"family":"Van","given":"Huy"},{"family":"Zheng","given":"Shuning"},{"family":"Mohamed","given":"Yasmin"},{"family":"Han","given":"Yan"},{"family":"Wei","given":"Wan-Hui"},{"family":"Yin","given":"Yue-Ping"},{"family":"Chen","given":"Xiang-Sheng"},{"family":"Dimech","given":"Wayne"},{"family":"Braniff","given":"Susie"},{"family":"Technau","given":"Karl-Günter"},{"family":"Luchters","given":"Stanley"},{"family":"Anderson","given":"David A."}],"issued":{"date-parts":[["2020",7]]}}}],"schema":"https://github.com/citation-style-language/schema/raw/master/csl-citation.json"} </w:instrText>
            </w:r>
            <w:r w:rsidR="00F752CC">
              <w:rPr>
                <w:rFonts w:ascii="Calibri" w:eastAsia="Times New Roman" w:hAnsi="Calibri" w:cs="Calibri"/>
                <w:color w:val="000000"/>
                <w:lang w:val="en-ZA" w:eastAsia="en-ZA"/>
              </w:rPr>
              <w:fldChar w:fldCharType="separate"/>
            </w:r>
            <w:r w:rsidR="00F752CC" w:rsidRPr="00F752CC">
              <w:rPr>
                <w:rFonts w:ascii="Calibri" w:hAnsi="Calibri" w:cs="Calibri"/>
              </w:rPr>
              <w:t>(135)</w:t>
            </w:r>
            <w:r w:rsidR="00F752CC">
              <w:rPr>
                <w:rFonts w:ascii="Calibri" w:eastAsia="Times New Roman" w:hAnsi="Calibri" w:cs="Calibri"/>
                <w:color w:val="000000"/>
                <w:lang w:val="en-ZA" w:eastAsia="en-ZA"/>
              </w:rPr>
              <w:fldChar w:fldCharType="end"/>
            </w:r>
          </w:p>
        </w:tc>
        <w:tc>
          <w:tcPr>
            <w:tcW w:w="1464" w:type="dxa"/>
            <w:noWrap/>
            <w:hideMark/>
          </w:tcPr>
          <w:p w14:paraId="16FA771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37F5F3D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B184FD4" w14:textId="77777777" w:rsidTr="00366ACD">
        <w:trPr>
          <w:trHeight w:val="270"/>
        </w:trPr>
        <w:tc>
          <w:tcPr>
            <w:tcW w:w="2703" w:type="dxa"/>
            <w:noWrap/>
            <w:hideMark/>
          </w:tcPr>
          <w:p w14:paraId="0DEE34DA" w14:textId="167CA648" w:rsidR="00696AF0" w:rsidRPr="00696AF0" w:rsidRDefault="00696AF0" w:rsidP="00001DC5">
            <w:pPr>
              <w:tabs>
                <w:tab w:val="right" w:pos="2487"/>
              </w:tabs>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Pham </w:t>
            </w:r>
            <w:r w:rsidR="000620EA">
              <w:rPr>
                <w:rFonts w:ascii="Calibri" w:eastAsia="Times New Roman" w:hAnsi="Calibri" w:cs="Calibri"/>
                <w:color w:val="000000"/>
                <w:lang w:val="en-ZA" w:eastAsia="en-ZA"/>
              </w:rPr>
              <w:t>et al.</w:t>
            </w:r>
            <w:r w:rsidR="00001DC5">
              <w:rPr>
                <w:rFonts w:ascii="Calibri" w:eastAsia="Times New Roman" w:hAnsi="Calibri" w:cs="Calibri"/>
                <w:color w:val="000000"/>
                <w:lang w:val="en-ZA" w:eastAsia="en-ZA"/>
              </w:rPr>
              <w:t xml:space="preserve"> </w:t>
            </w:r>
            <w:r w:rsidR="00001DC5">
              <w:rPr>
                <w:rFonts w:ascii="Calibri" w:eastAsia="Times New Roman" w:hAnsi="Calibri" w:cs="Calibri"/>
                <w:color w:val="000000"/>
                <w:lang w:val="en-ZA" w:eastAsia="en-ZA"/>
              </w:rPr>
              <w:fldChar w:fldCharType="begin"/>
            </w:r>
            <w:r w:rsidR="00001DC5">
              <w:rPr>
                <w:rFonts w:ascii="Calibri" w:eastAsia="Times New Roman" w:hAnsi="Calibri" w:cs="Calibri"/>
                <w:color w:val="000000"/>
                <w:lang w:val="en-ZA" w:eastAsia="en-ZA"/>
              </w:rPr>
              <w:instrText xml:space="preserve"> ADDIN ZOTERO_ITEM CSL_CITATION {"citationID":"hyx3aGcd","properties":{"formattedCitation":"(136)","plainCitation":"(136)","noteIndex":0},"citationItems":[{"id":12521,"uris":["http://zotero.org/users/6216265/items/B5ZUXLJU"],"itemData":{"id":12521,"type":"article-journal","container-title":"Biomedical Microdevices","DOI":"10.1007/s10544-019-0376-y","ISSN":"1387-2176, 1572-8781","issue":"1","journalAbbreviation":"Biomed Microdevices","language":"en","page":"24","source":"DOI.org (Crossref)","title":"Immuno-gold silver staining assays on capillary-driven microfluidics for the detection of malaria antigens","volume":"21","author":[{"family":"Pham","given":"Ngoc M."},{"family":"Rusch","given":"Sebastian"},{"family":"Temiz","given":"Yuksel"},{"family":"Beck","given":"Hans-Peter"},{"family":"Karlen","given":"Walter"},{"family":"Delamarche","given":"Emmanuel"}],"issued":{"date-parts":[["2019",3]]}}}],"schema":"https://github.com/citation-style-language/schema/raw/master/csl-citation.json"} </w:instrText>
            </w:r>
            <w:r w:rsidR="00001DC5">
              <w:rPr>
                <w:rFonts w:ascii="Calibri" w:eastAsia="Times New Roman" w:hAnsi="Calibri" w:cs="Calibri"/>
                <w:color w:val="000000"/>
                <w:lang w:val="en-ZA" w:eastAsia="en-ZA"/>
              </w:rPr>
              <w:fldChar w:fldCharType="separate"/>
            </w:r>
            <w:r w:rsidR="00001DC5" w:rsidRPr="00001DC5">
              <w:rPr>
                <w:rFonts w:ascii="Calibri" w:hAnsi="Calibri" w:cs="Calibri"/>
              </w:rPr>
              <w:t>(136)</w:t>
            </w:r>
            <w:r w:rsidR="00001DC5">
              <w:rPr>
                <w:rFonts w:ascii="Calibri" w:eastAsia="Times New Roman" w:hAnsi="Calibri" w:cs="Calibri"/>
                <w:color w:val="000000"/>
                <w:lang w:val="en-ZA" w:eastAsia="en-ZA"/>
              </w:rPr>
              <w:fldChar w:fldCharType="end"/>
            </w:r>
            <w:r w:rsidR="00001DC5">
              <w:rPr>
                <w:rFonts w:ascii="Calibri" w:eastAsia="Times New Roman" w:hAnsi="Calibri" w:cs="Calibri"/>
                <w:color w:val="000000"/>
                <w:lang w:val="en-ZA" w:eastAsia="en-ZA"/>
              </w:rPr>
              <w:tab/>
              <w:t xml:space="preserve"> </w:t>
            </w:r>
          </w:p>
        </w:tc>
        <w:tc>
          <w:tcPr>
            <w:tcW w:w="1464" w:type="dxa"/>
            <w:noWrap/>
            <w:hideMark/>
          </w:tcPr>
          <w:p w14:paraId="066E5A9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4DB1D50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7A883A3B" w14:textId="77777777" w:rsidTr="00366ACD">
        <w:trPr>
          <w:trHeight w:val="270"/>
        </w:trPr>
        <w:tc>
          <w:tcPr>
            <w:tcW w:w="2703" w:type="dxa"/>
            <w:noWrap/>
            <w:hideMark/>
          </w:tcPr>
          <w:p w14:paraId="7EBB5D64" w14:textId="4703DF6A" w:rsidR="00696AF0" w:rsidRPr="00696AF0" w:rsidRDefault="00696AF0" w:rsidP="00001DC5">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Phillips </w:t>
            </w:r>
            <w:r w:rsidR="000620EA">
              <w:rPr>
                <w:rFonts w:ascii="Calibri" w:eastAsia="Times New Roman" w:hAnsi="Calibri" w:cs="Calibri"/>
                <w:color w:val="000000"/>
                <w:lang w:val="en-ZA" w:eastAsia="en-ZA"/>
              </w:rPr>
              <w:t>et al.</w:t>
            </w:r>
            <w:r w:rsidR="00001DC5">
              <w:rPr>
                <w:rFonts w:ascii="Calibri" w:eastAsia="Times New Roman" w:hAnsi="Calibri" w:cs="Calibri"/>
                <w:color w:val="000000"/>
                <w:lang w:val="en-ZA" w:eastAsia="en-ZA"/>
              </w:rPr>
              <w:t xml:space="preserve"> </w:t>
            </w:r>
            <w:r w:rsidR="00001DC5">
              <w:rPr>
                <w:rFonts w:ascii="Calibri" w:eastAsia="Times New Roman" w:hAnsi="Calibri" w:cs="Calibri"/>
                <w:color w:val="000000"/>
                <w:lang w:val="en-ZA" w:eastAsia="en-ZA"/>
              </w:rPr>
              <w:fldChar w:fldCharType="begin"/>
            </w:r>
            <w:r w:rsidR="00001DC5">
              <w:rPr>
                <w:rFonts w:ascii="Calibri" w:eastAsia="Times New Roman" w:hAnsi="Calibri" w:cs="Calibri"/>
                <w:color w:val="000000"/>
                <w:lang w:val="en-ZA" w:eastAsia="en-ZA"/>
              </w:rPr>
              <w:instrText xml:space="preserve"> ADDIN ZOTERO_ITEM CSL_CITATION {"citationID":"tyQpYOyB","properties":{"formattedCitation":"(137)","plainCitation":"(137)","noteIndex":0},"citationItems":[{"id":12522,"uris":["http://zotero.org/users/6216265/items/UU9ZQK4B"],"itemData":{"id":12522,"type":"article-journal","abstract":"Abstract\n            Point-of-care viral load tests are being developed to monitor patients on antiretroviral therapy (ART) in sub-Saharan Africa. Test design involves trade-offs between test attributes, including accuracy, complexity, robustness, and cost. We used a model of the human immunodeficiency virus epidemic and ART program in Zimbabwe and found that the attributes of a viral load testing approach that are most influential for cost effectiveness are avoidance of a high proportion of failed tests or results not received, use of an approach that best facilitates retention on ART, and the ability to facilitate greater use of differentiated care, including through expanding coverage of testing availability.","container-title":"Open Forum Infectious Diseases","DOI":"10.1093/ofid/ofw161","ISSN":"2328-8957","issue":"3","language":"en","page":"ofw161","source":"DOI.org (Crossref)","title":"Point-of-Care Viral Load Testing for Sub-Saharan Africa: Informing a Target Product Profile","title-short":"Point-of-Care Viral Load Testing for Sub-Saharan Africa","volume":"3","author":[{"family":"Phillips","given":"Andrew N."},{"family":"Cambiano","given":"Valentina"},{"family":"Nakagawa","given":"Fumiyo"},{"family":"Ford","given":"Deborah"},{"family":"Apollo","given":"Tsitsi"},{"family":"Murungu","given":"Joseph"},{"family":"Rousseau","given":"Christine"},{"family":"Garnett","given":"Geoff"},{"family":"Ehrenkranz","given":"Peter"},{"family":"Bansi-Matharu","given":"Loveleen"},{"family":"Vojnov","given":"Lara"},{"family":"Katz","given":"Zachary"},{"family":"Peeling","given":"Rosanna"},{"family":"Revill","given":"Paul"}],"issued":{"date-parts":[["2016",5,1]]}}}],"schema":"https://github.com/citation-style-language/schema/raw/master/csl-citation.json"} </w:instrText>
            </w:r>
            <w:r w:rsidR="00001DC5">
              <w:rPr>
                <w:rFonts w:ascii="Calibri" w:eastAsia="Times New Roman" w:hAnsi="Calibri" w:cs="Calibri"/>
                <w:color w:val="000000"/>
                <w:lang w:val="en-ZA" w:eastAsia="en-ZA"/>
              </w:rPr>
              <w:fldChar w:fldCharType="separate"/>
            </w:r>
            <w:r w:rsidR="00001DC5" w:rsidRPr="00001DC5">
              <w:rPr>
                <w:rFonts w:ascii="Calibri" w:hAnsi="Calibri" w:cs="Calibri"/>
              </w:rPr>
              <w:t>(137)</w:t>
            </w:r>
            <w:r w:rsidR="00001DC5">
              <w:rPr>
                <w:rFonts w:ascii="Calibri" w:eastAsia="Times New Roman" w:hAnsi="Calibri" w:cs="Calibri"/>
                <w:color w:val="000000"/>
                <w:lang w:val="en-ZA" w:eastAsia="en-ZA"/>
              </w:rPr>
              <w:fldChar w:fldCharType="end"/>
            </w:r>
          </w:p>
        </w:tc>
        <w:tc>
          <w:tcPr>
            <w:tcW w:w="1464" w:type="dxa"/>
            <w:noWrap/>
            <w:hideMark/>
          </w:tcPr>
          <w:p w14:paraId="74FABC5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2016</w:t>
            </w:r>
          </w:p>
        </w:tc>
        <w:tc>
          <w:tcPr>
            <w:tcW w:w="2043" w:type="dxa"/>
            <w:noWrap/>
            <w:hideMark/>
          </w:tcPr>
          <w:p w14:paraId="5F322C2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246F89AA" w14:textId="77777777" w:rsidTr="00366ACD">
        <w:trPr>
          <w:trHeight w:val="270"/>
        </w:trPr>
        <w:tc>
          <w:tcPr>
            <w:tcW w:w="2703" w:type="dxa"/>
            <w:noWrap/>
            <w:hideMark/>
          </w:tcPr>
          <w:p w14:paraId="572EDE9F" w14:textId="7A9EB561" w:rsidR="00696AF0" w:rsidRPr="00696AF0" w:rsidRDefault="00696AF0" w:rsidP="00AE495A">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Pidathala</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AE495A">
              <w:rPr>
                <w:rFonts w:ascii="Calibri" w:eastAsia="Times New Roman" w:hAnsi="Calibri" w:cs="Calibri"/>
                <w:color w:val="000000"/>
                <w:lang w:val="en-ZA" w:eastAsia="en-ZA"/>
              </w:rPr>
              <w:t xml:space="preserve"> </w:t>
            </w:r>
            <w:r w:rsidR="00AE495A">
              <w:rPr>
                <w:rFonts w:ascii="Calibri" w:eastAsia="Times New Roman" w:hAnsi="Calibri" w:cs="Calibri"/>
                <w:color w:val="000000"/>
                <w:lang w:val="en-ZA" w:eastAsia="en-ZA"/>
              </w:rPr>
              <w:fldChar w:fldCharType="begin"/>
            </w:r>
            <w:r w:rsidR="00AE495A">
              <w:rPr>
                <w:rFonts w:ascii="Calibri" w:eastAsia="Times New Roman" w:hAnsi="Calibri" w:cs="Calibri"/>
                <w:color w:val="000000"/>
                <w:lang w:val="en-ZA" w:eastAsia="en-ZA"/>
              </w:rPr>
              <w:instrText xml:space="preserve"> ADDIN ZOTERO_ITEM CSL_CITATION {"citationID":"T7lJvRoq","properties":{"formattedCitation":"(138)","plainCitation":"(138)","noteIndex":0},"citationItems":[{"id":199,"uris":["http://zotero.org/users/6216265/items/YBP48SCT"],"itemData":{"id":199,"type":"article-journal","abstract":"A program was undertaken to identify hit compounds against NADH:ubiquinone oxidoreductase (PfNDH2), a dehydrogenase of the mitochondrial electron transport chain of the malaria parasite Plasmodium falciparum. PfNDH2 has only one known inhibitor, hydroxy-2-dodecyl-4-(1H)-quinolone (HDQ), and this was used along with a range of chemoinformatics methods in the rational selection of 17 000 compounds for high-throughput screening. Twelve distinct chemotypes were identified and briefly examined leading to the selection of the quinolone core as the key target for structure-activity relationship (SAR) development. Extensive structural exploration led to the selection of 2-bisaryl 3-methyl quinolones as a series for further biological evaluation. The lead compound within this series 7-chloro-3-methyl-2-(4-(4-(trifluoromethoxy)benzyl)phenyl)quinolin-4(1H)-one (CK-2-68) has antimalarial activity against the 3D7 strain of P. falciparum of 36 nM, is selective for PfNDH2 over other respiratory enzymes (inhibitory IC(50) against PfNDH2 of 16 nM), and demonstrates low cytotoxicity and high metabolic stability in the presence of human liver microsomes. This lead compound and its phosphate pro-drug have potent in vivo antimalarial activity after oral administration, consistent with the target product profile of a drug for the treatment of uncomplicated malaria. Other quinolones presented (e.g., 6d, 6f, 14e) have the capacity to inhibit both PfNDH2 and P. falciparum cytochrome bc(1), and studies to determine the potential advantage of this dual-targeting effect are in progress.","archive":"cmedm","archive_location":"22364416","container-title":"Journal of medicinal chemistry","DOI":"10.1021/jm201179h","ISSN":"1520-4804","issue":"5","journalAbbreviation":"Journal of medicinal chemistry","note":"publisher-place: United States\npublisher: American Chemical Society","page":"1831-1843","source":"EBSCOhost","title":"Identification, design and biological evaluation of bisaryl quinolones targeting Plasmodium falciparum type II NADH:quinone oxidoreductase (PfNDH2).","volume":"55","author":[{"family":"Pidathala","given":"Chandrakala"},{"family":"Amewu","given":"Richard"},{"family":"Pacorel","given":"Bénédicte"},{"family":"Nixon","given":"Gemma L"},{"family":"Gibbons","given":"Peter"},{"family":"Hong","given":"W David"},{"family":"Leung","given":"Suet C"},{"family":"Berry","given":"Neil G"},{"family":"Sharma","given":"Raman"},{"family":"Stocks","given":"Paul A"},{"family":"Srivastava","given":"Abhishek"},{"family":"Shone","given":"Alison E"},{"family":"Charoensutthivarakul","given":"Sitthivut"},{"family":"Taylor","given":"Lee"},{"family":"Berger","given":"Olivier"},{"family":"Mbekeani","given":"Alison"},{"family":"Hill","given":"Alasdair"},{"family":"Fisher","given":"Nicholas E"},{"family":"Warman","given":"Ashley J"},{"family":"Biagini","given":"Giancarlo A"},{"family":"Ward","given":"Stephen A"},{"family":"O'Neill","given":"Paul M"}],"issued":{"date-parts":[["2012",3,8]]}}}],"schema":"https://github.com/citation-style-language/schema/raw/master/csl-citation.json"} </w:instrText>
            </w:r>
            <w:r w:rsidR="00AE495A">
              <w:rPr>
                <w:rFonts w:ascii="Calibri" w:eastAsia="Times New Roman" w:hAnsi="Calibri" w:cs="Calibri"/>
                <w:color w:val="000000"/>
                <w:lang w:val="en-ZA" w:eastAsia="en-ZA"/>
              </w:rPr>
              <w:fldChar w:fldCharType="separate"/>
            </w:r>
            <w:r w:rsidR="00AE495A" w:rsidRPr="00AE495A">
              <w:rPr>
                <w:rFonts w:ascii="Calibri" w:hAnsi="Calibri" w:cs="Calibri"/>
              </w:rPr>
              <w:t>(138)</w:t>
            </w:r>
            <w:r w:rsidR="00AE495A">
              <w:rPr>
                <w:rFonts w:ascii="Calibri" w:eastAsia="Times New Roman" w:hAnsi="Calibri" w:cs="Calibri"/>
                <w:color w:val="000000"/>
                <w:lang w:val="en-ZA" w:eastAsia="en-ZA"/>
              </w:rPr>
              <w:fldChar w:fldCharType="end"/>
            </w:r>
          </w:p>
        </w:tc>
        <w:tc>
          <w:tcPr>
            <w:tcW w:w="1464" w:type="dxa"/>
            <w:noWrap/>
            <w:hideMark/>
          </w:tcPr>
          <w:p w14:paraId="3C1F56E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2012</w:t>
            </w:r>
          </w:p>
        </w:tc>
        <w:tc>
          <w:tcPr>
            <w:tcW w:w="2043" w:type="dxa"/>
            <w:noWrap/>
            <w:hideMark/>
          </w:tcPr>
          <w:p w14:paraId="012615F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3153561" w14:textId="77777777" w:rsidTr="00366ACD">
        <w:trPr>
          <w:trHeight w:val="270"/>
        </w:trPr>
        <w:tc>
          <w:tcPr>
            <w:tcW w:w="2703" w:type="dxa"/>
            <w:noWrap/>
            <w:hideMark/>
          </w:tcPr>
          <w:p w14:paraId="6600FDF5" w14:textId="35A13C35" w:rsidR="00696AF0" w:rsidRPr="00696AF0" w:rsidRDefault="00696AF0" w:rsidP="00AE495A">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Politis</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AE495A">
              <w:rPr>
                <w:rFonts w:ascii="Calibri" w:eastAsia="Times New Roman" w:hAnsi="Calibri" w:cs="Calibri"/>
                <w:color w:val="000000"/>
                <w:lang w:val="en-ZA" w:eastAsia="en-ZA"/>
              </w:rPr>
              <w:t xml:space="preserve"> </w:t>
            </w:r>
            <w:r w:rsidR="00AE495A">
              <w:rPr>
                <w:rFonts w:ascii="Calibri" w:eastAsia="Times New Roman" w:hAnsi="Calibri" w:cs="Calibri"/>
                <w:color w:val="000000"/>
                <w:lang w:val="en-ZA" w:eastAsia="en-ZA"/>
              </w:rPr>
              <w:fldChar w:fldCharType="begin"/>
            </w:r>
            <w:r w:rsidR="00AE495A">
              <w:rPr>
                <w:rFonts w:ascii="Calibri" w:eastAsia="Times New Roman" w:hAnsi="Calibri" w:cs="Calibri"/>
                <w:color w:val="000000"/>
                <w:lang w:val="en-ZA" w:eastAsia="en-ZA"/>
              </w:rPr>
              <w:instrText xml:space="preserve"> ADDIN ZOTERO_ITEM CSL_CITATION {"citationID":"McnvuqDl","properties":{"formattedCitation":"(139)","plainCitation":"(139)","noteIndex":0},"citationItems":[{"id":280,"uris":["http://zotero.org/users/6216265/items/57MA4KTV"],"itemData":{"id":280,"type":"article-journal","archive":"Scopus","container-title":"Drug Development and Industrial Pharmacy","DOI":"10.1080/03639045.2017.1291672","issue":"6","page":"889-901","title":"Design of experiments (DoE) in pharmaceutical development","volume":"43","author":[{"family":"Politis","given":"S.N."},{"family":"Colombo","given":"P."},{"family":"Colombo","given":"G."},{"family":"Rekkas","given":"D.M."}],"issued":{"date-parts":[["2017"]]}}}],"schema":"https://github.com/citation-style-language/schema/raw/master/csl-citation.json"} </w:instrText>
            </w:r>
            <w:r w:rsidR="00AE495A">
              <w:rPr>
                <w:rFonts w:ascii="Calibri" w:eastAsia="Times New Roman" w:hAnsi="Calibri" w:cs="Calibri"/>
                <w:color w:val="000000"/>
                <w:lang w:val="en-ZA" w:eastAsia="en-ZA"/>
              </w:rPr>
              <w:fldChar w:fldCharType="separate"/>
            </w:r>
            <w:r w:rsidR="00AE495A" w:rsidRPr="00AE495A">
              <w:rPr>
                <w:rFonts w:ascii="Calibri" w:hAnsi="Calibri" w:cs="Calibri"/>
              </w:rPr>
              <w:t>(139)</w:t>
            </w:r>
            <w:r w:rsidR="00AE495A">
              <w:rPr>
                <w:rFonts w:ascii="Calibri" w:eastAsia="Times New Roman" w:hAnsi="Calibri" w:cs="Calibri"/>
                <w:color w:val="000000"/>
                <w:lang w:val="en-ZA" w:eastAsia="en-ZA"/>
              </w:rPr>
              <w:fldChar w:fldCharType="end"/>
            </w:r>
          </w:p>
        </w:tc>
        <w:tc>
          <w:tcPr>
            <w:tcW w:w="1464" w:type="dxa"/>
            <w:noWrap/>
            <w:hideMark/>
          </w:tcPr>
          <w:p w14:paraId="4F1B953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2017</w:t>
            </w:r>
          </w:p>
        </w:tc>
        <w:tc>
          <w:tcPr>
            <w:tcW w:w="2043" w:type="dxa"/>
            <w:noWrap/>
            <w:hideMark/>
          </w:tcPr>
          <w:p w14:paraId="4D0D4E71"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89D7356" w14:textId="77777777" w:rsidTr="00366ACD">
        <w:trPr>
          <w:trHeight w:val="270"/>
        </w:trPr>
        <w:tc>
          <w:tcPr>
            <w:tcW w:w="2703" w:type="dxa"/>
            <w:noWrap/>
            <w:hideMark/>
          </w:tcPr>
          <w:p w14:paraId="3FADBDDA" w14:textId="058F7B60" w:rsidR="00696AF0" w:rsidRPr="00696AF0" w:rsidRDefault="00696AF0" w:rsidP="0007546F">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Polli </w:t>
            </w:r>
            <w:r w:rsidR="000620EA">
              <w:rPr>
                <w:rFonts w:ascii="Calibri" w:eastAsia="Times New Roman" w:hAnsi="Calibri" w:cs="Calibri"/>
                <w:color w:val="000000"/>
                <w:lang w:val="en-ZA" w:eastAsia="en-ZA"/>
              </w:rPr>
              <w:t>et al.</w:t>
            </w:r>
            <w:r w:rsidR="0007546F">
              <w:rPr>
                <w:rFonts w:ascii="Calibri" w:eastAsia="Times New Roman" w:hAnsi="Calibri" w:cs="Calibri"/>
                <w:color w:val="000000"/>
                <w:lang w:val="en-ZA" w:eastAsia="en-ZA"/>
              </w:rPr>
              <w:t xml:space="preserve"> </w:t>
            </w:r>
            <w:r w:rsidR="0007546F">
              <w:rPr>
                <w:rFonts w:ascii="Calibri" w:eastAsia="Times New Roman" w:hAnsi="Calibri" w:cs="Calibri"/>
                <w:color w:val="000000"/>
                <w:lang w:val="en-ZA" w:eastAsia="en-ZA"/>
              </w:rPr>
              <w:fldChar w:fldCharType="begin"/>
            </w:r>
            <w:r w:rsidR="0007546F">
              <w:rPr>
                <w:rFonts w:ascii="Calibri" w:eastAsia="Times New Roman" w:hAnsi="Calibri" w:cs="Calibri"/>
                <w:color w:val="000000"/>
                <w:lang w:val="en-ZA" w:eastAsia="en-ZA"/>
              </w:rPr>
              <w:instrText xml:space="preserve"> ADDIN ZOTERO_ITEM CSL_CITATION {"citationID":"whHO6pSw","properties":{"formattedCitation":"(140)","plainCitation":"(140)","noteIndex":0},"citationItems":[{"id":3128,"uris":["http://zotero.org/users/6216265/items/MAM4IV2I"],"itemData":{"id":3128,"type":"article-journal","abstract":"This summary workshop report highlights presentations and over-arching themes from an October 2011 workshop. Discussions focused on best practices in the  application of biopharmaceutics in oral drug product development and evolving  bioequivalence approaches. Best practices leverage biopharmaceutic data and other  drug, formulation, and patient/disease data to identify drug development  challenges in yielding a successfully performing product. Quality by design and  product developability paradigms were discussed. Development tools include early  development strategies to identify critical absorption factors and oral  absorption modeling. An ongoing theme was the desire to comprehensively and  systematically assess risk of product failure via the quality target product  profile and root cause and risk analysis. However, a parallel need is reduced  timelines and fewer resources. Several presentations discussed applying  Biopharmaceutics Classification System (BCS) and in vitro-in vivo correlations in  development and in post-development and discussed both resource savings and best  scientific practices. The workshop also focused on evolving bioequivalence  approaches, with emphasis on highly variable products (HVDP), as well as  specialized modified-release products. In USA, two bioequivalence approaches for  HVDP are the reference-scaled average bioequivalence approach and the two-stage  group-sequential design. An adaptive sequential design approach is also  acceptable in Canada. In European Union, two approaches for HVDP are a two-stage  design and an approach to widen C (max) acceptance limits. For some specialized  modified-release products, FDA now requests partial area under the curve.  Rationale and limitations of such metrics were discussed (e.g., zolpidem and  methylphenidate). A common theme was the benefit of the scientific and regulatory  community developing, validating, and harmonizing newer bioequivalence  methodologies (e.g., BCS-based waivers and HVDP trial designs).","container-title":"The AAPS journal","DOI":"10.1208/s12248-012-9376-z","ISSN":"1550-7416","issue":"3","journalAbbreviation":"AAPS J","language":"eng","note":"PMID: 22684402 \nPMCID: PMC3385831","page":"627-638","title":"Summary workshop report: Facilitating oral product development and reducing regulatory burden through novel approaches to assess  bioavailability/bioequivalence.","volume":"14","author":[{"family":"Polli","given":"James E."},{"family":"Cook","given":"Jack A."},{"family":"Davit","given":"Barbara M."},{"family":"Dickinson","given":"Paul A."},{"family":"Argenti","given":"Domenick"},{"family":"Barbour","given":"Nancy"},{"family":"García-Arieta","given":"Alfredo"},{"family":"Geoffroy","given":"Jean-Marie"},{"family":"Hartauer","given":"Kerry"},{"family":"Li","given":"Shoufeng"},{"family":"Mitra","given":"Amitava"},{"family":"Muller","given":"Francis X."},{"family":"Purohit","given":"Vivek"},{"family":"Sanchez-Felix","given":"Manuel"},{"family":"Skoug","given":"John W."},{"family":"Tang","given":"Kin"}],"issued":{"date-parts":[["2012",9]]}}}],"schema":"https://github.com/citation-style-language/schema/raw/master/csl-citation.json"} </w:instrText>
            </w:r>
            <w:r w:rsidR="0007546F">
              <w:rPr>
                <w:rFonts w:ascii="Calibri" w:eastAsia="Times New Roman" w:hAnsi="Calibri" w:cs="Calibri"/>
                <w:color w:val="000000"/>
                <w:lang w:val="en-ZA" w:eastAsia="en-ZA"/>
              </w:rPr>
              <w:fldChar w:fldCharType="separate"/>
            </w:r>
            <w:r w:rsidR="0007546F" w:rsidRPr="0007546F">
              <w:rPr>
                <w:rFonts w:ascii="Calibri" w:hAnsi="Calibri" w:cs="Calibri"/>
              </w:rPr>
              <w:t>(140)</w:t>
            </w:r>
            <w:r w:rsidR="0007546F">
              <w:rPr>
                <w:rFonts w:ascii="Calibri" w:eastAsia="Times New Roman" w:hAnsi="Calibri" w:cs="Calibri"/>
                <w:color w:val="000000"/>
                <w:lang w:val="en-ZA" w:eastAsia="en-ZA"/>
              </w:rPr>
              <w:fldChar w:fldCharType="end"/>
            </w:r>
          </w:p>
        </w:tc>
        <w:tc>
          <w:tcPr>
            <w:tcW w:w="1464" w:type="dxa"/>
            <w:noWrap/>
            <w:hideMark/>
          </w:tcPr>
          <w:p w14:paraId="0759387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2012</w:t>
            </w:r>
          </w:p>
        </w:tc>
        <w:tc>
          <w:tcPr>
            <w:tcW w:w="2043" w:type="dxa"/>
            <w:noWrap/>
            <w:hideMark/>
          </w:tcPr>
          <w:p w14:paraId="57C8D5BE"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4230B62" w14:textId="77777777" w:rsidTr="00366ACD">
        <w:trPr>
          <w:trHeight w:val="270"/>
        </w:trPr>
        <w:tc>
          <w:tcPr>
            <w:tcW w:w="2703" w:type="dxa"/>
            <w:noWrap/>
            <w:hideMark/>
          </w:tcPr>
          <w:p w14:paraId="0B5E8356" w14:textId="6C7CB53D" w:rsidR="00696AF0" w:rsidRPr="00696AF0" w:rsidRDefault="00696AF0" w:rsidP="0007546F">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Pulkstenis</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07546F">
              <w:rPr>
                <w:rFonts w:ascii="Calibri" w:eastAsia="Times New Roman" w:hAnsi="Calibri" w:cs="Calibri"/>
                <w:color w:val="000000"/>
                <w:lang w:val="en-ZA" w:eastAsia="en-ZA"/>
              </w:rPr>
              <w:t xml:space="preserve"> </w:t>
            </w:r>
            <w:r w:rsidR="0007546F">
              <w:rPr>
                <w:rFonts w:ascii="Calibri" w:eastAsia="Times New Roman" w:hAnsi="Calibri" w:cs="Calibri"/>
                <w:color w:val="000000"/>
                <w:lang w:val="en-ZA" w:eastAsia="en-ZA"/>
              </w:rPr>
              <w:fldChar w:fldCharType="begin"/>
            </w:r>
            <w:r w:rsidR="0007546F">
              <w:rPr>
                <w:rFonts w:ascii="Calibri" w:eastAsia="Times New Roman" w:hAnsi="Calibri" w:cs="Calibri"/>
                <w:color w:val="000000"/>
                <w:lang w:val="en-ZA" w:eastAsia="en-ZA"/>
              </w:rPr>
              <w:instrText xml:space="preserve"> ADDIN ZOTERO_ITEM CSL_CITATION {"citationID":"HyKq3KEj","properties":{"formattedCitation":"(141)","plainCitation":"(141)","noteIndex":0},"citationItems":[{"id":57,"uris":["http://zotero.org/users/6216265/items/X984YPCA"],"itemData":{"id":57,"type":"article-journal","abstract":"Decision-making is central to every phase of drug development, and especially at the proof of concept stage where risk and evidence must be weighed carefully,  often in the presence of significant uncertainty. The decision to proceed or not  to large expensive Phase 3 trials has significant implications to both patients  and sponsors alike. Recent experience has shown that Phase 3 failure rates remain  high. We present a flexible Bayesian quantitative decision-making paradigm that  evaluates evidence relative to achieving a multilevel target product profile. A  framework for operating characteristics is provided that allows the drug  developer to design a proof-of-concept trial in light of its ability to support  decision-making rather than merely achieve statistical significance. Operating  characteristics are shown to be superior to traditional p-value-based methods. In  addition, discussion related to sample size considerations, application to  interim futility analysis and incorporation of prior historical information is  evaluated.","container-title":"Journal of biopharmaceutical statistics","DOI":"10.1080/10543406.2017.1289947","ISSN":"1520-5711 1054-3406","issue":"3","journalAbbreviation":"J Biopharm Stat","language":"eng","note":"publisher-place: England\nPMID: 28166459","page":"442-456","title":"A Bayesian paradigm for decision-making in proof-of-concept trials.","volume":"27","author":[{"family":"Pulkstenis","given":"Erik"},{"family":"Patra","given":"Kaushik"},{"family":"Zhang","given":"Jianliang"}],"issued":{"date-parts":[["2017"]]}}}],"schema":"https://github.com/citation-style-language/schema/raw/master/csl-citation.json"} </w:instrText>
            </w:r>
            <w:r w:rsidR="0007546F">
              <w:rPr>
                <w:rFonts w:ascii="Calibri" w:eastAsia="Times New Roman" w:hAnsi="Calibri" w:cs="Calibri"/>
                <w:color w:val="000000"/>
                <w:lang w:val="en-ZA" w:eastAsia="en-ZA"/>
              </w:rPr>
              <w:fldChar w:fldCharType="separate"/>
            </w:r>
            <w:r w:rsidR="0007546F" w:rsidRPr="0007546F">
              <w:rPr>
                <w:rFonts w:ascii="Calibri" w:hAnsi="Calibri" w:cs="Calibri"/>
              </w:rPr>
              <w:t>(141)</w:t>
            </w:r>
            <w:r w:rsidR="0007546F">
              <w:rPr>
                <w:rFonts w:ascii="Calibri" w:eastAsia="Times New Roman" w:hAnsi="Calibri" w:cs="Calibri"/>
                <w:color w:val="000000"/>
                <w:lang w:val="en-ZA" w:eastAsia="en-ZA"/>
              </w:rPr>
              <w:fldChar w:fldCharType="end"/>
            </w:r>
          </w:p>
        </w:tc>
        <w:tc>
          <w:tcPr>
            <w:tcW w:w="1464" w:type="dxa"/>
            <w:noWrap/>
            <w:hideMark/>
          </w:tcPr>
          <w:p w14:paraId="43E12C98"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2017</w:t>
            </w:r>
          </w:p>
        </w:tc>
        <w:tc>
          <w:tcPr>
            <w:tcW w:w="2043" w:type="dxa"/>
            <w:noWrap/>
            <w:hideMark/>
          </w:tcPr>
          <w:p w14:paraId="1E8A15F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1E8E61B" w14:textId="77777777" w:rsidTr="00366ACD">
        <w:trPr>
          <w:trHeight w:val="270"/>
        </w:trPr>
        <w:tc>
          <w:tcPr>
            <w:tcW w:w="2703" w:type="dxa"/>
            <w:noWrap/>
            <w:hideMark/>
          </w:tcPr>
          <w:p w14:paraId="1F787CC1" w14:textId="0741DB2D" w:rsidR="00696AF0" w:rsidRPr="00696AF0" w:rsidRDefault="00696AF0" w:rsidP="0053067F">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Qin </w:t>
            </w:r>
            <w:r w:rsidR="000620EA">
              <w:rPr>
                <w:rFonts w:ascii="Calibri" w:eastAsia="Times New Roman" w:hAnsi="Calibri" w:cs="Calibri"/>
                <w:color w:val="000000"/>
                <w:lang w:val="en-ZA" w:eastAsia="en-ZA"/>
              </w:rPr>
              <w:t>et al.</w:t>
            </w:r>
            <w:r w:rsidR="0053067F">
              <w:rPr>
                <w:rFonts w:ascii="Calibri" w:eastAsia="Times New Roman" w:hAnsi="Calibri" w:cs="Calibri"/>
                <w:color w:val="000000"/>
                <w:lang w:val="en-ZA" w:eastAsia="en-ZA"/>
              </w:rPr>
              <w:t xml:space="preserve"> </w:t>
            </w:r>
            <w:r w:rsidR="0053067F">
              <w:rPr>
                <w:rFonts w:ascii="Calibri" w:eastAsia="Times New Roman" w:hAnsi="Calibri" w:cs="Calibri"/>
                <w:color w:val="000000"/>
                <w:lang w:val="en-ZA" w:eastAsia="en-ZA"/>
              </w:rPr>
              <w:fldChar w:fldCharType="begin"/>
            </w:r>
            <w:r w:rsidR="0053067F">
              <w:rPr>
                <w:rFonts w:ascii="Calibri" w:eastAsia="Times New Roman" w:hAnsi="Calibri" w:cs="Calibri"/>
                <w:color w:val="000000"/>
                <w:lang w:val="en-ZA" w:eastAsia="en-ZA"/>
              </w:rPr>
              <w:instrText xml:space="preserve"> ADDIN ZOTERO_ITEM CSL_CITATION {"citationID":"O5WDKvGn","properties":{"formattedCitation":"(142)","plainCitation":"(142)","noteIndex":0},"citationItems":[{"id":140,"uris":["http://zotero.org/users/6216265/items/NZ4H3HIN"],"itemData":{"id":140,"type":"article-journal","abstract":"BACKGROUND: Artificial intelligence (AI) algorithms can be trained to recognise tuberculosis-related abnormalities on chest radiographs. Various AI algorithms  are available commercially, yet there is little impartial evidence on how their  performance compares with each other and with radiologists. We aimed to evaluate  five commercial AI algorithms for triaging tuberculosis using a large dataset  that had not previously been used to train any AI algorithms. METHODS:  Individuals aged 15 years or older presenting or referred to three tuberculosis  screening centres in Dhaka, Bangladesh, between May 15, 2014, and Oct 4, 2016,  were recruited consecutively. Every participant was verbally screened for  symptoms and received a digital posterior-anterior chest x-ray and an Xpert  MTB/RIF (Xpert) test. All chest x-rays were read independently by a group of  three registered radiologists and five commercial AI algorithms: CAD4TB (version  7), InferRead DR (version 2), Lunit INSIGHT CXR (version 4.9.0), JF CXR-1  (version 2), and qXR (version 3). We compared the performance of the AI  algorithms with each other, with the radiologists, and with the WHO's Target  Product Profile (TPP) of triage tests (≥90% sensitivity and ≥70% specificity). We  used a new evaluation framework that simultaneously evaluates sensitivity,  proportion of Xpert tests avoided, and number needed to test to inform  implementers' choice of software and selection of threshold abnormality scores.  FINDINGS: Chest x-rays from 23 954 individuals were included in the analysis. All  five AI algorithms significantly outperformed the radiologists. The areas under  the receiver operating characteristic curve were 90·81% (95% CI 90·33-91·29) for  qXR, 90·34% (89·81-90·87) for CAD4TB, 88·61% (88·03-89·20) for Lunit INSIGHT CXR,  84·90% (84·27-85·54) for InferRead DR, and 84·89% (84·26-85·53) for JF CXR-1.  Only qXR (74·3% specificity [95% CI 73·3-74·9]) and CAD4TB (72·9% specificity  [72·3-73·5]) met the TPP at 90% sensitivity. All five AI algorithms reduced the  number of Xpert tests required by 50% while maintaining a sensitivity above 90%.  All AI algorithms performed worse among older age groups (&gt;60 years) and people  with a history of tuberculosis. INTERPRETATION: AI algorithms can be highly  accurate and useful triage tools for tuberculosis detection in high-burden  regions, and outperform human readers. FUNDING: Government of Canada.","container-title":"The Lancet. Digital health","DOI":"10.1016/S2589-7500(21)00116-3","ISSN":"2589-7500","issue":"9","journalAbbreviation":"Lancet Digit Health","language":"eng","license":"Copyright © 2021 The Author(s). Published by Elsevier Ltd. This is an Open Access article under the CC BY-NC-ND 4.0 license. Published by Elsevier Ltd.. All rights  reserved.","note":"publisher-place: England\nPMID: 34446265","page":"e543-e554","title":"Tuberculosis detection from chest x-rays for triaging in a high tuberculosis-burden setting: an evaluation of five artificial intelligence  algorithms.","volume":"3","author":[{"family":"Qin","given":"Zhi Zhen"},{"family":"Ahmed","given":"Shahriar"},{"family":"Sarker","given":"Mohammad Shahnewaz"},{"family":"Paul","given":"Kishor"},{"family":"Adel","given":"Ahammad Shafiq Sikder"},{"family":"Naheyan","given":"Tasneem"},{"family":"Barrett","given":"Rachael"},{"family":"Banu","given":"Sayera"},{"family":"Creswell","given":"Jacob"}],"issued":{"date-parts":[["2021",9]]}}}],"schema":"https://github.com/citation-style-language/schema/raw/master/csl-citation.json"} </w:instrText>
            </w:r>
            <w:r w:rsidR="0053067F">
              <w:rPr>
                <w:rFonts w:ascii="Calibri" w:eastAsia="Times New Roman" w:hAnsi="Calibri" w:cs="Calibri"/>
                <w:color w:val="000000"/>
                <w:lang w:val="en-ZA" w:eastAsia="en-ZA"/>
              </w:rPr>
              <w:fldChar w:fldCharType="separate"/>
            </w:r>
            <w:r w:rsidR="0053067F" w:rsidRPr="0053067F">
              <w:rPr>
                <w:rFonts w:ascii="Calibri" w:hAnsi="Calibri" w:cs="Calibri"/>
              </w:rPr>
              <w:t>(142)</w:t>
            </w:r>
            <w:r w:rsidR="0053067F">
              <w:rPr>
                <w:rFonts w:ascii="Calibri" w:eastAsia="Times New Roman" w:hAnsi="Calibri" w:cs="Calibri"/>
                <w:color w:val="000000"/>
                <w:lang w:val="en-ZA" w:eastAsia="en-ZA"/>
              </w:rPr>
              <w:fldChar w:fldCharType="end"/>
            </w:r>
          </w:p>
        </w:tc>
        <w:tc>
          <w:tcPr>
            <w:tcW w:w="1464" w:type="dxa"/>
            <w:noWrap/>
            <w:hideMark/>
          </w:tcPr>
          <w:p w14:paraId="6C56BCE5"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5CC24E4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B6D16DB" w14:textId="77777777" w:rsidTr="00366ACD">
        <w:trPr>
          <w:trHeight w:val="270"/>
        </w:trPr>
        <w:tc>
          <w:tcPr>
            <w:tcW w:w="2703" w:type="dxa"/>
            <w:noWrap/>
            <w:hideMark/>
          </w:tcPr>
          <w:p w14:paraId="1ED06364" w14:textId="75761442" w:rsidR="00696AF0" w:rsidRPr="00696AF0" w:rsidRDefault="00696AF0" w:rsidP="0053067F">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R &amp;D </w:t>
            </w:r>
            <w:proofErr w:type="spellStart"/>
            <w:r w:rsidRPr="00696AF0">
              <w:rPr>
                <w:rFonts w:ascii="Calibri" w:eastAsia="Times New Roman" w:hAnsi="Calibri" w:cs="Calibri"/>
                <w:color w:val="000000"/>
                <w:lang w:val="en-ZA" w:eastAsia="en-ZA"/>
              </w:rPr>
              <w:t>Alfimepraze</w:t>
            </w:r>
            <w:proofErr w:type="spellEnd"/>
            <w:r w:rsidR="0053067F">
              <w:rPr>
                <w:rFonts w:ascii="Calibri" w:eastAsia="Times New Roman" w:hAnsi="Calibri" w:cs="Calibri"/>
                <w:color w:val="000000"/>
                <w:lang w:val="en-ZA" w:eastAsia="en-ZA"/>
              </w:rPr>
              <w:t xml:space="preserve"> </w:t>
            </w:r>
            <w:r w:rsidR="0053067F">
              <w:rPr>
                <w:rFonts w:ascii="Calibri" w:eastAsia="Times New Roman" w:hAnsi="Calibri" w:cs="Calibri"/>
                <w:color w:val="000000"/>
                <w:lang w:val="en-ZA" w:eastAsia="en-ZA"/>
              </w:rPr>
              <w:fldChar w:fldCharType="begin"/>
            </w:r>
            <w:r w:rsidR="0053067F">
              <w:rPr>
                <w:rFonts w:ascii="Calibri" w:eastAsia="Times New Roman" w:hAnsi="Calibri" w:cs="Calibri"/>
                <w:color w:val="000000"/>
                <w:lang w:val="en-ZA" w:eastAsia="en-ZA"/>
              </w:rPr>
              <w:instrText xml:space="preserve"> ADDIN ZOTERO_ITEM CSL_CITATION {"citationID":"0Zfl5dEo","properties":{"formattedCitation":"(143)","plainCitation":"(143)","noteIndex":0},"citationItems":[{"id":186,"uris":["http://zotero.org/users/6216265/items/573V8CBS"],"itemData":{"id":186,"type":"article-journal","abstract":"Alfimeprase, a fibrolase derivative with thrombolytic activity produced by recombinant DNA technology, was discovered by Amgen and was in development with Nuvelo for the treatment of stroke and catheter occlusion. However, development has been discontinued. Fibrolase is a zinc-containing metalloendopeptidase that was first isolated from the venom of the Southern copperhead snake, Agkistrodon contortrix contortrix. Alfimeprase directly degrades fibrin to break down clots. Alfimeprase is infused directly into the thrombus (side-hole catheter pushed through the entire clot) via multiple manual pulsed infusions. Alfimeprase degrades fibrin directly and entrapped blood cells are freed. Excess alfimeprase is rapidly inactivated by alpha-2 macroglobulin through an irreversible, covalent interaction. Phase III development of alfimeprase for peripheral arterial occlusion was discontinued based on poor results from the NAPA-2 and SONOMA-2 trials; however, Nuvelo resumed development of alfimeprase in 2007 for stroke and catheter occlusion.Alfimeprase's thrombolytic activity appears to be localized to the site of delivery because it is rapidly inactivated by alpha-2 macroglobulin, a naturally occurring protein in the blood, as it moves away from the site of delivery and into general blood circulation. In January 2002, Amgen and Hyseq Pharmaceuticals (now Nuvelo) entered into a collaboration to develop and commercialize alfimeprase. Nuvelo is to develop the product through clinical trials and Amgen was to be responsible for its manufacture. Both companies were to participate in commercial activities; Amgen was to have the option to lead these. Full financial terms were not disclosed. Further to this agreement, in November 2004 Amgen granted Nuvelo worldwide rights to develop and commercialize alfimeprase in exchange for milestone and royalty payments. In August 2007, Nuvelo decided to focus on core development programmes that it believed would produce the nearest-term proof-of-concept data. As a result of this realignment of organizational expenses, Nuvelo decided to continue to pursue the development of alfimeprase. In February 2003, Hyseq Pharmaceuticals merged with Variagenics Inc. to form Nuvelo Inc. In January 2006, Nuvelo and Bayer HealthCare entered a collaboration to develop and commercialize alfimeprase. Bayer was to commercialize the drug in all territories outside the US, whilst Nuvelo retains full US rights. Nuvelo was to receive other territory royalties and milestone payments to a total of $US385 million. A $US50 million upfront payment will be made to Nuvelo, while Bayer was to be responsible for 40% of the commercialization cost for global development. This partnership was to also develop stroke and deep vein thrombosis therapies. Data from the SONOMA-3 trial fell short of the company's expectations and so Nuvelo has decided to discontinue further development of alfimeprase. Nuvelo previously had decided to resume development of alfimeprase for the treatment of multiple coagulation-related disorders, including acute ischaemic stroke, catheter occlusion (CO) and acute peripheral arterial occlusion.Previously, results from the NAPA-2 (Novel Arterial Perfusion with Alfimeprase-2) trial and SONOMA-2 (Speedy Opening of Non-functional and Occluded catheters with Mini-dose Alfimeprase) phase III trial of alfimeprase in patients with acute peripheral arterial occlusion and catheter occlusion did not meet their primary endpoints. The primary endpoint of the NAPA-2 trial was the avoidance of surgery within 30 days of treatment with alfimeprase, whilst the SONOMA-2 trial's endpoint was the restoration of function at 15 minutes after dosing. In addition, these trials did not meet their secondary endpoints. As a result, Nuvelo and Bayer suspended enrolment in the NAPA-3 and SONOMA-3 phase III trials until additional analysis was complete; the SONOMA-3 trial was re-initiated. Nuvelo concluded that the delivery method for alfimeprase in the treatment of peripheral arterial occlusive disorders was suboptimal. The company closed the suspended NAPA-3 trial and planned to initiate preclinical studies focused on identifying optimized delivery methods in acute PAO in the second half of 2007. Data from the NAPA-2 trial suggested that efficacy could potentially be enhanced by maintaining alfimeprase longer at the site of the thrombus. Nuvelo's multinational phase III programme for peripheral arterial occlusion consisted of the NAPA-2 and NAPA-3 trials. Both trials were randomized, double-blind studies comparing 0.3 mg/kg of alfimeprase with placebo in a total of 600 patients in 100 centres. The primary endpoint of the NAPA-2 trial was the avoidance of surgery within 30 days of treatment; secondary endpoints included safety and pharmacoeconomics such as length of hospital and intensive care unit stay. Results from both trials have been presented. The phase II trial (NAPA-1) was completed in June 2004. This open-label, dose-escalation trial assessed the safety and efficacy of alfimeprase in 115 patients with acute peripheral arterial occlusion and was conducted in centres across the US, Europe and South Africa. Full data from the trial have been presented, which indicated that the 0.3 mg/kg dose appeared to be the optimal dose for investigation in phase III trials. In March 2003, Nuvelo announced the positive results of a phase I trial initiated in the US in July 2002; an IND was transferred from Amgen to Nuvelo in January 2002. In the SONOMA-2 trial, alfimeprase restored catheter function in patients with occluded catheters within 15 minutes with a p-value of 0.022. However, it did not meet the company's target product profile for commercial success with a p-value &lt; 0.00125. Data from a phase II trial were presented at the 46th Annual Meeting of the American Society of Hematology held in December 2004. The study was closed in July 2004 with 55 patients enrolled. Initially the phase II study was to compare three doses of alfimeprase with the approved dose of alteplase in over 90 patients in the US. Nuvelo initiated the phase II CARNEROS-1 (Catheter Directed Alfimeprase for Restoration of Neurologic Function and Rapid Opening of Arteries in Stroke) study of alfimeprase in the treatment of acute ischaemic stroke in June 2007. CARNEROS-1 was a multicentre, open-label, dose-escalation study beginning with doses of 1, 5 and 10 mg of alfimeprase in 100 patients within 3-9 hours of stroke onset. The primary endpoints were recanalization (unblocking) of the occlusive lesion within 120 minutes of treatment, and symptomatic intracerebral haemorrhage. The first patient was dosed in December 2007; enrolment was taking place in the US and Canada. In the US, three patents have been issued relating to alfimeprase; US Patent Nos 6 261 820 (alfimeprase protein sequence), 6 440 414 (formulation of alfimeprase with a zinc stabilizer) and 6 455 269 (methods for localized administration of alfimeprase).","archive":"cmedm","archive_location":"18457471","container-title":"Drugs in R&amp;D","DOI":"10.2165/00126839-200809030-00006","ISSN":"1174-5886","issue":"3","journalAbbreviation":"Drugs in R&amp;D","note":"publisher-place: New Zealand\npublisher: Adis, Springer International","page":"185-190","source":"EBSCOhost","title":"Alfimeprase.","volume":"9","issued":{"date-parts":[["2008"]]}}}],"schema":"https://github.com/citation-style-language/schema/raw/master/csl-citation.json"} </w:instrText>
            </w:r>
            <w:r w:rsidR="0053067F">
              <w:rPr>
                <w:rFonts w:ascii="Calibri" w:eastAsia="Times New Roman" w:hAnsi="Calibri" w:cs="Calibri"/>
                <w:color w:val="000000"/>
                <w:lang w:val="en-ZA" w:eastAsia="en-ZA"/>
              </w:rPr>
              <w:fldChar w:fldCharType="separate"/>
            </w:r>
            <w:r w:rsidR="0053067F" w:rsidRPr="0053067F">
              <w:rPr>
                <w:rFonts w:ascii="Calibri" w:hAnsi="Calibri" w:cs="Calibri"/>
              </w:rPr>
              <w:t>(143)</w:t>
            </w:r>
            <w:r w:rsidR="0053067F">
              <w:rPr>
                <w:rFonts w:ascii="Calibri" w:eastAsia="Times New Roman" w:hAnsi="Calibri" w:cs="Calibri"/>
                <w:color w:val="000000"/>
                <w:lang w:val="en-ZA" w:eastAsia="en-ZA"/>
              </w:rPr>
              <w:fldChar w:fldCharType="end"/>
            </w:r>
          </w:p>
        </w:tc>
        <w:tc>
          <w:tcPr>
            <w:tcW w:w="1464" w:type="dxa"/>
            <w:noWrap/>
            <w:hideMark/>
          </w:tcPr>
          <w:p w14:paraId="3B81B50A"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2008</w:t>
            </w:r>
          </w:p>
        </w:tc>
        <w:tc>
          <w:tcPr>
            <w:tcW w:w="2043" w:type="dxa"/>
            <w:noWrap/>
            <w:hideMark/>
          </w:tcPr>
          <w:p w14:paraId="18BB31D8"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B763B0C" w14:textId="77777777" w:rsidTr="00366ACD">
        <w:trPr>
          <w:trHeight w:val="270"/>
        </w:trPr>
        <w:tc>
          <w:tcPr>
            <w:tcW w:w="2703" w:type="dxa"/>
            <w:noWrap/>
            <w:hideMark/>
          </w:tcPr>
          <w:p w14:paraId="0312BBD6" w14:textId="04820420" w:rsidR="00696AF0" w:rsidRPr="00696AF0" w:rsidRDefault="00696AF0" w:rsidP="005E09B5">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Rathod </w:t>
            </w:r>
            <w:r w:rsidR="000620EA">
              <w:rPr>
                <w:rFonts w:ascii="Calibri" w:eastAsia="Times New Roman" w:hAnsi="Calibri" w:cs="Calibri"/>
                <w:color w:val="000000"/>
                <w:lang w:val="en-ZA" w:eastAsia="en-ZA"/>
              </w:rPr>
              <w:t>et al.</w:t>
            </w:r>
            <w:r w:rsidR="005E09B5">
              <w:rPr>
                <w:rFonts w:ascii="Calibri" w:eastAsia="Times New Roman" w:hAnsi="Calibri" w:cs="Calibri"/>
                <w:color w:val="000000"/>
                <w:lang w:val="en-ZA" w:eastAsia="en-ZA"/>
              </w:rPr>
              <w:t xml:space="preserve"> </w:t>
            </w:r>
            <w:r w:rsidR="005E09B5">
              <w:rPr>
                <w:rFonts w:ascii="Calibri" w:eastAsia="Times New Roman" w:hAnsi="Calibri" w:cs="Calibri"/>
                <w:color w:val="000000"/>
                <w:lang w:val="en-ZA" w:eastAsia="en-ZA"/>
              </w:rPr>
              <w:fldChar w:fldCharType="begin"/>
            </w:r>
            <w:r w:rsidR="005E09B5">
              <w:rPr>
                <w:rFonts w:ascii="Calibri" w:eastAsia="Times New Roman" w:hAnsi="Calibri" w:cs="Calibri"/>
                <w:color w:val="000000"/>
                <w:lang w:val="en-ZA" w:eastAsia="en-ZA"/>
              </w:rPr>
              <w:instrText xml:space="preserve"> ADDIN ZOTERO_ITEM CSL_CITATION {"citationID":"9wu74AX7","properties":{"formattedCitation":"(144)","plainCitation":"(144)","noteIndex":0},"citationItems":[{"id":3031,"uris":["http://zotero.org/users/6216265/items/NBURCEJG"],"itemData":{"id":3031,"type":"article-journal","abstract":"A QbD-DM(3) linked rational product design strategy was adopted to create a hybridized ritonavir (RTV, BCS Class IV) nanoamorphous micellar dispersion  (RTV-NAD). A DM(3) research strategy was employed in conjunction with the  quality-by-design spaces, and quality target product profile to link the critical  material attributes and critical process parameters to the quality target product  profile's critical product attributes QbD elements. A Box-Behnken design and  multivariate analysis using multiple linear regression and partial least squares  provided data analysis. The hybridized strategy leveraged three different  mechanisms to increase RTV's solubility and four mechanisms to increase its  dissolution rate. Statistically significant models were generated for critical  product attributes: particle size (p = 0.0000, R(2) adjusted = 0.9513),  polydispersity index (p = 0.0002, R(2) adjusted = 0.6398), zeta potential  (p = 0.0000, R(2) adjusted = 0.9744), and drug loading on a dry basis  (p = 0.0000, R(2) adjusted = 0.9951). The impact of drug concentration, Soluplus®  concentration, and solvent:antisolvent ratio, their interactions and square  effects on the critical product attributes were assessed by multivariate  analysis. The QbD optimal formulation was determined for RTV-NAD. Multiple linear  regression and partial least squares computational predictability was evaluated  using three verification batches. The prediction error for critical product  attributes was &lt;5%. RTV-NAD and ritonavir microsuspension were characterized by  x-ray diffraction and in-vitro dissolution studies. X-ray diffraction confirmed  the amorphous nature of the RTV-NAD. RTV-NAD exhibited a 'spring-hover'  dissolution profile at pH 4.5. At pH 6.8, a classic 'spring-parachute'  dissolution behavior was observed.","container-title":"International journal of pharmaceutics","DOI":"10.1016/j.ijpharm.2020.119727","ISSN":"1873-3476 0378-5173","journalAbbreviation":"Int J Pharm","language":"eng","license":"Copyright © 2020 Elsevier B.V. All rights reserved.","note":"publisher-place: Netherlands\nPMID: 32758594","page":"119727","title":"Hybridized nanoamorphous micellar dispersion using a QbD-DM(3) linked rational product design strategy for ritonavir: A BCS IV drug.","volume":"588","author":[{"family":"Rathod","given":"Vishal"},{"family":"Stagner","given":"William C."},{"family":"Gajera","given":"Bhavin"},{"family":"Haware","given":"Rahul V."}],"issued":{"date-parts":[["2020",10,15]]}}}],"schema":"https://github.com/citation-style-language/schema/raw/master/csl-citation.json"} </w:instrText>
            </w:r>
            <w:r w:rsidR="005E09B5">
              <w:rPr>
                <w:rFonts w:ascii="Calibri" w:eastAsia="Times New Roman" w:hAnsi="Calibri" w:cs="Calibri"/>
                <w:color w:val="000000"/>
                <w:lang w:val="en-ZA" w:eastAsia="en-ZA"/>
              </w:rPr>
              <w:fldChar w:fldCharType="separate"/>
            </w:r>
            <w:r w:rsidR="005E09B5" w:rsidRPr="005E09B5">
              <w:rPr>
                <w:rFonts w:ascii="Calibri" w:hAnsi="Calibri" w:cs="Calibri"/>
              </w:rPr>
              <w:t>(144)</w:t>
            </w:r>
            <w:r w:rsidR="005E09B5">
              <w:rPr>
                <w:rFonts w:ascii="Calibri" w:eastAsia="Times New Roman" w:hAnsi="Calibri" w:cs="Calibri"/>
                <w:color w:val="000000"/>
                <w:lang w:val="en-ZA" w:eastAsia="en-ZA"/>
              </w:rPr>
              <w:fldChar w:fldCharType="end"/>
            </w:r>
          </w:p>
        </w:tc>
        <w:tc>
          <w:tcPr>
            <w:tcW w:w="1464" w:type="dxa"/>
            <w:noWrap/>
            <w:hideMark/>
          </w:tcPr>
          <w:p w14:paraId="00BC9FE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0C49637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266FA121" w14:textId="77777777" w:rsidTr="00366ACD">
        <w:trPr>
          <w:trHeight w:val="270"/>
        </w:trPr>
        <w:tc>
          <w:tcPr>
            <w:tcW w:w="2703" w:type="dxa"/>
            <w:noWrap/>
            <w:hideMark/>
          </w:tcPr>
          <w:p w14:paraId="41C40550" w14:textId="0AE4EAA3" w:rsidR="00696AF0" w:rsidRPr="00696AF0" w:rsidRDefault="00696AF0" w:rsidP="005E09B5">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Raw </w:t>
            </w:r>
            <w:r w:rsidR="000620EA">
              <w:rPr>
                <w:rFonts w:ascii="Calibri" w:eastAsia="Times New Roman" w:hAnsi="Calibri" w:cs="Calibri"/>
                <w:color w:val="000000"/>
                <w:lang w:val="en-ZA" w:eastAsia="en-ZA"/>
              </w:rPr>
              <w:t>et al.</w:t>
            </w:r>
            <w:r w:rsidR="005E09B5">
              <w:rPr>
                <w:rFonts w:ascii="Calibri" w:eastAsia="Times New Roman" w:hAnsi="Calibri" w:cs="Calibri"/>
                <w:color w:val="000000"/>
                <w:lang w:val="en-ZA" w:eastAsia="en-ZA"/>
              </w:rPr>
              <w:t xml:space="preserve"> </w:t>
            </w:r>
            <w:r w:rsidR="005E09B5">
              <w:rPr>
                <w:rFonts w:ascii="Calibri" w:eastAsia="Times New Roman" w:hAnsi="Calibri" w:cs="Calibri"/>
                <w:color w:val="000000"/>
                <w:lang w:val="en-ZA" w:eastAsia="en-ZA"/>
              </w:rPr>
              <w:fldChar w:fldCharType="begin"/>
            </w:r>
            <w:r w:rsidR="005E09B5">
              <w:rPr>
                <w:rFonts w:ascii="Calibri" w:eastAsia="Times New Roman" w:hAnsi="Calibri" w:cs="Calibri"/>
                <w:color w:val="000000"/>
                <w:lang w:val="en-ZA" w:eastAsia="en-ZA"/>
              </w:rPr>
              <w:instrText xml:space="preserve"> ADDIN ZOTERO_ITEM CSL_CITATION {"citationID":"JqeiEPUk","properties":{"formattedCitation":"(145)","plainCitation":"(145)","noteIndex":0},"citationItems":[{"id":195,"uris":["http://zotero.org/users/6216265/items/ND9NDYQI"],"itemData":{"id":195,"type":"article-journal","abstract":"The Office of Generic Drugs has ensured the high quality of generic products based upon two requirements: pharmaceutical equivalence and bioequivalence to the reference listed drug (RLD). This paradigm has been used with success toward ensuring quality generic drug products that provide the same therapeutic benefit as the RLD. Drug products have increased in design complexity; as a result, approaches to ensure therapeutic equivalence must evolve to provide assurance of quality generic drug products. The Food and Drug Administration quality by design initiative (QbD) provides an enhanced evaluation approach by introducing the concept of a quality target product profile (QTPP). The QTPP introduces, within the context of the current regulatory framework, the quality concept of \"pharmaceutical equivalence by design.\" This article illustrates through several examples how this QbD element in the evaluation of modified-release drug products enhances the current framework to ensure generic drug product equivalence. It achieves this by complementing the traditional paradigm, \"equivalence by testing,\" where product equivalence is based upon inferences from a limited bioequivalence study, to one that also considers whether the drug product was developed to be an equivalent to the RLD, using appropriate quality surrogates that target \"pharmaceutical equivalence by design.\"","archive":"cmedm","archive_location":"21387150","container-title":"Pharmaceutical research","DOI":"10.1007/s11095-011-0397-6","ISSN":"1573-904X","issue":"7","journalAbbreviation":"Pharmaceutical research","note":"publisher-place: United States\npublisher: Kluwer Academic/Plenum Publishers","page":"1445-1453","source":"EBSCOhost","title":"Pharmaceutical equivalence by design for generic drugs: modified-release products.","volume":"28","author":[{"family":"Raw","given":"André Sirota"},{"family":"Lionberger","given":"Robert"},{"family":"Yu","given":"Lawrence X"}],"issued":{"date-parts":[["2011",7]]}}}],"schema":"https://github.com/citation-style-language/schema/raw/master/csl-citation.json"} </w:instrText>
            </w:r>
            <w:r w:rsidR="005E09B5">
              <w:rPr>
                <w:rFonts w:ascii="Calibri" w:eastAsia="Times New Roman" w:hAnsi="Calibri" w:cs="Calibri"/>
                <w:color w:val="000000"/>
                <w:lang w:val="en-ZA" w:eastAsia="en-ZA"/>
              </w:rPr>
              <w:fldChar w:fldCharType="separate"/>
            </w:r>
            <w:r w:rsidR="005E09B5" w:rsidRPr="005E09B5">
              <w:rPr>
                <w:rFonts w:ascii="Calibri" w:hAnsi="Calibri" w:cs="Calibri"/>
              </w:rPr>
              <w:t>(145)</w:t>
            </w:r>
            <w:r w:rsidR="005E09B5">
              <w:rPr>
                <w:rFonts w:ascii="Calibri" w:eastAsia="Times New Roman" w:hAnsi="Calibri" w:cs="Calibri"/>
                <w:color w:val="000000"/>
                <w:lang w:val="en-ZA" w:eastAsia="en-ZA"/>
              </w:rPr>
              <w:fldChar w:fldCharType="end"/>
            </w:r>
          </w:p>
        </w:tc>
        <w:tc>
          <w:tcPr>
            <w:tcW w:w="1464" w:type="dxa"/>
            <w:noWrap/>
            <w:hideMark/>
          </w:tcPr>
          <w:p w14:paraId="180CB29E"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2011</w:t>
            </w:r>
          </w:p>
        </w:tc>
        <w:tc>
          <w:tcPr>
            <w:tcW w:w="2043" w:type="dxa"/>
            <w:noWrap/>
            <w:hideMark/>
          </w:tcPr>
          <w:p w14:paraId="7168129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701FE59D" w14:textId="77777777" w:rsidTr="00366ACD">
        <w:trPr>
          <w:trHeight w:val="270"/>
        </w:trPr>
        <w:tc>
          <w:tcPr>
            <w:tcW w:w="2703" w:type="dxa"/>
            <w:noWrap/>
            <w:hideMark/>
          </w:tcPr>
          <w:p w14:paraId="2385495B" w14:textId="0B0A2CBC" w:rsidR="00696AF0" w:rsidRPr="00696AF0" w:rsidRDefault="00696AF0" w:rsidP="00B14DD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Rawal </w:t>
            </w:r>
            <w:r w:rsidR="000620EA">
              <w:rPr>
                <w:rFonts w:ascii="Calibri" w:eastAsia="Times New Roman" w:hAnsi="Calibri" w:cs="Calibri"/>
                <w:color w:val="000000"/>
                <w:lang w:val="en-ZA" w:eastAsia="en-ZA"/>
              </w:rPr>
              <w:t>et al.</w:t>
            </w:r>
            <w:r w:rsidR="00B14DD0">
              <w:rPr>
                <w:rFonts w:ascii="Calibri" w:eastAsia="Times New Roman" w:hAnsi="Calibri" w:cs="Calibri"/>
                <w:color w:val="000000"/>
                <w:lang w:val="en-ZA" w:eastAsia="en-ZA"/>
              </w:rPr>
              <w:t xml:space="preserve"> </w:t>
            </w:r>
            <w:r w:rsidR="00B14DD0">
              <w:rPr>
                <w:rFonts w:ascii="Calibri" w:eastAsia="Times New Roman" w:hAnsi="Calibri" w:cs="Calibri"/>
                <w:color w:val="000000"/>
                <w:lang w:val="en-ZA" w:eastAsia="en-ZA"/>
              </w:rPr>
              <w:fldChar w:fldCharType="begin"/>
            </w:r>
            <w:r w:rsidR="00B14DD0">
              <w:rPr>
                <w:rFonts w:ascii="Calibri" w:eastAsia="Times New Roman" w:hAnsi="Calibri" w:cs="Calibri"/>
                <w:color w:val="000000"/>
                <w:lang w:val="en-ZA" w:eastAsia="en-ZA"/>
              </w:rPr>
              <w:instrText xml:space="preserve"> ADDIN ZOTERO_ITEM CSL_CITATION {"citationID":"kAZvSMAo","properties":{"formattedCitation":"(146)","plainCitation":"(146)","noteIndex":0},"citationItems":[{"id":673,"uris":["http://zotero.org/users/6216265/items/U8R9NVJV"],"itemData":{"id":673,"type":"article-journal","abstract":"The purpose of this review is to discuss the challenges associated with the development of nanoparticle-based quality drug products in adhering to the  principles of quality by design (QbD) and defining appropriate quality parameters  towards successful product development. With the advent of nanotechnology into  the pharmaceutical field, the novel field of nanomedicine was born. Due to their  unique properties in terms of size, conformation and targeted delivery,  nanomedicines are able to overcome many drawbacks of conventional medicine. As  nano-sized formulations have made their way into more and more therapies, it has  became clear that these very unique properties create hurdles for nanomedicines  in successfully traversing the regulatory pathways and there is a need to develop  nanomedicines in a more controlled and consistent fashion. The elements of a QbD  methodology explained in this review enable the development of nano-based  formulations in a way that maximizes the possibility of success. The  identification of critical quality attributes (CQA) of the drug product and its  intermediates are discussed in detail with a focus on nanomaterial-based  formulations. In conclusion, QbD and the identification and specification of CQAs  at its core are critical to the design, development and growth of nanomaterials  in pharmaceuticals.","container-title":"Pharmaceutical research","DOI":"10.1007/s11095-019-2692-6","ISSN":"1573-904X 0724-8741","issue":"11","journalAbbreviation":"Pharm Res","language":"eng","note":"publisher-place: United States\nPMID: 31482243","page":"153","title":"Quality-by-Design Concepts to Improve Nanotechnology-Based Drug Development.","volume":"36","author":[{"family":"Rawal","given":"Meghana"},{"family":"Singh","given":"Amit"},{"family":"Amiji","given":"Mansoor M."}],"issued":{"date-parts":[["2019",9,3]]}}}],"schema":"https://github.com/citation-style-language/schema/raw/master/csl-citation.json"} </w:instrText>
            </w:r>
            <w:r w:rsidR="00B14DD0">
              <w:rPr>
                <w:rFonts w:ascii="Calibri" w:eastAsia="Times New Roman" w:hAnsi="Calibri" w:cs="Calibri"/>
                <w:color w:val="000000"/>
                <w:lang w:val="en-ZA" w:eastAsia="en-ZA"/>
              </w:rPr>
              <w:fldChar w:fldCharType="separate"/>
            </w:r>
            <w:r w:rsidR="00B14DD0" w:rsidRPr="00B14DD0">
              <w:rPr>
                <w:rFonts w:ascii="Calibri" w:hAnsi="Calibri" w:cs="Calibri"/>
              </w:rPr>
              <w:t>(146)</w:t>
            </w:r>
            <w:r w:rsidR="00B14DD0">
              <w:rPr>
                <w:rFonts w:ascii="Calibri" w:eastAsia="Times New Roman" w:hAnsi="Calibri" w:cs="Calibri"/>
                <w:color w:val="000000"/>
                <w:lang w:val="en-ZA" w:eastAsia="en-ZA"/>
              </w:rPr>
              <w:fldChar w:fldCharType="end"/>
            </w:r>
          </w:p>
        </w:tc>
        <w:tc>
          <w:tcPr>
            <w:tcW w:w="1464" w:type="dxa"/>
            <w:noWrap/>
            <w:hideMark/>
          </w:tcPr>
          <w:p w14:paraId="4B5BDDC8"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367F792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70FCF36" w14:textId="77777777" w:rsidTr="00366ACD">
        <w:trPr>
          <w:trHeight w:val="270"/>
        </w:trPr>
        <w:tc>
          <w:tcPr>
            <w:tcW w:w="2703" w:type="dxa"/>
            <w:noWrap/>
            <w:hideMark/>
          </w:tcPr>
          <w:p w14:paraId="12B8A608" w14:textId="2062E0A5" w:rsidR="00696AF0" w:rsidRPr="00696AF0" w:rsidRDefault="00696AF0" w:rsidP="00B14DD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Rayfield </w:t>
            </w:r>
            <w:r w:rsidR="000620EA">
              <w:rPr>
                <w:rFonts w:ascii="Calibri" w:eastAsia="Times New Roman" w:hAnsi="Calibri" w:cs="Calibri"/>
                <w:color w:val="000000"/>
                <w:lang w:val="en-ZA" w:eastAsia="en-ZA"/>
              </w:rPr>
              <w:t>et al.</w:t>
            </w:r>
            <w:r w:rsidR="00B14DD0">
              <w:rPr>
                <w:rFonts w:ascii="Calibri" w:eastAsia="Times New Roman" w:hAnsi="Calibri" w:cs="Calibri"/>
                <w:color w:val="000000"/>
                <w:lang w:val="en-ZA" w:eastAsia="en-ZA"/>
              </w:rPr>
              <w:t xml:space="preserve"> </w:t>
            </w:r>
            <w:r w:rsidR="00B14DD0">
              <w:rPr>
                <w:rFonts w:ascii="Calibri" w:eastAsia="Times New Roman" w:hAnsi="Calibri" w:cs="Calibri"/>
                <w:color w:val="000000"/>
                <w:lang w:val="en-ZA" w:eastAsia="en-ZA"/>
              </w:rPr>
              <w:fldChar w:fldCharType="begin"/>
            </w:r>
            <w:r w:rsidR="00B14DD0">
              <w:rPr>
                <w:rFonts w:ascii="Calibri" w:eastAsia="Times New Roman" w:hAnsi="Calibri" w:cs="Calibri"/>
                <w:color w:val="000000"/>
                <w:lang w:val="en-ZA" w:eastAsia="en-ZA"/>
              </w:rPr>
              <w:instrText xml:space="preserve"> ADDIN ZOTERO_ITEM CSL_CITATION {"citationID":"iJoDaCEm","properties":{"formattedCitation":"(147)","plainCitation":"(147)","noteIndex":0},"citationItems":[{"id":58,"uris":["http://zotero.org/users/6216265/items/MUHB2WQF"],"itemData":{"id":58,"type":"article-journal","abstract":"The storage of drug substance at subzero temperatures mitigates potential risks associated with liquid storage, such as degradation and shipping stress, making  it the best solution for long-term storage. However, slower (generally  uncontrolled) rates of freezing and thawing of drug substance in conventional  large storage containers (&gt;2L) can lead to greater cryoconcentration (exclusion  of solute molecules) resulting in zones of higher protein and excipient  concentrations and changes to the desired formulation pH and excipient  concentration. These conditions can negatively impact product quality, thus  changing the target product profile. Freeze/thaw studies can provide valuable  knowledge on the molecule even when performed from an early formulation image.  This study attempts to provide guidance and strategy for planning of drug  substance freeze and thaw studies in early development using a scale-down model,  evaluating the impact of the (1) freeze/thaw rate, (2) mode of freezing, (3) drug  substance container, (4) drug substance concentration, and (5) formulation on the  drug substance product quality. Data presented in this study showed no impact on  drug substance product quality after undergoing the typical one freeze/thaw cycle  process for the variables evaluated. These findings suggest that a qualified  scale-down model is not required for early phases of process development and that  existing small-scale models can be used for drug substance storage development  studies. Based on our experience, a workflow is suggested with minimal  experimental design to reduce the material requirement by &gt;70% at early stages of  product development to reduce constraints.","container-title":"Journal of pharmaceutical sciences","DOI":"10.1016/j.xphs.2017.03.019","ISSN":"1520-6017 0022-3549","issue":"8","journalAbbreviation":"J Pharm Sci","language":"eng","license":"Copyright © 2017 American Pharmacists Association®. Published by Elsevier Inc. All rights reserved.","note":"publisher-place: United States\nPMID: 28343990","page":"1944-1951","title":"Impact of Freeze/Thaw Process on Drug Substance Storage of Therapeutics.","volume":"106","author":[{"family":"Rayfield","given":"William J."},{"family":"Kandula","given":"Sunitha"},{"family":"Khan","given":"Heera"},{"family":"Tugcu","given":"Nihal"}],"issued":{"date-parts":[["2017",8]]}}}],"schema":"https://github.com/citation-style-language/schema/raw/master/csl-citation.json"} </w:instrText>
            </w:r>
            <w:r w:rsidR="00B14DD0">
              <w:rPr>
                <w:rFonts w:ascii="Calibri" w:eastAsia="Times New Roman" w:hAnsi="Calibri" w:cs="Calibri"/>
                <w:color w:val="000000"/>
                <w:lang w:val="en-ZA" w:eastAsia="en-ZA"/>
              </w:rPr>
              <w:fldChar w:fldCharType="separate"/>
            </w:r>
            <w:r w:rsidR="00B14DD0" w:rsidRPr="00B14DD0">
              <w:rPr>
                <w:rFonts w:ascii="Calibri" w:hAnsi="Calibri" w:cs="Calibri"/>
              </w:rPr>
              <w:t>(147)</w:t>
            </w:r>
            <w:r w:rsidR="00B14DD0">
              <w:rPr>
                <w:rFonts w:ascii="Calibri" w:eastAsia="Times New Roman" w:hAnsi="Calibri" w:cs="Calibri"/>
                <w:color w:val="000000"/>
                <w:lang w:val="en-ZA" w:eastAsia="en-ZA"/>
              </w:rPr>
              <w:fldChar w:fldCharType="end"/>
            </w:r>
          </w:p>
        </w:tc>
        <w:tc>
          <w:tcPr>
            <w:tcW w:w="1464" w:type="dxa"/>
            <w:noWrap/>
            <w:hideMark/>
          </w:tcPr>
          <w:p w14:paraId="50C64D42"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2017</w:t>
            </w:r>
          </w:p>
        </w:tc>
        <w:tc>
          <w:tcPr>
            <w:tcW w:w="2043" w:type="dxa"/>
            <w:noWrap/>
            <w:hideMark/>
          </w:tcPr>
          <w:p w14:paraId="188F5B8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206F3B13" w14:textId="77777777" w:rsidTr="00366ACD">
        <w:trPr>
          <w:trHeight w:val="270"/>
        </w:trPr>
        <w:tc>
          <w:tcPr>
            <w:tcW w:w="2703" w:type="dxa"/>
            <w:noWrap/>
            <w:hideMark/>
          </w:tcPr>
          <w:p w14:paraId="148D30AC" w14:textId="0C50E433" w:rsidR="00696AF0" w:rsidRPr="00696AF0" w:rsidRDefault="00696AF0" w:rsidP="00CB3845">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Roudier</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CB3845">
              <w:rPr>
                <w:rFonts w:ascii="Calibri" w:eastAsia="Times New Roman" w:hAnsi="Calibri" w:cs="Calibri"/>
                <w:color w:val="000000"/>
                <w:lang w:val="en-ZA" w:eastAsia="en-ZA"/>
              </w:rPr>
              <w:t xml:space="preserve"> </w:t>
            </w:r>
            <w:r w:rsidR="00CB3845">
              <w:rPr>
                <w:rFonts w:ascii="Calibri" w:eastAsia="Times New Roman" w:hAnsi="Calibri" w:cs="Calibri"/>
                <w:color w:val="000000"/>
                <w:lang w:val="en-ZA" w:eastAsia="en-ZA"/>
              </w:rPr>
              <w:fldChar w:fldCharType="begin"/>
            </w:r>
            <w:r w:rsidR="00CB3845">
              <w:rPr>
                <w:rFonts w:ascii="Calibri" w:eastAsia="Times New Roman" w:hAnsi="Calibri" w:cs="Calibri"/>
                <w:color w:val="000000"/>
                <w:lang w:val="en-ZA" w:eastAsia="en-ZA"/>
              </w:rPr>
              <w:instrText xml:space="preserve"> ADDIN ZOTERO_ITEM CSL_CITATION {"citationID":"PACyuMom","properties":{"formattedCitation":"(148)","plainCitation":"(148)","noteIndex":0},"citationItems":[{"id":6,"uris":["http://zotero.org/users/6216265/items/5H9XQ2N4"],"itemData":{"id":6,"type":"article-journal","abstract":"The in vitro-in vivo correlation (IVIVC) (Food and Drug Administration 1997) aims to predict performances in vivo of a pharmaceutical formulation based on its in  vitro characteristics. It is a complex process that (i) incorporates in a gradual  and incremental way a large amount of information and (ii) requires information  from different properties (formulation, analytical, clinical) and associated  dedicated treatments (statistics, modeling, simulation). These results in many  studies that are initiated and integrated into the specifications (quality target  product profile, QTPP). This latter defines the appropriate experimental designs  (quality by design, QbD) (Food and Drug Administration 2011, 2012) whose main  objectives are determination (i) of key factors of development and manufacturing  (critical process parameters, CPPs) and (ii) of critical points of  physicochemical nature relating to active ingredients (API) and critical quality  attribute (CQA) which may have implications in terms of efficiency, safety, and  inoffensiveness for the patient, due to their non-inclusion. These processes  generate a very large amount of data that is necessary to structure. In this  context, the storage of information in a database (DB) and the management of this  database (database management system, DBMS) become an important issue for the  management of projects and IVIVC and more generally for development of new  pharmaceutical forms. This article describes the implementation of a prototype  object-oriented database (OODB) considered as a tool, which is helpful for  decision taking, responding in a structured and consistent way to the issues of  project management of IVIVC (including bioequivalence and bioavailability) (Food  and Drug Administration 2003) necessary for the implementation of QTPP.","container-title":"The AAPS journal","DOI":"10.1208/s12248-014-9680-x","ISSN":"1550-7416","issue":"1","journalAbbreviation":"AAPS J","language":"eng","note":"PMID: 25387995 \nPMCID: PMC4287291","page":"24-34","title":"Impact of data base structure in a successful in vitro-in vivo correlation for pharmaceutical products.","volume":"17","author":[{"family":"Roudier","given":"B."},{"family":"Davit","given":"B."},{"family":"Schütz","given":"H."},{"family":"Cardot","given":"J.-M."}],"issued":{"date-parts":[["2015",1]]}}}],"schema":"https://github.com/citation-style-language/schema/raw/master/csl-citation.json"} </w:instrText>
            </w:r>
            <w:r w:rsidR="00CB3845">
              <w:rPr>
                <w:rFonts w:ascii="Calibri" w:eastAsia="Times New Roman" w:hAnsi="Calibri" w:cs="Calibri"/>
                <w:color w:val="000000"/>
                <w:lang w:val="en-ZA" w:eastAsia="en-ZA"/>
              </w:rPr>
              <w:fldChar w:fldCharType="separate"/>
            </w:r>
            <w:r w:rsidR="00CB3845" w:rsidRPr="00CB3845">
              <w:rPr>
                <w:rFonts w:ascii="Calibri" w:hAnsi="Calibri" w:cs="Calibri"/>
              </w:rPr>
              <w:t>(148)</w:t>
            </w:r>
            <w:r w:rsidR="00CB3845">
              <w:rPr>
                <w:rFonts w:ascii="Calibri" w:eastAsia="Times New Roman" w:hAnsi="Calibri" w:cs="Calibri"/>
                <w:color w:val="000000"/>
                <w:lang w:val="en-ZA" w:eastAsia="en-ZA"/>
              </w:rPr>
              <w:fldChar w:fldCharType="end"/>
            </w:r>
          </w:p>
        </w:tc>
        <w:tc>
          <w:tcPr>
            <w:tcW w:w="1464" w:type="dxa"/>
            <w:noWrap/>
            <w:hideMark/>
          </w:tcPr>
          <w:p w14:paraId="0790F91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2015</w:t>
            </w:r>
          </w:p>
        </w:tc>
        <w:tc>
          <w:tcPr>
            <w:tcW w:w="2043" w:type="dxa"/>
            <w:noWrap/>
            <w:hideMark/>
          </w:tcPr>
          <w:p w14:paraId="23706AF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7BBFDFA" w14:textId="77777777" w:rsidTr="00366ACD">
        <w:trPr>
          <w:trHeight w:val="270"/>
        </w:trPr>
        <w:tc>
          <w:tcPr>
            <w:tcW w:w="2703" w:type="dxa"/>
            <w:noWrap/>
            <w:hideMark/>
          </w:tcPr>
          <w:p w14:paraId="663A00D9" w14:textId="164F2C3B" w:rsidR="00696AF0" w:rsidRPr="00696AF0" w:rsidRDefault="00696AF0" w:rsidP="00CB3845">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Salave</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CB3845">
              <w:rPr>
                <w:rFonts w:ascii="Calibri" w:eastAsia="Times New Roman" w:hAnsi="Calibri" w:cs="Calibri"/>
                <w:color w:val="000000"/>
                <w:lang w:val="en-ZA" w:eastAsia="en-ZA"/>
              </w:rPr>
              <w:t xml:space="preserve"> </w:t>
            </w:r>
            <w:r w:rsidR="00CB3845">
              <w:rPr>
                <w:rFonts w:ascii="Calibri" w:eastAsia="Times New Roman" w:hAnsi="Calibri" w:cs="Calibri"/>
                <w:color w:val="000000"/>
                <w:lang w:val="en-ZA" w:eastAsia="en-ZA"/>
              </w:rPr>
              <w:fldChar w:fldCharType="begin"/>
            </w:r>
            <w:r w:rsidR="00CB3845">
              <w:rPr>
                <w:rFonts w:ascii="Calibri" w:eastAsia="Times New Roman" w:hAnsi="Calibri" w:cs="Calibri"/>
                <w:color w:val="000000"/>
                <w:lang w:val="en-ZA" w:eastAsia="en-ZA"/>
              </w:rPr>
              <w:instrText xml:space="preserve"> ADDIN ZOTERO_ITEM CSL_CITATION {"citationID":"BEGEcAVW","properties":{"formattedCitation":"(149)","plainCitation":"(149)","noteIndex":0},"citationItems":[{"id":176,"uris":["http://zotero.org/users/6216265/items/NC5J85SB"],"itemData":{"id":176,"type":"article-journal","abstract":"BACKGROUND: Screening of critical variables, including formulation and process variables, in the development of various dosage forms facilitates the  identification of the most influencing parameters, which modulate the responses,  thereby helping in building the strong quality target product profile. OBJECTIVE:  The objective of the present work was to screen out the most influential and  critical variables for the development of an anabolic peptide encapsulated lipid  nanovesicles (PTH-LNVs). METHODS: PTH-LNVs were prepared by the ethanol injection  method. Taguchi standard orthogonal array L8 design was employed to assess the  effect of formulation and processing variables on different response variables.  Independent variables considered were drug concentration, lipid concentration,  cholesterol concentration, stirring rate, and rate of injection, whereas  dependent variables studied were particle size, PDI, zeta potential, % entrapment  efficiency, and % drug loading. Particle size, PDI, and zeta potential were  evaluated by a zeta sizer. Drug loading efficiency and % entrapment efficiency  were determined by HPLC analysis. RESULTS: The ethanol injection method was  employed to formulate PTH-LNVs using Taguchi standard orthogonal array L8 design.  From the half-normal plot and Pareto ranking analysis, it was found that drug,  lipid, and cholesterol concentration have a significant effect on responses to  formulation and are hence considered critical variables during the formulation  development. CONCLUSION: The presented work demonstrates the feasibility of  Taguchi orthogonal array design in the screening of potential independent factors  in the development of peptide encapsulated nanoformulations.","container-title":"Current protein &amp; peptide science","DOI":"10.2174/1389203723666220822120305","ISSN":"1875-5550 1389-2037","journalAbbreviation":"Curr Protein Pept Sci","language":"eng","license":"Copyright© Bentham Science Publishers; For any queries, please email at epub@benthamscience.net.","note":"publisher-place: United Arab Emirates\nPMID: 35996259","title":"Encapsulation of Anabolic Peptide in Lipid Nano Vesicles for Osteoporosis.","author":[{"family":"Salave","given":"Sagar"},{"family":"Rana","given":"Dhwani"},{"family":"Benival","given":"Derajram"}],"issued":{"date-parts":[["2022",8,22]]}}}],"schema":"https://github.com/citation-style-language/schema/raw/master/csl-citation.json"} </w:instrText>
            </w:r>
            <w:r w:rsidR="00CB3845">
              <w:rPr>
                <w:rFonts w:ascii="Calibri" w:eastAsia="Times New Roman" w:hAnsi="Calibri" w:cs="Calibri"/>
                <w:color w:val="000000"/>
                <w:lang w:val="en-ZA" w:eastAsia="en-ZA"/>
              </w:rPr>
              <w:fldChar w:fldCharType="separate"/>
            </w:r>
            <w:r w:rsidR="00CB3845" w:rsidRPr="00CB3845">
              <w:rPr>
                <w:rFonts w:ascii="Calibri" w:hAnsi="Calibri" w:cs="Calibri"/>
              </w:rPr>
              <w:t>(149)</w:t>
            </w:r>
            <w:r w:rsidR="00CB3845">
              <w:rPr>
                <w:rFonts w:ascii="Calibri" w:eastAsia="Times New Roman" w:hAnsi="Calibri" w:cs="Calibri"/>
                <w:color w:val="000000"/>
                <w:lang w:val="en-ZA" w:eastAsia="en-ZA"/>
              </w:rPr>
              <w:fldChar w:fldCharType="end"/>
            </w:r>
          </w:p>
        </w:tc>
        <w:tc>
          <w:tcPr>
            <w:tcW w:w="1464" w:type="dxa"/>
            <w:noWrap/>
            <w:hideMark/>
          </w:tcPr>
          <w:p w14:paraId="5A3F6078"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4F68CB4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15101E3" w14:textId="77777777" w:rsidTr="00366ACD">
        <w:trPr>
          <w:trHeight w:val="270"/>
        </w:trPr>
        <w:tc>
          <w:tcPr>
            <w:tcW w:w="2703" w:type="dxa"/>
            <w:noWrap/>
            <w:hideMark/>
          </w:tcPr>
          <w:p w14:paraId="420B2FFF" w14:textId="766093A5" w:rsidR="00696AF0" w:rsidRPr="00696AF0" w:rsidRDefault="00696AF0" w:rsidP="00484964">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Sam </w:t>
            </w:r>
            <w:r w:rsidR="000620EA">
              <w:rPr>
                <w:rFonts w:ascii="Calibri" w:eastAsia="Times New Roman" w:hAnsi="Calibri" w:cs="Calibri"/>
                <w:color w:val="000000"/>
                <w:lang w:val="en-ZA" w:eastAsia="en-ZA"/>
              </w:rPr>
              <w:t>et al.</w:t>
            </w:r>
            <w:r w:rsidR="00484964">
              <w:rPr>
                <w:rFonts w:ascii="Calibri" w:eastAsia="Times New Roman" w:hAnsi="Calibri" w:cs="Calibri"/>
                <w:color w:val="000000"/>
                <w:lang w:val="en-ZA" w:eastAsia="en-ZA"/>
              </w:rPr>
              <w:t xml:space="preserve"> </w:t>
            </w:r>
            <w:r w:rsidR="00484964">
              <w:rPr>
                <w:rFonts w:ascii="Calibri" w:eastAsia="Times New Roman" w:hAnsi="Calibri" w:cs="Calibri"/>
                <w:color w:val="000000"/>
                <w:lang w:val="en-ZA" w:eastAsia="en-ZA"/>
              </w:rPr>
              <w:fldChar w:fldCharType="begin"/>
            </w:r>
            <w:r w:rsidR="00484964">
              <w:rPr>
                <w:rFonts w:ascii="Calibri" w:eastAsia="Times New Roman" w:hAnsi="Calibri" w:cs="Calibri"/>
                <w:color w:val="000000"/>
                <w:lang w:val="en-ZA" w:eastAsia="en-ZA"/>
              </w:rPr>
              <w:instrText xml:space="preserve"> ADDIN ZOTERO_ITEM CSL_CITATION {"citationID":"FHty0iBU","properties":{"formattedCitation":"(150)","plainCitation":"(150)","noteIndex":0},"citationItems":[{"id":12540,"uris":["http://zotero.org/users/6216265/items/ZYI588QN"],"itemData":{"id":12540,"type":"article-journal","container-title":"International Journal of Pharmaceutics","DOI":"10.1016/j.ijpharm.2012.05.024","ISSN":"03785173","issue":"2","journalAbbreviation":"International Journal of Pharmaceutics","language":"en","page":"115-123","source":"DOI.org (Crossref)","title":"A benefit/risk approach towards selecting appropriate pharmaceutical dosage forms – An application for paediatric dosage form selection","volume":"435","author":[{"family":"Sam","given":"Tom"},{"family":"Ernest","given":"Terry B."},{"family":"Walsh","given":"Jennifer"},{"family":"Williams","given":"Julie L."}],"issued":{"date-parts":[["2012",10]]}}}],"schema":"https://github.com/citation-style-language/schema/raw/master/csl-citation.json"} </w:instrText>
            </w:r>
            <w:r w:rsidR="00484964">
              <w:rPr>
                <w:rFonts w:ascii="Calibri" w:eastAsia="Times New Roman" w:hAnsi="Calibri" w:cs="Calibri"/>
                <w:color w:val="000000"/>
                <w:lang w:val="en-ZA" w:eastAsia="en-ZA"/>
              </w:rPr>
              <w:fldChar w:fldCharType="separate"/>
            </w:r>
            <w:r w:rsidR="00484964" w:rsidRPr="00484964">
              <w:rPr>
                <w:rFonts w:ascii="Calibri" w:hAnsi="Calibri" w:cs="Calibri"/>
              </w:rPr>
              <w:t>(150)</w:t>
            </w:r>
            <w:r w:rsidR="00484964">
              <w:rPr>
                <w:rFonts w:ascii="Calibri" w:eastAsia="Times New Roman" w:hAnsi="Calibri" w:cs="Calibri"/>
                <w:color w:val="000000"/>
                <w:lang w:val="en-ZA" w:eastAsia="en-ZA"/>
              </w:rPr>
              <w:fldChar w:fldCharType="end"/>
            </w:r>
          </w:p>
        </w:tc>
        <w:tc>
          <w:tcPr>
            <w:tcW w:w="1464" w:type="dxa"/>
            <w:noWrap/>
            <w:hideMark/>
          </w:tcPr>
          <w:p w14:paraId="423D21C1"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2012</w:t>
            </w:r>
          </w:p>
        </w:tc>
        <w:tc>
          <w:tcPr>
            <w:tcW w:w="2043" w:type="dxa"/>
            <w:noWrap/>
            <w:hideMark/>
          </w:tcPr>
          <w:p w14:paraId="6CB8F62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C4B66E3" w14:textId="77777777" w:rsidTr="00366ACD">
        <w:trPr>
          <w:trHeight w:val="270"/>
        </w:trPr>
        <w:tc>
          <w:tcPr>
            <w:tcW w:w="2703" w:type="dxa"/>
            <w:noWrap/>
            <w:hideMark/>
          </w:tcPr>
          <w:p w14:paraId="2BC241F9" w14:textId="720D1454" w:rsidR="00696AF0" w:rsidRPr="00696AF0" w:rsidRDefault="00696AF0" w:rsidP="00484964">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Sammut</w:t>
            </w:r>
            <w:proofErr w:type="spellEnd"/>
            <w:r w:rsidRPr="00696AF0">
              <w:rPr>
                <w:rFonts w:ascii="Calibri" w:eastAsia="Times New Roman" w:hAnsi="Calibri" w:cs="Calibri"/>
                <w:color w:val="000000"/>
                <w:lang w:val="en-ZA" w:eastAsia="en-ZA"/>
              </w:rPr>
              <w:t xml:space="preserve">-Powell </w:t>
            </w:r>
            <w:r w:rsidR="000620EA">
              <w:rPr>
                <w:rFonts w:ascii="Calibri" w:eastAsia="Times New Roman" w:hAnsi="Calibri" w:cs="Calibri"/>
                <w:color w:val="000000"/>
                <w:lang w:val="en-ZA" w:eastAsia="en-ZA"/>
              </w:rPr>
              <w:t>et al.</w:t>
            </w:r>
            <w:r w:rsidR="00484964">
              <w:rPr>
                <w:rFonts w:ascii="Calibri" w:eastAsia="Times New Roman" w:hAnsi="Calibri" w:cs="Calibri"/>
                <w:color w:val="000000"/>
                <w:lang w:val="en-ZA" w:eastAsia="en-ZA"/>
              </w:rPr>
              <w:t xml:space="preserve"> </w:t>
            </w:r>
            <w:r w:rsidR="00484964">
              <w:rPr>
                <w:rFonts w:ascii="Calibri" w:eastAsia="Times New Roman" w:hAnsi="Calibri" w:cs="Calibri"/>
                <w:color w:val="000000"/>
                <w:lang w:val="en-ZA" w:eastAsia="en-ZA"/>
              </w:rPr>
              <w:fldChar w:fldCharType="begin"/>
            </w:r>
            <w:r w:rsidR="00484964">
              <w:rPr>
                <w:rFonts w:ascii="Calibri" w:eastAsia="Times New Roman" w:hAnsi="Calibri" w:cs="Calibri"/>
                <w:color w:val="000000"/>
                <w:lang w:val="en-ZA" w:eastAsia="en-ZA"/>
              </w:rPr>
              <w:instrText xml:space="preserve"> ADDIN ZOTERO_ITEM CSL_CITATION {"citationID":"7oVkLYrH","properties":{"formattedCitation":"(151)","plainCitation":"(151)","noteIndex":0},"citationItems":[{"id":167,"uris":["http://zotero.org/users/6216265/items/CR6AWVIR"],"itemData":{"id":167,"type":"article-journal","abstract":"BACKGROUND: In response to the global COVID-19 pandemic, many in vitro diagnostic (IVD) tests for SARS-CoV-2 have been developed. Given the urgent clinical demand,  researchers must balance the desire for precise estimates of sensitivity and  specificity against the need for rapid implementation. To complement estimates of  precision used for sample size calculations, we aimed to estimate the probability  that an IVD will fail to perform to expected standards after implementation,  following clinical studies with varying sample sizes. METHODS: We assumed that  clinical validation study estimates met the 'desirable' performance (sensitivity  97%, specificity 99%) in the target product profile (TPP) published by the  Medicines and Healthcare products Regulatory Agency (MHRA). To estimate the  real-world impact of imprecision imposed by sample size we used Bayesian  posterior calculations along with Monte Carlo simulations with 10,000 independent  iterations of 5,000 participants. We varied the prevalence between 1 and 15% and  the sample size between 30 and 2,000. For each sample size, we estimated the  probability that diagnostic accuracy would fail to meet the TPP criteria after  implementation. RESULTS: For a validation study that demonstrates 'desirable'  sensitivity within a sample of 30 participants who test positive for COVID-19  using the reference standard, the probability that real-world performance will  fail to meet the 'desirable' criteria is 10.7-13.5%, depending on prevalence.  Theoretically, demonstrating the 'desirable' performance in 90 positive  participants would reduce that probability to below 5%. A marked reduction in the  probability of failure to hit 'desirable' specificity occurred between samples of  100 (19.1-21.5%) and 160 (4.3-4.8%) negative participants. There was little  further improvement above sample sizes of 160 negative participants. CONCLUSION:  Based on imprecision alone, small evaluation studies can lead to the acceptance  of diagnostic tests which are likely to fail to meet performance targets when  deployed. There is diminished return on uncertainty surrounding an accuracy  estimate above a total sample size of 250 (90 positive and 160 negative).","container-title":"Diagnostic and prognostic research","DOI":"10.1186/s41512-021-00116-4","ISSN":"2397-7523","issue":"1","journalAbbreviation":"Diagn Progn Res","language":"eng","license":"© 2022. The Author(s).","note":"PMID: 35468850 \nPMCID: PMC9035779","page":"12","title":"Examining the effect of evaluation sample size on the sensitivity and specificity of COVID-19 diagnostic tests in practice: a simulation study.","volume":"6","author":[{"family":"Sammut-Powell","given":"Camilla"},{"family":"Reynard","given":"Charles"},{"family":"Allen","given":"Joy"},{"family":"McDermott","given":"John"},{"family":"Braybrook","given":"Julian"},{"family":"Parisi","given":"Rosa"},{"family":"Lasserson","given":"Daniel"},{"family":"Body","given":"Richard"}],"issued":{"date-parts":[["2022",4,25]]}}}],"schema":"https://github.com/citation-style-language/schema/raw/master/csl-citation.json"} </w:instrText>
            </w:r>
            <w:r w:rsidR="00484964">
              <w:rPr>
                <w:rFonts w:ascii="Calibri" w:eastAsia="Times New Roman" w:hAnsi="Calibri" w:cs="Calibri"/>
                <w:color w:val="000000"/>
                <w:lang w:val="en-ZA" w:eastAsia="en-ZA"/>
              </w:rPr>
              <w:fldChar w:fldCharType="separate"/>
            </w:r>
            <w:r w:rsidR="00484964" w:rsidRPr="00484964">
              <w:rPr>
                <w:rFonts w:ascii="Calibri" w:hAnsi="Calibri" w:cs="Calibri"/>
              </w:rPr>
              <w:t>(151)</w:t>
            </w:r>
            <w:r w:rsidR="00484964">
              <w:rPr>
                <w:rFonts w:ascii="Calibri" w:eastAsia="Times New Roman" w:hAnsi="Calibri" w:cs="Calibri"/>
                <w:color w:val="000000"/>
                <w:lang w:val="en-ZA" w:eastAsia="en-ZA"/>
              </w:rPr>
              <w:fldChar w:fldCharType="end"/>
            </w:r>
          </w:p>
        </w:tc>
        <w:tc>
          <w:tcPr>
            <w:tcW w:w="1464" w:type="dxa"/>
            <w:noWrap/>
            <w:hideMark/>
          </w:tcPr>
          <w:p w14:paraId="5669C57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1E1F362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282D4DD" w14:textId="77777777" w:rsidTr="00366ACD">
        <w:trPr>
          <w:trHeight w:val="270"/>
        </w:trPr>
        <w:tc>
          <w:tcPr>
            <w:tcW w:w="2703" w:type="dxa"/>
            <w:noWrap/>
            <w:hideMark/>
          </w:tcPr>
          <w:p w14:paraId="03B7009D" w14:textId="7AD1D03A" w:rsidR="00696AF0" w:rsidRPr="00696AF0" w:rsidRDefault="00696AF0" w:rsidP="000167C7">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Santos </w:t>
            </w:r>
            <w:r w:rsidR="000620EA">
              <w:rPr>
                <w:rFonts w:ascii="Calibri" w:eastAsia="Times New Roman" w:hAnsi="Calibri" w:cs="Calibri"/>
                <w:color w:val="000000"/>
                <w:lang w:val="en-ZA" w:eastAsia="en-ZA"/>
              </w:rPr>
              <w:t>et al.</w:t>
            </w:r>
            <w:r w:rsidR="000167C7">
              <w:rPr>
                <w:rFonts w:ascii="Calibri" w:eastAsia="Times New Roman" w:hAnsi="Calibri" w:cs="Calibri"/>
                <w:color w:val="000000"/>
                <w:lang w:val="en-ZA" w:eastAsia="en-ZA"/>
              </w:rPr>
              <w:t xml:space="preserve"> </w:t>
            </w:r>
            <w:r w:rsidR="000167C7">
              <w:rPr>
                <w:rFonts w:ascii="Calibri" w:eastAsia="Times New Roman" w:hAnsi="Calibri" w:cs="Calibri"/>
                <w:color w:val="000000"/>
                <w:lang w:val="en-ZA" w:eastAsia="en-ZA"/>
              </w:rPr>
              <w:fldChar w:fldCharType="begin"/>
            </w:r>
            <w:r w:rsidR="000167C7">
              <w:rPr>
                <w:rFonts w:ascii="Calibri" w:eastAsia="Times New Roman" w:hAnsi="Calibri" w:cs="Calibri"/>
                <w:color w:val="000000"/>
                <w:lang w:val="en-ZA" w:eastAsia="en-ZA"/>
              </w:rPr>
              <w:instrText xml:space="preserve"> ADDIN ZOTERO_ITEM CSL_CITATION {"citationID":"WeNlmLu3","properties":{"formattedCitation":"(152)","plainCitation":"(152)","noteIndex":0},"citationItems":[{"id":132,"uris":["http://zotero.org/users/6216265/items/LYYLYIAH"],"itemData":{"id":132,"type":"article-journal","abstract":"The development of molecules for topical dermatology has primarily relied on drug repurposing or on combination therapies, leading to an average of only one New  Chemical Entity (NCE) approved per year by the FDA. Topical products offer  benefits to patients by enabling localized treatment, while minimizing systemic  exposure and the likelihood of adverse events. New therapies are further  justified by the burden skin diseases cause on patients' quality of life.  Notwithstanding the opportunities, the selection of a topical NCE presents  challenges, primarily derived from a target product profile uncommon to oral  drugs. Beyond a more stringent range of physicochemical properties, the molecule  must display adequate solubility and chemical stability in topical-relevant  excipients; must effectively cross the stratum corneum, considerably less  permeable than the intestinal epithelium, and elicit a local therapeutic  response; and must enable a formulation with robust physical stability. A novel  framework intended to de-risk NCE selection is presented and based on four  calculated physicochemical properties: molecular weight, clogP, topological polar  surface area, and aromatic ring count. The use of topical-relevant solvents to  assess the molecule's solubility profile, and a 2-day accelerated chemical  stability methodology, are also described as critical steps in early dermal  development.","container-title":"International journal of pharmaceutics","DOI":"10.1016/j.ijpharm.2021.120750","ISSN":"1873-3476 0378-5173","journalAbbreviation":"Int J Pharm","language":"eng","license":"Copyright © 2021 Elsevier B.V. All rights reserved.","note":"publisher-place: Netherlands\nPMID: 34051321","page":"120750","title":"Developability profile framework for lead candidate selection in topical dermatology.","volume":"604","author":[{"family":"Santos","given":"Leandro L."},{"family":"Wu","given":"Eva L."},{"family":"Grinias","given":"Kaitlin M."},{"family":"Koetting","given":"Michael C."},{"family":"Jain","given":"Piyush"}],"issued":{"date-parts":[["2021",7,15]]}}}],"schema":"https://github.com/citation-style-language/schema/raw/master/csl-citation.json"} </w:instrText>
            </w:r>
            <w:r w:rsidR="000167C7">
              <w:rPr>
                <w:rFonts w:ascii="Calibri" w:eastAsia="Times New Roman" w:hAnsi="Calibri" w:cs="Calibri"/>
                <w:color w:val="000000"/>
                <w:lang w:val="en-ZA" w:eastAsia="en-ZA"/>
              </w:rPr>
              <w:fldChar w:fldCharType="separate"/>
            </w:r>
            <w:r w:rsidR="000167C7" w:rsidRPr="000167C7">
              <w:rPr>
                <w:rFonts w:ascii="Calibri" w:hAnsi="Calibri" w:cs="Calibri"/>
              </w:rPr>
              <w:t>(152)</w:t>
            </w:r>
            <w:r w:rsidR="000167C7">
              <w:rPr>
                <w:rFonts w:ascii="Calibri" w:eastAsia="Times New Roman" w:hAnsi="Calibri" w:cs="Calibri"/>
                <w:color w:val="000000"/>
                <w:lang w:val="en-ZA" w:eastAsia="en-ZA"/>
              </w:rPr>
              <w:fldChar w:fldCharType="end"/>
            </w:r>
          </w:p>
        </w:tc>
        <w:tc>
          <w:tcPr>
            <w:tcW w:w="1464" w:type="dxa"/>
            <w:noWrap/>
            <w:hideMark/>
          </w:tcPr>
          <w:p w14:paraId="1E9F3AF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3B6FB01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E7B9979" w14:textId="77777777" w:rsidTr="00366ACD">
        <w:trPr>
          <w:trHeight w:val="270"/>
        </w:trPr>
        <w:tc>
          <w:tcPr>
            <w:tcW w:w="2703" w:type="dxa"/>
            <w:noWrap/>
            <w:hideMark/>
          </w:tcPr>
          <w:p w14:paraId="602CE5B8" w14:textId="5E2E28B2" w:rsidR="00696AF0" w:rsidRPr="00696AF0" w:rsidRDefault="00696AF0" w:rsidP="000167C7">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Schiefer </w:t>
            </w:r>
            <w:r w:rsidR="000620EA">
              <w:rPr>
                <w:rFonts w:ascii="Calibri" w:eastAsia="Times New Roman" w:hAnsi="Calibri" w:cs="Calibri"/>
                <w:color w:val="000000"/>
                <w:lang w:val="en-ZA" w:eastAsia="en-ZA"/>
              </w:rPr>
              <w:t>et al.</w:t>
            </w:r>
            <w:r w:rsidR="000167C7">
              <w:rPr>
                <w:rFonts w:ascii="Calibri" w:eastAsia="Times New Roman" w:hAnsi="Calibri" w:cs="Calibri"/>
                <w:color w:val="000000"/>
                <w:lang w:val="en-ZA" w:eastAsia="en-ZA"/>
              </w:rPr>
              <w:t xml:space="preserve"> </w:t>
            </w:r>
            <w:r w:rsidR="000167C7">
              <w:rPr>
                <w:rFonts w:ascii="Calibri" w:eastAsia="Times New Roman" w:hAnsi="Calibri" w:cs="Calibri"/>
                <w:color w:val="000000"/>
                <w:lang w:val="en-ZA" w:eastAsia="en-ZA"/>
              </w:rPr>
              <w:fldChar w:fldCharType="begin"/>
            </w:r>
            <w:r w:rsidR="000167C7">
              <w:rPr>
                <w:rFonts w:ascii="Calibri" w:eastAsia="Times New Roman" w:hAnsi="Calibri" w:cs="Calibri"/>
                <w:color w:val="000000"/>
                <w:lang w:val="en-ZA" w:eastAsia="en-ZA"/>
              </w:rPr>
              <w:instrText xml:space="preserve"> ADDIN ZOTERO_ITEM CSL_CITATION {"citationID":"3xyCNf2e","properties":{"formattedCitation":"(153)","plainCitation":"(153)","noteIndex":0},"citationItems":[{"id":107,"uris":["http://zotero.org/users/6216265/items/7EPBKM77"],"itemData":{"id":107,"type":"article-journal","abstract":"Current efforts to eliminate the neglected tropical diseases onchocerciasis and lymphatic filariasis, caused by the filarial nematodes Onchocerca volvulus and  Wuchereria bancrofti or Brugia spp., respectively, are hampered by lack of a  short-course macrofilaricidal-adult-worm killing-treatment. Anti-wolbachial  antibiotics, e.g. doxycycline, target the essential Wolbachia endosymbionts of  filariae and are a safe prototype adult-worm-sterilizing and macrofilaricidal  regimen, in contrast to standard treatments with ivermectin or  diethylcarbamazine, which mainly target the microfilariae. However, treatment  regimens of 4-5 weeks necessary for doxycycline and contraindications limit its  use. Therefore, we tested the preclinical anti-Wolbachia drug candidate  Corallopyronin A (CorA) for in vivo efficacy during initial and chronic filarial  infections in the Litomosoides sigmodontis rodent model. CorA treatment for 14  days beginning immediately after infection cleared &gt;90% of Wolbachia  endosymbionts from filariae and prevented development into adult worms. CorA  treatment of patently infected microfilaremic gerbils for 14 days with 30 mg/kg  twice a day (BID) achieved a sustained reduction of &gt;99% of Wolbachia  endosymbionts from adult filariae and microfilariae, followed by complete  inhibition of filarial embryogenesis resulting in clearance of microfilariae.  Combined treatment of CorA and albendazole, a drug currently co-administered  during mass drug administrations and previously shown to enhance efficacy of  anti-Wolbachia drugs, achieved microfilarial clearance after 7 days of treatment  at a lower BID dose of 10 mg/kg CorA, a Human Equivalent Dose of 1.4 mg/kg.  Importantly, this combination led to a significant reduction in the adult worm  burden, which has not yet been published with other anti-Wolbachia candidates  tested in this model. In summary, CorA is a preclinical candidate for filariasis,  which significantly reduces treatment times required to achieve sustained  Wolbachia depletion, clearance of microfilariae, and inhibition of embryogenesis.  In combination with albendazole, CorA is robustly macrofilaricidal after 7 days  of treatment and fulfills the Target Product Profile for a macrofilaricidal drug.","container-title":"PLoS neglected tropical diseases","DOI":"10.1371/journal.pntd.0008930","ISSN":"1935-2735 1935-2727","issue":"12","journalAbbreviation":"PLoS Negl Trop Dis","language":"eng","note":"PMID: 33284808 \nPMCID: PMC7746275","page":"e0008930","title":"Corallopyronin A for short-course anti-wolbachial, macrofilaricidal treatment of filarial infections.","volume":"14","author":[{"family":"Schiefer","given":"Andrea"},{"family":"Hübner","given":"Marc P."},{"family":"Krome","given":"Anna"},{"family":"Lämmer","given":"Christine"},{"family":"Ehrens","given":"Alexandra"},{"family":"Aden","given":"Tilman"},{"family":"Koschel","given":"Marianne"},{"family":"Neufeld","given":"Helene"},{"family":"Chaverra-Muñoz","given":"Lillibeth"},{"family":"Jansen","given":"Rolf"},{"family":"Kehraus","given":"Stefan"},{"family":"König","given":"Gabriele M."},{"family":"Pogorevc","given":"Domen"},{"family":"Müller","given":"Rolf"},{"family":"Stadler","given":"Marc"},{"family":"Hüttel","given":"Stephan"},{"family":"Hesterkamp","given":"Thomas"},{"family":"Wagner","given":"Karl"},{"family":"Pfarr","given":"Kenneth"},{"family":"Hoerauf","given":"Achim"}],"issued":{"date-parts":[["2020",12]]}}}],"schema":"https://github.com/citation-style-language/schema/raw/master/csl-citation.json"} </w:instrText>
            </w:r>
            <w:r w:rsidR="000167C7">
              <w:rPr>
                <w:rFonts w:ascii="Calibri" w:eastAsia="Times New Roman" w:hAnsi="Calibri" w:cs="Calibri"/>
                <w:color w:val="000000"/>
                <w:lang w:val="en-ZA" w:eastAsia="en-ZA"/>
              </w:rPr>
              <w:fldChar w:fldCharType="separate"/>
            </w:r>
            <w:r w:rsidR="000167C7" w:rsidRPr="000167C7">
              <w:rPr>
                <w:rFonts w:ascii="Calibri" w:hAnsi="Calibri" w:cs="Calibri"/>
              </w:rPr>
              <w:t>(153)</w:t>
            </w:r>
            <w:r w:rsidR="000167C7">
              <w:rPr>
                <w:rFonts w:ascii="Calibri" w:eastAsia="Times New Roman" w:hAnsi="Calibri" w:cs="Calibri"/>
                <w:color w:val="000000"/>
                <w:lang w:val="en-ZA" w:eastAsia="en-ZA"/>
              </w:rPr>
              <w:fldChar w:fldCharType="end"/>
            </w:r>
          </w:p>
        </w:tc>
        <w:tc>
          <w:tcPr>
            <w:tcW w:w="1464" w:type="dxa"/>
            <w:noWrap/>
            <w:hideMark/>
          </w:tcPr>
          <w:p w14:paraId="3575AFF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50457B9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F769709" w14:textId="77777777" w:rsidTr="00366ACD">
        <w:trPr>
          <w:trHeight w:val="270"/>
        </w:trPr>
        <w:tc>
          <w:tcPr>
            <w:tcW w:w="2703" w:type="dxa"/>
            <w:noWrap/>
            <w:hideMark/>
          </w:tcPr>
          <w:p w14:paraId="46BBA314" w14:textId="2BDC1699" w:rsidR="00696AF0" w:rsidRPr="00696AF0" w:rsidRDefault="00696AF0" w:rsidP="00054E66">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Schlesinger </w:t>
            </w:r>
            <w:r w:rsidR="000620EA">
              <w:rPr>
                <w:rFonts w:ascii="Calibri" w:eastAsia="Times New Roman" w:hAnsi="Calibri" w:cs="Calibri"/>
                <w:color w:val="000000"/>
                <w:lang w:val="en-ZA" w:eastAsia="en-ZA"/>
              </w:rPr>
              <w:t>et al.</w:t>
            </w:r>
            <w:r w:rsidR="00054E66">
              <w:rPr>
                <w:rFonts w:ascii="Calibri" w:eastAsia="Times New Roman" w:hAnsi="Calibri" w:cs="Calibri"/>
                <w:color w:val="000000"/>
                <w:lang w:val="en-ZA" w:eastAsia="en-ZA"/>
              </w:rPr>
              <w:t xml:space="preserve"> </w:t>
            </w:r>
            <w:r w:rsidR="00054E66">
              <w:rPr>
                <w:rFonts w:ascii="Calibri" w:eastAsia="Times New Roman" w:hAnsi="Calibri" w:cs="Calibri"/>
                <w:color w:val="000000"/>
                <w:lang w:val="en-ZA" w:eastAsia="en-ZA"/>
              </w:rPr>
              <w:fldChar w:fldCharType="begin"/>
            </w:r>
            <w:r w:rsidR="00054E66">
              <w:rPr>
                <w:rFonts w:ascii="Calibri" w:eastAsia="Times New Roman" w:hAnsi="Calibri" w:cs="Calibri"/>
                <w:color w:val="000000"/>
                <w:lang w:val="en-ZA" w:eastAsia="en-ZA"/>
              </w:rPr>
              <w:instrText xml:space="preserve"> ADDIN ZOTERO_ITEM CSL_CITATION {"citationID":"tpzefeBR","properties":{"formattedCitation":"(154)","plainCitation":"(154)","noteIndex":0},"citationItems":[{"id":657,"uris":["http://zotero.org/users/6216265/items/G5JKDREL"],"itemData":{"id":657,"type":"article-journal","abstract":"Despite years of effort, sustained delivery of protein therapeutics remains an unmet need due to three primary challenges - dose, duration, and stability. The  work presented here provides a design methodology for polycaprolactone  reservoir-based thin film devices suitable for long-acting protein delivery to  the back of the eye. First, the challenge of formulating highly concentrated  protein in a device reservoir was addressed by improving stability with  solubility-reducing excipients. Next, predictive correlations between design  parameters and device performance were developed to provide a methodology to  achieve a target product profile. Prototype devices were designed using this  methodology to achieve desired device size, release rate, therapeutic payload,  and protein stability, assessed by in vitro studies. Finally, prototype  tolerability was established in a non-human primate model. The design methodology  presented here is widely applicable to reservoir-based sustained delivery devices  for proteins and provides a general device design framework.","container-title":"Bioengineering &amp; translational medicine","DOI":"10.1002/btm2.10121","ISSN":"2380-6761","issue":"1","journalAbbreviation":"Bioeng Transl Med","language":"eng","note":"PMID: 30680326 \nPMCID: PMC6336666","page":"152-163","title":"Device design methodology and formulation of a protein therapeutic for sustained release intraocular delivery.","volume":"4","author":[{"family":"Schlesinger","given":"Erica B."},{"family":"Bernards","given":"Daniel A."},{"family":"Chen","given":"Hunter H."},{"family":"Feindt","given":"James"},{"family":"Cao","given":"Jingtai"},{"family":"Dix","given":"Daniel"},{"family":"Romano","given":"Carmelo"},{"family":"Bhisitkul","given":"Robert B."},{"family":"Desai","given":"Tejal A."}],"issued":{"date-parts":[["2019",1]]}}}],"schema":"https://github.com/citation-style-language/schema/raw/master/csl-citation.json"} </w:instrText>
            </w:r>
            <w:r w:rsidR="00054E66">
              <w:rPr>
                <w:rFonts w:ascii="Calibri" w:eastAsia="Times New Roman" w:hAnsi="Calibri" w:cs="Calibri"/>
                <w:color w:val="000000"/>
                <w:lang w:val="en-ZA" w:eastAsia="en-ZA"/>
              </w:rPr>
              <w:fldChar w:fldCharType="separate"/>
            </w:r>
            <w:r w:rsidR="00054E66" w:rsidRPr="00054E66">
              <w:rPr>
                <w:rFonts w:ascii="Calibri" w:hAnsi="Calibri" w:cs="Calibri"/>
              </w:rPr>
              <w:t>(154)</w:t>
            </w:r>
            <w:r w:rsidR="00054E66">
              <w:rPr>
                <w:rFonts w:ascii="Calibri" w:eastAsia="Times New Roman" w:hAnsi="Calibri" w:cs="Calibri"/>
                <w:color w:val="000000"/>
                <w:lang w:val="en-ZA" w:eastAsia="en-ZA"/>
              </w:rPr>
              <w:fldChar w:fldCharType="end"/>
            </w:r>
          </w:p>
        </w:tc>
        <w:tc>
          <w:tcPr>
            <w:tcW w:w="1464" w:type="dxa"/>
            <w:noWrap/>
            <w:hideMark/>
          </w:tcPr>
          <w:p w14:paraId="276C143A"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2018</w:t>
            </w:r>
          </w:p>
        </w:tc>
        <w:tc>
          <w:tcPr>
            <w:tcW w:w="2043" w:type="dxa"/>
            <w:noWrap/>
            <w:hideMark/>
          </w:tcPr>
          <w:p w14:paraId="4DD6E10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45565FD" w14:textId="77777777" w:rsidTr="00366ACD">
        <w:trPr>
          <w:trHeight w:val="270"/>
        </w:trPr>
        <w:tc>
          <w:tcPr>
            <w:tcW w:w="2703" w:type="dxa"/>
            <w:noWrap/>
            <w:hideMark/>
          </w:tcPr>
          <w:p w14:paraId="138D11DC" w14:textId="355BAE92" w:rsidR="00696AF0" w:rsidRPr="00696AF0" w:rsidRDefault="00696AF0" w:rsidP="00054E66">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Schneider </w:t>
            </w:r>
            <w:r w:rsidR="000620EA">
              <w:rPr>
                <w:rFonts w:ascii="Calibri" w:eastAsia="Times New Roman" w:hAnsi="Calibri" w:cs="Calibri"/>
                <w:color w:val="000000"/>
                <w:lang w:val="en-ZA" w:eastAsia="en-ZA"/>
              </w:rPr>
              <w:t>et al.</w:t>
            </w:r>
            <w:r w:rsidR="00054E66">
              <w:rPr>
                <w:rFonts w:ascii="Calibri" w:eastAsia="Times New Roman" w:hAnsi="Calibri" w:cs="Calibri"/>
                <w:color w:val="000000"/>
                <w:lang w:val="en-ZA" w:eastAsia="en-ZA"/>
              </w:rPr>
              <w:t xml:space="preserve"> </w:t>
            </w:r>
            <w:r w:rsidR="00054E66">
              <w:rPr>
                <w:rFonts w:ascii="Calibri" w:eastAsia="Times New Roman" w:hAnsi="Calibri" w:cs="Calibri"/>
                <w:color w:val="000000"/>
                <w:lang w:val="en-ZA" w:eastAsia="en-ZA"/>
              </w:rPr>
              <w:fldChar w:fldCharType="begin"/>
            </w:r>
            <w:r w:rsidR="00054E66">
              <w:rPr>
                <w:rFonts w:ascii="Calibri" w:eastAsia="Times New Roman" w:hAnsi="Calibri" w:cs="Calibri"/>
                <w:color w:val="000000"/>
                <w:lang w:val="en-ZA" w:eastAsia="en-ZA"/>
              </w:rPr>
              <w:instrText xml:space="preserve"> ADDIN ZOTERO_ITEM CSL_CITATION {"citationID":"yLIsQkWP","properties":{"formattedCitation":"(155)","plainCitation":"(155)","noteIndex":0},"citationItems":[{"id":3015,"uris":["http://zotero.org/users/6216265/items/3DEJKBD9"],"itemData":{"id":3015,"type":"article-journal","abstract":"Background: Acute respiratory infection (ARI) accounts for over two-thirds of total antibiotic prescriptions although most are caused by viruses that do not  benefit from antibiotics. Most antibiotics are prescribed in the outpatients  setting. Antibiotic overuse leads to antibiotic-related adverse events (AEs),  inclusive of secondary infections, resistance, and increased costs. Point-of-care  tests (POCT) may reduce unnecessary antibiotics. A cost analysis was performed to  assess diagnostic POCT options to identify patients with an ARI that may benefit  from antibiotics in a United Kingdom (UK) outpatient setting.Methods: Healthcare  savings were estimated using a budget impact analysis based on UK National  Institute for Health and Care Excellence (NICE) data and direct costs  (antibiotics, AEs, POCTs) derived from published literature. Otitis media,  sinusitis, pharyngitis and bronchitis were considered the most common ARIs.  Antibiotic-related AE costs were calculated using re-consultation costs for  anaphylaxis, Stevens-Johnson syndrome, allergies/diarrhea/nausea, C. difficile  infection (CDI). Potential cost-savings from POCTs was assessed by evaluating  NICE guideline-referenced POCTs (CRP, FebriDx, Sarasota, FL) as well as a target  product profile (TPP).Results: Fifty-percent (7,718,283) of ARI consultations  resulted in antibiotics while guideline-based prescribing suggest appropriate  antibiotic prescriptions are warranted 9% (1,444,877) of ARI consultations.  Direct antibiotic costs for actual ARI consultations associated with antibiotics  was £24,003,866 vs. £4,493,568 for guideline-based, \"appropriate\" antibiotic  prescriptions. Antibiotic-related AEs and re-consultations for actual vs.  appropriate prescribing totaled £302,496,486 vs. £63,854,269. ARI prescribing  plus AE costs totaled £326,729,943 annually without the use of delayed  prescribing practices or POCT while the addition of delayed prescribing plus POCT  totaled £60,114,564-£78,148,933 depending on the POCT.Conclusions: Adding POCT to  outpatient triage of ARI can reduce unnecessary antibiotics and  antibiotic-related AEs, resulting in substantial cost savings. Further, near  patient diagnostic testing can benefit health systems and patients by avoiding  exposure to unnecessary drugs, side effects and antibiotic resistant  pathogens.Key points for decision makersMany patients are unnecessarily treated  with antibiotics for respiratory infections.Antibiotic misuse leads to  unnecessary adverse events, secondary infections, re-consultations, antimicrobial  resistance and increased costs.Point-of-care diagnostic tests used to guide  antibiotic prescriptions will avoid unnecessary adverse health effects and  expenses.","container-title":"Journal of medical economics","DOI":"10.1080/13696998.2020.1736872","ISSN":"1941-837X 1369-6998","issue":"7","journalAbbreviation":"J Med Econ","language":"eng","note":"publisher-place: England\nPMID: 32259465","page":"673-682","title":"Application of a simple point-of-care test to reduce UK healthcare costs and adverse events in outpatient acute respiratory infections.","volume":"23","author":[{"family":"Schneider","given":"John E."},{"family":"Boehme","given":"Catharina"},{"family":"Borisch","given":"Bettina"},{"family":"Dittrich","given":"Sabine"}],"issued":{"date-parts":[["2020",7]]}}}],"schema":"https://github.com/citation-style-language/schema/raw/master/csl-citation.json"} </w:instrText>
            </w:r>
            <w:r w:rsidR="00054E66">
              <w:rPr>
                <w:rFonts w:ascii="Calibri" w:eastAsia="Times New Roman" w:hAnsi="Calibri" w:cs="Calibri"/>
                <w:color w:val="000000"/>
                <w:lang w:val="en-ZA" w:eastAsia="en-ZA"/>
              </w:rPr>
              <w:fldChar w:fldCharType="separate"/>
            </w:r>
            <w:r w:rsidR="00054E66" w:rsidRPr="00054E66">
              <w:rPr>
                <w:rFonts w:ascii="Calibri" w:hAnsi="Calibri" w:cs="Calibri"/>
              </w:rPr>
              <w:t>(155)</w:t>
            </w:r>
            <w:r w:rsidR="00054E66">
              <w:rPr>
                <w:rFonts w:ascii="Calibri" w:eastAsia="Times New Roman" w:hAnsi="Calibri" w:cs="Calibri"/>
                <w:color w:val="000000"/>
                <w:lang w:val="en-ZA" w:eastAsia="en-ZA"/>
              </w:rPr>
              <w:fldChar w:fldCharType="end"/>
            </w:r>
          </w:p>
        </w:tc>
        <w:tc>
          <w:tcPr>
            <w:tcW w:w="1464" w:type="dxa"/>
            <w:noWrap/>
            <w:hideMark/>
          </w:tcPr>
          <w:p w14:paraId="25F2D361"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00F00C4A"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78D36AD" w14:textId="77777777" w:rsidTr="00366ACD">
        <w:trPr>
          <w:trHeight w:val="270"/>
        </w:trPr>
        <w:tc>
          <w:tcPr>
            <w:tcW w:w="2703" w:type="dxa"/>
            <w:noWrap/>
            <w:hideMark/>
          </w:tcPr>
          <w:p w14:paraId="3B368FFC" w14:textId="1944D95A" w:rsidR="00696AF0" w:rsidRPr="00696AF0" w:rsidRDefault="00696AF0" w:rsidP="00AA3263">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Selen</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AA3263">
              <w:rPr>
                <w:rFonts w:ascii="Calibri" w:eastAsia="Times New Roman" w:hAnsi="Calibri" w:cs="Calibri"/>
                <w:color w:val="000000"/>
                <w:lang w:val="en-ZA" w:eastAsia="en-ZA"/>
              </w:rPr>
              <w:t xml:space="preserve"> </w:t>
            </w:r>
            <w:r w:rsidR="00AA3263">
              <w:rPr>
                <w:rFonts w:ascii="Calibri" w:eastAsia="Times New Roman" w:hAnsi="Calibri" w:cs="Calibri"/>
                <w:color w:val="000000"/>
                <w:lang w:val="en-ZA" w:eastAsia="en-ZA"/>
              </w:rPr>
              <w:fldChar w:fldCharType="begin"/>
            </w:r>
            <w:r w:rsidR="00AA3263">
              <w:rPr>
                <w:rFonts w:ascii="Calibri" w:eastAsia="Times New Roman" w:hAnsi="Calibri" w:cs="Calibri"/>
                <w:color w:val="000000"/>
                <w:lang w:val="en-ZA" w:eastAsia="en-ZA"/>
              </w:rPr>
              <w:instrText xml:space="preserve"> ADDIN ZOTERO_ITEM CSL_CITATION {"citationID":"VbDH9R1M","properties":{"formattedCitation":"(156)","plainCitation":"(156)","noteIndex":0},"citationItems":[{"id":1,"uris":["http://zotero.org/users/6216265/items/HD3TNQR7"],"itemData":{"id":1,"type":"article-journal","abstract":"The biopharmaceutics risk assessment roadmap (BioRAM) optimizes drug product development and performance by using therapy-driven target drug delivery profiles  as a framework to achieve the desired therapeutic outcome. Hence, clinical  relevance is directly built into early formulation development. Biopharmaceutics  tools are used to identify and address potential challenges to optimize the drug  product for patient benefit. For illustration, BioRAM is applied to four  relatively common therapy-driven drug delivery scenarios: rapid therapeutic  onset, multiphasic delivery, delayed therapeutic onset, and maintenance of target  exposure. BioRAM considers the therapeutic target with the drug substance  characteristics and enables collection of critical knowledge for development of a  dosage form that can perform consistently for meeting the patient's needs.  Accordingly, the key factors are identified and in vitro, in vivo, and in silico  modeling and simulation techniques are used to elucidate the optimal drug  delivery rate and pattern. BioRAM enables (1) feasibility assessment for the  dosage form, (2) development and conduct of appropriate \"learning and confirming\"  studies, (3) transparency in decision-making, (4) assurance of drug product  quality during lifecycle management, and (5) development of robust linkages  between the desired clinical outcome and the necessary product quality attributes  for inclusion in the quality target product profile.","container-title":"Journal of pharmaceutical sciences","DOI":"10.1002/jps.24162","ISSN":"1520-6017 0022-3549","issue":"11","journalAbbreviation":"J Pharm Sci","language":"eng","license":"© 2014 Wiley Periodicals, Inc. and the American Pharmacists Association.","note":"publisher-place: United States\nPMID: 25256402","page":"3377-3397","title":"The biopharmaceutics risk assessment roadmap for optimizing clinical drug product performance.","volume":"103","author":[{"family":"Selen","given":"Arzu"},{"family":"Dickinson","given":"Paul A."},{"family":"Müllertz","given":"Anette"},{"family":"Crison","given":"John R."},{"family":"Mistry","given":"Hitesh B."},{"family":"Cruañes","given":"Maria T."},{"family":"Martinez","given":"Marilyn N."},{"family":"Lennernäs","given":"Hans"},{"family":"Wigal","given":"Tim L."},{"family":"Swinney","given":"David C."},{"family":"Polli","given":"James E."},{"family":"Serajuddin","given":"Abu T. M."},{"family":"Cook","given":"Jack A."},{"family":"Dressman","given":"Jennifer B."}],"issued":{"date-parts":[["2014",11]]}}}],"schema":"https://github.com/citation-style-language/schema/raw/master/csl-citation.json"} </w:instrText>
            </w:r>
            <w:r w:rsidR="00AA3263">
              <w:rPr>
                <w:rFonts w:ascii="Calibri" w:eastAsia="Times New Roman" w:hAnsi="Calibri" w:cs="Calibri"/>
                <w:color w:val="000000"/>
                <w:lang w:val="en-ZA" w:eastAsia="en-ZA"/>
              </w:rPr>
              <w:fldChar w:fldCharType="separate"/>
            </w:r>
            <w:r w:rsidR="00AA3263" w:rsidRPr="00AA3263">
              <w:rPr>
                <w:rFonts w:ascii="Calibri" w:hAnsi="Calibri" w:cs="Calibri"/>
              </w:rPr>
              <w:t>(156)</w:t>
            </w:r>
            <w:r w:rsidR="00AA3263">
              <w:rPr>
                <w:rFonts w:ascii="Calibri" w:eastAsia="Times New Roman" w:hAnsi="Calibri" w:cs="Calibri"/>
                <w:color w:val="000000"/>
                <w:lang w:val="en-ZA" w:eastAsia="en-ZA"/>
              </w:rPr>
              <w:fldChar w:fldCharType="end"/>
            </w:r>
          </w:p>
        </w:tc>
        <w:tc>
          <w:tcPr>
            <w:tcW w:w="1464" w:type="dxa"/>
            <w:noWrap/>
            <w:hideMark/>
          </w:tcPr>
          <w:p w14:paraId="373E9C7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2014</w:t>
            </w:r>
          </w:p>
        </w:tc>
        <w:tc>
          <w:tcPr>
            <w:tcW w:w="2043" w:type="dxa"/>
            <w:noWrap/>
            <w:hideMark/>
          </w:tcPr>
          <w:p w14:paraId="69B29A0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25929005" w14:textId="77777777" w:rsidTr="00366ACD">
        <w:trPr>
          <w:trHeight w:val="270"/>
        </w:trPr>
        <w:tc>
          <w:tcPr>
            <w:tcW w:w="2703" w:type="dxa"/>
            <w:noWrap/>
            <w:hideMark/>
          </w:tcPr>
          <w:p w14:paraId="1F773C61" w14:textId="01532206" w:rsidR="00696AF0" w:rsidRPr="00696AF0" w:rsidRDefault="00696AF0" w:rsidP="00AA3263">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Shah </w:t>
            </w:r>
            <w:r w:rsidR="000620EA">
              <w:rPr>
                <w:rFonts w:ascii="Calibri" w:eastAsia="Times New Roman" w:hAnsi="Calibri" w:cs="Calibri"/>
                <w:color w:val="000000"/>
                <w:lang w:val="en-ZA" w:eastAsia="en-ZA"/>
              </w:rPr>
              <w:t>et al.</w:t>
            </w:r>
            <w:r w:rsidR="00AA3263">
              <w:rPr>
                <w:rFonts w:ascii="Calibri" w:eastAsia="Times New Roman" w:hAnsi="Calibri" w:cs="Calibri"/>
                <w:color w:val="000000"/>
                <w:lang w:val="en-ZA" w:eastAsia="en-ZA"/>
              </w:rPr>
              <w:t xml:space="preserve"> </w:t>
            </w:r>
            <w:r w:rsidR="00AA3263">
              <w:rPr>
                <w:rFonts w:ascii="Calibri" w:eastAsia="Times New Roman" w:hAnsi="Calibri" w:cs="Calibri"/>
                <w:color w:val="000000"/>
                <w:lang w:val="en-ZA" w:eastAsia="en-ZA"/>
              </w:rPr>
              <w:fldChar w:fldCharType="begin"/>
            </w:r>
            <w:r w:rsidR="00AA3263">
              <w:rPr>
                <w:rFonts w:ascii="Calibri" w:eastAsia="Times New Roman" w:hAnsi="Calibri" w:cs="Calibri"/>
                <w:color w:val="000000"/>
                <w:lang w:val="en-ZA" w:eastAsia="en-ZA"/>
              </w:rPr>
              <w:instrText xml:space="preserve"> ADDIN ZOTERO_ITEM CSL_CITATION {"citationID":"Py8xUJEk","properties":{"formattedCitation":"(157)","plainCitation":"(157)","noteIndex":0},"citationItems":[{"id":12550,"uris":["http://zotero.org/users/6216265/items/4M9N9JUT"],"itemData":{"id":12550,"type":"article-journal","abstract":"Topical corticosteroids are used to treat a variety of skin conditions such as allergic reactions, eczema, and psoriasis. Niosomes are a novel surfactant-based delivery system that may be used to deliver desoximetasone via topical product application in order to mitigate common side effects associated with traditional oral delivery routes. The aim of this research was to identify the critical material attributes (CMAs) and critical process parameters (CPPs) that impact key characteristics of drug-loaded niosomes using a systematic quality by design (QbD) approach. An organic phase injection method was developed and used to manufacture the niosomes. The CMAs were identified to be drug amount, concentrations of surfactant and cholesterol, and types of lipids. The CPPs were phase volumes, temperature, mixing parameters, and addition rate based on previous research. The quality attributes measured were entrapment efficiency, particle size distribution, PDI, and zeta potential. These were used to determine the quality target product profile (QTPP) of niosomes. The experimental data indicate that the critical impacting variables for niosomes are: surfactant and cholesterol concentrations, mixing parameters, and organic-phase addition rate. Based on the experimental results of this study methanol:diethyl ether (75:25) as the organic system, drug:surfactant:cholesterol in 1:2:1 concentration, stearic acid as the charge-inducing material, 20 mL external phase and 10 mL internal phase volume, 65 °C external phase temperature, 60 min mixing time, 650 RPM mixing speed and 1 mL/ml addition rate is the ideal combination to achieve desirable desoximetasone niosomes with optimum entrapment efficiency and particle size for topical application.","container-title":"Pharmaceutics","DOI":"10.3390/pharmaceutics12030246","ISSN":"1999-4923","issue":"3","journalAbbreviation":"Pharmaceutics","language":"en","page":"246","source":"DOI.org (Crossref)","title":"Evaluations of Quality by Design (QbD) Elements Impact for Developing Niosomes as a Promising Topical Drug Delivery Platform","volume":"12","author":[{"family":"Shah","given":"Parinbhai"},{"family":"Goodyear","given":"Benjamin"},{"family":"Haq","given":"Anika"},{"family":"Puri","given":"Vinam"},{"family":"Michniak-Kohn","given":"Bozena"}],"issued":{"date-parts":[["2020",3,9]]}}}],"schema":"https://github.com/citation-style-language/schema/raw/master/csl-citation.json"} </w:instrText>
            </w:r>
            <w:r w:rsidR="00AA3263">
              <w:rPr>
                <w:rFonts w:ascii="Calibri" w:eastAsia="Times New Roman" w:hAnsi="Calibri" w:cs="Calibri"/>
                <w:color w:val="000000"/>
                <w:lang w:val="en-ZA" w:eastAsia="en-ZA"/>
              </w:rPr>
              <w:fldChar w:fldCharType="separate"/>
            </w:r>
            <w:r w:rsidR="00AA3263" w:rsidRPr="00AA3263">
              <w:rPr>
                <w:rFonts w:ascii="Calibri" w:hAnsi="Calibri" w:cs="Calibri"/>
              </w:rPr>
              <w:t>(157)</w:t>
            </w:r>
            <w:r w:rsidR="00AA3263">
              <w:rPr>
                <w:rFonts w:ascii="Calibri" w:eastAsia="Times New Roman" w:hAnsi="Calibri" w:cs="Calibri"/>
                <w:color w:val="000000"/>
                <w:lang w:val="en-ZA" w:eastAsia="en-ZA"/>
              </w:rPr>
              <w:fldChar w:fldCharType="end"/>
            </w:r>
          </w:p>
        </w:tc>
        <w:tc>
          <w:tcPr>
            <w:tcW w:w="1464" w:type="dxa"/>
            <w:noWrap/>
            <w:hideMark/>
          </w:tcPr>
          <w:p w14:paraId="3C540B3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08DB25F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F376261" w14:textId="77777777" w:rsidTr="00366ACD">
        <w:trPr>
          <w:trHeight w:val="270"/>
        </w:trPr>
        <w:tc>
          <w:tcPr>
            <w:tcW w:w="2703" w:type="dxa"/>
            <w:noWrap/>
            <w:hideMark/>
          </w:tcPr>
          <w:p w14:paraId="02ABDE1F" w14:textId="6D4CE8DD" w:rsidR="00696AF0" w:rsidRPr="00696AF0" w:rsidRDefault="00696AF0" w:rsidP="000C13A7">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Shoukat</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0C13A7">
              <w:rPr>
                <w:rFonts w:ascii="Calibri" w:eastAsia="Times New Roman" w:hAnsi="Calibri" w:cs="Calibri"/>
                <w:color w:val="000000"/>
                <w:lang w:val="en-ZA" w:eastAsia="en-ZA"/>
              </w:rPr>
              <w:t xml:space="preserve"> </w:t>
            </w:r>
            <w:r w:rsidR="000C13A7">
              <w:rPr>
                <w:rFonts w:ascii="Calibri" w:eastAsia="Times New Roman" w:hAnsi="Calibri" w:cs="Calibri"/>
                <w:color w:val="000000"/>
                <w:lang w:val="en-ZA" w:eastAsia="en-ZA"/>
              </w:rPr>
              <w:fldChar w:fldCharType="begin"/>
            </w:r>
            <w:r w:rsidR="000C13A7">
              <w:rPr>
                <w:rFonts w:ascii="Calibri" w:eastAsia="Times New Roman" w:hAnsi="Calibri" w:cs="Calibri"/>
                <w:color w:val="000000"/>
                <w:lang w:val="en-ZA" w:eastAsia="en-ZA"/>
              </w:rPr>
              <w:instrText xml:space="preserve"> ADDIN ZOTERO_ITEM CSL_CITATION {"citationID":"lWceHqkG","properties":{"formattedCitation":"(158)","plainCitation":"(158)","noteIndex":0},"citationItems":[{"id":637,"uris":["http://zotero.org/users/6216265/items/IV8543NB"],"itemData":{"id":637,"type":"article-journal","abstract":"BACKGROUND: A number of Zika vaccine platforms are currently being investigated, some of which have entered clinical trials. We sought to evaluate the  cost-effectiveness of a potential Zika vaccine candidate under the WHO Vaccine  Target Product Profile for outbreak response, prioritizing women of reproductive  age to prevent microcephaly and other neurological disorders. METHODS: Using an  agent-based simulation model of ZIKV transmission dynamics in a Colombian  population setting, we conducted cost-effectiveness analysis with and without  pre-existing herd immunity. The model was parameterized with estimates associated  with ZIKV infection, risks of microcephaly in different trimesters, direct  medical costs, and vaccination costs. We assumed that a single dose of vaccine  provides a protection efficacy in the range 60% to 90% against infection.  Cost-effectiveness analysis was conducted from a government perspective. RESULTS:  Under a favorable scenario when the reproduction number is relatively low  (R(0) = 2.2) and the relative transmissibility of asymptomatic infection is 10%  compared with symptomatic infection, a vaccine is cost-saving (with negative  incremental cost-effective ratio; ICER) for vaccination costs up to US$6 per  individual without herd immunity, and up to US$4 per individual with 8% herd  immunity. For positive ICER values, vaccination is highly cost-effective for  vaccination costs up to US$10 (US$7) in the respective scenarios with the  willingness-to-pay of US$6610 per disability-adjusted life-year, corresponding to  the average per capita GDP of Colombia between 2013 and 2017. Our results  indicate that the effect of other control measures targeted to reduce ZIKV  transmission decreases the range of vaccination costs for cost-effectiveness due  to reduced returns of vaccine-induced herd immunity. In all scenarios  investigated, the median reduction of microcephaly exceeded 64% with vaccination.  CONCLUSIONS: Our study suggests that a Zika vaccine with protection efficacy as  low as 60% could significantly reduce the incidence of microcephaly. From a  government perspective, Zika vaccination is highly cost-effective, and even  cost-saving in Colombia if vaccination costs per individual is sufficiently low.  Efficacy data from clinical trials and number of vaccine doses will be important  requirements in future studies to refine our estimates, and conduct similar  studies in other at-risk populations.","container-title":"BMC medicine","DOI":"10.1186/s12916-018-1091-x","ISSN":"1741-7015","issue":"1","journalAbbreviation":"BMC Med","language":"eng","note":"PMID: 29966516 \nPMCID: PMC6029035","page":"100","title":"Cost-effectiveness of a potential Zika vaccine candidate: a case study for Colombia.","volume":"16","author":[{"family":"Shoukat","given":"Affan"},{"family":"Vilches","given":"Thomas"},{"family":"Moghadas","given":"Seyed M."}],"issued":{"date-parts":[["2018",7,3]]}}}],"schema":"https://github.com/citation-style-language/schema/raw/master/csl-citation.json"} </w:instrText>
            </w:r>
            <w:r w:rsidR="000C13A7">
              <w:rPr>
                <w:rFonts w:ascii="Calibri" w:eastAsia="Times New Roman" w:hAnsi="Calibri" w:cs="Calibri"/>
                <w:color w:val="000000"/>
                <w:lang w:val="en-ZA" w:eastAsia="en-ZA"/>
              </w:rPr>
              <w:fldChar w:fldCharType="separate"/>
            </w:r>
            <w:r w:rsidR="000C13A7" w:rsidRPr="000C13A7">
              <w:rPr>
                <w:rFonts w:ascii="Calibri" w:hAnsi="Calibri" w:cs="Calibri"/>
              </w:rPr>
              <w:t>(158)</w:t>
            </w:r>
            <w:r w:rsidR="000C13A7">
              <w:rPr>
                <w:rFonts w:ascii="Calibri" w:eastAsia="Times New Roman" w:hAnsi="Calibri" w:cs="Calibri"/>
                <w:color w:val="000000"/>
                <w:lang w:val="en-ZA" w:eastAsia="en-ZA"/>
              </w:rPr>
              <w:fldChar w:fldCharType="end"/>
            </w:r>
          </w:p>
        </w:tc>
        <w:tc>
          <w:tcPr>
            <w:tcW w:w="1464" w:type="dxa"/>
            <w:noWrap/>
            <w:hideMark/>
          </w:tcPr>
          <w:p w14:paraId="1674F79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2018</w:t>
            </w:r>
          </w:p>
        </w:tc>
        <w:tc>
          <w:tcPr>
            <w:tcW w:w="2043" w:type="dxa"/>
            <w:noWrap/>
            <w:hideMark/>
          </w:tcPr>
          <w:p w14:paraId="2BA3E3A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26FEB9B5" w14:textId="77777777" w:rsidTr="00366ACD">
        <w:trPr>
          <w:trHeight w:val="270"/>
        </w:trPr>
        <w:tc>
          <w:tcPr>
            <w:tcW w:w="2703" w:type="dxa"/>
            <w:noWrap/>
            <w:hideMark/>
          </w:tcPr>
          <w:p w14:paraId="4AC5F01D" w14:textId="3A8E5854" w:rsidR="00696AF0" w:rsidRPr="00696AF0" w:rsidRDefault="00696AF0" w:rsidP="000C13A7">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Silva </w:t>
            </w:r>
            <w:r w:rsidR="000620EA">
              <w:rPr>
                <w:rFonts w:ascii="Calibri" w:eastAsia="Times New Roman" w:hAnsi="Calibri" w:cs="Calibri"/>
                <w:color w:val="000000"/>
                <w:lang w:val="en-ZA" w:eastAsia="en-ZA"/>
              </w:rPr>
              <w:t>et al.</w:t>
            </w:r>
            <w:r w:rsidR="000C13A7">
              <w:rPr>
                <w:rFonts w:ascii="Calibri" w:eastAsia="Times New Roman" w:hAnsi="Calibri" w:cs="Calibri"/>
                <w:color w:val="000000"/>
                <w:lang w:val="en-ZA" w:eastAsia="en-ZA"/>
              </w:rPr>
              <w:t xml:space="preserve"> </w:t>
            </w:r>
            <w:r w:rsidR="000C13A7">
              <w:rPr>
                <w:rFonts w:ascii="Calibri" w:eastAsia="Times New Roman" w:hAnsi="Calibri" w:cs="Calibri"/>
                <w:color w:val="000000"/>
                <w:lang w:val="en-ZA" w:eastAsia="en-ZA"/>
              </w:rPr>
              <w:fldChar w:fldCharType="begin"/>
            </w:r>
            <w:r w:rsidR="000C13A7">
              <w:rPr>
                <w:rFonts w:ascii="Calibri" w:eastAsia="Times New Roman" w:hAnsi="Calibri" w:cs="Calibri"/>
                <w:color w:val="000000"/>
                <w:lang w:val="en-ZA" w:eastAsia="en-ZA"/>
              </w:rPr>
              <w:instrText xml:space="preserve"> ADDIN ZOTERO_ITEM CSL_CITATION {"citationID":"t9WRQ4Am","properties":{"formattedCitation":"(159)","plainCitation":"(159)","noteIndex":0},"citationItems":[{"id":12554,"uris":["http://zotero.org/users/6216265/items/AAWVAPFQ"],"itemData":{"id":12554,"type":"article-journal","container-title":"AAPS PharmSciTech","DOI":"10.1208/s12249-018-1078-0","ISSN":"1530-9932","issue":"5","journalAbbreviation":"AAPS PharmSciTech","language":"en","page":"2383-2394","source":"DOI.org (Crossref)","title":"Unstructured Formulation Data Analysis for the Optimization of Lipid Nanoparticle Drug Delivery Vehicles","volume":"19","author":[{"family":"Silva","given":"Jessica"},{"family":"Mendes","given":"Maria"},{"family":"Cova","given":"Tânia"},{"family":"Sousa","given":"João"},{"family":"Pais","given":"Alberto"},{"family":"Vitorino","given":"Carla"}],"issued":{"date-parts":[["2018",7]]}}}],"schema":"https://github.com/citation-style-language/schema/raw/master/csl-citation.json"} </w:instrText>
            </w:r>
            <w:r w:rsidR="000C13A7">
              <w:rPr>
                <w:rFonts w:ascii="Calibri" w:eastAsia="Times New Roman" w:hAnsi="Calibri" w:cs="Calibri"/>
                <w:color w:val="000000"/>
                <w:lang w:val="en-ZA" w:eastAsia="en-ZA"/>
              </w:rPr>
              <w:fldChar w:fldCharType="separate"/>
            </w:r>
            <w:r w:rsidR="000C13A7" w:rsidRPr="000C13A7">
              <w:rPr>
                <w:rFonts w:ascii="Calibri" w:hAnsi="Calibri" w:cs="Calibri"/>
              </w:rPr>
              <w:t>(159)</w:t>
            </w:r>
            <w:r w:rsidR="000C13A7">
              <w:rPr>
                <w:rFonts w:ascii="Calibri" w:eastAsia="Times New Roman" w:hAnsi="Calibri" w:cs="Calibri"/>
                <w:color w:val="000000"/>
                <w:lang w:val="en-ZA" w:eastAsia="en-ZA"/>
              </w:rPr>
              <w:fldChar w:fldCharType="end"/>
            </w:r>
          </w:p>
        </w:tc>
        <w:tc>
          <w:tcPr>
            <w:tcW w:w="1464" w:type="dxa"/>
            <w:noWrap/>
            <w:hideMark/>
          </w:tcPr>
          <w:p w14:paraId="2699705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2018</w:t>
            </w:r>
          </w:p>
        </w:tc>
        <w:tc>
          <w:tcPr>
            <w:tcW w:w="2043" w:type="dxa"/>
            <w:noWrap/>
            <w:hideMark/>
          </w:tcPr>
          <w:p w14:paraId="46AC99E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E3F4F39" w14:textId="77777777" w:rsidTr="00366ACD">
        <w:trPr>
          <w:trHeight w:val="270"/>
        </w:trPr>
        <w:tc>
          <w:tcPr>
            <w:tcW w:w="2703" w:type="dxa"/>
            <w:noWrap/>
            <w:hideMark/>
          </w:tcPr>
          <w:p w14:paraId="1527247B" w14:textId="01DF5F11" w:rsidR="00696AF0" w:rsidRPr="00696AF0" w:rsidRDefault="00696AF0" w:rsidP="00434CFD">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Simpson </w:t>
            </w:r>
            <w:r w:rsidR="000620EA">
              <w:rPr>
                <w:rFonts w:ascii="Calibri" w:eastAsia="Times New Roman" w:hAnsi="Calibri" w:cs="Calibri"/>
                <w:color w:val="000000"/>
                <w:lang w:val="en-ZA" w:eastAsia="en-ZA"/>
              </w:rPr>
              <w:t>et al.</w:t>
            </w:r>
            <w:r w:rsidR="00434CFD">
              <w:rPr>
                <w:rFonts w:ascii="Calibri" w:eastAsia="Times New Roman" w:hAnsi="Calibri" w:cs="Calibri"/>
                <w:color w:val="000000"/>
                <w:lang w:val="en-ZA" w:eastAsia="en-ZA"/>
              </w:rPr>
              <w:t xml:space="preserve"> </w:t>
            </w:r>
            <w:r w:rsidR="00434CFD">
              <w:rPr>
                <w:rFonts w:ascii="Calibri" w:eastAsia="Times New Roman" w:hAnsi="Calibri" w:cs="Calibri"/>
                <w:color w:val="000000"/>
                <w:lang w:val="en-ZA" w:eastAsia="en-ZA"/>
              </w:rPr>
              <w:fldChar w:fldCharType="begin"/>
            </w:r>
            <w:r w:rsidR="00434CFD">
              <w:rPr>
                <w:rFonts w:ascii="Calibri" w:eastAsia="Times New Roman" w:hAnsi="Calibri" w:cs="Calibri"/>
                <w:color w:val="000000"/>
                <w:lang w:val="en-ZA" w:eastAsia="en-ZA"/>
              </w:rPr>
              <w:instrText xml:space="preserve"> ADDIN ZOTERO_ITEM CSL_CITATION {"citationID":"1Lodog6N","properties":{"formattedCitation":"(160)","plainCitation":"(160)","noteIndex":0},"citationItems":[{"id":3013,"uris":["http://zotero.org/users/6216265/items/UZSDRCLQ"],"itemData":{"id":3013,"type":"article-journal","abstract":"WHO has listed several priority diseases with epidemic potential for which there are no, or insufficient, medical countermeasures. In response, the Bill &amp; Melinda  Gates Foundation (with support from PricewaterhouseCoopers) coordinated subject  matter experts to create a preparedness plan for Disease X. Disease X is caused  by Pathogen X, an infectious agent that is not currently known to cause human  disease, but an aetiologic agent of a future outbreak with epidemic or pandemic  potential. We have identified crucial areas for acceleration in medical  countermeasure product development and international coordination. We have also  reviewed novel platforms and process improvements related to manufacturing, which  could revolutionise the response to the next pandemic. Finally, we created  several coordination and engagement guides. These guides range from the rational  design of an intervention target product profile, to the key facets of vaccine  and therapeutic development, to accelerated manufacturing and regulatory  mechanisms. In this Personal View, we provide a high-level summary of the  outcomes of the medical countermeasure development workstream, intended for a  broad audience including academia, medical countermeasure developers, and  multilateral coordinating bodies. We hope that they might find this piece useful  in prioritising strategic investments and efforts to accelerate medical  countermeasure development. We observed that in-depth analyses of clinical trial  design, chemistry, manufacturing and control activities, and accelerated  regulatory pathways are necessary for shortening the timelines for the product  development of medical countermeasures. We intend to cover these topics in future  publications.","container-title":"The Lancet. Infectious diseases","DOI":"10.1016/S1473-3099(20)30123-7","ISSN":"1474-4457 1473-3099","issue":"5","journalAbbreviation":"Lancet Infect Dis","language":"eng","license":"Copyright © 2020 Elsevier Ltd. All rights reserved.","note":"PMID: 32197097 \nPMCID: PMC7158580","page":"e108-e115","title":"Disease X: accelerating the development of medical countermeasures for the next pandemic.","volume":"20","author":[{"family":"Simpson","given":"Shmona"},{"family":"Kaufmann","given":"Michael C."},{"family":"Glozman","given":"Vitaly"},{"family":"Chakrabarti","given":"Ajoy"}],"issued":{"date-parts":[["2020",5]]}}}],"schema":"https://github.com/citation-style-language/schema/raw/master/csl-citation.json"} </w:instrText>
            </w:r>
            <w:r w:rsidR="00434CFD">
              <w:rPr>
                <w:rFonts w:ascii="Calibri" w:eastAsia="Times New Roman" w:hAnsi="Calibri" w:cs="Calibri"/>
                <w:color w:val="000000"/>
                <w:lang w:val="en-ZA" w:eastAsia="en-ZA"/>
              </w:rPr>
              <w:fldChar w:fldCharType="separate"/>
            </w:r>
            <w:r w:rsidR="00434CFD" w:rsidRPr="00434CFD">
              <w:rPr>
                <w:rFonts w:ascii="Calibri" w:hAnsi="Calibri" w:cs="Calibri"/>
              </w:rPr>
              <w:t>(160)</w:t>
            </w:r>
            <w:r w:rsidR="00434CFD">
              <w:rPr>
                <w:rFonts w:ascii="Calibri" w:eastAsia="Times New Roman" w:hAnsi="Calibri" w:cs="Calibri"/>
                <w:color w:val="000000"/>
                <w:lang w:val="en-ZA" w:eastAsia="en-ZA"/>
              </w:rPr>
              <w:fldChar w:fldCharType="end"/>
            </w:r>
          </w:p>
        </w:tc>
        <w:tc>
          <w:tcPr>
            <w:tcW w:w="1464" w:type="dxa"/>
            <w:noWrap/>
            <w:hideMark/>
          </w:tcPr>
          <w:p w14:paraId="19AF405A"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2661993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23102E4" w14:textId="77777777" w:rsidTr="00366ACD">
        <w:trPr>
          <w:trHeight w:val="270"/>
        </w:trPr>
        <w:tc>
          <w:tcPr>
            <w:tcW w:w="2703" w:type="dxa"/>
            <w:noWrap/>
            <w:hideMark/>
          </w:tcPr>
          <w:p w14:paraId="6DCF2A20" w14:textId="714ECCC4" w:rsidR="00696AF0" w:rsidRPr="00696AF0" w:rsidRDefault="00696AF0" w:rsidP="00434CFD">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Singhai</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434CFD">
              <w:rPr>
                <w:rFonts w:ascii="Calibri" w:eastAsia="Times New Roman" w:hAnsi="Calibri" w:cs="Calibri"/>
                <w:color w:val="000000"/>
                <w:lang w:val="en-ZA" w:eastAsia="en-ZA"/>
              </w:rPr>
              <w:t xml:space="preserve"> </w:t>
            </w:r>
            <w:r w:rsidR="00434CFD">
              <w:rPr>
                <w:rFonts w:ascii="Calibri" w:eastAsia="Times New Roman" w:hAnsi="Calibri" w:cs="Calibri"/>
                <w:color w:val="000000"/>
                <w:lang w:val="en-ZA" w:eastAsia="en-ZA"/>
              </w:rPr>
              <w:fldChar w:fldCharType="begin"/>
            </w:r>
            <w:r w:rsidR="00434CFD">
              <w:rPr>
                <w:rFonts w:ascii="Calibri" w:eastAsia="Times New Roman" w:hAnsi="Calibri" w:cs="Calibri"/>
                <w:color w:val="000000"/>
                <w:lang w:val="en-ZA" w:eastAsia="en-ZA"/>
              </w:rPr>
              <w:instrText xml:space="preserve"> ADDIN ZOTERO_ITEM CSL_CITATION {"citationID":"AKSuUwQ8","properties":{"formattedCitation":"(161)","plainCitation":"(161)","noteIndex":0},"citationItems":[{"id":697,"uris":["http://zotero.org/users/6216265/items/HNPL3Y2N"],"itemData":{"id":697,"type":"article-journal","abstract":"BACKGROUND: Heart attack predominantly occurs during the last phase of sleep and early morning hours, causing millions of death worldwide. Hydrochlorothiazide  (HCTZ) is a recommended drug for the prevention of heart disease, but its long  action (&gt;4 h) dosage form is lacking in the commercial market and development of  modified-release formulation may have industrial significance. Regulatory  agencies emphasize Quality by Design based approach for product development to  entrust quality in the product. OBJECTIVE: The current research aimed to develop  a quality product profile of HCTZ modifiedrelease tablets (MRT; ~14 h) by  applying Response Surface Methodology using the computational QbD approach.  METHODS: Three independent factors were identified by qualitative and  quantitative risk assessment. Statistical terms like p-value, lack of fit, the  sum of square, R-squared value, model F value, and linear equations were  determined. Graphical tools like normal plot of residual, residual vs predicted  plot and box cox plot were used to verify the model selection. The graphical  relationship among the critical, independent variables was represented using the  Contour plot and 3-D surface plot. Design space was identified by designing an  overlay plot using response surface design. RESULTS: Excellent correlation was  observed between actual and predicted values. Similarity Factor (F2) of  reproducible trials was 78 and 79, and content uniformity was 100.9% and 100.4%.  Average weight, hardness, thickness, diameter, and friability were within  acceptable limits. CONCLUSION: QbD approach, along with a quality risk management  tool, provided an efficient and effective paradigm to build quality MRT of HCTZ.","container-title":"Current computer-aided drug design","DOI":"10.2174/1573409916666200226114517","ISSN":"1875-6697 1573-4099","issue":"2","journalAbbreviation":"Curr Comput Aided Drug Des","language":"eng","license":"Copyright© Bentham Science Publishers; For any queries, please email at epub@benthamscience.net.","note":"publisher-place: United Arab Emirates\nPMID: 32101133","page":"266-280","title":"Employment of Quality by Design Approach via Response Surface Methodology to Optimize and Develop Modified-release Formulation of Hydrochlorothiazide.","volume":"17","author":[{"family":"Singhai","given":"Vikas D."},{"family":"Maheshwari","given":"Rahul"},{"family":"Sharma","given":"Swapnil"},{"family":"Paliwal","given":"Sarvesh"}],"issued":{"date-parts":[["2021"]]}}}],"schema":"https://github.com/citation-style-language/schema/raw/master/csl-citation.json"} </w:instrText>
            </w:r>
            <w:r w:rsidR="00434CFD">
              <w:rPr>
                <w:rFonts w:ascii="Calibri" w:eastAsia="Times New Roman" w:hAnsi="Calibri" w:cs="Calibri"/>
                <w:color w:val="000000"/>
                <w:lang w:val="en-ZA" w:eastAsia="en-ZA"/>
              </w:rPr>
              <w:fldChar w:fldCharType="separate"/>
            </w:r>
            <w:r w:rsidR="00434CFD" w:rsidRPr="00434CFD">
              <w:rPr>
                <w:rFonts w:ascii="Calibri" w:hAnsi="Calibri" w:cs="Calibri"/>
              </w:rPr>
              <w:t>(161)</w:t>
            </w:r>
            <w:r w:rsidR="00434CFD">
              <w:rPr>
                <w:rFonts w:ascii="Calibri" w:eastAsia="Times New Roman" w:hAnsi="Calibri" w:cs="Calibri"/>
                <w:color w:val="000000"/>
                <w:lang w:val="en-ZA" w:eastAsia="en-ZA"/>
              </w:rPr>
              <w:fldChar w:fldCharType="end"/>
            </w:r>
          </w:p>
        </w:tc>
        <w:tc>
          <w:tcPr>
            <w:tcW w:w="1464" w:type="dxa"/>
            <w:noWrap/>
            <w:hideMark/>
          </w:tcPr>
          <w:p w14:paraId="3F900775"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6FF5835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2C7BDE52" w14:textId="77777777" w:rsidTr="00366ACD">
        <w:trPr>
          <w:trHeight w:val="270"/>
        </w:trPr>
        <w:tc>
          <w:tcPr>
            <w:tcW w:w="2703" w:type="dxa"/>
            <w:noWrap/>
            <w:hideMark/>
          </w:tcPr>
          <w:p w14:paraId="3D48C9D5" w14:textId="0FC135FF" w:rsidR="00696AF0" w:rsidRPr="00696AF0" w:rsidRDefault="00696AF0" w:rsidP="00441CF7">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Soeiro</w:t>
            </w:r>
            <w:proofErr w:type="spellEnd"/>
            <w:r w:rsidR="00441CF7">
              <w:rPr>
                <w:rFonts w:ascii="Calibri" w:eastAsia="Times New Roman" w:hAnsi="Calibri" w:cs="Calibri"/>
                <w:color w:val="000000"/>
                <w:lang w:val="en-ZA" w:eastAsia="en-ZA"/>
              </w:rPr>
              <w:t xml:space="preserve"> </w:t>
            </w:r>
            <w:r w:rsidR="00441CF7">
              <w:rPr>
                <w:rFonts w:ascii="Calibri" w:eastAsia="Times New Roman" w:hAnsi="Calibri" w:cs="Calibri"/>
                <w:color w:val="000000"/>
                <w:lang w:val="en-ZA" w:eastAsia="en-ZA"/>
              </w:rPr>
              <w:fldChar w:fldCharType="begin"/>
            </w:r>
            <w:r w:rsidR="00441CF7">
              <w:rPr>
                <w:rFonts w:ascii="Calibri" w:eastAsia="Times New Roman" w:hAnsi="Calibri" w:cs="Calibri"/>
                <w:color w:val="000000"/>
                <w:lang w:val="en-ZA" w:eastAsia="en-ZA"/>
              </w:rPr>
              <w:instrText xml:space="preserve"> ADDIN ZOTERO_ITEM CSL_CITATION {"citationID":"smeNt77k","properties":{"formattedCitation":"(162)","plainCitation":"(162)","noteIndex":0},"citationItems":[{"id":162,"uris":["http://zotero.org/users/6216265/items/YIVEJ7D2"],"itemData":{"id":162,"type":"article-journal","abstract":"Chagas disease (CD), a neglected tropical illness caused by the protozoan Trypanosoma cruzi, affects more than 6 million people mostly in poor areas of  Latin America. CD has two phases: an acute, short phase mainly oligosymptomatic  followed to the chronic phase, a long-lasting stage that may trigger cardiac  and/or digestive disorders and death. Only two old drugs are available and both  present low efficacy in the chronic stage, display side effects and are inactive  against parasite strains naturally resistant to these nitroderivatives. These  shortcomings justify the search for novel therapeutic options considering the  target product profile for CD that will be presently reviewed besides briefly  revisiting the data on phosphodiesterase inhibitors upon T. cruzi.","container-title":"Memorias do Instituto Oswaldo Cruz","DOI":"10.1590/0074-02760220004","ISSN":"1678-8060 0074-0276","journalAbbreviation":"Mem Inst Oswaldo Cruz","language":"eng","note":"PMID: 35293439 \nPMCID: PMC8923671","page":"e220004","title":"Perspectives for a new drug candidate for Chagas disease therapy.","volume":"117","author":[{"family":"Soeiro","given":"Maria de Nazaré Correia"}],"issued":{"date-parts":[["2022"]]}}}],"schema":"https://github.com/citation-style-language/schema/raw/master/csl-citation.json"} </w:instrText>
            </w:r>
            <w:r w:rsidR="00441CF7">
              <w:rPr>
                <w:rFonts w:ascii="Calibri" w:eastAsia="Times New Roman" w:hAnsi="Calibri" w:cs="Calibri"/>
                <w:color w:val="000000"/>
                <w:lang w:val="en-ZA" w:eastAsia="en-ZA"/>
              </w:rPr>
              <w:fldChar w:fldCharType="separate"/>
            </w:r>
            <w:r w:rsidR="00441CF7" w:rsidRPr="00441CF7">
              <w:rPr>
                <w:rFonts w:ascii="Calibri" w:hAnsi="Calibri" w:cs="Calibri"/>
              </w:rPr>
              <w:t>(162)</w:t>
            </w:r>
            <w:r w:rsidR="00441CF7">
              <w:rPr>
                <w:rFonts w:ascii="Calibri" w:eastAsia="Times New Roman" w:hAnsi="Calibri" w:cs="Calibri"/>
                <w:color w:val="000000"/>
                <w:lang w:val="en-ZA" w:eastAsia="en-ZA"/>
              </w:rPr>
              <w:fldChar w:fldCharType="end"/>
            </w:r>
          </w:p>
        </w:tc>
        <w:tc>
          <w:tcPr>
            <w:tcW w:w="1464" w:type="dxa"/>
            <w:noWrap/>
            <w:hideMark/>
          </w:tcPr>
          <w:p w14:paraId="2C73C48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73EA3B2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05A66711" w14:textId="77777777" w:rsidTr="00366ACD">
        <w:trPr>
          <w:trHeight w:val="270"/>
        </w:trPr>
        <w:tc>
          <w:tcPr>
            <w:tcW w:w="2703" w:type="dxa"/>
            <w:noWrap/>
            <w:hideMark/>
          </w:tcPr>
          <w:p w14:paraId="270CB7CC" w14:textId="771260E1" w:rsidR="00696AF0" w:rsidRPr="00696AF0" w:rsidRDefault="00696AF0" w:rsidP="00441CF7">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Specht </w:t>
            </w:r>
            <w:r w:rsidR="000620EA">
              <w:rPr>
                <w:rFonts w:ascii="Calibri" w:eastAsia="Times New Roman" w:hAnsi="Calibri" w:cs="Calibri"/>
                <w:color w:val="000000"/>
                <w:lang w:val="en-ZA" w:eastAsia="en-ZA"/>
              </w:rPr>
              <w:t>et al.</w:t>
            </w:r>
            <w:r w:rsidR="00441CF7">
              <w:rPr>
                <w:rFonts w:ascii="Calibri" w:eastAsia="Times New Roman" w:hAnsi="Calibri" w:cs="Calibri"/>
                <w:color w:val="000000"/>
                <w:lang w:val="en-ZA" w:eastAsia="en-ZA"/>
              </w:rPr>
              <w:t xml:space="preserve"> </w:t>
            </w:r>
            <w:r w:rsidR="00441CF7">
              <w:rPr>
                <w:rFonts w:ascii="Calibri" w:eastAsia="Times New Roman" w:hAnsi="Calibri" w:cs="Calibri"/>
                <w:color w:val="000000"/>
                <w:lang w:val="en-ZA" w:eastAsia="en-ZA"/>
              </w:rPr>
              <w:fldChar w:fldCharType="begin"/>
            </w:r>
            <w:r w:rsidR="00441CF7">
              <w:rPr>
                <w:rFonts w:ascii="Calibri" w:eastAsia="Times New Roman" w:hAnsi="Calibri" w:cs="Calibri"/>
                <w:color w:val="000000"/>
                <w:lang w:val="en-ZA" w:eastAsia="en-ZA"/>
              </w:rPr>
              <w:instrText xml:space="preserve"> ADDIN ZOTERO_ITEM CSL_CITATION {"citationID":"5TUdq1b9","properties":{"formattedCitation":"(163)","plainCitation":"(163)","noteIndex":0},"citationItems":[{"id":85,"uris":["http://zotero.org/users/6216265/items/AMMZJ8WC"],"itemData":{"id":85,"type":"article-journal","abstract":"Filarial parasites can be targeted by antibiotic treatment due to their unique endosymbiotic relationship with Wolbachia bacteria. This finding has led to  successful treatment strategies in both, human onchocerciasis and lymphatic  filariasis. A 4-6 week treatment course using doxycycline results in long-term  sterility and safe macrofilaricidal activity in humans. However, current  treatment times and doxycycline contraindications in children and pregnant women  preclude widespread administration of doxycycline in public health control  programs; therefore, the search for shorter anti-wolbachial regimens is a focus  of ongoing research. We have established an in vivo model for compound screening,  using mice infected with Litomosoides sigmodontis. We could show that gold  standard doxycycline treatment did not only deplete Wolbachia, it also resulted  in a larval arrest. In this model, combinations of registered antibiotics were  tested for their anti-wolbachial activity. Administration of rifamycins in  combination with doxycycline for 7 days successfully depleted Wolbachia by &gt; 2  log (&gt;99% reduction) and thus resulted in a significant reduction of the  treatment duration. Using a triple combination of a tetracycline (doxycycline or  minocycline), a rifamycin and a fluoroquinolone (moxifloxacin) led to an even  greater shortening of the treatment time. Testing all double combinations that  could be derived from the triple combinations revealed that the combination of  rifapentine (15mg/kg) and moxifloxacin (2 x 200mg/kg) showed the strongest  reduction of treatment time in intraperitoneal and also oral administration  routes. The rifapentine plus moxifloxacin combination was equivalent to the  triple combination with additional doxycycline (&gt;99% Wolbachia reduction). These  investigations suggest that it is possible to shorten anti-wolbachial treatment  times with combination treatments in order to achieve the target product profile  (TPP) requirements for macrofilaricidal drugs of no more than 7-10 days of  treatment.","container-title":"PLoS neglected tropical diseases","DOI":"10.1371/journal.pntd.0006116","ISSN":"1935-2735 1935-2727","issue":"1","journalAbbreviation":"PLoS Negl Trop Dis","language":"eng","note":"PMID: 29300732 \nPMCID: PMC5771630","page":"e0006116","title":"Combinations of registered drugs reduce treatment times required to deplete Wolbachia in the Litomosoides sigmodontis mouse model.","volume":"12","author":[{"family":"Specht","given":"Sabine"},{"family":"Pfarr","given":"Kenneth M."},{"family":"Arriens","given":"Sandra"},{"family":"Hübner","given":"Marc P."},{"family":"Klarmann-Schulz","given":"Ute"},{"family":"Koschel","given":"Marianne"},{"family":"Sternberg","given":"Sonja"},{"family":"Martin","given":"Coralie"},{"family":"Ford","given":"Louise"},{"family":"Taylor","given":"Mark J."},{"family":"Hoerauf","given":"Achim"}],"issued":{"date-parts":[["2018",1]]}}}],"schema":"https://github.com/citation-style-language/schema/raw/master/csl-citation.json"} </w:instrText>
            </w:r>
            <w:r w:rsidR="00441CF7">
              <w:rPr>
                <w:rFonts w:ascii="Calibri" w:eastAsia="Times New Roman" w:hAnsi="Calibri" w:cs="Calibri"/>
                <w:color w:val="000000"/>
                <w:lang w:val="en-ZA" w:eastAsia="en-ZA"/>
              </w:rPr>
              <w:fldChar w:fldCharType="separate"/>
            </w:r>
            <w:r w:rsidR="00441CF7" w:rsidRPr="00441CF7">
              <w:rPr>
                <w:rFonts w:ascii="Calibri" w:hAnsi="Calibri" w:cs="Calibri"/>
              </w:rPr>
              <w:t>(163)</w:t>
            </w:r>
            <w:r w:rsidR="00441CF7">
              <w:rPr>
                <w:rFonts w:ascii="Calibri" w:eastAsia="Times New Roman" w:hAnsi="Calibri" w:cs="Calibri"/>
                <w:color w:val="000000"/>
                <w:lang w:val="en-ZA" w:eastAsia="en-ZA"/>
              </w:rPr>
              <w:fldChar w:fldCharType="end"/>
            </w:r>
          </w:p>
        </w:tc>
        <w:tc>
          <w:tcPr>
            <w:tcW w:w="1464" w:type="dxa"/>
            <w:noWrap/>
            <w:hideMark/>
          </w:tcPr>
          <w:p w14:paraId="2DF3D5F1"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2018</w:t>
            </w:r>
          </w:p>
        </w:tc>
        <w:tc>
          <w:tcPr>
            <w:tcW w:w="2043" w:type="dxa"/>
            <w:noWrap/>
            <w:hideMark/>
          </w:tcPr>
          <w:p w14:paraId="41B3637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8706BD" w14:paraId="62C51AF4" w14:textId="77777777" w:rsidTr="00366ACD">
        <w:trPr>
          <w:trHeight w:val="270"/>
        </w:trPr>
        <w:tc>
          <w:tcPr>
            <w:tcW w:w="2703" w:type="dxa"/>
            <w:noWrap/>
            <w:hideMark/>
          </w:tcPr>
          <w:p w14:paraId="5BCCB7FD" w14:textId="171B9B3E" w:rsidR="00696AF0" w:rsidRPr="00696AF0" w:rsidRDefault="00696AF0" w:rsidP="00F32226">
            <w:pPr>
              <w:tabs>
                <w:tab w:val="left" w:pos="1598"/>
              </w:tabs>
              <w:rPr>
                <w:rFonts w:ascii="Calibri" w:eastAsia="Times New Roman" w:hAnsi="Calibri" w:cs="Calibri"/>
                <w:color w:val="000000"/>
                <w:lang w:val="nl-NL" w:eastAsia="en-ZA"/>
              </w:rPr>
            </w:pPr>
            <w:r w:rsidRPr="00696AF0">
              <w:rPr>
                <w:rFonts w:ascii="Calibri" w:eastAsia="Times New Roman" w:hAnsi="Calibri" w:cs="Calibri"/>
                <w:color w:val="000000"/>
                <w:lang w:val="en-ZA" w:eastAsia="en-ZA"/>
              </w:rPr>
              <w:t xml:space="preserve">Spooner </w:t>
            </w:r>
            <w:r w:rsidR="000620EA">
              <w:rPr>
                <w:rFonts w:ascii="Calibri" w:eastAsia="Times New Roman" w:hAnsi="Calibri" w:cs="Calibri"/>
                <w:color w:val="000000"/>
                <w:lang w:val="en-ZA" w:eastAsia="en-ZA"/>
              </w:rPr>
              <w:t>et al.</w:t>
            </w:r>
            <w:r w:rsidR="00F32226">
              <w:rPr>
                <w:rFonts w:ascii="Calibri" w:eastAsia="Times New Roman" w:hAnsi="Calibri" w:cs="Calibri"/>
                <w:color w:val="000000"/>
                <w:lang w:val="en-ZA" w:eastAsia="en-ZA"/>
              </w:rPr>
              <w:t xml:space="preserve"> </w:t>
            </w:r>
            <w:r w:rsidR="00F32226">
              <w:rPr>
                <w:rFonts w:ascii="Calibri" w:eastAsia="Times New Roman" w:hAnsi="Calibri" w:cs="Calibri"/>
                <w:color w:val="000000"/>
                <w:lang w:val="en-ZA" w:eastAsia="en-ZA"/>
              </w:rPr>
              <w:fldChar w:fldCharType="begin"/>
            </w:r>
            <w:r w:rsidR="00F32226">
              <w:rPr>
                <w:rFonts w:ascii="Calibri" w:eastAsia="Times New Roman" w:hAnsi="Calibri" w:cs="Calibri"/>
                <w:color w:val="000000"/>
                <w:lang w:val="en-ZA" w:eastAsia="en-ZA"/>
              </w:rPr>
              <w:instrText xml:space="preserve"> ADDIN ZOTERO_ITEM CSL_CITATION {"citationID":"JBk7iMBk","properties":{"formattedCitation":"(164)","plainCitation":"(164)","noteIndex":0},"citationItems":[{"id":160,"uris":["http://zotero.org/users/6216265/items/BRA3EK2V"],"itemData":{"id":160,"type":"article-journal","abstract":"BACKGROUND: South Africa, with the highest burden of HIV infection globally, has made huge strides in its HIV/ART programme, but AIDS deaths have not decreased  proportionally to ART uptake. Advanced HIV disease (CD4 &lt; 200 cells/mm(3))  persists, and CD4 count testing is being overlooked since universal  test-and-treat was implemented. Point-of-care CD4 testing could address this gap  and assure differentiated care to these vulnerable patients with low CD4 counts.  METHODS: A time randomised implementation trial was conducted, enrolling 603 HIV  positive non-ART, not pregnant patients at a primary health care clinic in  Durban, South Africa. Weeks were randomised to either point-of-care CD4 testing  (n = 305 patients) or standard-of-care central laboratory CD4 testing (n = 298  patients) to assess the proportion initiating ART at 3 months. Cox regression,  with robust standard errors adjusting for clustering by week, were used to assess  the relationship between treatment initiation and arm. RESULTS: Among the 578  (299 point-of-care and 279 standard-of-care) patients eligible for analysis,  there was no significant difference in the number of eligible patients initiating  ART within 3 months in the point-of-care (73%) and the standard-of-care (68%)  groups (P = 0.112). The time-to-treat analysis was not significantly different in  patients with CD4 counts of 201-500 cells/mm(3) which could have been due to  appointment scheduling to cope with the large burden of cases. However, in  patients with advanced HIV disease (CD4 &lt; 200cells/mm(3)) 6</w:instrText>
            </w:r>
            <w:r w:rsidR="00F32226" w:rsidRPr="008706BD">
              <w:rPr>
                <w:rFonts w:ascii="Calibri" w:eastAsia="Times New Roman" w:hAnsi="Calibri" w:cs="Calibri"/>
                <w:color w:val="000000"/>
                <w:lang w:val="nl-NL" w:eastAsia="en-ZA"/>
              </w:rPr>
              <w:instrText xml:space="preserve">5% more patients  started ART earlier in the point-of-care group (HR 1.65 (95% confidence interval  (CI) = 0.99-2.75; P = 0.052) compared to the standard-of-care group. CONCLUSIONS:  Point-of-care testing decreased time-to-treatment in those with advanced HIV  disease. With universal test and treat for HIV, rollout of simple point-of-care  CD4 testing would ensure early diagnosis of advanced HIV disease and facilitate  differentiated care for these vulnerable patients as per the World Health  Organisation 2020 target product profile for point-of-care CD4 testing. TRIAL  REGISTRATION: ISRCTN14220457.","container-title":"Journal of global health","DOI":"10.7189/jogh.12.04004","ISSN":"2047-2986 2047-2978","journalAbbreviation":"J Glob Health","language":"eng","license":"Copyright © 2022 by the Journal of Global Health. All rights reserved.","note":"PMID: 35136596 \nPMCID: PMC8818294","page":"04004","title":"Point-of-care CD4 testing: Differentiated care for the most vulnerable.","volume":"12","author":[{"family":"Spooner","given":"Elizabeth"},{"family":"Reddy","given":"Tarylee"},{"family":"Mchunu","given":"Nobuhle"},{"family":"Reddy","given":"Shabashini"},{"family":"Daniels","given":"Brodie"},{"family":"Ngomane","given":"Noluthando"},{"family":"Luthuli","given":"Nozipho"},{"family":"Kiepiela","given":"Photini"},{"family":"Coutsoudis","given":"Anna"}],"issued":{"date-parts":[["2022"]]}}}],"schema":"https://github.com/citation-style-language/schema/raw/master/csl-citation.json"} </w:instrText>
            </w:r>
            <w:r w:rsidR="00F32226">
              <w:rPr>
                <w:rFonts w:ascii="Calibri" w:eastAsia="Times New Roman" w:hAnsi="Calibri" w:cs="Calibri"/>
                <w:color w:val="000000"/>
                <w:lang w:val="en-ZA" w:eastAsia="en-ZA"/>
              </w:rPr>
              <w:fldChar w:fldCharType="separate"/>
            </w:r>
            <w:r w:rsidR="00F32226" w:rsidRPr="008706BD">
              <w:rPr>
                <w:rFonts w:ascii="Calibri" w:hAnsi="Calibri" w:cs="Calibri"/>
                <w:lang w:val="nl-NL"/>
              </w:rPr>
              <w:t>(164)</w:t>
            </w:r>
            <w:r w:rsidR="00F32226">
              <w:rPr>
                <w:rFonts w:ascii="Calibri" w:eastAsia="Times New Roman" w:hAnsi="Calibri" w:cs="Calibri"/>
                <w:color w:val="000000"/>
                <w:lang w:val="en-ZA" w:eastAsia="en-ZA"/>
              </w:rPr>
              <w:fldChar w:fldCharType="end"/>
            </w:r>
            <w:r w:rsidR="00F32226" w:rsidRPr="008706BD">
              <w:rPr>
                <w:rFonts w:ascii="Calibri" w:eastAsia="Times New Roman" w:hAnsi="Calibri" w:cs="Calibri"/>
                <w:color w:val="000000"/>
                <w:lang w:val="nl-NL" w:eastAsia="en-ZA"/>
              </w:rPr>
              <w:tab/>
              <w:t xml:space="preserve"> </w:t>
            </w:r>
          </w:p>
        </w:tc>
        <w:tc>
          <w:tcPr>
            <w:tcW w:w="1464" w:type="dxa"/>
            <w:noWrap/>
            <w:hideMark/>
          </w:tcPr>
          <w:p w14:paraId="57BB4352" w14:textId="77777777" w:rsidR="00696AF0" w:rsidRPr="00696AF0" w:rsidRDefault="00696AF0" w:rsidP="00696AF0">
            <w:pPr>
              <w:rPr>
                <w:rFonts w:ascii="Calibri" w:eastAsia="Times New Roman" w:hAnsi="Calibri" w:cs="Calibri"/>
                <w:color w:val="000000"/>
                <w:lang w:val="nl-NL" w:eastAsia="en-ZA"/>
              </w:rPr>
            </w:pPr>
            <w:r w:rsidRPr="00696AF0">
              <w:rPr>
                <w:rFonts w:ascii="Calibri" w:eastAsia="Times New Roman" w:hAnsi="Calibri" w:cs="Calibri"/>
                <w:color w:val="000000"/>
                <w:lang w:val="nl-NL" w:eastAsia="en-ZA"/>
              </w:rPr>
              <w:t>2022</w:t>
            </w:r>
          </w:p>
        </w:tc>
        <w:tc>
          <w:tcPr>
            <w:tcW w:w="2043" w:type="dxa"/>
            <w:noWrap/>
            <w:hideMark/>
          </w:tcPr>
          <w:p w14:paraId="4D33CCF4" w14:textId="77777777" w:rsidR="00696AF0" w:rsidRPr="00696AF0" w:rsidRDefault="00696AF0" w:rsidP="00696AF0">
            <w:pPr>
              <w:rPr>
                <w:rFonts w:ascii="Calibri" w:eastAsia="Times New Roman" w:hAnsi="Calibri" w:cs="Calibri"/>
                <w:color w:val="000000"/>
                <w:lang w:val="nl-NL" w:eastAsia="en-ZA"/>
              </w:rPr>
            </w:pPr>
            <w:r w:rsidRPr="00696AF0">
              <w:rPr>
                <w:rFonts w:ascii="Calibri" w:eastAsia="Times New Roman" w:hAnsi="Calibri" w:cs="Calibri"/>
                <w:color w:val="000000"/>
                <w:lang w:val="nl-NL" w:eastAsia="en-ZA"/>
              </w:rPr>
              <w:t xml:space="preserve">No TPP </w:t>
            </w:r>
            <w:proofErr w:type="spellStart"/>
            <w:r w:rsidRPr="00696AF0">
              <w:rPr>
                <w:rFonts w:ascii="Calibri" w:eastAsia="Times New Roman" w:hAnsi="Calibri" w:cs="Calibri"/>
                <w:color w:val="000000"/>
                <w:lang w:val="nl-NL" w:eastAsia="en-ZA"/>
              </w:rPr>
              <w:t>structure</w:t>
            </w:r>
            <w:proofErr w:type="spellEnd"/>
          </w:p>
        </w:tc>
      </w:tr>
      <w:tr w:rsidR="00696AF0" w:rsidRPr="008706BD" w14:paraId="6E3C7D09" w14:textId="77777777" w:rsidTr="00366ACD">
        <w:trPr>
          <w:trHeight w:val="270"/>
        </w:trPr>
        <w:tc>
          <w:tcPr>
            <w:tcW w:w="2703" w:type="dxa"/>
            <w:noWrap/>
            <w:hideMark/>
          </w:tcPr>
          <w:p w14:paraId="3EA7FE0C" w14:textId="6433F52D" w:rsidR="00696AF0" w:rsidRPr="00696AF0" w:rsidRDefault="00696AF0" w:rsidP="00F32226">
            <w:pPr>
              <w:rPr>
                <w:rFonts w:ascii="Calibri" w:eastAsia="Times New Roman" w:hAnsi="Calibri" w:cs="Calibri"/>
                <w:color w:val="000000"/>
                <w:lang w:val="nl-NL" w:eastAsia="en-ZA"/>
              </w:rPr>
            </w:pPr>
            <w:proofErr w:type="spellStart"/>
            <w:r w:rsidRPr="00696AF0">
              <w:rPr>
                <w:rFonts w:ascii="Calibri" w:eastAsia="Times New Roman" w:hAnsi="Calibri" w:cs="Calibri"/>
                <w:color w:val="000000"/>
                <w:lang w:val="nl-NL" w:eastAsia="en-ZA"/>
              </w:rPr>
              <w:t>Stegemann</w:t>
            </w:r>
            <w:proofErr w:type="spellEnd"/>
            <w:r w:rsidR="00F32226" w:rsidRPr="008706BD">
              <w:rPr>
                <w:rFonts w:ascii="Calibri" w:eastAsia="Times New Roman" w:hAnsi="Calibri" w:cs="Calibri"/>
                <w:color w:val="000000"/>
                <w:lang w:val="nl-NL" w:eastAsia="en-ZA"/>
              </w:rPr>
              <w:t xml:space="preserve"> </w:t>
            </w:r>
            <w:r w:rsidR="00F32226">
              <w:rPr>
                <w:rFonts w:ascii="Calibri" w:eastAsia="Times New Roman" w:hAnsi="Calibri" w:cs="Calibri"/>
                <w:color w:val="000000"/>
                <w:lang w:val="en-ZA" w:eastAsia="en-ZA"/>
              </w:rPr>
              <w:fldChar w:fldCharType="begin"/>
            </w:r>
            <w:r w:rsidR="00F32226" w:rsidRPr="008706BD">
              <w:rPr>
                <w:rFonts w:ascii="Calibri" w:eastAsia="Times New Roman" w:hAnsi="Calibri" w:cs="Calibri"/>
                <w:color w:val="000000"/>
                <w:lang w:val="nl-NL" w:eastAsia="en-ZA"/>
              </w:rPr>
              <w:instrText xml:space="preserve"> ADDIN ZOTERO_ITEM CSL_CITATION {"citationID":"Oz7luJOe","properties":{"formattedCitation":"(165)","plainCitation":"(165)","noteIndex":0},"citationItems":[{"id":12564,"uris":["http://zotero.org/users/6216265/items/8ND75P2I"],"itemData":{"id":12564,"type":"article-journal","container-title":"Expert Opinion on Drug Delivery","DOI":"10.1080/17425247.2018.1472571","ISSN":"1742-5247, 1744-7593","issue":"6","journalAbbreviation":"Expert Opinion on Drug Delivery","language":"en","page":"619-627","source":"DOI.org (Crossref)","title":"Patient centric drug product design in modern drug delivery as an opportunity to increase safety and effectiveness","volume":"15","author":[{"family":"Stegemann","given":"Sven"}],"issued":{"date-parts":[["2018",6,3]]}}}],"schema":"https://github.com/citation-style-language/schema/raw/master/csl-citation.json"} </w:instrText>
            </w:r>
            <w:r w:rsidR="00F32226">
              <w:rPr>
                <w:rFonts w:ascii="Calibri" w:eastAsia="Times New Roman" w:hAnsi="Calibri" w:cs="Calibri"/>
                <w:color w:val="000000"/>
                <w:lang w:val="en-ZA" w:eastAsia="en-ZA"/>
              </w:rPr>
              <w:fldChar w:fldCharType="separate"/>
            </w:r>
            <w:r w:rsidR="00F32226" w:rsidRPr="008706BD">
              <w:rPr>
                <w:rFonts w:ascii="Calibri" w:hAnsi="Calibri" w:cs="Calibri"/>
                <w:lang w:val="nl-NL"/>
              </w:rPr>
              <w:t>(165)</w:t>
            </w:r>
            <w:r w:rsidR="00F32226">
              <w:rPr>
                <w:rFonts w:ascii="Calibri" w:eastAsia="Times New Roman" w:hAnsi="Calibri" w:cs="Calibri"/>
                <w:color w:val="000000"/>
                <w:lang w:val="en-ZA" w:eastAsia="en-ZA"/>
              </w:rPr>
              <w:fldChar w:fldCharType="end"/>
            </w:r>
          </w:p>
        </w:tc>
        <w:tc>
          <w:tcPr>
            <w:tcW w:w="1464" w:type="dxa"/>
            <w:noWrap/>
            <w:hideMark/>
          </w:tcPr>
          <w:p w14:paraId="4DC9F26B" w14:textId="77777777" w:rsidR="00696AF0" w:rsidRPr="00696AF0" w:rsidRDefault="00696AF0" w:rsidP="00696AF0">
            <w:pPr>
              <w:rPr>
                <w:rFonts w:ascii="Calibri" w:eastAsia="Times New Roman" w:hAnsi="Calibri" w:cs="Calibri"/>
                <w:color w:val="000000"/>
                <w:lang w:val="nl-NL" w:eastAsia="en-ZA"/>
              </w:rPr>
            </w:pPr>
            <w:r w:rsidRPr="00696AF0">
              <w:rPr>
                <w:rFonts w:ascii="Calibri" w:eastAsia="Times New Roman" w:hAnsi="Calibri" w:cs="Calibri"/>
                <w:color w:val="000000"/>
                <w:lang w:val="nl-NL" w:eastAsia="en-ZA"/>
              </w:rPr>
              <w:t>2018</w:t>
            </w:r>
          </w:p>
        </w:tc>
        <w:tc>
          <w:tcPr>
            <w:tcW w:w="2043" w:type="dxa"/>
            <w:noWrap/>
            <w:hideMark/>
          </w:tcPr>
          <w:p w14:paraId="76A1FCD7" w14:textId="77777777" w:rsidR="00696AF0" w:rsidRPr="00696AF0" w:rsidRDefault="00696AF0" w:rsidP="00696AF0">
            <w:pPr>
              <w:rPr>
                <w:rFonts w:ascii="Calibri" w:eastAsia="Times New Roman" w:hAnsi="Calibri" w:cs="Calibri"/>
                <w:color w:val="000000"/>
                <w:lang w:val="nl-NL" w:eastAsia="en-ZA"/>
              </w:rPr>
            </w:pPr>
            <w:r w:rsidRPr="00696AF0">
              <w:rPr>
                <w:rFonts w:ascii="Calibri" w:eastAsia="Times New Roman" w:hAnsi="Calibri" w:cs="Calibri"/>
                <w:color w:val="000000"/>
                <w:lang w:val="nl-NL" w:eastAsia="en-ZA"/>
              </w:rPr>
              <w:t xml:space="preserve">No TPP </w:t>
            </w:r>
            <w:proofErr w:type="spellStart"/>
            <w:r w:rsidRPr="00696AF0">
              <w:rPr>
                <w:rFonts w:ascii="Calibri" w:eastAsia="Times New Roman" w:hAnsi="Calibri" w:cs="Calibri"/>
                <w:color w:val="000000"/>
                <w:lang w:val="nl-NL" w:eastAsia="en-ZA"/>
              </w:rPr>
              <w:t>structure</w:t>
            </w:r>
            <w:proofErr w:type="spellEnd"/>
          </w:p>
        </w:tc>
      </w:tr>
      <w:tr w:rsidR="00696AF0" w:rsidRPr="00696AF0" w14:paraId="60EDDF28" w14:textId="77777777" w:rsidTr="00366ACD">
        <w:trPr>
          <w:trHeight w:val="270"/>
        </w:trPr>
        <w:tc>
          <w:tcPr>
            <w:tcW w:w="2703" w:type="dxa"/>
            <w:noWrap/>
            <w:hideMark/>
          </w:tcPr>
          <w:p w14:paraId="2195A554" w14:textId="191F449C" w:rsidR="00696AF0" w:rsidRPr="00696AF0" w:rsidRDefault="00696AF0" w:rsidP="00F50A03">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nl-NL" w:eastAsia="en-ZA"/>
              </w:rPr>
              <w:t>Stegemann</w:t>
            </w:r>
            <w:proofErr w:type="spellEnd"/>
            <w:r w:rsidRPr="00696AF0">
              <w:rPr>
                <w:rFonts w:ascii="Calibri" w:eastAsia="Times New Roman" w:hAnsi="Calibri" w:cs="Calibri"/>
                <w:color w:val="000000"/>
                <w:lang w:val="nl-NL" w:eastAsia="en-ZA"/>
              </w:rPr>
              <w:t xml:space="preserve"> </w:t>
            </w:r>
            <w:r w:rsidR="000620EA">
              <w:rPr>
                <w:rFonts w:ascii="Calibri" w:eastAsia="Times New Roman" w:hAnsi="Calibri" w:cs="Calibri"/>
                <w:color w:val="000000"/>
                <w:lang w:val="nl-NL" w:eastAsia="en-ZA"/>
              </w:rPr>
              <w:t>et al.</w:t>
            </w:r>
            <w:r w:rsidR="00F50A03" w:rsidRPr="008706BD">
              <w:rPr>
                <w:rFonts w:ascii="Calibri" w:eastAsia="Times New Roman" w:hAnsi="Calibri" w:cs="Calibri"/>
                <w:color w:val="000000"/>
                <w:lang w:val="nl-NL" w:eastAsia="en-ZA"/>
              </w:rPr>
              <w:t xml:space="preserve"> </w:t>
            </w:r>
            <w:r w:rsidR="00F50A03">
              <w:rPr>
                <w:rFonts w:ascii="Calibri" w:eastAsia="Times New Roman" w:hAnsi="Calibri" w:cs="Calibri"/>
                <w:color w:val="000000"/>
                <w:lang w:val="en-ZA" w:eastAsia="en-ZA"/>
              </w:rPr>
              <w:fldChar w:fldCharType="begin"/>
            </w:r>
            <w:r w:rsidR="00F50A03" w:rsidRPr="008706BD">
              <w:rPr>
                <w:rFonts w:ascii="Calibri" w:eastAsia="Times New Roman" w:hAnsi="Calibri" w:cs="Calibri"/>
                <w:color w:val="000000"/>
                <w:lang w:val="nl-NL" w:eastAsia="en-ZA"/>
              </w:rPr>
              <w:instrText xml:space="preserve"> ADDIN ZOTERO_ITEM CSL_CITATION {"citationID":"HqSIirMs","properties":{"formattedCitation":"(166)","plainCitation":"(166)","noteIndex":0},"citationItems":[{"id":12565,"uris":["http://zotero.org/users/6216265/items/79PDSWIM"],"itemData":{"id":12565,"type":"article-journal","container-title":"European Journal of Pharmaceutics and Biopharmaceutics","DOI":"10.1016/j.ejpb.2022.06.006","ISSN":"09396411","journalAbbreviation":"European Journal of Pharmaceutics and Biopharmaceutics","language":"en","page":"81-88","source":"DOI.org (Crossref)","title":"Rational and p</w:instrText>
            </w:r>
            <w:r w:rsidR="00F50A03">
              <w:rPr>
                <w:rFonts w:ascii="Calibri" w:eastAsia="Times New Roman" w:hAnsi="Calibri" w:cs="Calibri"/>
                <w:color w:val="000000"/>
                <w:lang w:val="en-ZA" w:eastAsia="en-ZA"/>
              </w:rPr>
              <w:instrText xml:space="preserve">ractical considerations to guide a target product profile for patient-centric drug product development with measurable patient outcomes – A proposed roadmap","volume":"177","author":[{"family":"Stegemann","given":"Sven"},{"family":"Sheehan","given":"Liz"},{"family":"Rossi","given":"Alessandra"},{"family":"Barrett","given":"Andrew"},{"family":"Paudel","given":"Amrit"},{"family":"Crean","given":"Abina"},{"family":"Ruiz","given":"Fabrice"},{"family":"Bresciani","given":"Massimo"},{"family":"Liu","given":"Fang"},{"family":"Shariff","given":"Zakia"},{"family":"Shine","given":"Margarete"},{"family":"Schmelzer","given":"Christel"},{"family":"Pense-Lheritier","given":"Anne-Marie"}],"issued":{"date-parts":[["2022",8]]}}}],"schema":"https://github.com/citation-style-language/schema/raw/master/csl-citation.json"} </w:instrText>
            </w:r>
            <w:r w:rsidR="00F50A03">
              <w:rPr>
                <w:rFonts w:ascii="Calibri" w:eastAsia="Times New Roman" w:hAnsi="Calibri" w:cs="Calibri"/>
                <w:color w:val="000000"/>
                <w:lang w:val="en-ZA" w:eastAsia="en-ZA"/>
              </w:rPr>
              <w:fldChar w:fldCharType="separate"/>
            </w:r>
            <w:r w:rsidR="00F50A03" w:rsidRPr="00F50A03">
              <w:rPr>
                <w:rFonts w:ascii="Calibri" w:hAnsi="Calibri" w:cs="Calibri"/>
              </w:rPr>
              <w:t>(166)</w:t>
            </w:r>
            <w:r w:rsidR="00F50A03">
              <w:rPr>
                <w:rFonts w:ascii="Calibri" w:eastAsia="Times New Roman" w:hAnsi="Calibri" w:cs="Calibri"/>
                <w:color w:val="000000"/>
                <w:lang w:val="en-ZA" w:eastAsia="en-ZA"/>
              </w:rPr>
              <w:fldChar w:fldCharType="end"/>
            </w:r>
          </w:p>
        </w:tc>
        <w:tc>
          <w:tcPr>
            <w:tcW w:w="1464" w:type="dxa"/>
            <w:noWrap/>
            <w:hideMark/>
          </w:tcPr>
          <w:p w14:paraId="04F4401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4D5A84DE"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B423B6F" w14:textId="77777777" w:rsidTr="00366ACD">
        <w:trPr>
          <w:trHeight w:val="270"/>
        </w:trPr>
        <w:tc>
          <w:tcPr>
            <w:tcW w:w="2703" w:type="dxa"/>
            <w:noWrap/>
            <w:hideMark/>
          </w:tcPr>
          <w:p w14:paraId="2096DFCB" w14:textId="5F97D928" w:rsidR="00696AF0" w:rsidRPr="00696AF0" w:rsidRDefault="00696AF0" w:rsidP="00F50A03">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Stevenson </w:t>
            </w:r>
            <w:r w:rsidR="000620EA">
              <w:rPr>
                <w:rFonts w:ascii="Calibri" w:eastAsia="Times New Roman" w:hAnsi="Calibri" w:cs="Calibri"/>
                <w:color w:val="000000"/>
                <w:lang w:val="en-ZA" w:eastAsia="en-ZA"/>
              </w:rPr>
              <w:t>et al.</w:t>
            </w:r>
            <w:r w:rsidR="00F50A03">
              <w:rPr>
                <w:rFonts w:ascii="Calibri" w:eastAsia="Times New Roman" w:hAnsi="Calibri" w:cs="Calibri"/>
                <w:color w:val="000000"/>
                <w:lang w:val="en-ZA" w:eastAsia="en-ZA"/>
              </w:rPr>
              <w:t xml:space="preserve"> </w:t>
            </w:r>
            <w:r w:rsidR="00F50A03">
              <w:rPr>
                <w:rFonts w:ascii="Calibri" w:eastAsia="Times New Roman" w:hAnsi="Calibri" w:cs="Calibri"/>
                <w:color w:val="000000"/>
                <w:lang w:val="en-ZA" w:eastAsia="en-ZA"/>
              </w:rPr>
              <w:fldChar w:fldCharType="begin"/>
            </w:r>
            <w:r w:rsidR="00F50A03">
              <w:rPr>
                <w:rFonts w:ascii="Calibri" w:eastAsia="Times New Roman" w:hAnsi="Calibri" w:cs="Calibri"/>
                <w:color w:val="000000"/>
                <w:lang w:val="en-ZA" w:eastAsia="en-ZA"/>
              </w:rPr>
              <w:instrText xml:space="preserve"> ADDIN ZOTERO_ITEM CSL_CITATION {"citationID":"fWcWKpcR","properties":{"formattedCitation":"(167)","plainCitation":"(167)","noteIndex":0},"citationItems":[{"id":4387,"uris":["http://zotero.org/users/6216265/items/HNYC44VG"],"itemData":{"id":4387,"type":"article-journal","archive":"Scopus","container-title":"Regulatory Rapporteur","issue":"2","page":"16-18","title":"Implementation of QbD Part 1 - Setting product specifications","volume":"8","author":[{"family":"Stevenson","given":"D."},{"family":"Cochrane","given":"T."}],"issued":{"date-parts":[["2011"]]}}}],"schema":"https://github.com/citation-style-language/schema/raw/master/csl-citation.json"} </w:instrText>
            </w:r>
            <w:r w:rsidR="00F50A03">
              <w:rPr>
                <w:rFonts w:ascii="Calibri" w:eastAsia="Times New Roman" w:hAnsi="Calibri" w:cs="Calibri"/>
                <w:color w:val="000000"/>
                <w:lang w:val="en-ZA" w:eastAsia="en-ZA"/>
              </w:rPr>
              <w:fldChar w:fldCharType="separate"/>
            </w:r>
            <w:r w:rsidR="00F50A03" w:rsidRPr="00F50A03">
              <w:rPr>
                <w:rFonts w:ascii="Calibri" w:hAnsi="Calibri" w:cs="Calibri"/>
              </w:rPr>
              <w:t>(167)</w:t>
            </w:r>
            <w:r w:rsidR="00F50A03">
              <w:rPr>
                <w:rFonts w:ascii="Calibri" w:eastAsia="Times New Roman" w:hAnsi="Calibri" w:cs="Calibri"/>
                <w:color w:val="000000"/>
                <w:lang w:val="en-ZA" w:eastAsia="en-ZA"/>
              </w:rPr>
              <w:fldChar w:fldCharType="end"/>
            </w:r>
          </w:p>
        </w:tc>
        <w:tc>
          <w:tcPr>
            <w:tcW w:w="1464" w:type="dxa"/>
            <w:noWrap/>
            <w:hideMark/>
          </w:tcPr>
          <w:p w14:paraId="5714358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5A65386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0B5F65B6" w14:textId="77777777" w:rsidTr="00366ACD">
        <w:trPr>
          <w:trHeight w:val="270"/>
        </w:trPr>
        <w:tc>
          <w:tcPr>
            <w:tcW w:w="2703" w:type="dxa"/>
            <w:noWrap/>
            <w:hideMark/>
          </w:tcPr>
          <w:p w14:paraId="76EEEDB5" w14:textId="5F72AE1E" w:rsidR="00696AF0" w:rsidRPr="00696AF0" w:rsidRDefault="00696AF0" w:rsidP="00932DFA">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Subramanian </w:t>
            </w:r>
            <w:r w:rsidR="000620EA">
              <w:rPr>
                <w:rFonts w:ascii="Calibri" w:eastAsia="Times New Roman" w:hAnsi="Calibri" w:cs="Calibri"/>
                <w:color w:val="000000"/>
                <w:lang w:val="en-ZA" w:eastAsia="en-ZA"/>
              </w:rPr>
              <w:t>et al.</w:t>
            </w:r>
            <w:r w:rsidR="00932DFA">
              <w:rPr>
                <w:rFonts w:ascii="Calibri" w:eastAsia="Times New Roman" w:hAnsi="Calibri" w:cs="Calibri"/>
                <w:color w:val="000000"/>
                <w:lang w:val="en-ZA" w:eastAsia="en-ZA"/>
              </w:rPr>
              <w:t xml:space="preserve"> </w:t>
            </w:r>
            <w:r w:rsidR="00932DFA">
              <w:rPr>
                <w:rFonts w:ascii="Calibri" w:eastAsia="Times New Roman" w:hAnsi="Calibri" w:cs="Calibri"/>
                <w:color w:val="000000"/>
                <w:lang w:val="en-ZA" w:eastAsia="en-ZA"/>
              </w:rPr>
              <w:fldChar w:fldCharType="begin"/>
            </w:r>
            <w:r w:rsidR="00932DFA">
              <w:rPr>
                <w:rFonts w:ascii="Calibri" w:eastAsia="Times New Roman" w:hAnsi="Calibri" w:cs="Calibri"/>
                <w:color w:val="000000"/>
                <w:lang w:val="en-ZA" w:eastAsia="en-ZA"/>
              </w:rPr>
              <w:instrText xml:space="preserve"> ADDIN ZOTERO_ITEM CSL_CITATION {"citationID":"7KBPaEAw","properties":{"formattedCitation":"(168)","plainCitation":"(168)","noteIndex":0},"citationItems":[{"id":146,"uris":["http://zotero.org/users/6216265/items/6V693VLY"],"itemData":{"id":146,"type":"article-journal","abstract":"According to current regulatory guidelines, a stability-indicating method has been developed to determine the impurities in sacubitril (SCB) and valsartan  (VLS) tablet dosage forms and perform robustness studies using the design of  experiments approach. The present study was initiated to understand quality  target product profile, analytical target profile, and risk assessment for method  variables that affect the method response. A reversed-phase-HPLC system was  equipped with a Phenomenex Gemini-NX C(18) column (150 × 4.6 mm, 3 μm) and a  photo diode array detector. A gradient mobile phase was used in this research  work. The detection was performed at 254 nm; the flow rate was 1.5 mL/min, and  the column temperature was maintained at 30°C. The proposed method was validated  per the International Council for Harmonisation Q2 (R1) guidelines. The  coefficient of correlation was &gt;0.999 for all impurities. The limits of detection  and quantification were evaluated for SCB, VLS, and all impurities. The precision  and accuracy were obtained for SCB, VLS, and their related impurities. Intra- and  inter-day relative standard deviation values were less than 10.0%, and the  recoveries of impurities varied between 90.0 and 115.0%. Based on the validation  results, the proposed DoE method can estimate SCB and VLS impurities in the  finished dosage form.","container-title":"Biomedical chromatography : BMC","DOI":"10.1002/bmc.5240","ISSN":"1099-0801 0269-3879","issue":"1","journalAbbreviation":"Biomed Chromatogr","language":"eng","license":"© 2021 John Wiley &amp; Sons, Ltd.","note":"publisher-place: England\nPMID: 34486750","page":"e5240","title":"Stability-indicating reversed-phase-HPLC method development and validation for sacubitril/valsartan complex in the presence of impurities and degradation  products: Robustness by quality-by-design approach.","volume":"36","author":[{"family":"Subramanian","given":"Velusamy B."},{"family":"Katari","given":"Naresh Kumar"},{"family":"Ponnam","given":"Vijetha"},{"family":"Konduru","given":"Naresh"},{"family":"Dongala","given":"Thirupathi"},{"family":"Marisetti","given":"Vishnu M."},{"family":"Vyas","given":"Govind"}],"issued":{"date-parts":[["2022",1]]}}}],"schema":"https://github.com/citation-style-language/schema/raw/master/csl-citation.json"} </w:instrText>
            </w:r>
            <w:r w:rsidR="00932DFA">
              <w:rPr>
                <w:rFonts w:ascii="Calibri" w:eastAsia="Times New Roman" w:hAnsi="Calibri" w:cs="Calibri"/>
                <w:color w:val="000000"/>
                <w:lang w:val="en-ZA" w:eastAsia="en-ZA"/>
              </w:rPr>
              <w:fldChar w:fldCharType="separate"/>
            </w:r>
            <w:r w:rsidR="00932DFA" w:rsidRPr="00932DFA">
              <w:rPr>
                <w:rFonts w:ascii="Calibri" w:hAnsi="Calibri" w:cs="Calibri"/>
              </w:rPr>
              <w:t>(168)</w:t>
            </w:r>
            <w:r w:rsidR="00932DFA">
              <w:rPr>
                <w:rFonts w:ascii="Calibri" w:eastAsia="Times New Roman" w:hAnsi="Calibri" w:cs="Calibri"/>
                <w:color w:val="000000"/>
                <w:lang w:val="en-ZA" w:eastAsia="en-ZA"/>
              </w:rPr>
              <w:fldChar w:fldCharType="end"/>
            </w:r>
          </w:p>
        </w:tc>
        <w:tc>
          <w:tcPr>
            <w:tcW w:w="1464" w:type="dxa"/>
            <w:noWrap/>
            <w:hideMark/>
          </w:tcPr>
          <w:p w14:paraId="47223788"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0C514A51"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1659B36" w14:textId="77777777" w:rsidTr="00366ACD">
        <w:trPr>
          <w:trHeight w:val="270"/>
        </w:trPr>
        <w:tc>
          <w:tcPr>
            <w:tcW w:w="2703" w:type="dxa"/>
            <w:noWrap/>
            <w:hideMark/>
          </w:tcPr>
          <w:p w14:paraId="65CDA499" w14:textId="4D8EA5E4" w:rsidR="00696AF0" w:rsidRPr="00696AF0" w:rsidRDefault="00696AF0" w:rsidP="00932DFA">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Sulaiman</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932DFA">
              <w:rPr>
                <w:rFonts w:ascii="Calibri" w:eastAsia="Times New Roman" w:hAnsi="Calibri" w:cs="Calibri"/>
                <w:color w:val="000000"/>
                <w:lang w:val="en-ZA" w:eastAsia="en-ZA"/>
              </w:rPr>
              <w:t xml:space="preserve"> </w:t>
            </w:r>
            <w:r w:rsidR="00932DFA">
              <w:rPr>
                <w:rFonts w:ascii="Calibri" w:eastAsia="Times New Roman" w:hAnsi="Calibri" w:cs="Calibri"/>
                <w:color w:val="000000"/>
                <w:lang w:val="en-ZA" w:eastAsia="en-ZA"/>
              </w:rPr>
              <w:fldChar w:fldCharType="begin"/>
            </w:r>
            <w:r w:rsidR="00932DFA">
              <w:rPr>
                <w:rFonts w:ascii="Calibri" w:eastAsia="Times New Roman" w:hAnsi="Calibri" w:cs="Calibri"/>
                <w:color w:val="000000"/>
                <w:lang w:val="en-ZA" w:eastAsia="en-ZA"/>
              </w:rPr>
              <w:instrText xml:space="preserve"> ADDIN ZOTERO_ITEM CSL_CITATION {"citationID":"4VevgIXS","properties":{"formattedCitation":"(169)","plainCitation":"(169)","noteIndex":0},"citationItems":[{"id":676,"uris":["http://zotero.org/users/6216265/items/NQ2YE56X"],"itemData":{"id":676,"type":"article-journal","abstract":"Purpose: To assess the effect of the lactic acid (LA)-to-glycolic acid (GA) molar ratio and polyethylene glycol (PEG) concentration on the formation of  poly-lactide co-glycolide acid (PLGA)-PEG-PLGA co-block polymers simultaneously  using statistical approach. Methods: A 2(2) full factorial design with the  addition of a point in the center of the design, namely curvature, was applied.  Fourier transform infrared (FTIR), differential scanning calorimetry (DSC), and  nuclear magnetic resonance (NMR) were performed to confirm the formation of the  co-block polymer. Simvastatin (SMV), a drug model was incorporated into the  nano-polymeric micellar (NpM) of PLGA-PEG-PLGA followed by solubility phase,  particle size, zeta potential, and entrapment efficiency characterizations.  Results: FTIR, DSC, and NMR successfully confirmed the formation of co-block  polymers. Solubility of SMV increased from 2 to 44-folds depending on co-block  concentration with entrapment efficiency of 59%-80%. The NpM had size in the  range of 206 to 402 nm with negative zeta potential. LA to GA ratio had greater  effect on particle size reduction and increasing of co-polymer length. In  addition, it had higher contributions on increasing of solubility and entrapment  efficiency of SMV than PEG. Conclusion: According to these findings, the LA to GA  ratio and PEG concentration gained a great consideration in order to prepare the  PLGA-PEG-PLGA co-block which fulfilled the quality target product profile of NpM  delivery system.","container-title":"Advanced pharmaceutical bulletin","DOI":"10.15171/apb.2019.045","ISSN":"2228-5881 2251-7308","issue":"3","journalAbbreviation":"Adv Pharm Bull","language":"eng","license":"© 2019 The Author (s).","note":"PMID: 31592431 \nPMCID: PMC6773940","page":"382-392","title":"Assessment of the Effect of PLGA Co-polymers and PEG on the Formation and Characteristics of PLGA-PEG-PLGA Co-block Polymer Using Statistical Approach.","volume":"9","author":[{"family":"Sulaiman","given":"Teuku Nanda Saifullah"},{"family":"Larasati","given":"Dwi"},{"family":"Nugroho","given":"Akhmad Kharis"},{"family":"Choiri","given":"Syaiful"}],"issued":{"date-parts":[["2019",8]]}}}],"schema":"https://github.com/citation-style-language/schema/raw/master/csl-citation.json"} </w:instrText>
            </w:r>
            <w:r w:rsidR="00932DFA">
              <w:rPr>
                <w:rFonts w:ascii="Calibri" w:eastAsia="Times New Roman" w:hAnsi="Calibri" w:cs="Calibri"/>
                <w:color w:val="000000"/>
                <w:lang w:val="en-ZA" w:eastAsia="en-ZA"/>
              </w:rPr>
              <w:fldChar w:fldCharType="separate"/>
            </w:r>
            <w:r w:rsidR="00932DFA" w:rsidRPr="00932DFA">
              <w:rPr>
                <w:rFonts w:ascii="Calibri" w:hAnsi="Calibri" w:cs="Calibri"/>
              </w:rPr>
              <w:t>(169)</w:t>
            </w:r>
            <w:r w:rsidR="00932DFA">
              <w:rPr>
                <w:rFonts w:ascii="Calibri" w:eastAsia="Times New Roman" w:hAnsi="Calibri" w:cs="Calibri"/>
                <w:color w:val="000000"/>
                <w:lang w:val="en-ZA" w:eastAsia="en-ZA"/>
              </w:rPr>
              <w:fldChar w:fldCharType="end"/>
            </w:r>
          </w:p>
        </w:tc>
        <w:tc>
          <w:tcPr>
            <w:tcW w:w="1464" w:type="dxa"/>
            <w:noWrap/>
            <w:hideMark/>
          </w:tcPr>
          <w:p w14:paraId="1D30653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33E7405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0617D660" w14:textId="77777777" w:rsidTr="00366ACD">
        <w:trPr>
          <w:trHeight w:val="270"/>
        </w:trPr>
        <w:tc>
          <w:tcPr>
            <w:tcW w:w="2703" w:type="dxa"/>
            <w:noWrap/>
            <w:hideMark/>
          </w:tcPr>
          <w:p w14:paraId="020024BD" w14:textId="747EF25E" w:rsidR="00696AF0" w:rsidRPr="00696AF0" w:rsidRDefault="00696AF0" w:rsidP="00650FF2">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Sumner </w:t>
            </w:r>
            <w:r w:rsidR="000620EA">
              <w:rPr>
                <w:rFonts w:ascii="Calibri" w:eastAsia="Times New Roman" w:hAnsi="Calibri" w:cs="Calibri"/>
                <w:color w:val="000000"/>
                <w:lang w:val="en-ZA" w:eastAsia="en-ZA"/>
              </w:rPr>
              <w:t>et al.</w:t>
            </w:r>
            <w:r w:rsidR="00650FF2">
              <w:rPr>
                <w:rFonts w:ascii="Calibri" w:eastAsia="Times New Roman" w:hAnsi="Calibri" w:cs="Calibri"/>
                <w:color w:val="000000"/>
                <w:lang w:val="en-ZA" w:eastAsia="en-ZA"/>
              </w:rPr>
              <w:t xml:space="preserve"> </w:t>
            </w:r>
            <w:r w:rsidR="00650FF2">
              <w:rPr>
                <w:rFonts w:ascii="Calibri" w:eastAsia="Times New Roman" w:hAnsi="Calibri" w:cs="Calibri"/>
                <w:color w:val="000000"/>
                <w:lang w:val="en-ZA" w:eastAsia="en-ZA"/>
              </w:rPr>
              <w:fldChar w:fldCharType="begin"/>
            </w:r>
            <w:r w:rsidR="00650FF2">
              <w:rPr>
                <w:rFonts w:ascii="Calibri" w:eastAsia="Times New Roman" w:hAnsi="Calibri" w:cs="Calibri"/>
                <w:color w:val="000000"/>
                <w:lang w:val="en-ZA" w:eastAsia="en-ZA"/>
              </w:rPr>
              <w:instrText xml:space="preserve"> ADDIN ZOTERO_ITEM CSL_CITATION {"citationID":"mt5m2IvP","properties":{"formattedCitation":"(170)","plainCitation":"(170)","noteIndex":0},"citationItems":[{"id":157,"uris":["http://zotero.org/users/6216265/items/SKAMUHSZ"],"itemData":{"id":157,"type":"article-journal","abstract":"BACKGROUND: Tests that identify individuals at greatest risk of TB will allow more efficient targeting of preventive therapy. The WHO target product profile  for such tests defines optimal sensitivity of 90% and minimum sensitivity of 75%  for predicting incident TB. The CORTIS (Correlate of Risk Targeted Intervention  Study) evaluated a blood transcriptomic signature (RISK11) for predicting  incident TB in a high transmission setting. RISK11 is able to predict TB disease  progression but optimal prognostic performance was limited to a 6-month  horizon.METHODS: Using a mathematical model, we estimated how subsequent  Mycobacterium tuberculosis (MTB) infection may have contributed to the decline in  sensitivity of RISK11. We calculated the effect at different RISK11 thresholds  (60% and 26%) and for different assumptions about the risk of MTB  infection.RESULTS: Modelled sensitivity over 15 months, excluding new infection,  was 28.7% (95% CI 12.3-74.1) compared to 25.0% (95% CI 12.7-45.9) observed in the  trial. Modelled sensitivity exceeded the minimum criteria (&gt;75%) over a 9-month  horizon at the 60% threshold and over 12 months at the 26% threshold.CONCLUSIONS:  The effect of new infection on prognostic signature performance is likely to be  small. Signatures such as RISK11 may be most useful in individuals, such as  household contacts, where probable time of infection is known.","container-title":"The international journal of tuberculosis and lung disease : the official journal of the International Union against Tuberculosis and Lung Disease","DOI":"10.5588/ijtld.21.0323","ISSN":"1815-7920 1027-3719","issue":"12","journalAbbreviation":"Int J Tuberc Lung Dis","language":"eng","note":"publisher-place: France\nPMID: 34886930","page":"1001-1005","title":"The effect of new Mycobacterium tuberculosis infection on the sensitivity of prognostic TB signatures.","volume":"25","author":[{"family":"Sumner","given":"T."},{"family":"Fiore-Gartland","given":"A."},{"family":"Hatherill","given":"M."},{"family":"Houben","given":"R. M. G. J."},{"family":"Scriba","given":"T. J."},{"family":"White","given":"R. G."}],"issued":{"date-parts":[["2021",12,1]]}}}],"schema":"https://github.com/citation-style-language/schema/raw/master/csl-citation.json"} </w:instrText>
            </w:r>
            <w:r w:rsidR="00650FF2">
              <w:rPr>
                <w:rFonts w:ascii="Calibri" w:eastAsia="Times New Roman" w:hAnsi="Calibri" w:cs="Calibri"/>
                <w:color w:val="000000"/>
                <w:lang w:val="en-ZA" w:eastAsia="en-ZA"/>
              </w:rPr>
              <w:fldChar w:fldCharType="separate"/>
            </w:r>
            <w:r w:rsidR="00650FF2" w:rsidRPr="00650FF2">
              <w:rPr>
                <w:rFonts w:ascii="Calibri" w:hAnsi="Calibri" w:cs="Calibri"/>
              </w:rPr>
              <w:t>(170)</w:t>
            </w:r>
            <w:r w:rsidR="00650FF2">
              <w:rPr>
                <w:rFonts w:ascii="Calibri" w:eastAsia="Times New Roman" w:hAnsi="Calibri" w:cs="Calibri"/>
                <w:color w:val="000000"/>
                <w:lang w:val="en-ZA" w:eastAsia="en-ZA"/>
              </w:rPr>
              <w:fldChar w:fldCharType="end"/>
            </w:r>
          </w:p>
        </w:tc>
        <w:tc>
          <w:tcPr>
            <w:tcW w:w="1464" w:type="dxa"/>
            <w:noWrap/>
            <w:hideMark/>
          </w:tcPr>
          <w:p w14:paraId="5A8E0A0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6AAD11D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8CB0FCE" w14:textId="77777777" w:rsidTr="00366ACD">
        <w:trPr>
          <w:trHeight w:val="270"/>
        </w:trPr>
        <w:tc>
          <w:tcPr>
            <w:tcW w:w="2703" w:type="dxa"/>
            <w:noWrap/>
            <w:hideMark/>
          </w:tcPr>
          <w:p w14:paraId="5B87D8C5" w14:textId="4524F87C" w:rsidR="00696AF0" w:rsidRPr="00696AF0" w:rsidRDefault="00696AF0" w:rsidP="00650FF2">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Sutherland </w:t>
            </w:r>
            <w:r w:rsidR="000620EA">
              <w:rPr>
                <w:rFonts w:ascii="Calibri" w:eastAsia="Times New Roman" w:hAnsi="Calibri" w:cs="Calibri"/>
                <w:color w:val="000000"/>
                <w:lang w:val="en-ZA" w:eastAsia="en-ZA"/>
              </w:rPr>
              <w:t>et al.</w:t>
            </w:r>
            <w:r w:rsidR="00650FF2">
              <w:rPr>
                <w:rFonts w:ascii="Calibri" w:eastAsia="Times New Roman" w:hAnsi="Calibri" w:cs="Calibri"/>
                <w:color w:val="000000"/>
                <w:lang w:val="en-ZA" w:eastAsia="en-ZA"/>
              </w:rPr>
              <w:t xml:space="preserve"> </w:t>
            </w:r>
            <w:r w:rsidR="00650FF2">
              <w:rPr>
                <w:rFonts w:ascii="Calibri" w:eastAsia="Times New Roman" w:hAnsi="Calibri" w:cs="Calibri"/>
                <w:color w:val="000000"/>
                <w:lang w:val="en-ZA" w:eastAsia="en-ZA"/>
              </w:rPr>
              <w:fldChar w:fldCharType="begin"/>
            </w:r>
            <w:r w:rsidR="00650FF2">
              <w:rPr>
                <w:rFonts w:ascii="Calibri" w:eastAsia="Times New Roman" w:hAnsi="Calibri" w:cs="Calibri"/>
                <w:color w:val="000000"/>
                <w:lang w:val="en-ZA" w:eastAsia="en-ZA"/>
              </w:rPr>
              <w:instrText xml:space="preserve"> ADDIN ZOTERO_ITEM CSL_CITATION {"citationID":"uIeFmTpN","properties":{"formattedCitation":"(171)","plainCitation":"(171)","noteIndex":0},"citationItems":[{"id":153,"uris":["http://zotero.org/users/6216265/items/4AY28SUN"],"itemData":{"id":153,"type":"article-journal","abstract":"BACKGROUND: The development of a fast and accurate, non-sputum-based point-of-care triage test for tuberculosis (TB) would have a major impact on  combating the TB burden worldwide. A new fingerstick blood test has been  developed by Cepheid (the Xpert MTB Host Response [MTB-HR] prototype), which  generates a \"TB score\" based on messenger RNA (mRNA) expression of 3 genes. Here  we describe the first prospective findings of the MTB-HR prototype. METHODS:  Fingerstick blood from adults presenting with symptoms compatible with TB in  South Africa, The Gambia, Uganda, and Vietnam was analyzed using the Cepheid  GeneXpert MTB-HR prototype. Accuracy of the Xpert MTB-HR cartridge was determined  in relation to GeneXpert Ultra results and a composite microbiological score  (GeneXpert Ultra and liquid culture) with patients classified as having TB or  other respiratory diseases (ORD). RESULTS: When data from all sites (n = 75 TB,  120 ORD) were analyzed, the TB score discriminated between TB and ORD with an  area under the curve (AUC) of 0.94 (95% confidence interval [CI], .91-.97),  sensitivity of 87% (95% CI, 77-93%) and specificity of 94% (88-97%). When  sensitivity was set at 90% for a triage test, specificity was 86% (95% CI,  75-97%). These results were not influenced by human immunodeficiency virus (HIV)  status or geographical location. When evaluated against a composite  microbiological score (n = 80 TB, 111 ORD), the TB score was able to discriminate  between TB and ORD with an AUC of 0.88 (95% CI, .83-.94), 80% sensitivity (95%  CI, 76-85%) and 94% specificity (95% CI, 91-96%). CONCLUSIONS: Our interim data  indicate the Cepheid MTB-HR cartridge reaches the minimal target product profile  for a point of care triage test for TB using fingerstick blood, regardless of  geographic area or HIV infection status.","container-title":"Clinical infectious diseases : an official publication of the Infectious Diseases Society of America","DOI":"10.1093/cid/ciab839","ISSN":"1537-6591 1058-4838","issue":"12","journalAbbreviation":"Clin Infect Dis","language":"eng","license":"© The Author(s) 2021. Published by Oxford University Press for the Infectious Diseases Society of America.","note":"PMID: 34550342 \nPMCID: PMC9258935","page":"2136-2141","title":"Diagnostic Accuracy of the Cepheid 3-gene Host Response Fingerstick Blood Test in a Prospective, Multi-site Study: Interim Results.","volume":"74","author":[{"family":"Sutherland","given":"Jayne S."},{"family":"Spuy","given":"Gian","non-dropping-particle":"van der"},{"family":"Gindeh","given":"Awa"},{"family":"Thuong","given":"Nguyen Thuy Thuong"},{"family":"Namuganga","given":"AnnRitah"},{"family":"Owolabi","given":"Olumuyiwa"},{"family":"Mayanja-Kizza","given":"Harriet"},{"family":"Nsereko","given":"Mary"},{"family":"Thwaites","given":"Guy"},{"family":"Winter","given":"Jill"},{"family":"Dockrell","given":"Hazel M."},{"family":"Scriba","given":"Thomas J."},{"family":"Geluk","given":"Annemieke"},{"family":"Corstjens","given":"Paul"},{"family":"Stanley","given":"Kim"},{"family":"Richardson","given":"Tracy"},{"family":"Shaw","given":"Jane A."},{"family":"Smith","given":"Bronwyn"},{"family":"Malherbe","given":"Stephanus T."},{"family":"Walzl","given":"Gerhard"}],"issued":{"date-parts":[["2022",7,6]]}}}],"schema":"https://github.com/citation-style-language/schema/raw/master/csl-citation.json"} </w:instrText>
            </w:r>
            <w:r w:rsidR="00650FF2">
              <w:rPr>
                <w:rFonts w:ascii="Calibri" w:eastAsia="Times New Roman" w:hAnsi="Calibri" w:cs="Calibri"/>
                <w:color w:val="000000"/>
                <w:lang w:val="en-ZA" w:eastAsia="en-ZA"/>
              </w:rPr>
              <w:fldChar w:fldCharType="separate"/>
            </w:r>
            <w:r w:rsidR="00650FF2" w:rsidRPr="00650FF2">
              <w:rPr>
                <w:rFonts w:ascii="Calibri" w:hAnsi="Calibri" w:cs="Calibri"/>
              </w:rPr>
              <w:t>(171)</w:t>
            </w:r>
            <w:r w:rsidR="00650FF2">
              <w:rPr>
                <w:rFonts w:ascii="Calibri" w:eastAsia="Times New Roman" w:hAnsi="Calibri" w:cs="Calibri"/>
                <w:color w:val="000000"/>
                <w:lang w:val="en-ZA" w:eastAsia="en-ZA"/>
              </w:rPr>
              <w:fldChar w:fldCharType="end"/>
            </w:r>
          </w:p>
        </w:tc>
        <w:tc>
          <w:tcPr>
            <w:tcW w:w="1464" w:type="dxa"/>
            <w:noWrap/>
            <w:hideMark/>
          </w:tcPr>
          <w:p w14:paraId="0593EABE"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3E7F2D52"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B40EFF3" w14:textId="77777777" w:rsidTr="00366ACD">
        <w:trPr>
          <w:trHeight w:val="270"/>
        </w:trPr>
        <w:tc>
          <w:tcPr>
            <w:tcW w:w="2703" w:type="dxa"/>
            <w:noWrap/>
            <w:hideMark/>
          </w:tcPr>
          <w:p w14:paraId="612A2E25" w14:textId="365D7BF3" w:rsidR="00696AF0" w:rsidRPr="00696AF0" w:rsidRDefault="00696AF0" w:rsidP="008706BD">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Swain </w:t>
            </w:r>
            <w:r w:rsidR="000620EA">
              <w:rPr>
                <w:rFonts w:ascii="Calibri" w:eastAsia="Times New Roman" w:hAnsi="Calibri" w:cs="Calibri"/>
                <w:color w:val="000000"/>
                <w:lang w:val="en-ZA" w:eastAsia="en-ZA"/>
              </w:rPr>
              <w:t>et al.</w:t>
            </w:r>
            <w:r w:rsidR="008706BD">
              <w:rPr>
                <w:rFonts w:ascii="Calibri" w:eastAsia="Times New Roman" w:hAnsi="Calibri" w:cs="Calibri"/>
                <w:color w:val="000000"/>
                <w:lang w:val="en-ZA" w:eastAsia="en-ZA"/>
              </w:rPr>
              <w:t xml:space="preserve"> </w:t>
            </w:r>
            <w:r w:rsidR="008706BD">
              <w:rPr>
                <w:rFonts w:ascii="Calibri" w:eastAsia="Times New Roman" w:hAnsi="Calibri" w:cs="Calibri"/>
                <w:color w:val="000000"/>
                <w:lang w:val="en-ZA" w:eastAsia="en-ZA"/>
              </w:rPr>
              <w:fldChar w:fldCharType="begin"/>
            </w:r>
            <w:r w:rsidR="008706BD">
              <w:rPr>
                <w:rFonts w:ascii="Calibri" w:eastAsia="Times New Roman" w:hAnsi="Calibri" w:cs="Calibri"/>
                <w:color w:val="000000"/>
                <w:lang w:val="en-ZA" w:eastAsia="en-ZA"/>
              </w:rPr>
              <w:instrText xml:space="preserve"> ADDIN ZOTERO_ITEM CSL_CITATION {"citationID":"64Xrlydl","properties":{"formattedCitation":"(172)","plainCitation":"(172)","noteIndex":0},"citationItems":[{"id":88,"uris":["http://zotero.org/users/6216265/items/XRFVKJ7C"],"itemData":{"id":88,"type":"article-journal","abstract":"BACKGROUND: Quality by Design (QbD) is associated with a modern, systematic, scientific and novel approach which is concerned with pre-distinct objectives  that not only focus on product, process understanding but also lead to process  control. It predominantly signifies the design and product improvement and the  manufacturing process in order to fulfill the predefined manufactured goods or  final products quality characteristics. It is quite essential to identify the  desired and required product performance report, such as Target Product Profile,  typical Quality Target Product Profile (QTPP) and Critical Quality Attributes  (CQA). METHODS: This review highlighted the concepts of QbD design space, for  critical material attributes (CMAs) as well as the critical process parameters  that can totally affect the CQAs within which the process shall be unaffected  thus, consistently manufacturing the required product. Risk assessment tools and  design of experiments are its prime components. RESULTS: This paper outlines the  basic knowledge of QbD, the key elements; steps as well as various tools for QbD  implementation in pharmaceutics field are presented briefly. In addition to this,  quite a lot of applications of QbD in numerous pharmaceutical related unit  operations are discussed and summarized. CONCLUSION: This article provides a  complete data as well as the roadmap for universal implementation and application  of QbD for pharmaceutical products.","container-title":"Current drug discovery technologies","DOI":"10.2174/1570163815666180308142016","ISSN":"1875-6220 1570-1638","issue":"3","journalAbbreviation":"Curr Drug Discov Technol","language":"eng","license":"Copyright© Bentham Science Publishers; For any queries, please email at epub@benthamscience.net.","note":"publisher-place: United Arab Emirates\nPMID: 29521238","page":"240-250","title":"Quality by Design: Concept to Applications.","volume":"16","author":[{"family":"Swain","given":"Suryakanta"},{"family":"Parhi","given":"Rabinarayan"},{"family":"Jena","given":"Bikash Ranjan"},{"family":"Babu","given":"Sitty Manohar"}],"issued":{"date-parts":[["2019"]]}}}],"schema":"https://github.com/citation-style-language/schema/raw/master/csl-citation.json"} </w:instrText>
            </w:r>
            <w:r w:rsidR="008706BD">
              <w:rPr>
                <w:rFonts w:ascii="Calibri" w:eastAsia="Times New Roman" w:hAnsi="Calibri" w:cs="Calibri"/>
                <w:color w:val="000000"/>
                <w:lang w:val="en-ZA" w:eastAsia="en-ZA"/>
              </w:rPr>
              <w:fldChar w:fldCharType="separate"/>
            </w:r>
            <w:r w:rsidR="008706BD" w:rsidRPr="008706BD">
              <w:rPr>
                <w:rFonts w:ascii="Calibri" w:hAnsi="Calibri" w:cs="Calibri"/>
              </w:rPr>
              <w:t>(172)</w:t>
            </w:r>
            <w:r w:rsidR="008706BD">
              <w:rPr>
                <w:rFonts w:ascii="Calibri" w:eastAsia="Times New Roman" w:hAnsi="Calibri" w:cs="Calibri"/>
                <w:color w:val="000000"/>
                <w:lang w:val="en-ZA" w:eastAsia="en-ZA"/>
              </w:rPr>
              <w:fldChar w:fldCharType="end"/>
            </w:r>
          </w:p>
        </w:tc>
        <w:tc>
          <w:tcPr>
            <w:tcW w:w="1464" w:type="dxa"/>
            <w:noWrap/>
            <w:hideMark/>
          </w:tcPr>
          <w:p w14:paraId="2A393941"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368C94A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8FF92C0" w14:textId="77777777" w:rsidTr="00366ACD">
        <w:trPr>
          <w:trHeight w:val="270"/>
        </w:trPr>
        <w:tc>
          <w:tcPr>
            <w:tcW w:w="2703" w:type="dxa"/>
            <w:noWrap/>
            <w:hideMark/>
          </w:tcPr>
          <w:p w14:paraId="45420B21" w14:textId="3B68D705" w:rsidR="00696AF0" w:rsidRPr="00696AF0" w:rsidRDefault="00696AF0" w:rsidP="008706BD">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Tan </w:t>
            </w:r>
            <w:r w:rsidR="000620EA">
              <w:rPr>
                <w:rFonts w:ascii="Calibri" w:eastAsia="Times New Roman" w:hAnsi="Calibri" w:cs="Calibri"/>
                <w:color w:val="000000"/>
                <w:lang w:val="en-ZA" w:eastAsia="en-ZA"/>
              </w:rPr>
              <w:t>et al.</w:t>
            </w:r>
            <w:r w:rsidR="008706BD">
              <w:rPr>
                <w:rFonts w:ascii="Calibri" w:eastAsia="Times New Roman" w:hAnsi="Calibri" w:cs="Calibri"/>
                <w:color w:val="000000"/>
                <w:lang w:val="en-ZA" w:eastAsia="en-ZA"/>
              </w:rPr>
              <w:t xml:space="preserve"> </w:t>
            </w:r>
            <w:r w:rsidR="008706BD">
              <w:rPr>
                <w:rFonts w:ascii="Calibri" w:eastAsia="Times New Roman" w:hAnsi="Calibri" w:cs="Calibri"/>
                <w:color w:val="000000"/>
                <w:lang w:val="en-ZA" w:eastAsia="en-ZA"/>
              </w:rPr>
              <w:fldChar w:fldCharType="begin"/>
            </w:r>
            <w:r w:rsidR="008706BD">
              <w:rPr>
                <w:rFonts w:ascii="Calibri" w:eastAsia="Times New Roman" w:hAnsi="Calibri" w:cs="Calibri"/>
                <w:color w:val="000000"/>
                <w:lang w:val="en-ZA" w:eastAsia="en-ZA"/>
              </w:rPr>
              <w:instrText xml:space="preserve"> ADDIN ZOTERO_ITEM CSL_CITATION {"citationID":"blKHL4uQ","properties":{"formattedCitation":"(173)","plainCitation":"(173)","noteIndex":0},"citationItems":[{"id":12575,"uris":["http://zotero.org/users/6216265/items/AB32LN44"],"itemData":{"id":12575,"type":"article-journal","container-title":"Journal of Pharmaceutical and Biomedical Analysis","DOI":"10.1016/j.jpba.2016.06.045","ISSN":"07317085","journalAbbreviation":"Journal of Pharmaceutical and Biomedical Analysis","language":"en","page":"378-382","source":"DOI.org (Crossref)","title":"Determination of apomorphine freebase in sublingual tablets by proton nuclear magnetic resonance spectroscopy","volume":"129","author":[{"family":"Tan","given":"Li"},{"family":"Chin","given":"Shook F."},{"family":"Miner","given":"Virginia W."},{"family":"Dong","given":"Liang"},{"family":"Gupta","given":"Suneel"},{"family":"Fields","given":"Steven M."}],"issued":{"date-parts":[["2016",9]]}}}],"schema":"https://github.com/citation-style-language/schema/raw/master/csl-citation.json"} </w:instrText>
            </w:r>
            <w:r w:rsidR="008706BD">
              <w:rPr>
                <w:rFonts w:ascii="Calibri" w:eastAsia="Times New Roman" w:hAnsi="Calibri" w:cs="Calibri"/>
                <w:color w:val="000000"/>
                <w:lang w:val="en-ZA" w:eastAsia="en-ZA"/>
              </w:rPr>
              <w:fldChar w:fldCharType="separate"/>
            </w:r>
            <w:r w:rsidR="008706BD" w:rsidRPr="008706BD">
              <w:rPr>
                <w:rFonts w:ascii="Calibri" w:hAnsi="Calibri" w:cs="Calibri"/>
              </w:rPr>
              <w:t>(173)</w:t>
            </w:r>
            <w:r w:rsidR="008706BD">
              <w:rPr>
                <w:rFonts w:ascii="Calibri" w:eastAsia="Times New Roman" w:hAnsi="Calibri" w:cs="Calibri"/>
                <w:color w:val="000000"/>
                <w:lang w:val="en-ZA" w:eastAsia="en-ZA"/>
              </w:rPr>
              <w:fldChar w:fldCharType="end"/>
            </w:r>
          </w:p>
        </w:tc>
        <w:tc>
          <w:tcPr>
            <w:tcW w:w="1464" w:type="dxa"/>
            <w:noWrap/>
            <w:hideMark/>
          </w:tcPr>
          <w:p w14:paraId="11B1C04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2016</w:t>
            </w:r>
          </w:p>
        </w:tc>
        <w:tc>
          <w:tcPr>
            <w:tcW w:w="2043" w:type="dxa"/>
            <w:noWrap/>
            <w:hideMark/>
          </w:tcPr>
          <w:p w14:paraId="388EFEB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4AEB1EC" w14:textId="77777777" w:rsidTr="00366ACD">
        <w:trPr>
          <w:trHeight w:val="270"/>
        </w:trPr>
        <w:tc>
          <w:tcPr>
            <w:tcW w:w="2703" w:type="dxa"/>
            <w:noWrap/>
            <w:hideMark/>
          </w:tcPr>
          <w:p w14:paraId="1FAD9177" w14:textId="77C8107D" w:rsidR="00696AF0" w:rsidRPr="00696AF0" w:rsidRDefault="00696AF0" w:rsidP="00125734">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Tari</w:t>
            </w:r>
            <w:r w:rsidR="00125734">
              <w:rPr>
                <w:rFonts w:ascii="Calibri" w:eastAsia="Times New Roman" w:hAnsi="Calibri" w:cs="Calibri"/>
                <w:color w:val="000000"/>
                <w:lang w:val="en-ZA" w:eastAsia="en-ZA"/>
              </w:rPr>
              <w:t xml:space="preserve"> </w:t>
            </w:r>
            <w:r w:rsidR="00125734">
              <w:rPr>
                <w:rFonts w:ascii="Calibri" w:eastAsia="Times New Roman" w:hAnsi="Calibri" w:cs="Calibri"/>
                <w:color w:val="000000"/>
                <w:lang w:val="en-ZA" w:eastAsia="en-ZA"/>
              </w:rPr>
              <w:fldChar w:fldCharType="begin"/>
            </w:r>
            <w:r w:rsidR="00125734">
              <w:rPr>
                <w:rFonts w:ascii="Calibri" w:eastAsia="Times New Roman" w:hAnsi="Calibri" w:cs="Calibri"/>
                <w:color w:val="000000"/>
                <w:lang w:val="en-ZA" w:eastAsia="en-ZA"/>
              </w:rPr>
              <w:instrText xml:space="preserve"> ADDIN ZOTERO_ITEM CSL_CITATION {"citationID":"ii2YWB6T","properties":{"formattedCitation":"(174)","plainCitation":"(174)","noteIndex":0},"citationItems":[{"id":12576,"uris":["http://zotero.org/users/6216265/items/PFRY9L2S"],"itemData":{"id":12576,"type":"chapter","container-title":"Structure-Based Drug Discovery","event-place":"Totowa, NJ","ISBN":"978-1-61779-519-0","language":"en","note":"collection-title: Methods in Molecular Biology\nDOI: 10.1007/978-1-61779-520-6_1","page":"1-27","publisher":"Humana Press","publisher-place":"Totowa, NJ","source":"DOI.org (Crossref)","title":"The Utility of Structural Biology in Drug Discovery","URL":"https://link.springer.com/10.1007/978-1-61779-520-6_1","volume":"841","editor":[{"family":"Tari","given":"Leslie W."}],"author":[{"family":"Tari","given":"Leslie W."}],"accessed":{"date-parts":[["2023",12,21]]},"issued":{"date-parts":[["2012"]]}}}],"schema":"https://github.com/citation-style-language/schema/raw/master/csl-citation.json"} </w:instrText>
            </w:r>
            <w:r w:rsidR="00125734">
              <w:rPr>
                <w:rFonts w:ascii="Calibri" w:eastAsia="Times New Roman" w:hAnsi="Calibri" w:cs="Calibri"/>
                <w:color w:val="000000"/>
                <w:lang w:val="en-ZA" w:eastAsia="en-ZA"/>
              </w:rPr>
              <w:fldChar w:fldCharType="separate"/>
            </w:r>
            <w:r w:rsidR="00125734" w:rsidRPr="00125734">
              <w:rPr>
                <w:rFonts w:ascii="Calibri" w:hAnsi="Calibri" w:cs="Calibri"/>
              </w:rPr>
              <w:t>(174)</w:t>
            </w:r>
            <w:r w:rsidR="00125734">
              <w:rPr>
                <w:rFonts w:ascii="Calibri" w:eastAsia="Times New Roman" w:hAnsi="Calibri" w:cs="Calibri"/>
                <w:color w:val="000000"/>
                <w:lang w:val="en-ZA" w:eastAsia="en-ZA"/>
              </w:rPr>
              <w:fldChar w:fldCharType="end"/>
            </w:r>
          </w:p>
        </w:tc>
        <w:tc>
          <w:tcPr>
            <w:tcW w:w="1464" w:type="dxa"/>
            <w:noWrap/>
            <w:hideMark/>
          </w:tcPr>
          <w:p w14:paraId="60B2412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2012</w:t>
            </w:r>
          </w:p>
        </w:tc>
        <w:tc>
          <w:tcPr>
            <w:tcW w:w="2043" w:type="dxa"/>
            <w:noWrap/>
            <w:hideMark/>
          </w:tcPr>
          <w:p w14:paraId="5687A242"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97CB329" w14:textId="77777777" w:rsidTr="00366ACD">
        <w:trPr>
          <w:trHeight w:val="270"/>
        </w:trPr>
        <w:tc>
          <w:tcPr>
            <w:tcW w:w="2703" w:type="dxa"/>
            <w:noWrap/>
            <w:hideMark/>
          </w:tcPr>
          <w:p w14:paraId="7CEC9641" w14:textId="400DA811" w:rsidR="00696AF0" w:rsidRPr="00696AF0" w:rsidRDefault="00696AF0" w:rsidP="00125734">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Teng </w:t>
            </w:r>
            <w:r w:rsidR="000620EA">
              <w:rPr>
                <w:rFonts w:ascii="Calibri" w:eastAsia="Times New Roman" w:hAnsi="Calibri" w:cs="Calibri"/>
                <w:color w:val="000000"/>
                <w:lang w:val="en-ZA" w:eastAsia="en-ZA"/>
              </w:rPr>
              <w:t>et al.</w:t>
            </w:r>
            <w:r w:rsidR="00125734">
              <w:rPr>
                <w:rFonts w:ascii="Calibri" w:eastAsia="Times New Roman" w:hAnsi="Calibri" w:cs="Calibri"/>
                <w:color w:val="000000"/>
                <w:lang w:val="en-ZA" w:eastAsia="en-ZA"/>
              </w:rPr>
              <w:t xml:space="preserve"> </w:t>
            </w:r>
            <w:r w:rsidR="00125734">
              <w:rPr>
                <w:rFonts w:ascii="Calibri" w:eastAsia="Times New Roman" w:hAnsi="Calibri" w:cs="Calibri"/>
                <w:color w:val="000000"/>
                <w:lang w:val="en-ZA" w:eastAsia="en-ZA"/>
              </w:rPr>
              <w:fldChar w:fldCharType="begin"/>
            </w:r>
            <w:r w:rsidR="00125734">
              <w:rPr>
                <w:rFonts w:ascii="Calibri" w:eastAsia="Times New Roman" w:hAnsi="Calibri" w:cs="Calibri"/>
                <w:color w:val="000000"/>
                <w:lang w:val="en-ZA" w:eastAsia="en-ZA"/>
              </w:rPr>
              <w:instrText xml:space="preserve"> ADDIN ZOTERO_ITEM CSL_CITATION {"citationID":"j0fmjyne","properties":{"formattedCitation":"(175)","plainCitation":"(175)","noteIndex":0},"citationItems":[{"id":81,"uris":["http://zotero.org/users/6216265/items/X9H7WE2T"],"itemData":{"id":81,"type":"article-journal","abstract":"The failure rate for phase III trials in oncology is high; quantitative predictive approaches are needed. We developed a model-based meta-analysis (MBMA)  framework to predict progression-free survival (PFS) from overall response rates  (ORR) in relapsed/refractory multiple myeloma (RRMM), using data from seven phase  III trials. A Bayesian analysis was used to predict the probability of technical  success (PTS) for achieving desired phase III PFS targets based on phase II ORR  data. The model demonstrated a strongly correlated (R(2) = 0.84) linear  relationship between ORR and median PFS. As a representative application of the  framework, MBMA predicted that an ORR of </w:instrText>
            </w:r>
            <w:r w:rsidR="00125734">
              <w:rPr>
                <w:rFonts w:ascii="Cambria Math" w:eastAsia="Times New Roman" w:hAnsi="Cambria Math" w:cs="Cambria Math"/>
                <w:color w:val="000000"/>
                <w:lang w:val="en-ZA" w:eastAsia="en-ZA"/>
              </w:rPr>
              <w:instrText>∼</w:instrText>
            </w:r>
            <w:r w:rsidR="00125734">
              <w:rPr>
                <w:rFonts w:ascii="Calibri" w:eastAsia="Times New Roman" w:hAnsi="Calibri" w:cs="Calibri"/>
                <w:color w:val="000000"/>
                <w:lang w:val="en-ZA" w:eastAsia="en-ZA"/>
              </w:rPr>
              <w:instrText xml:space="preserve">66% would be needed in a phase II study  of 50 patients to achieve a target median PFS of 13.5 months in a phase III  study. This model can be used to help estimate PTS to achieve gold-standard  targets in a target product profile, thereby enabling objectively informed  decision-making.","container-title":"Clinical and translational science","DOI":"10.1111/cts.12524","ISSN":"1752-8062 1752-8054","issue":"2","journalAbbreviation":"Clin Transl Sci","language":"eng","license":"© 2017 The Authors. Clinical and Translational Science published by Wiley Periodicals, Inc. on behalf of American Society for Clinical Pharmacology and  Therapeutics.","note":"PMID: 29168990 \nPMCID: PMC5867027","page":"218-225","title":"Model-Based Meta-Analysis for Multiple Myeloma: A Quantitative Drug-Independent Framework for Efficient Decisions in Oncology Drug Development.","volume":"11","author":[{"family":"Teng","given":"Zhaoyang"},{"family":"Gupta","given":"Neeraj"},{"family":"Hua","given":"Zhaowei"},{"family":"Liu","given":"Guohui"},{"family":"Samnotra","given":"Vivek"},{"family":"Venkatakrishnan","given":"Karthik"},{"family":"Labotka","given":"Richard"}],"issued":{"date-parts":[["2018",3]]}}}],"schema":"https://github.com/citation-style-language/schema/raw/master/csl-citation.json"} </w:instrText>
            </w:r>
            <w:r w:rsidR="00125734">
              <w:rPr>
                <w:rFonts w:ascii="Calibri" w:eastAsia="Times New Roman" w:hAnsi="Calibri" w:cs="Calibri"/>
                <w:color w:val="000000"/>
                <w:lang w:val="en-ZA" w:eastAsia="en-ZA"/>
              </w:rPr>
              <w:fldChar w:fldCharType="separate"/>
            </w:r>
            <w:r w:rsidR="00125734" w:rsidRPr="00125734">
              <w:rPr>
                <w:rFonts w:ascii="Calibri" w:hAnsi="Calibri" w:cs="Calibri"/>
              </w:rPr>
              <w:t>(175)</w:t>
            </w:r>
            <w:r w:rsidR="00125734">
              <w:rPr>
                <w:rFonts w:ascii="Calibri" w:eastAsia="Times New Roman" w:hAnsi="Calibri" w:cs="Calibri"/>
                <w:color w:val="000000"/>
                <w:lang w:val="en-ZA" w:eastAsia="en-ZA"/>
              </w:rPr>
              <w:fldChar w:fldCharType="end"/>
            </w:r>
          </w:p>
        </w:tc>
        <w:tc>
          <w:tcPr>
            <w:tcW w:w="1464" w:type="dxa"/>
            <w:noWrap/>
            <w:hideMark/>
          </w:tcPr>
          <w:p w14:paraId="1B4D2E8E"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2018</w:t>
            </w:r>
          </w:p>
        </w:tc>
        <w:tc>
          <w:tcPr>
            <w:tcW w:w="2043" w:type="dxa"/>
            <w:noWrap/>
            <w:hideMark/>
          </w:tcPr>
          <w:p w14:paraId="41E75A11"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0D8C5F04" w14:textId="77777777" w:rsidTr="00366ACD">
        <w:trPr>
          <w:trHeight w:val="270"/>
        </w:trPr>
        <w:tc>
          <w:tcPr>
            <w:tcW w:w="2703" w:type="dxa"/>
            <w:noWrap/>
            <w:hideMark/>
          </w:tcPr>
          <w:p w14:paraId="6FF21192" w14:textId="66F5786E" w:rsidR="00696AF0" w:rsidRPr="00696AF0" w:rsidRDefault="00696AF0" w:rsidP="00861B8D">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Thakkar </w:t>
            </w:r>
            <w:r w:rsidR="000620EA">
              <w:rPr>
                <w:rFonts w:ascii="Calibri" w:eastAsia="Times New Roman" w:hAnsi="Calibri" w:cs="Calibri"/>
                <w:color w:val="000000"/>
                <w:lang w:val="en-ZA" w:eastAsia="en-ZA"/>
              </w:rPr>
              <w:t>et al.</w:t>
            </w:r>
            <w:r w:rsidR="00861B8D">
              <w:rPr>
                <w:rFonts w:ascii="Calibri" w:eastAsia="Times New Roman" w:hAnsi="Calibri" w:cs="Calibri"/>
                <w:color w:val="000000"/>
                <w:lang w:val="en-ZA" w:eastAsia="en-ZA"/>
              </w:rPr>
              <w:t xml:space="preserve"> </w:t>
            </w:r>
            <w:r w:rsidR="00861B8D">
              <w:rPr>
                <w:rFonts w:ascii="Calibri" w:eastAsia="Times New Roman" w:hAnsi="Calibri" w:cs="Calibri"/>
                <w:color w:val="000000"/>
                <w:lang w:val="en-ZA" w:eastAsia="en-ZA"/>
              </w:rPr>
              <w:fldChar w:fldCharType="begin"/>
            </w:r>
            <w:r w:rsidR="00861B8D">
              <w:rPr>
                <w:rFonts w:ascii="Calibri" w:eastAsia="Times New Roman" w:hAnsi="Calibri" w:cs="Calibri"/>
                <w:color w:val="000000"/>
                <w:lang w:val="en-ZA" w:eastAsia="en-ZA"/>
              </w:rPr>
              <w:instrText xml:space="preserve"> ADDIN ZOTERO_ITEM CSL_CITATION {"citationID":"OKS6dd4K","properties":{"formattedCitation":"(176)","plainCitation":"(176)","noteIndex":0},"citationItems":[{"id":12579,"uris":["http://zotero.org/users/6216265/items/882BGDBJ"],"itemData":{"id":12579,"type":"article-journal","container-title":"International Journal of Pharmaceutics","DOI":"10.1016/j.ijpharm.2019.118989","ISSN":"03785173","journalAbbreviation":"International Journal of Pharmaceutics","language":"en","page":"118989","source":"DOI.org (Crossref)","title":"Systematic screening of pharmaceutical polymers for hot melt extrusion processing: a comprehensive review","title-short":"Systematic screening of pharmaceutical polymers for hot melt extrusion processing","volume":"576","author":[{"family":"Thakkar","given":"Rishi"},{"family":"Thakkar","given":"Ruchi"},{"family":"Pillai","given":"Amit"},{"family":"Ashour","given":"Eman A."},{"family":"Repka","given":"Michael A."}],"issued":{"date-parts":[["2020",2]]}}}],"schema":"https://github.com/citation-style-language/schema/raw/master/csl-citation.json"} </w:instrText>
            </w:r>
            <w:r w:rsidR="00861B8D">
              <w:rPr>
                <w:rFonts w:ascii="Calibri" w:eastAsia="Times New Roman" w:hAnsi="Calibri" w:cs="Calibri"/>
                <w:color w:val="000000"/>
                <w:lang w:val="en-ZA" w:eastAsia="en-ZA"/>
              </w:rPr>
              <w:fldChar w:fldCharType="separate"/>
            </w:r>
            <w:r w:rsidR="00861B8D" w:rsidRPr="00861B8D">
              <w:rPr>
                <w:rFonts w:ascii="Calibri" w:hAnsi="Calibri" w:cs="Calibri"/>
              </w:rPr>
              <w:t>(176)</w:t>
            </w:r>
            <w:r w:rsidR="00861B8D">
              <w:rPr>
                <w:rFonts w:ascii="Calibri" w:eastAsia="Times New Roman" w:hAnsi="Calibri" w:cs="Calibri"/>
                <w:color w:val="000000"/>
                <w:lang w:val="en-ZA" w:eastAsia="en-ZA"/>
              </w:rPr>
              <w:fldChar w:fldCharType="end"/>
            </w:r>
          </w:p>
        </w:tc>
        <w:tc>
          <w:tcPr>
            <w:tcW w:w="1464" w:type="dxa"/>
            <w:noWrap/>
            <w:hideMark/>
          </w:tcPr>
          <w:p w14:paraId="3498FA89"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2D6FB85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F1DE57F" w14:textId="77777777" w:rsidTr="00366ACD">
        <w:trPr>
          <w:trHeight w:val="270"/>
        </w:trPr>
        <w:tc>
          <w:tcPr>
            <w:tcW w:w="2703" w:type="dxa"/>
            <w:noWrap/>
            <w:hideMark/>
          </w:tcPr>
          <w:p w14:paraId="5D25C3CA" w14:textId="50EFAA20" w:rsidR="00696AF0" w:rsidRPr="00696AF0" w:rsidRDefault="00696AF0" w:rsidP="00861B8D">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Than</w:t>
            </w:r>
            <w:proofErr w:type="spellEnd"/>
            <w:r w:rsidRPr="00696AF0">
              <w:rPr>
                <w:rFonts w:ascii="Calibri" w:eastAsia="Times New Roman" w:hAnsi="Calibri" w:cs="Calibri"/>
                <w:color w:val="000000"/>
                <w:lang w:val="en-ZA" w:eastAsia="en-ZA"/>
              </w:rPr>
              <w:t xml:space="preserve"> and </w:t>
            </w:r>
            <w:proofErr w:type="spellStart"/>
            <w:r w:rsidRPr="00696AF0">
              <w:rPr>
                <w:rFonts w:ascii="Calibri" w:eastAsia="Times New Roman" w:hAnsi="Calibri" w:cs="Calibri"/>
                <w:color w:val="000000"/>
                <w:lang w:val="en-ZA" w:eastAsia="en-ZA"/>
              </w:rPr>
              <w:t>Titapiwatanakun</w:t>
            </w:r>
            <w:proofErr w:type="spellEnd"/>
            <w:r w:rsidR="00861B8D">
              <w:rPr>
                <w:rFonts w:ascii="Calibri" w:eastAsia="Times New Roman" w:hAnsi="Calibri" w:cs="Calibri"/>
                <w:color w:val="000000"/>
                <w:lang w:val="en-ZA" w:eastAsia="en-ZA"/>
              </w:rPr>
              <w:t xml:space="preserve"> </w:t>
            </w:r>
            <w:r w:rsidR="00861B8D">
              <w:rPr>
                <w:rFonts w:ascii="Calibri" w:eastAsia="Times New Roman" w:hAnsi="Calibri" w:cs="Calibri"/>
                <w:color w:val="000000"/>
                <w:lang w:val="en-ZA" w:eastAsia="en-ZA"/>
              </w:rPr>
              <w:fldChar w:fldCharType="begin"/>
            </w:r>
            <w:r w:rsidR="00861B8D">
              <w:rPr>
                <w:rFonts w:ascii="Calibri" w:eastAsia="Times New Roman" w:hAnsi="Calibri" w:cs="Calibri"/>
                <w:color w:val="000000"/>
                <w:lang w:val="en-ZA" w:eastAsia="en-ZA"/>
              </w:rPr>
              <w:instrText xml:space="preserve"> ADDIN ZOTERO_ITEM CSL_CITATION {"citationID":"KJek5Fb4","properties":{"formattedCitation":"(177)","plainCitation":"(177)","noteIndex":0},"citationItems":[{"id":116,"uris":["http://zotero.org/users/6216265/items/2VQYJZT9"],"itemData":{"id":116,"type":"article-journal","abstract":"The aims of this work were to produce immediate release printed tablets using fused deposition modelling (FDM) technique and to systematically explore the  effects of different compositions on drug release by Quality by Design approach.  Screening studies of various drug loadings and excipients were conducted by hot  melt extrusion and FDM printing to set up the appropriate limit of each  independent factor (critical material attribute, CMA) in Design of Experiment.  This study demonstrated that the use of polymeric mixture containing different  theophylline loadings (10, 30 and 60% w/w) in combination with multiple  pharmaceutical polymers (hydroxy propyl cellulose (HPC), Eudragit® EPO, Kollidon®  VA 64) and disintegrant (sodium starch glycolate) were successfully hot  melt-extruded and FDM printed with no plasticizer. Rheological measurement was  performed to understand the critical process parameters (CPP) while the  mechanical property of extrudable and printable filaments was investigated by  3-point test for the formulation development. Surprisingly, HPC were found to be  superior as a flexibility modifier in all printable filaments. A range of  pharmaceutical characterizations were examined to ensure the critical quality  attributes (CQA). Characteristic dissolution profiles were obtained. D-optimal  mixture design of 17 formulations suggested that theophylline release was  considerably affected by the combined action of different excipients and could  predict the optimum formulation with the required quality target product profile  (QTPP) in pharmacopoeia (85% release at 30 min). Therefore, this can be a useful  platform to develop immediate release products for a specific group of patients  commercially.","container-title":"International journal of pharmaceutics","DOI":"10.1016/j.ijpharm.2021.120402","ISSN":"1873-3476 0378-5173","journalAbbreviation":"Int J Pharm","language":"eng","license":"Copyright © 2021 Elsevier B.V. All rights reserved.","note":"publisher-place: Netherlands\nPMID: 33640426","page":"120402","title":"Tailoring immediate release FDM 3D printed tablets using a quality by design (QbD) approach.","volume":"599","author":[{"family":"Than","given":"Yee Mon"},{"family":"Titapiwatanakun","given":"Varin"}],"issued":{"date-parts":[["2021",4,15]]}}}],"schema":"https://github.com/citation-style-language/schema/raw/master/csl-citation.json"} </w:instrText>
            </w:r>
            <w:r w:rsidR="00861B8D">
              <w:rPr>
                <w:rFonts w:ascii="Calibri" w:eastAsia="Times New Roman" w:hAnsi="Calibri" w:cs="Calibri"/>
                <w:color w:val="000000"/>
                <w:lang w:val="en-ZA" w:eastAsia="en-ZA"/>
              </w:rPr>
              <w:fldChar w:fldCharType="separate"/>
            </w:r>
            <w:r w:rsidR="00861B8D" w:rsidRPr="00861B8D">
              <w:rPr>
                <w:rFonts w:ascii="Calibri" w:hAnsi="Calibri" w:cs="Calibri"/>
              </w:rPr>
              <w:t>(177)</w:t>
            </w:r>
            <w:r w:rsidR="00861B8D">
              <w:rPr>
                <w:rFonts w:ascii="Calibri" w:eastAsia="Times New Roman" w:hAnsi="Calibri" w:cs="Calibri"/>
                <w:color w:val="000000"/>
                <w:lang w:val="en-ZA" w:eastAsia="en-ZA"/>
              </w:rPr>
              <w:fldChar w:fldCharType="end"/>
            </w:r>
          </w:p>
        </w:tc>
        <w:tc>
          <w:tcPr>
            <w:tcW w:w="1464" w:type="dxa"/>
            <w:noWrap/>
            <w:hideMark/>
          </w:tcPr>
          <w:p w14:paraId="0CD5041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253B7A6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0AA7B55B" w14:textId="77777777" w:rsidTr="00366ACD">
        <w:trPr>
          <w:trHeight w:val="270"/>
        </w:trPr>
        <w:tc>
          <w:tcPr>
            <w:tcW w:w="2703" w:type="dxa"/>
            <w:noWrap/>
            <w:hideMark/>
          </w:tcPr>
          <w:p w14:paraId="48FA1D77" w14:textId="7219EF25" w:rsidR="00696AF0" w:rsidRPr="00696AF0" w:rsidRDefault="00696AF0" w:rsidP="0093658C">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Tietje</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93658C">
              <w:rPr>
                <w:rFonts w:ascii="Calibri" w:eastAsia="Times New Roman" w:hAnsi="Calibri" w:cs="Calibri"/>
                <w:color w:val="000000"/>
                <w:lang w:val="en-ZA" w:eastAsia="en-ZA"/>
              </w:rPr>
              <w:t xml:space="preserve"> </w:t>
            </w:r>
            <w:r w:rsidR="0093658C">
              <w:rPr>
                <w:rFonts w:ascii="Calibri" w:eastAsia="Times New Roman" w:hAnsi="Calibri" w:cs="Calibri"/>
                <w:color w:val="000000"/>
                <w:lang w:val="en-ZA" w:eastAsia="en-ZA"/>
              </w:rPr>
              <w:fldChar w:fldCharType="begin"/>
            </w:r>
            <w:r w:rsidR="0093658C">
              <w:rPr>
                <w:rFonts w:ascii="Calibri" w:eastAsia="Times New Roman" w:hAnsi="Calibri" w:cs="Calibri"/>
                <w:color w:val="000000"/>
                <w:lang w:val="en-ZA" w:eastAsia="en-ZA"/>
              </w:rPr>
              <w:instrText xml:space="preserve"> ADDIN ZOTERO_ITEM CSL_CITATION {"citationID":"hRLaHdnj","properties":{"formattedCitation":"(178)","plainCitation":"(178)","noteIndex":0},"citationItems":[{"id":3147,"uris":["http://zotero.org/users/6216265/items/GISIR9JJ"],"itemData":{"id":3147,"type":"article-journal","abstract":"Recent emphasis on malaria elimination and eradication (E&amp;E) goals is changing the way that experts evaluate malaria diagnostic tools and tactics. As prevalence  declines, the focus of malaria management is pivoting toward low-density,  subclinical infections and geographically and demographically concentrated  reservoirs. These and other changes present challenges and opportunities for  innovations in malaria diagnostics aimed at meeting the needs of malaria  elimination programs. Developing such technologies requires a review of the  operational approaches to detecting malaria infections in areas of declining  prevalence. Here we review recent research on epidemiology and biology related to  malaria elimination and operational factors that influence E&amp;E strategies. We  further propose use-scenarios and a target product profile framework to define  and prioritize the required attributes of infection-detection technologies.","container-title":"Trends in parasitology","DOI":"10.1016/j.pt.2014.03.003","ISSN":"1471-5007 1471-4922","issue":"5","journalAbbreviation":"Trends Parasitol","language":"eng","license":"Copyright © 2014 Elsevier Ltd. All rights reserved.","note":"publisher-place: England\nPMID: 24726857","page":"259-266","title":"The essential role of infection-detection technologies for malaria elimination and eradication.","volume":"30","author":[{"family":"Tietje","given":"Kathleen"},{"family":"Hawkins","given":"Kenneth"},{"family":"Clerk","given":"Christine"},{"family":"Ebels","given":"Kelly"},{"family":"McGray","given":"Sarah"},{"family":"Crudder","given":"Chris"},{"family":"Okell","given":"Lucy"},{"family":"LaBarre","given":"Paul"}],"issued":{"date-parts":[["2014",5]]}}}],"schema":"https://github.com/citation-style-language/schema/raw/master/csl-citation.json"} </w:instrText>
            </w:r>
            <w:r w:rsidR="0093658C">
              <w:rPr>
                <w:rFonts w:ascii="Calibri" w:eastAsia="Times New Roman" w:hAnsi="Calibri" w:cs="Calibri"/>
                <w:color w:val="000000"/>
                <w:lang w:val="en-ZA" w:eastAsia="en-ZA"/>
              </w:rPr>
              <w:fldChar w:fldCharType="separate"/>
            </w:r>
            <w:r w:rsidR="0093658C" w:rsidRPr="0093658C">
              <w:rPr>
                <w:rFonts w:ascii="Calibri" w:hAnsi="Calibri" w:cs="Calibri"/>
              </w:rPr>
              <w:t>(178)</w:t>
            </w:r>
            <w:r w:rsidR="0093658C">
              <w:rPr>
                <w:rFonts w:ascii="Calibri" w:eastAsia="Times New Roman" w:hAnsi="Calibri" w:cs="Calibri"/>
                <w:color w:val="000000"/>
                <w:lang w:val="en-ZA" w:eastAsia="en-ZA"/>
              </w:rPr>
              <w:fldChar w:fldCharType="end"/>
            </w:r>
          </w:p>
        </w:tc>
        <w:tc>
          <w:tcPr>
            <w:tcW w:w="1464" w:type="dxa"/>
            <w:noWrap/>
            <w:hideMark/>
          </w:tcPr>
          <w:p w14:paraId="3E49406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2014</w:t>
            </w:r>
          </w:p>
        </w:tc>
        <w:tc>
          <w:tcPr>
            <w:tcW w:w="2043" w:type="dxa"/>
            <w:noWrap/>
            <w:hideMark/>
          </w:tcPr>
          <w:p w14:paraId="4BACC6D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0D7F7E7" w14:textId="77777777" w:rsidTr="00366ACD">
        <w:trPr>
          <w:trHeight w:val="270"/>
        </w:trPr>
        <w:tc>
          <w:tcPr>
            <w:tcW w:w="2703" w:type="dxa"/>
            <w:noWrap/>
            <w:hideMark/>
          </w:tcPr>
          <w:p w14:paraId="5EE51848" w14:textId="67F860D1" w:rsidR="00696AF0" w:rsidRPr="00696AF0" w:rsidRDefault="00696AF0" w:rsidP="0093658C">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Tolley </w:t>
            </w:r>
            <w:r w:rsidR="000620EA">
              <w:rPr>
                <w:rFonts w:ascii="Calibri" w:eastAsia="Times New Roman" w:hAnsi="Calibri" w:cs="Calibri"/>
                <w:color w:val="000000"/>
                <w:lang w:val="en-ZA" w:eastAsia="en-ZA"/>
              </w:rPr>
              <w:t>et al.</w:t>
            </w:r>
            <w:r w:rsidR="0093658C">
              <w:rPr>
                <w:rFonts w:ascii="Calibri" w:eastAsia="Times New Roman" w:hAnsi="Calibri" w:cs="Calibri"/>
                <w:color w:val="000000"/>
                <w:lang w:val="en-ZA" w:eastAsia="en-ZA"/>
              </w:rPr>
              <w:t xml:space="preserve"> </w:t>
            </w:r>
            <w:r w:rsidR="0093658C">
              <w:rPr>
                <w:rFonts w:ascii="Calibri" w:eastAsia="Times New Roman" w:hAnsi="Calibri" w:cs="Calibri"/>
                <w:color w:val="000000"/>
                <w:lang w:val="en-ZA" w:eastAsia="en-ZA"/>
              </w:rPr>
              <w:fldChar w:fldCharType="begin"/>
            </w:r>
            <w:r w:rsidR="0093658C">
              <w:rPr>
                <w:rFonts w:ascii="Calibri" w:eastAsia="Times New Roman" w:hAnsi="Calibri" w:cs="Calibri"/>
                <w:color w:val="000000"/>
                <w:lang w:val="en-ZA" w:eastAsia="en-ZA"/>
              </w:rPr>
              <w:instrText xml:space="preserve"> ADDIN ZOTERO_ITEM CSL_CITATION {"citationID":"u7qHyqBL","properties":{"formattedCitation":"(179)","plainCitation":"(179)","noteIndex":0},"citationItems":[{"id":10,"uris":["http://zotero.org/users/6216265/items/MICKY8CH"],"itemData":{"id":10,"type":"article-journal","abstract":"BACKGROUND: Between 1995 and 2005, injectable use doubled worldwide. However, discontinuation rates remain high, partly because of side effects but also  because of missed appointments for reinjection. A longer-acting injectable (LAI)  may improve compliance by reducing the required number of reinjection visits,  thereby reducing unintentional discontinuation. This study examined acceptability  of LAI characteristics comprising the target product profile (TPP). METHODS: In  2012, we conducted qualitative case studies in Kenya and Rwanda, consisting of 19  focus group discussions (FGDs) with 177 current, previous, or never users of  injectables and 46 in-depth interviews (IDIs) with providers, program  implementers, and policy makers. FGDs and IDIs assessed current injectable  experiences; attitudes toward potential LAI products; and perceptions of TPP  attributes, including ranking preferences for the most and least important  characteristics. In addition, we obtained completed electronic surveys from 28  international family planning opinion leaders about the perceived need for an  LAI, important product characteristics, and challenges to LAI development or  introduction. RESULTS: Many FGD participants and interviewees spontaneously  expressed strong interest in an LAI, but there was some variation in TPP  preferences. The majority of participants ranked effectiveness as the most  important TPP attribute. Providers were generally more concerned about side  effects than potential users; some potential users suggested that side effects  were related less to the product than to their own body chemistry and that side  effects were acceptable as long as they did not last a long time or disrupt daily  activities. Women and providers, especially in Kenya, preferred a method with a  predictable return to fertility. Some participants associated amenorrhea with  delayed or reduced fertility. Most women and providers preferred delivery of the  LAI in a single, prepackaged, disposable injection system to facilitate  injections by providers and to reduce the risk of pain or discomfort for women.  While providers and policy makers ranked cost as one of the most important  issues, it was among the least important issues for most potential users. Many  Kenyan, but few Rwandan, participants appeared willing to pay for an LAI, with  some presuming cost savings from reduced menstruation and fewer clinic visits.  CONCLUSIONS: Some TPP preferences for an LAI have implications for product  development decisions about formulation, delivery mechanism, or presentation,  while others point to the need for tailored communication and counseling  approaches to ensure acceptability and adherence within clinical trials and  beyond.","container-title":"Global health, science and practice","DOI":"10.9745/GHSP-D-13-00147","ISSN":"2169-575X","issue":"2","journalAbbreviation":"Glob Health Sci Pract","language":"eng","note":"PMID: 25276576 \nPMCID: PMC4168623","page":"182-194","title":"Preferences for a potential longer-acting injectable contraceptive: perspectives from women, providers, and policy makers in Kenya and Rwanda.","volume":"2","author":[{"family":"Tolley","given":"Elizabeth E."},{"family":"McKenna","given":"Kevin"},{"family":"Mackenzie","given":"Caroline"},{"family":"Ngabo","given":"Fidele"},{"family":"Munyambanza","given":"Emmanuel"},{"family":"Arcara","given":"Jennet"},{"family":"Rademacher","given":"Kate H."},{"family":"Lendvay","given":"Anja"}],"issued":{"date-parts":[["2014",5]]}}}],"schema":"https://github.com/citation-style-language/schema/raw/master/csl-citation.json"} </w:instrText>
            </w:r>
            <w:r w:rsidR="0093658C">
              <w:rPr>
                <w:rFonts w:ascii="Calibri" w:eastAsia="Times New Roman" w:hAnsi="Calibri" w:cs="Calibri"/>
                <w:color w:val="000000"/>
                <w:lang w:val="en-ZA" w:eastAsia="en-ZA"/>
              </w:rPr>
              <w:fldChar w:fldCharType="separate"/>
            </w:r>
            <w:r w:rsidR="0093658C" w:rsidRPr="0093658C">
              <w:rPr>
                <w:rFonts w:ascii="Calibri" w:hAnsi="Calibri" w:cs="Calibri"/>
              </w:rPr>
              <w:t>(179)</w:t>
            </w:r>
            <w:r w:rsidR="0093658C">
              <w:rPr>
                <w:rFonts w:ascii="Calibri" w:eastAsia="Times New Roman" w:hAnsi="Calibri" w:cs="Calibri"/>
                <w:color w:val="000000"/>
                <w:lang w:val="en-ZA" w:eastAsia="en-ZA"/>
              </w:rPr>
              <w:fldChar w:fldCharType="end"/>
            </w:r>
          </w:p>
        </w:tc>
        <w:tc>
          <w:tcPr>
            <w:tcW w:w="1464" w:type="dxa"/>
            <w:noWrap/>
            <w:hideMark/>
          </w:tcPr>
          <w:p w14:paraId="15E1732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2014</w:t>
            </w:r>
          </w:p>
        </w:tc>
        <w:tc>
          <w:tcPr>
            <w:tcW w:w="2043" w:type="dxa"/>
            <w:noWrap/>
            <w:hideMark/>
          </w:tcPr>
          <w:p w14:paraId="1DEFDB4E"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80DEC36" w14:textId="77777777" w:rsidTr="00366ACD">
        <w:trPr>
          <w:trHeight w:val="270"/>
        </w:trPr>
        <w:tc>
          <w:tcPr>
            <w:tcW w:w="2703" w:type="dxa"/>
            <w:noWrap/>
            <w:hideMark/>
          </w:tcPr>
          <w:p w14:paraId="484E262B" w14:textId="3EA70DDD" w:rsidR="00696AF0" w:rsidRPr="00696AF0" w:rsidRDefault="00696AF0" w:rsidP="004012F2">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Troiano </w:t>
            </w:r>
            <w:r w:rsidR="000620EA">
              <w:rPr>
                <w:rFonts w:ascii="Calibri" w:eastAsia="Times New Roman" w:hAnsi="Calibri" w:cs="Calibri"/>
                <w:color w:val="000000"/>
                <w:lang w:val="en-ZA" w:eastAsia="en-ZA"/>
              </w:rPr>
              <w:t>et al.</w:t>
            </w:r>
            <w:r w:rsidR="004012F2">
              <w:rPr>
                <w:rFonts w:ascii="Calibri" w:eastAsia="Times New Roman" w:hAnsi="Calibri" w:cs="Calibri"/>
                <w:color w:val="000000"/>
                <w:lang w:val="en-ZA" w:eastAsia="en-ZA"/>
              </w:rPr>
              <w:t xml:space="preserve"> </w:t>
            </w:r>
            <w:r w:rsidR="004012F2">
              <w:rPr>
                <w:rFonts w:ascii="Calibri" w:eastAsia="Times New Roman" w:hAnsi="Calibri" w:cs="Calibri"/>
                <w:color w:val="000000"/>
                <w:lang w:val="en-ZA" w:eastAsia="en-ZA"/>
              </w:rPr>
              <w:fldChar w:fldCharType="begin"/>
            </w:r>
            <w:r w:rsidR="004012F2">
              <w:rPr>
                <w:rFonts w:ascii="Calibri" w:eastAsia="Times New Roman" w:hAnsi="Calibri" w:cs="Calibri"/>
                <w:color w:val="000000"/>
                <w:lang w:val="en-ZA" w:eastAsia="en-ZA"/>
              </w:rPr>
              <w:instrText xml:space="preserve"> ADDIN ZOTERO_ITEM CSL_CITATION {"citationID":"X9xYzErc","properties":{"formattedCitation":"(180)","plainCitation":"(180)","noteIndex":0},"citationItems":[{"id":48,"uris":["http://zotero.org/users/6216265/items/7H4ZPNZM"],"itemData":{"id":48,"type":"article-journal","abstract":"The translation of nanomedicines from concepts to commercial products has not reached its full potential, in part because of the technical and regulatory  challenges associated with chemistry, manufacturing, and controls (CMC)  development of such complex products. It is critical to take a quality by design  (QbD) approach to developing nanomedicines-using a risk-based approach to  identifying and classifying product attributes and process parameters and  ultimately developing a deep understanding of the products, processes, and  platform. This article exemplifies a QbD approach used by BIND Therapeutics,  Inc., to industrialize a polymeric targeted nanoparticle drug delivery platform.  The focus of the approach is on CMC affairs but consideration is also given to  preclinical, clinical, and regulatory aspects of pharmaceutical development.  Processes are described for developing a quality target product profile and  designing supporting preclinical studies, defining critical quality attributes  and process parameters, building a process knowledge map, and employing QbD to  support outsourced manufacturing.","container-title":"The AAPS journal","DOI":"10.1208/s12248-016-9969-z","ISSN":"1550-7416","issue":"6","journalAbbreviation":"AAPS J","language":"eng","note":"publisher-place: United States\nPMID: 27631558","page":"1354-1365","title":"A Quality by Design Approach to Developing and Manufacturing Polymeric Nanoparticle Drug Products.","volume":"18","author":[{"family":"Troiano","given":"Greg"},{"family":"Nolan","given":"Jim"},{"family":"Parsons","given":"Donald"},{"family":"Van Geen Hoven","given":"Christina"},{"family":"Zale","given":"Stephen"}],"issued":{"date-parts":[["2016",11]]}}}],"schema":"https://github.com/citation-style-language/schema/raw/master/csl-citation.json"} </w:instrText>
            </w:r>
            <w:r w:rsidR="004012F2">
              <w:rPr>
                <w:rFonts w:ascii="Calibri" w:eastAsia="Times New Roman" w:hAnsi="Calibri" w:cs="Calibri"/>
                <w:color w:val="000000"/>
                <w:lang w:val="en-ZA" w:eastAsia="en-ZA"/>
              </w:rPr>
              <w:fldChar w:fldCharType="separate"/>
            </w:r>
            <w:r w:rsidR="004012F2" w:rsidRPr="004012F2">
              <w:rPr>
                <w:rFonts w:ascii="Calibri" w:hAnsi="Calibri" w:cs="Calibri"/>
              </w:rPr>
              <w:t>(180)</w:t>
            </w:r>
            <w:r w:rsidR="004012F2">
              <w:rPr>
                <w:rFonts w:ascii="Calibri" w:eastAsia="Times New Roman" w:hAnsi="Calibri" w:cs="Calibri"/>
                <w:color w:val="000000"/>
                <w:lang w:val="en-ZA" w:eastAsia="en-ZA"/>
              </w:rPr>
              <w:fldChar w:fldCharType="end"/>
            </w:r>
          </w:p>
        </w:tc>
        <w:tc>
          <w:tcPr>
            <w:tcW w:w="1464" w:type="dxa"/>
            <w:noWrap/>
            <w:hideMark/>
          </w:tcPr>
          <w:p w14:paraId="791B23D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2016</w:t>
            </w:r>
          </w:p>
        </w:tc>
        <w:tc>
          <w:tcPr>
            <w:tcW w:w="2043" w:type="dxa"/>
            <w:noWrap/>
            <w:hideMark/>
          </w:tcPr>
          <w:p w14:paraId="1B2D276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E864817" w14:textId="77777777" w:rsidTr="00366ACD">
        <w:trPr>
          <w:trHeight w:val="270"/>
        </w:trPr>
        <w:tc>
          <w:tcPr>
            <w:tcW w:w="2703" w:type="dxa"/>
            <w:noWrap/>
            <w:hideMark/>
          </w:tcPr>
          <w:p w14:paraId="792BD371" w14:textId="29CBAC41" w:rsidR="00696AF0" w:rsidRPr="00696AF0" w:rsidRDefault="00696AF0" w:rsidP="004012F2">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Turner </w:t>
            </w:r>
            <w:r w:rsidR="000620EA">
              <w:rPr>
                <w:rFonts w:ascii="Calibri" w:eastAsia="Times New Roman" w:hAnsi="Calibri" w:cs="Calibri"/>
                <w:color w:val="000000"/>
                <w:lang w:val="en-ZA" w:eastAsia="en-ZA"/>
              </w:rPr>
              <w:t>et al.</w:t>
            </w:r>
            <w:r w:rsidR="004012F2">
              <w:rPr>
                <w:rFonts w:ascii="Calibri" w:eastAsia="Times New Roman" w:hAnsi="Calibri" w:cs="Calibri"/>
                <w:color w:val="000000"/>
                <w:lang w:val="en-ZA" w:eastAsia="en-ZA"/>
              </w:rPr>
              <w:t xml:space="preserve"> </w:t>
            </w:r>
            <w:r w:rsidR="004012F2">
              <w:rPr>
                <w:rFonts w:ascii="Calibri" w:eastAsia="Times New Roman" w:hAnsi="Calibri" w:cs="Calibri"/>
                <w:color w:val="000000"/>
                <w:lang w:val="en-ZA" w:eastAsia="en-ZA"/>
              </w:rPr>
              <w:fldChar w:fldCharType="begin"/>
            </w:r>
            <w:r w:rsidR="004012F2">
              <w:rPr>
                <w:rFonts w:ascii="Calibri" w:eastAsia="Times New Roman" w:hAnsi="Calibri" w:cs="Calibri"/>
                <w:color w:val="000000"/>
                <w:lang w:val="en-ZA" w:eastAsia="en-ZA"/>
              </w:rPr>
              <w:instrText xml:space="preserve"> ADDIN ZOTERO_ITEM CSL_CITATION {"citationID":"ixqem2Og","properties":{"formattedCitation":"(181)","plainCitation":"(181)","noteIndex":0},"citationItems":[{"id":12586,"uris":["http://zotero.org/users/6216265/items/4GNX3WEC"],"itemData":{"id":12586,"type":"article-journal","container-title":"The Lancet Respiratory Medicine","DOI":"10.1016/S2213-2600(19)30469-2","ISSN":"22132600","issue":"4","journalAbbreviation":"The Lancet Respiratory Medicine","language":"en","page":"407-419","source":"DOI.org (Crossref)","title":"Blood transcriptional biomarkers for active pulmonary tuberculosis in a high-burden setting: a prospective, observational, diagnostic accuracy study","title-short":"Blood transcriptional biomarkers for active pulmonary tuberculosis in a high-burden setting","volume":"8","author":[{"family":"Turner","given":"Carolin T"},{"family":"Gupta","given":"Rishi K"},{"family":"Tsaliki","given":"Evdokia"},{"family":"Roe","given":"Jennifer K"},{"family":"Mondal","given":"Prasenjit"},{"family":"Nyawo","given":"Georgina R"},{"family":"Palmer","given":"Zaida"},{"family":"Miller","given":"Robert F"},{"family":"Reeve","given":"Byron Wp"},{"family":"Theron","given":"Grant"},{"family":"Noursadeghi","given":"Mahdad"}],"issued":{"date-parts":[["2020",4]]}}}],"schema":"https://github.com/citation-style-language/schema/raw/master/csl-citation.json"} </w:instrText>
            </w:r>
            <w:r w:rsidR="004012F2">
              <w:rPr>
                <w:rFonts w:ascii="Calibri" w:eastAsia="Times New Roman" w:hAnsi="Calibri" w:cs="Calibri"/>
                <w:color w:val="000000"/>
                <w:lang w:val="en-ZA" w:eastAsia="en-ZA"/>
              </w:rPr>
              <w:fldChar w:fldCharType="separate"/>
            </w:r>
            <w:r w:rsidR="004012F2" w:rsidRPr="004012F2">
              <w:rPr>
                <w:rFonts w:ascii="Calibri" w:hAnsi="Calibri" w:cs="Calibri"/>
              </w:rPr>
              <w:t>(181)</w:t>
            </w:r>
            <w:r w:rsidR="004012F2">
              <w:rPr>
                <w:rFonts w:ascii="Calibri" w:eastAsia="Times New Roman" w:hAnsi="Calibri" w:cs="Calibri"/>
                <w:color w:val="000000"/>
                <w:lang w:val="en-ZA" w:eastAsia="en-ZA"/>
              </w:rPr>
              <w:fldChar w:fldCharType="end"/>
            </w:r>
          </w:p>
        </w:tc>
        <w:tc>
          <w:tcPr>
            <w:tcW w:w="1464" w:type="dxa"/>
            <w:noWrap/>
            <w:hideMark/>
          </w:tcPr>
          <w:p w14:paraId="215B919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4F1FBD8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DD7DC97" w14:textId="77777777" w:rsidTr="00366ACD">
        <w:trPr>
          <w:trHeight w:val="270"/>
        </w:trPr>
        <w:tc>
          <w:tcPr>
            <w:tcW w:w="2703" w:type="dxa"/>
            <w:noWrap/>
            <w:hideMark/>
          </w:tcPr>
          <w:p w14:paraId="20886E5A" w14:textId="059C12B5" w:rsidR="00696AF0" w:rsidRPr="00696AF0" w:rsidRDefault="00696AF0" w:rsidP="001C2DFB">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Turner </w:t>
            </w:r>
            <w:r w:rsidR="000620EA">
              <w:rPr>
                <w:rFonts w:ascii="Calibri" w:eastAsia="Times New Roman" w:hAnsi="Calibri" w:cs="Calibri"/>
                <w:color w:val="000000"/>
                <w:lang w:val="en-ZA" w:eastAsia="en-ZA"/>
              </w:rPr>
              <w:t>et al.</w:t>
            </w:r>
            <w:r w:rsidR="001C2DFB">
              <w:rPr>
                <w:rFonts w:ascii="Calibri" w:eastAsia="Times New Roman" w:hAnsi="Calibri" w:cs="Calibri"/>
                <w:color w:val="000000"/>
                <w:lang w:val="en-ZA" w:eastAsia="en-ZA"/>
              </w:rPr>
              <w:t xml:space="preserve"> </w:t>
            </w:r>
            <w:r w:rsidR="001C2DFB">
              <w:rPr>
                <w:rFonts w:ascii="Calibri" w:eastAsia="Times New Roman" w:hAnsi="Calibri" w:cs="Calibri"/>
                <w:color w:val="000000"/>
                <w:lang w:val="en-ZA" w:eastAsia="en-ZA"/>
              </w:rPr>
              <w:fldChar w:fldCharType="begin"/>
            </w:r>
            <w:r w:rsidR="001C2DFB">
              <w:rPr>
                <w:rFonts w:ascii="Calibri" w:eastAsia="Times New Roman" w:hAnsi="Calibri" w:cs="Calibri"/>
                <w:color w:val="000000"/>
                <w:lang w:val="en-ZA" w:eastAsia="en-ZA"/>
              </w:rPr>
              <w:instrText xml:space="preserve"> ADDIN ZOTERO_ITEM CSL_CITATION {"citationID":"w9NruzB1","properties":{"formattedCitation":"(182)","plainCitation":"(182)","noteIndex":0},"citationItems":[{"id":12588,"uris":["http://zotero.org/users/6216265/items/HP9RM4T4"],"itemData":{"id":12588,"type":"article-journal","abstract":"This report provides an outline of a program for the discovery of new public health insecticides for malaria vector control. The status of malaria vector control is first reviewed in terms of the chemical, physical chemical, and biochemical properties of the current WHOPES-recommended\n and approved vector control agents. This review provides a basis for a discussion on the critical need for discovery and development of multiple new chemical malaria vector control agents with novel and diverse modes of action. The Innovative Vector Control Consortium (IVCC) New Active Ingredient\n Target Product Profile (TPP) describes the essential attributes for a successful new malaria vector control agent and then serves as the basis for development of a discovery cascade. The cascade addresses these attributes experimentally at each stage of the discovery process – from design\n and assembly of an appropriate collection of chemicals for screening, through development of testing protocols to sort candidates, and into the detailed profiling of advanced pre-development candidates against TPP requirements. In addition, this program defines a staged development system\n to provide intermediate guidance to the insecticide explorer regarding the progress of their discovery program against the ultimate product goal.","container-title":"CHIMIA","DOI":"10.2533/chimia.2016.684","ISSN":"2673-2424, 0009-4293","issue":"10","journalAbbreviation":"Chimia","page":"684","source":"DOI.org (Crossref)","title":"Discovery to Development: Insecticides for Malaria Vector Control","title-short":"Discovery to Development","volume":"70","author":[{"family":"Turner","given":"James A."},{"family":"Ruscoe","given":"Colin N. E."},{"family":"Perrior","given":"Trevor R."}],"issued":{"date-parts":[["2016",10,26]]}}}],"schema":"https://github.com/citation-style-language/schema/raw/master/csl-citation.json"} </w:instrText>
            </w:r>
            <w:r w:rsidR="001C2DFB">
              <w:rPr>
                <w:rFonts w:ascii="Calibri" w:eastAsia="Times New Roman" w:hAnsi="Calibri" w:cs="Calibri"/>
                <w:color w:val="000000"/>
                <w:lang w:val="en-ZA" w:eastAsia="en-ZA"/>
              </w:rPr>
              <w:fldChar w:fldCharType="separate"/>
            </w:r>
            <w:r w:rsidR="001C2DFB" w:rsidRPr="001C2DFB">
              <w:rPr>
                <w:rFonts w:ascii="Calibri" w:hAnsi="Calibri" w:cs="Calibri"/>
              </w:rPr>
              <w:t>(182)</w:t>
            </w:r>
            <w:r w:rsidR="001C2DFB">
              <w:rPr>
                <w:rFonts w:ascii="Calibri" w:eastAsia="Times New Roman" w:hAnsi="Calibri" w:cs="Calibri"/>
                <w:color w:val="000000"/>
                <w:lang w:val="en-ZA" w:eastAsia="en-ZA"/>
              </w:rPr>
              <w:fldChar w:fldCharType="end"/>
            </w:r>
          </w:p>
        </w:tc>
        <w:tc>
          <w:tcPr>
            <w:tcW w:w="1464" w:type="dxa"/>
            <w:noWrap/>
            <w:hideMark/>
          </w:tcPr>
          <w:p w14:paraId="2CFE3DE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2016</w:t>
            </w:r>
          </w:p>
        </w:tc>
        <w:tc>
          <w:tcPr>
            <w:tcW w:w="2043" w:type="dxa"/>
            <w:noWrap/>
            <w:hideMark/>
          </w:tcPr>
          <w:p w14:paraId="2F9420C3"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E6A8E50" w14:textId="77777777" w:rsidTr="00366ACD">
        <w:trPr>
          <w:trHeight w:val="270"/>
        </w:trPr>
        <w:tc>
          <w:tcPr>
            <w:tcW w:w="2703" w:type="dxa"/>
            <w:noWrap/>
            <w:hideMark/>
          </w:tcPr>
          <w:p w14:paraId="6D367514" w14:textId="4F865C1B" w:rsidR="00696AF0" w:rsidRPr="00696AF0" w:rsidRDefault="00696AF0" w:rsidP="00BB20C9">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lastRenderedPageBreak/>
              <w:t xml:space="preserve">Tyndall </w:t>
            </w:r>
            <w:r w:rsidR="000620EA">
              <w:rPr>
                <w:rFonts w:ascii="Calibri" w:eastAsia="Times New Roman" w:hAnsi="Calibri" w:cs="Calibri"/>
                <w:color w:val="000000"/>
                <w:lang w:val="en-ZA" w:eastAsia="en-ZA"/>
              </w:rPr>
              <w:t>et al.</w:t>
            </w:r>
            <w:r w:rsidR="00BB20C9">
              <w:rPr>
                <w:rFonts w:ascii="Calibri" w:eastAsia="Times New Roman" w:hAnsi="Calibri" w:cs="Calibri"/>
                <w:color w:val="000000"/>
                <w:lang w:val="en-ZA" w:eastAsia="en-ZA"/>
              </w:rPr>
              <w:t xml:space="preserve"> </w:t>
            </w:r>
            <w:r w:rsidR="00BB20C9">
              <w:rPr>
                <w:rFonts w:ascii="Calibri" w:eastAsia="Times New Roman" w:hAnsi="Calibri" w:cs="Calibri"/>
                <w:color w:val="000000"/>
                <w:lang w:val="en-ZA" w:eastAsia="en-ZA"/>
              </w:rPr>
              <w:fldChar w:fldCharType="begin"/>
            </w:r>
            <w:r w:rsidR="00BB20C9">
              <w:rPr>
                <w:rFonts w:ascii="Calibri" w:eastAsia="Times New Roman" w:hAnsi="Calibri" w:cs="Calibri"/>
                <w:color w:val="000000"/>
                <w:lang w:val="en-ZA" w:eastAsia="en-ZA"/>
              </w:rPr>
              <w:instrText xml:space="preserve"> ADDIN ZOTERO_ITEM CSL_CITATION {"citationID":"OyleOuiN","properties":{"formattedCitation":"(183)","plainCitation":"(183)","noteIndex":0},"citationItems":[{"id":63,"uris":["http://zotero.org/users/6216265/items/MWTYRX87"],"itemData":{"id":63,"type":"article-journal","container-title":"Nature reviews. Drug discovery","DOI":"10.1038/nrd.2016.264","ISSN":"1474-1784 1474-1776","issue":"3","journalAbbreviation":"Nat Rev Drug Discov","language":"eng","note":"PMID: 28209989 \nPMCID: PMC5478920","page":"156","title":"Regulatory watch: The target product profile as a tool for regulatory communication: advantageous but underused.","volume":"16","author":[{"family":"Tyndall","given":"Adria"},{"family":"Du","given":"Wenny"},{"family":"Breder","given":"Christopher D."}],"issued":{"date-parts":[["2017",3]]}}}],"schema":"https://github.com/citation-style-language/schema/raw/master/csl-citation.json"} </w:instrText>
            </w:r>
            <w:r w:rsidR="00BB20C9">
              <w:rPr>
                <w:rFonts w:ascii="Calibri" w:eastAsia="Times New Roman" w:hAnsi="Calibri" w:cs="Calibri"/>
                <w:color w:val="000000"/>
                <w:lang w:val="en-ZA" w:eastAsia="en-ZA"/>
              </w:rPr>
              <w:fldChar w:fldCharType="separate"/>
            </w:r>
            <w:r w:rsidR="00BB20C9" w:rsidRPr="00BB20C9">
              <w:rPr>
                <w:rFonts w:ascii="Calibri" w:hAnsi="Calibri" w:cs="Calibri"/>
              </w:rPr>
              <w:t>(183)</w:t>
            </w:r>
            <w:r w:rsidR="00BB20C9">
              <w:rPr>
                <w:rFonts w:ascii="Calibri" w:eastAsia="Times New Roman" w:hAnsi="Calibri" w:cs="Calibri"/>
                <w:color w:val="000000"/>
                <w:lang w:val="en-ZA" w:eastAsia="en-ZA"/>
              </w:rPr>
              <w:fldChar w:fldCharType="end"/>
            </w:r>
          </w:p>
        </w:tc>
        <w:tc>
          <w:tcPr>
            <w:tcW w:w="1464" w:type="dxa"/>
            <w:noWrap/>
            <w:hideMark/>
          </w:tcPr>
          <w:p w14:paraId="5D367381"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2017</w:t>
            </w:r>
          </w:p>
        </w:tc>
        <w:tc>
          <w:tcPr>
            <w:tcW w:w="2043" w:type="dxa"/>
            <w:noWrap/>
            <w:hideMark/>
          </w:tcPr>
          <w:p w14:paraId="6E7033B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2849171A" w14:textId="77777777" w:rsidTr="00366ACD">
        <w:trPr>
          <w:trHeight w:val="270"/>
        </w:trPr>
        <w:tc>
          <w:tcPr>
            <w:tcW w:w="2703" w:type="dxa"/>
            <w:noWrap/>
            <w:hideMark/>
          </w:tcPr>
          <w:p w14:paraId="18E25BE5" w14:textId="7088540B" w:rsidR="00696AF0" w:rsidRPr="00696AF0" w:rsidRDefault="00696AF0" w:rsidP="00BB20C9">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Vannice</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BB20C9">
              <w:rPr>
                <w:rFonts w:ascii="Calibri" w:eastAsia="Times New Roman" w:hAnsi="Calibri" w:cs="Calibri"/>
                <w:color w:val="000000"/>
                <w:lang w:val="en-ZA" w:eastAsia="en-ZA"/>
              </w:rPr>
              <w:t xml:space="preserve"> </w:t>
            </w:r>
            <w:r w:rsidR="00BB20C9">
              <w:rPr>
                <w:rFonts w:ascii="Calibri" w:eastAsia="Times New Roman" w:hAnsi="Calibri" w:cs="Calibri"/>
                <w:color w:val="000000"/>
                <w:lang w:val="en-ZA" w:eastAsia="en-ZA"/>
              </w:rPr>
              <w:fldChar w:fldCharType="begin"/>
            </w:r>
            <w:r w:rsidR="00BB20C9">
              <w:rPr>
                <w:rFonts w:ascii="Calibri" w:eastAsia="Times New Roman" w:hAnsi="Calibri" w:cs="Calibri"/>
                <w:color w:val="000000"/>
                <w:lang w:val="en-ZA" w:eastAsia="en-ZA"/>
              </w:rPr>
              <w:instrText xml:space="preserve"> ADDIN ZOTERO_ITEM CSL_CITATION {"citationID":"IqCCoTzO","properties":{"formattedCitation":"(184)","plainCitation":"(184)","noteIndex":0},"citationItems":[{"id":54,"uris":["http://zotero.org/users/6216265/items/G36AAFWB"],"itemData":{"id":54,"type":"article-journal","abstract":"On 1 February 2016, in the context of the ongoing Zika virus epidemic, the WHO declared that the recently reported clusters of microcephaly and other  neurological disorders constituted a Public Health Emergency of International  Concern (PHEIC). In response, WHO in collaboration with UNICEF and a working  group of independent subject matter experts developed a Zika virus vaccine Target  Product Profile (TPP) for use in an emergency, or in a future outbreak scenario.  The drafting process of the Zika virus vaccine TPP included the opportunity for  public comment, as well as consultation with epidemiologists, flavivirus vaccine  subject matter experts, vaccine developers and global regulators to consider the  regulatory expectations and potential emergency use pathways for a vaccine with  the characteristics described in the TPP. This report summarizes an expert  consultation held 6-7 June 2016 on the regulatory considerations for a Zika  vaccine for emergency use.","container-title":"Vaccine","DOI":"10.1016/j.vaccine.2016.10.034","ISSN":"1873-2518 0264-410X","issue":"50","journalAbbreviation":"Vaccine","language":"eng","license":"Copyright © 2017 Elsevier Ltd. Published by Elsevier Ltd.. All rights reserved.","note":"publisher-place: Netherlands\nPMID: 27916410","page":"7443-7450","title":"Meeting Report: WHO consultation on considerations for regulatory expectations of Zika virus vaccines for use during an emergency.","volume":"37","author":[{"family":"Vannice","given":"K. S."},{"family":"Giersing","given":"B. K."},{"family":"Kaslow","given":"D. C."},{"family":"Griffiths","given":"E."},{"family":"Meyer","given":"H."},{"family":"Barrett","given":"A."},{"family":"Durbin","given":"A. P."},{"family":"Wood","given":"D."},{"family":"Hombach","given":"J."}],"issued":{"date-parts":[["2019",11,28]]}}}],"schema":"https://github.com/citation-style-language/schema/raw/master/csl-citation.json"} </w:instrText>
            </w:r>
            <w:r w:rsidR="00BB20C9">
              <w:rPr>
                <w:rFonts w:ascii="Calibri" w:eastAsia="Times New Roman" w:hAnsi="Calibri" w:cs="Calibri"/>
                <w:color w:val="000000"/>
                <w:lang w:val="en-ZA" w:eastAsia="en-ZA"/>
              </w:rPr>
              <w:fldChar w:fldCharType="separate"/>
            </w:r>
            <w:r w:rsidR="00BB20C9" w:rsidRPr="00BB20C9">
              <w:rPr>
                <w:rFonts w:ascii="Calibri" w:hAnsi="Calibri" w:cs="Calibri"/>
              </w:rPr>
              <w:t>(184)</w:t>
            </w:r>
            <w:r w:rsidR="00BB20C9">
              <w:rPr>
                <w:rFonts w:ascii="Calibri" w:eastAsia="Times New Roman" w:hAnsi="Calibri" w:cs="Calibri"/>
                <w:color w:val="000000"/>
                <w:lang w:val="en-ZA" w:eastAsia="en-ZA"/>
              </w:rPr>
              <w:fldChar w:fldCharType="end"/>
            </w:r>
          </w:p>
        </w:tc>
        <w:tc>
          <w:tcPr>
            <w:tcW w:w="1464" w:type="dxa"/>
            <w:noWrap/>
            <w:hideMark/>
          </w:tcPr>
          <w:p w14:paraId="3EEC28F2"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6167B615"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29A16AB8" w14:textId="77777777" w:rsidTr="00366ACD">
        <w:trPr>
          <w:trHeight w:val="270"/>
        </w:trPr>
        <w:tc>
          <w:tcPr>
            <w:tcW w:w="2703" w:type="dxa"/>
            <w:noWrap/>
            <w:hideMark/>
          </w:tcPr>
          <w:p w14:paraId="1707F7BF" w14:textId="390D1AD7" w:rsidR="00696AF0" w:rsidRPr="00696AF0" w:rsidRDefault="00696AF0" w:rsidP="003A0375">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Visser </w:t>
            </w:r>
            <w:r w:rsidR="000620EA">
              <w:rPr>
                <w:rFonts w:ascii="Calibri" w:eastAsia="Times New Roman" w:hAnsi="Calibri" w:cs="Calibri"/>
                <w:color w:val="000000"/>
                <w:lang w:val="en-ZA" w:eastAsia="en-ZA"/>
              </w:rPr>
              <w:t>et al.</w:t>
            </w:r>
            <w:r w:rsidR="003A0375">
              <w:rPr>
                <w:rFonts w:ascii="Calibri" w:eastAsia="Times New Roman" w:hAnsi="Calibri" w:cs="Calibri"/>
                <w:color w:val="000000"/>
                <w:lang w:val="en-ZA" w:eastAsia="en-ZA"/>
              </w:rPr>
              <w:t xml:space="preserve"> </w:t>
            </w:r>
            <w:r w:rsidR="003A0375">
              <w:rPr>
                <w:rFonts w:ascii="Calibri" w:eastAsia="Times New Roman" w:hAnsi="Calibri" w:cs="Calibri"/>
                <w:color w:val="000000"/>
                <w:lang w:val="en-ZA" w:eastAsia="en-ZA"/>
              </w:rPr>
              <w:fldChar w:fldCharType="begin"/>
            </w:r>
            <w:r w:rsidR="003A0375">
              <w:rPr>
                <w:rFonts w:ascii="Calibri" w:eastAsia="Times New Roman" w:hAnsi="Calibri" w:cs="Calibri"/>
                <w:color w:val="000000"/>
                <w:lang w:val="en-ZA" w:eastAsia="en-ZA"/>
              </w:rPr>
              <w:instrText xml:space="preserve"> ADDIN ZOTERO_ITEM CSL_CITATION {"citationID":"1w0mqKwJ","properties":{"formattedCitation":"(185)","plainCitation":"(185)","noteIndex":0},"citationItems":[{"id":8,"uris":["http://zotero.org/users/6216265/items/IF472GL4"],"itemData":{"id":8,"type":"article-journal","abstract":"The quality by design (QbD) approach was applied for optimizing the formulation of extemporaneously prepared orodispersible films (ODFs) using Design-Expert®  Software. The starting formulation was based on earlier experiments and contained  the film forming agents hypromellose and carbomer 974P and the plasticizer  glycerol (Visser et al., 2015). Trometamol and disodium EDTA were added to  stabilize the solution. To optimize this formulation a quality target product  profile was established in which critical quality attributes (CQAs) such as  mechanical properties and disintegration time were defined and quantified. As  critical process parameters (CPP) that were evaluated for their effect on the  CQAs the percentage of hypromellose and the percentage of glycerol as well as the  drying time were chosen. Response surface methodology (RMS) was used to evaluate  the effects of the CPPs on the CQAs of the final product. The main factor  affecting tensile strength and Young's modulus was the percentage of glycerol.  Elongation at break was mainly influenced by the drying temperature.  Disintegration time was found to be sensitive to the percentage of hypromellose.  From the results a design space could be created. As long as the formulation and  process variables remain within this design space, a product is obtained with  desired characteristics and that meets all set quality requirements.","container-title":"International journal of pharmaceutics","DOI":"10.1016/j.ijpharm.2015.03.005","ISSN":"1873-3476 0378-5173","issue":"1-2","journalAbbreviation":"Int J Pharm","language":"eng","license":"Copyright © 2015 Elsevier B.V. All rights reserved.","note":"publisher-place: Netherlands\nPMID: 25746737","page":"70-76","title":"Quality by design approach for optimizing the formulation and physical properties of extemporaneously prepared orodispersible films.","volume":"485","author":[{"family":"Visser","given":"J. Carolina"},{"family":"Dohmen","given":"Willem M. C."},{"family":"Hinrichs","given":"Wouter L. J."},{"family":"Breitkreutz","given":"Jörg"},{"family":"Frijlink","given":"Henderik W."},{"family":"Woerdenbag","given":"Herman J."}],"issued":{"date-parts":[["2015",5,15]]}}}],"schema":"https://github.com/citation-style-language/schema/raw/master/csl-citation.json"} </w:instrText>
            </w:r>
            <w:r w:rsidR="003A0375">
              <w:rPr>
                <w:rFonts w:ascii="Calibri" w:eastAsia="Times New Roman" w:hAnsi="Calibri" w:cs="Calibri"/>
                <w:color w:val="000000"/>
                <w:lang w:val="en-ZA" w:eastAsia="en-ZA"/>
              </w:rPr>
              <w:fldChar w:fldCharType="separate"/>
            </w:r>
            <w:r w:rsidR="003A0375" w:rsidRPr="003A0375">
              <w:rPr>
                <w:rFonts w:ascii="Calibri" w:hAnsi="Calibri" w:cs="Calibri"/>
              </w:rPr>
              <w:t>(185)</w:t>
            </w:r>
            <w:r w:rsidR="003A0375">
              <w:rPr>
                <w:rFonts w:ascii="Calibri" w:eastAsia="Times New Roman" w:hAnsi="Calibri" w:cs="Calibri"/>
                <w:color w:val="000000"/>
                <w:lang w:val="en-ZA" w:eastAsia="en-ZA"/>
              </w:rPr>
              <w:fldChar w:fldCharType="end"/>
            </w:r>
          </w:p>
        </w:tc>
        <w:tc>
          <w:tcPr>
            <w:tcW w:w="1464" w:type="dxa"/>
            <w:noWrap/>
            <w:hideMark/>
          </w:tcPr>
          <w:p w14:paraId="27B80FD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2015</w:t>
            </w:r>
          </w:p>
        </w:tc>
        <w:tc>
          <w:tcPr>
            <w:tcW w:w="2043" w:type="dxa"/>
            <w:noWrap/>
            <w:hideMark/>
          </w:tcPr>
          <w:p w14:paraId="439D598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0DB8CBA5" w14:textId="77777777" w:rsidTr="00366ACD">
        <w:trPr>
          <w:trHeight w:val="270"/>
        </w:trPr>
        <w:tc>
          <w:tcPr>
            <w:tcW w:w="2703" w:type="dxa"/>
            <w:noWrap/>
            <w:hideMark/>
          </w:tcPr>
          <w:p w14:paraId="3087E22C" w14:textId="46CB72B6" w:rsidR="00696AF0" w:rsidRPr="00696AF0" w:rsidRDefault="00696AF0" w:rsidP="003A0375">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Wang </w:t>
            </w:r>
            <w:r w:rsidR="000620EA">
              <w:rPr>
                <w:rFonts w:ascii="Calibri" w:eastAsia="Times New Roman" w:hAnsi="Calibri" w:cs="Calibri"/>
                <w:color w:val="000000"/>
                <w:lang w:val="en-ZA" w:eastAsia="en-ZA"/>
              </w:rPr>
              <w:t>et al.</w:t>
            </w:r>
            <w:r w:rsidR="003A0375">
              <w:rPr>
                <w:rFonts w:ascii="Calibri" w:eastAsia="Times New Roman" w:hAnsi="Calibri" w:cs="Calibri"/>
                <w:color w:val="000000"/>
                <w:lang w:val="en-ZA" w:eastAsia="en-ZA"/>
              </w:rPr>
              <w:t xml:space="preserve"> </w:t>
            </w:r>
            <w:r w:rsidR="003A0375">
              <w:rPr>
                <w:rFonts w:ascii="Calibri" w:eastAsia="Times New Roman" w:hAnsi="Calibri" w:cs="Calibri"/>
                <w:color w:val="000000"/>
                <w:lang w:val="en-ZA" w:eastAsia="en-ZA"/>
              </w:rPr>
              <w:fldChar w:fldCharType="begin"/>
            </w:r>
            <w:r w:rsidR="003A0375">
              <w:rPr>
                <w:rFonts w:ascii="Calibri" w:eastAsia="Times New Roman" w:hAnsi="Calibri" w:cs="Calibri"/>
                <w:color w:val="000000"/>
                <w:lang w:val="en-ZA" w:eastAsia="en-ZA"/>
              </w:rPr>
              <w:instrText xml:space="preserve"> ADDIN ZOTERO_ITEM CSL_CITATION {"citationID":"PHeYxw5P","properties":{"formattedCitation":"(186)","plainCitation":"(186)","noteIndex":0},"citationItems":[{"id":12595,"uris":["http://zotero.org/users/6216265/items/V33XFTH3"],"itemData":{"id":12595,"type":"article-journal","abstract":"Background:\n              The target product profile (TPP) outlines the desired profile of a target product aimed at a particular disease and is used by companies to plan clinical development. Considering the increasing importance of health technology assessment (HTA) in informing reimbursement decisions, a robust TPP needs to be built to address HTA needs, to guide an integrated evidence generation plan that will support HTA submissions. This study assessed current practices and experiences of companies in building HTA considerations into TPP development.\n            \n            \n              Methods:\n              An opinion survey was designed and conducted in 2019, as a cross-sectional questionnaire consisting of multiple-choice questions. The questionnaire provided a qualitative assessment of companies’ strategies and experiences in building HTA considerations into the TPP. Eligible survey participants were the senior management of Global HTA/Market Access Departments at 18 top international pharmaceutical companies.\n            \n            \n              Results:\n              11 companies responded to the survey. All companies included HTA requirements in TPP development, but the timing and process varied. The key focus of HTA input related to health problems and treatment pathways, clinical efficacy/effectiveness, and safety. Variance of HTA methods and different value frameworks were identified as a challenge for development plans. Stakeholder engagement, such as HTA scientific advice, was used to pressure test the TPP.\n            \n            \n              Conclusion:\n              This research provides insight into current practice and potential opportunities for value-based drug development. It demonstrates the evolution of the TPP to encompass HTA requirements and suggests that the TPP could have a role as an iterative communication tool for use with HTA agencies to enhance an integrated evidence generation plan.","container-title":"Frontiers in Pharmacology","DOI":"10.3389/fphar.2022.948161","ISSN":"1663-9812","journalAbbreviation":"Front. Pharmacol.","page":"948161","source":"DOI.org (Crossref)","title":"Challenges and Opportunities for Companies to Build HTA/Payer Perspectives Into Drug Development Through the Use of a Dynamic Target Product Profile","volume":"13","author":[{"family":"Wang","given":"Ting"},{"family":"McAuslane","given":"Neil"},{"family":"Goettsch","given":"Wim G."},{"family":"Leufkens","given":"Hubert G. M."},{"family":"De Bruin","given":"Marie L."}],"issued":{"date-parts":[["2022",7,18]]}}}],"schema":"https://github.com/citation-style-language/schema/raw/master/csl-citation.json"} </w:instrText>
            </w:r>
            <w:r w:rsidR="003A0375">
              <w:rPr>
                <w:rFonts w:ascii="Calibri" w:eastAsia="Times New Roman" w:hAnsi="Calibri" w:cs="Calibri"/>
                <w:color w:val="000000"/>
                <w:lang w:val="en-ZA" w:eastAsia="en-ZA"/>
              </w:rPr>
              <w:fldChar w:fldCharType="separate"/>
            </w:r>
            <w:r w:rsidR="003A0375" w:rsidRPr="003A0375">
              <w:rPr>
                <w:rFonts w:ascii="Calibri" w:hAnsi="Calibri" w:cs="Calibri"/>
              </w:rPr>
              <w:t>(186)</w:t>
            </w:r>
            <w:r w:rsidR="003A0375">
              <w:rPr>
                <w:rFonts w:ascii="Calibri" w:eastAsia="Times New Roman" w:hAnsi="Calibri" w:cs="Calibri"/>
                <w:color w:val="000000"/>
                <w:lang w:val="en-ZA" w:eastAsia="en-ZA"/>
              </w:rPr>
              <w:fldChar w:fldCharType="end"/>
            </w:r>
          </w:p>
        </w:tc>
        <w:tc>
          <w:tcPr>
            <w:tcW w:w="1464" w:type="dxa"/>
            <w:noWrap/>
            <w:hideMark/>
          </w:tcPr>
          <w:p w14:paraId="67FC76D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42C24B28"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613739B" w14:textId="77777777" w:rsidTr="00366ACD">
        <w:trPr>
          <w:trHeight w:val="270"/>
        </w:trPr>
        <w:tc>
          <w:tcPr>
            <w:tcW w:w="2703" w:type="dxa"/>
            <w:noWrap/>
            <w:hideMark/>
          </w:tcPr>
          <w:p w14:paraId="05692D8C" w14:textId="05FC8A56" w:rsidR="00696AF0" w:rsidRPr="00696AF0" w:rsidRDefault="00696AF0" w:rsidP="00820D71">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Warman </w:t>
            </w:r>
            <w:r w:rsidR="000620EA">
              <w:rPr>
                <w:rFonts w:ascii="Calibri" w:eastAsia="Times New Roman" w:hAnsi="Calibri" w:cs="Calibri"/>
                <w:color w:val="000000"/>
                <w:lang w:val="en-ZA" w:eastAsia="en-ZA"/>
              </w:rPr>
              <w:t>et al.</w:t>
            </w:r>
            <w:r w:rsidR="00820D71">
              <w:rPr>
                <w:rFonts w:ascii="Calibri" w:eastAsia="Times New Roman" w:hAnsi="Calibri" w:cs="Calibri"/>
                <w:color w:val="000000"/>
                <w:lang w:val="en-ZA" w:eastAsia="en-ZA"/>
              </w:rPr>
              <w:t xml:space="preserve"> </w:t>
            </w:r>
            <w:r w:rsidR="00820D71">
              <w:rPr>
                <w:rFonts w:ascii="Calibri" w:eastAsia="Times New Roman" w:hAnsi="Calibri" w:cs="Calibri"/>
                <w:color w:val="000000"/>
                <w:lang w:val="en-ZA" w:eastAsia="en-ZA"/>
              </w:rPr>
              <w:fldChar w:fldCharType="begin"/>
            </w:r>
            <w:r w:rsidR="00820D71">
              <w:rPr>
                <w:rFonts w:ascii="Calibri" w:eastAsia="Times New Roman" w:hAnsi="Calibri" w:cs="Calibri"/>
                <w:color w:val="000000"/>
                <w:lang w:val="en-ZA" w:eastAsia="en-ZA"/>
              </w:rPr>
              <w:instrText xml:space="preserve"> ADDIN ZOTERO_ITEM CSL_CITATION {"citationID":"nx65jr2j","properties":{"formattedCitation":"(187)","plainCitation":"(187)","noteIndex":0},"citationItems":[{"id":3137,"uris":["http://zotero.org/users/6216265/items/XISYY2JE"],"itemData":{"id":3137,"type":"article-journal","abstract":"OBJECTIVES: Phenothiazines have been shown to exhibit in vitro and in vivo activity against Mycobacterium tuberculosis (Mtb) and multidrug-resistant Mtb.  They are predicted to target the genetically validated respiratory chain  component type II NADH:quinone oxidoreductase (Ndh). Using a set of compounds  containing the phenothiazine pharmacophore, we have (i) investigated whether  chemical validation data support the molecular target and (ii) evaluated  pharmacophore tractability for further drug development. METHODS: Recombinant Mtb  Ndh was generated and its functionality confirmed by steady-state kinetics.  Pharmacodynamic profiling of the phenothiazines, including antitubercular  efficacy in aerobic and O2-limited conditions, time-kill assays and isobole  analyses against first-line antituberculars, was performed. Potential  mitochondrial toxicity was assessed in a modified HepG2 cell-line assay and  against bovine cytochrome bc1. RESULTS: Steady-state kinetic analyses revealed a  substrate preference for coenzyme Q2 and an inability to utilize NADPH. A  positive correlation between recombinant Ndh inhibition and kill of aerobically  cultured Mtb was observed, whilst enhanced potency was demonstrated in a hypoxic  model. Time-kill studies revealed the phenothiazines to be bactericidal whilst  isobolograms exposed antagonism with isoniazid, indicative of intracellular  NADH/NAD(+) couple perturbation. At therapeutic levels, phenothiazine-mediated  toxicity was appreciable; however, specific mitochondrial targeting was excluded.  CONCLUSIONS: Data generated support the hypothesis that Ndh is the molecular  target of phenothiazines. The favourable pharmacodynamic properties of the  phenothiazines are consistent with a target product profile that includes  activity against dormant/persistent bacilli, rapid bactericidal activity and  activity against drug-resistant Mtb by a previously unexploited mode of action.  These properties warrant further medicinal chemistry to improve potency and  safety.","container-title":"The Journal of antimicrobial chemotherapy","DOI":"10.1093/jac/dks483","ISSN":"1460-2091 0305-7453","issue":"4","journalAbbreviation":"J Antimicrob Chemother","language":"eng","note":"PMID: 23228936 \nPMCID: PMC3594496","page":"869-880","title":"Antitubercular pharmacodynamics of phenothiazines.","volume":"68","author":[{"family":"Warman","given":"Ashley J."},{"family":"Rito","given":"Teresa S."},{"family":"Fisher","given":"Nicholas E."},{"family":"Moss","given":"Darren M."},{"family":"Berry","given":"Neil G."},{"family":"O'Neill","given":"Paul M."},{"family":"Ward","given":"Stephen A."},{"family":"Biagini","given":"Giancarlo A."}],"issued":{"date-parts":[["2013",4]]}}}],"schema":"https://github.com/citation-style-language/schema/raw/master/csl-citation.json"} </w:instrText>
            </w:r>
            <w:r w:rsidR="00820D71">
              <w:rPr>
                <w:rFonts w:ascii="Calibri" w:eastAsia="Times New Roman" w:hAnsi="Calibri" w:cs="Calibri"/>
                <w:color w:val="000000"/>
                <w:lang w:val="en-ZA" w:eastAsia="en-ZA"/>
              </w:rPr>
              <w:fldChar w:fldCharType="separate"/>
            </w:r>
            <w:r w:rsidR="00820D71" w:rsidRPr="00820D71">
              <w:rPr>
                <w:rFonts w:ascii="Calibri" w:hAnsi="Calibri" w:cs="Calibri"/>
              </w:rPr>
              <w:t>(187)</w:t>
            </w:r>
            <w:r w:rsidR="00820D71">
              <w:rPr>
                <w:rFonts w:ascii="Calibri" w:eastAsia="Times New Roman" w:hAnsi="Calibri" w:cs="Calibri"/>
                <w:color w:val="000000"/>
                <w:lang w:val="en-ZA" w:eastAsia="en-ZA"/>
              </w:rPr>
              <w:fldChar w:fldCharType="end"/>
            </w:r>
          </w:p>
        </w:tc>
        <w:tc>
          <w:tcPr>
            <w:tcW w:w="1464" w:type="dxa"/>
            <w:noWrap/>
            <w:hideMark/>
          </w:tcPr>
          <w:p w14:paraId="2F04F49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2013</w:t>
            </w:r>
          </w:p>
        </w:tc>
        <w:tc>
          <w:tcPr>
            <w:tcW w:w="2043" w:type="dxa"/>
            <w:noWrap/>
            <w:hideMark/>
          </w:tcPr>
          <w:p w14:paraId="6D9864B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EBC5086" w14:textId="77777777" w:rsidTr="00366ACD">
        <w:trPr>
          <w:trHeight w:val="270"/>
        </w:trPr>
        <w:tc>
          <w:tcPr>
            <w:tcW w:w="2703" w:type="dxa"/>
            <w:noWrap/>
            <w:hideMark/>
          </w:tcPr>
          <w:p w14:paraId="2346DAC6" w14:textId="4453AD07" w:rsidR="00696AF0" w:rsidRPr="00696AF0" w:rsidRDefault="00696AF0" w:rsidP="00820D71">
            <w:pPr>
              <w:rPr>
                <w:rFonts w:ascii="Calibri" w:eastAsia="Times New Roman" w:hAnsi="Calibri" w:cs="Calibri"/>
                <w:color w:val="000000"/>
                <w:lang w:val="en-ZA" w:eastAsia="en-ZA"/>
              </w:rPr>
            </w:pPr>
            <w:proofErr w:type="spellStart"/>
            <w:r w:rsidRPr="00696AF0">
              <w:rPr>
                <w:rFonts w:ascii="Calibri" w:eastAsia="Times New Roman" w:hAnsi="Calibri" w:cs="Calibri"/>
                <w:color w:val="000000"/>
                <w:lang w:val="en-ZA" w:eastAsia="en-ZA"/>
              </w:rPr>
              <w:t>Warsinske</w:t>
            </w:r>
            <w:proofErr w:type="spellEnd"/>
            <w:r w:rsidRPr="00696AF0">
              <w:rPr>
                <w:rFonts w:ascii="Calibri" w:eastAsia="Times New Roman" w:hAnsi="Calibri" w:cs="Calibri"/>
                <w:color w:val="000000"/>
                <w:lang w:val="en-ZA" w:eastAsia="en-ZA"/>
              </w:rPr>
              <w:t xml:space="preserve"> </w:t>
            </w:r>
            <w:r w:rsidR="000620EA">
              <w:rPr>
                <w:rFonts w:ascii="Calibri" w:eastAsia="Times New Roman" w:hAnsi="Calibri" w:cs="Calibri"/>
                <w:color w:val="000000"/>
                <w:lang w:val="en-ZA" w:eastAsia="en-ZA"/>
              </w:rPr>
              <w:t>et al.</w:t>
            </w:r>
            <w:r w:rsidR="00820D71">
              <w:rPr>
                <w:rFonts w:ascii="Calibri" w:eastAsia="Times New Roman" w:hAnsi="Calibri" w:cs="Calibri"/>
                <w:color w:val="000000"/>
                <w:lang w:val="en-ZA" w:eastAsia="en-ZA"/>
              </w:rPr>
              <w:t xml:space="preserve"> </w:t>
            </w:r>
            <w:r w:rsidR="00820D71">
              <w:rPr>
                <w:rFonts w:ascii="Calibri" w:eastAsia="Times New Roman" w:hAnsi="Calibri" w:cs="Calibri"/>
                <w:color w:val="000000"/>
                <w:lang w:val="en-ZA" w:eastAsia="en-ZA"/>
              </w:rPr>
              <w:fldChar w:fldCharType="begin"/>
            </w:r>
            <w:r w:rsidR="00820D71">
              <w:rPr>
                <w:rFonts w:ascii="Calibri" w:eastAsia="Times New Roman" w:hAnsi="Calibri" w:cs="Calibri"/>
                <w:color w:val="000000"/>
                <w:lang w:val="en-ZA" w:eastAsia="en-ZA"/>
              </w:rPr>
              <w:instrText xml:space="preserve"> ADDIN ZOTERO_ITEM CSL_CITATION {"citationID":"nWld7xco","properties":{"formattedCitation":"(188)","plainCitation":"(188)","noteIndex":0},"citationItems":[{"id":652,"uris":["http://zotero.org/users/6216265/items/98A8MNAM"],"itemData":{"id":652,"type":"article-journal","abstract":"IMPORTANCE: The World Health Organization identified the need for a non-sputum-based triage test to identify those in need of further tuberculosis  (TB) testing. OBJECTIVE: To determine whether the 3-gene TB score can be a  diagnostic tool throughout the course of TB disease, from latency to diagnosis to  treatment response, and posttreatment residual inflammation. DESIGN, SETTING, AND  PARTICIPANTS: This nested case-control study analyzed the 3-gene TB score in 3  cohorts, each focusing on a different stage of TB disease: (1) the Adolescent  Cohort Study profiled whole-blood samples from adolescents with latent  Mycobacterium tuberculosis infection, some of which progressed to active TB  (ATB), using RNA sequencing; (2) the Brazil Active Screen Study collected whole  blood from an actively screened case-control cohort of adult inmates from 2  prisons in Mato Grosso do Sul, Brazil, for ATB from January 2016 to February  2016; and (3) the Catalysis Treatment Response Cohort (CTRC) identified  culture-positive adults in primary health care clinics in Cape Town, South  Africa, from 2005 to 2007 and collected whole blood for RNA sequencing from  patients with ATB at diagnosis and weeks 1, 4, and 24. The CTRC patients also had  positron emission tomography-computed tomography scans at diagnosis, week 4, and  week 24. Analyses were performed from September 2017 to June 2018. MAIN OUTCOMES  AND MEASURES: A 3-gene messenger RNA expression score, measured by quantitative  polymerase chain reaction or RNA sequencing, was evaluated for distinguishing the  following: individuals who progressed to ATB from those who did not, individuals  with ATB from those without, and individuals with slower treatment response  during TB therapy. RESULTS: Patients evaluated in this study included 144  adolescents from the Adolescent Cohort Study (aged 12-18 years; 96 female and 48  male), 81 adult prison inmates from the Brazil Active Screen Study (aged 20-72  years; 81 male), and 138 adult community members from the CTRC (aged 17-64 years;  81 female and 57 male). The 3-gene TB score identified progression from latent M  tuberculosis infection to ATB 6 months prior to sputum conversion with 86%  sensitivity and 84% specificity (area under the curve [AUC], 0.86; 95% CI,  0.77-0.96) and patients with ATB in the Brazil Active Screen Study cohort (AUC,  0.87; 95% CI, 0.78-0.95) and CTRC (AUC, 0.94; 95% CI, 0.88-0.99). It also  identified CTRC patients with failed treatment at the end of treatment (AUC,  0.93; 95% CI, 0.83-1.00). Collectively, across all cohorts, the 3-gene TB score  identified patients with ATB with 90% sensitivity, 70% specificity, and 99.3%  negative predictive value at 4% prevalence. CONCLUSIONS AND RELEVANCE: Across 3  independent prospective cohorts, the 3-gene TB score approaches the World Health  Organization target product profile benchmarks for non-sputum-based triage test  with high negative predictive value. This gene expression diagnostic approach  should be considered for further validation and future implementation.","container-title":"JAMA network open","DOI":"10.1001/jamanetworkopen.2018.3779","ISSN":"2574-3805","issue":"6","journalAbbreviation":"JAMA Netw Open","language":"eng","note":"PMID: 30646264 \nPMCID: PMC6324428","page":"e183779","title":"Assessment of Validity of a Blood-Based 3-Gene Signature Score for Progression and Diagnosis of Tuberculosis, Disease Severity, and Treatment Response.","volume":"1","author":[{"family":"Warsinske","given":"Hayley C."},{"family":"Rao","given":"Aditya M."},{"family":"Moreira","given":"Flora M. F."},{"family":"Santos","given":"Paulo Cesar P."},{"family":"Liu","given":"Andrew B."},{"family":"Scott","given":"Madeleine"},{"family":"Malherbe","given":"Stephaus T."},{"family":"Ronacher","given":"Katharina"},{"family":"Walzl","given":"Gerhard"},{"family":"Winter","given":"Jill"},{"family":"Sweeney","given":"Timothy E."},{"family":"Croda","given":"Julio"},{"family":"Andrews","given":"Jason R."},{"family":"Khatri","given":"Purvesh"}],"issued":{"date-parts":[["2018",10,5]]}}}],"schema":"https://github.com/citation-style-language/schema/raw/master/csl-citation.json"} </w:instrText>
            </w:r>
            <w:r w:rsidR="00820D71">
              <w:rPr>
                <w:rFonts w:ascii="Calibri" w:eastAsia="Times New Roman" w:hAnsi="Calibri" w:cs="Calibri"/>
                <w:color w:val="000000"/>
                <w:lang w:val="en-ZA" w:eastAsia="en-ZA"/>
              </w:rPr>
              <w:fldChar w:fldCharType="separate"/>
            </w:r>
            <w:r w:rsidR="00820D71" w:rsidRPr="00820D71">
              <w:rPr>
                <w:rFonts w:ascii="Calibri" w:hAnsi="Calibri" w:cs="Calibri"/>
              </w:rPr>
              <w:t>(188)</w:t>
            </w:r>
            <w:r w:rsidR="00820D71">
              <w:rPr>
                <w:rFonts w:ascii="Calibri" w:eastAsia="Times New Roman" w:hAnsi="Calibri" w:cs="Calibri"/>
                <w:color w:val="000000"/>
                <w:lang w:val="en-ZA" w:eastAsia="en-ZA"/>
              </w:rPr>
              <w:fldChar w:fldCharType="end"/>
            </w:r>
          </w:p>
        </w:tc>
        <w:tc>
          <w:tcPr>
            <w:tcW w:w="1464" w:type="dxa"/>
            <w:noWrap/>
            <w:hideMark/>
          </w:tcPr>
          <w:p w14:paraId="7043B31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2018</w:t>
            </w:r>
          </w:p>
        </w:tc>
        <w:tc>
          <w:tcPr>
            <w:tcW w:w="2043" w:type="dxa"/>
            <w:noWrap/>
            <w:hideMark/>
          </w:tcPr>
          <w:p w14:paraId="3999A25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6C71C82D" w14:textId="77777777" w:rsidTr="00366ACD">
        <w:trPr>
          <w:trHeight w:val="270"/>
        </w:trPr>
        <w:tc>
          <w:tcPr>
            <w:tcW w:w="2703" w:type="dxa"/>
            <w:noWrap/>
            <w:hideMark/>
          </w:tcPr>
          <w:p w14:paraId="5969F813" w14:textId="051C9D3D" w:rsidR="00696AF0" w:rsidRPr="00696AF0" w:rsidRDefault="00696AF0" w:rsidP="003B0D9C">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Watson and </w:t>
            </w:r>
            <w:proofErr w:type="spellStart"/>
            <w:r w:rsidRPr="00696AF0">
              <w:rPr>
                <w:rFonts w:ascii="Calibri" w:eastAsia="Times New Roman" w:hAnsi="Calibri" w:cs="Calibri"/>
                <w:color w:val="000000"/>
                <w:lang w:val="en-ZA" w:eastAsia="en-ZA"/>
              </w:rPr>
              <w:t>Nosal</w:t>
            </w:r>
            <w:proofErr w:type="spellEnd"/>
            <w:r w:rsidR="003B0D9C">
              <w:rPr>
                <w:rFonts w:ascii="Calibri" w:eastAsia="Times New Roman" w:hAnsi="Calibri" w:cs="Calibri"/>
                <w:color w:val="000000"/>
                <w:lang w:val="en-ZA" w:eastAsia="en-ZA"/>
              </w:rPr>
              <w:t xml:space="preserve"> </w:t>
            </w:r>
            <w:r w:rsidR="003B0D9C">
              <w:rPr>
                <w:rFonts w:ascii="Calibri" w:eastAsia="Times New Roman" w:hAnsi="Calibri" w:cs="Calibri"/>
                <w:color w:val="000000"/>
                <w:lang w:val="en-ZA" w:eastAsia="en-ZA"/>
              </w:rPr>
              <w:fldChar w:fldCharType="begin"/>
            </w:r>
            <w:r w:rsidR="003B0D9C">
              <w:rPr>
                <w:rFonts w:ascii="Calibri" w:eastAsia="Times New Roman" w:hAnsi="Calibri" w:cs="Calibri"/>
                <w:color w:val="000000"/>
                <w:lang w:val="en-ZA" w:eastAsia="en-ZA"/>
              </w:rPr>
              <w:instrText xml:space="preserve"> ADDIN ZOTERO_ITEM CSL_CITATION {"citationID":"YujDo3CX","properties":{"formattedCitation":"(189)","plainCitation":"(189)","noteIndex":0},"citationItems":[{"id":3810,"uris":["http://zotero.org/users/6216265/items/ZN4FA8DB"],"itemData":{"id":3810,"type":"chapter","archive":"Scopus","container-title":"Chemical Engineering in the Pharmaceutical Industry","note":"DOI: 10.1002/9781119600800.ch48","page":"1067-1071","title":"Scientific opportunities through quality by design","URL":"https://www.scopus.com/inward/record.uri?eid=2-s2.0-85103345185&amp;doi=10.1002%2f9781119600800.ch48&amp;partnerID=40&amp;md5=78fb3feb17e15f902e1b355632e2f7fa","author":[{"family":"Watson","given":"T.J."},{"family":"Nosal","given":"R."}],"issued":{"date-parts":[["2019"]]}}}],"schema":"https://github.com/citation-style-language/schema/raw/master/csl-citation.json"} </w:instrText>
            </w:r>
            <w:r w:rsidR="003B0D9C">
              <w:rPr>
                <w:rFonts w:ascii="Calibri" w:eastAsia="Times New Roman" w:hAnsi="Calibri" w:cs="Calibri"/>
                <w:color w:val="000000"/>
                <w:lang w:val="en-ZA" w:eastAsia="en-ZA"/>
              </w:rPr>
              <w:fldChar w:fldCharType="separate"/>
            </w:r>
            <w:r w:rsidR="003B0D9C" w:rsidRPr="003B0D9C">
              <w:rPr>
                <w:rFonts w:ascii="Calibri" w:hAnsi="Calibri" w:cs="Calibri"/>
              </w:rPr>
              <w:t>(189)</w:t>
            </w:r>
            <w:r w:rsidR="003B0D9C">
              <w:rPr>
                <w:rFonts w:ascii="Calibri" w:eastAsia="Times New Roman" w:hAnsi="Calibri" w:cs="Calibri"/>
                <w:color w:val="000000"/>
                <w:lang w:val="en-ZA" w:eastAsia="en-ZA"/>
              </w:rPr>
              <w:fldChar w:fldCharType="end"/>
            </w:r>
          </w:p>
        </w:tc>
        <w:tc>
          <w:tcPr>
            <w:tcW w:w="1464" w:type="dxa"/>
            <w:noWrap/>
            <w:hideMark/>
          </w:tcPr>
          <w:p w14:paraId="515ED11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4C132AC2"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74743D28" w14:textId="77777777" w:rsidTr="00366ACD">
        <w:trPr>
          <w:trHeight w:val="270"/>
        </w:trPr>
        <w:tc>
          <w:tcPr>
            <w:tcW w:w="2703" w:type="dxa"/>
            <w:noWrap/>
            <w:hideMark/>
          </w:tcPr>
          <w:p w14:paraId="641965F3" w14:textId="23677FF5" w:rsidR="00696AF0" w:rsidRPr="00696AF0" w:rsidRDefault="00696AF0" w:rsidP="003B0D9C">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Wen and </w:t>
            </w:r>
            <w:proofErr w:type="spellStart"/>
            <w:r w:rsidRPr="00696AF0">
              <w:rPr>
                <w:rFonts w:ascii="Calibri" w:eastAsia="Times New Roman" w:hAnsi="Calibri" w:cs="Calibri"/>
                <w:color w:val="000000"/>
                <w:lang w:val="en-ZA" w:eastAsia="en-ZA"/>
              </w:rPr>
              <w:t>Jawa</w:t>
            </w:r>
            <w:proofErr w:type="spellEnd"/>
            <w:r w:rsidR="003B0D9C">
              <w:rPr>
                <w:rFonts w:ascii="Calibri" w:eastAsia="Times New Roman" w:hAnsi="Calibri" w:cs="Calibri"/>
                <w:color w:val="000000"/>
                <w:lang w:val="en-ZA" w:eastAsia="en-ZA"/>
              </w:rPr>
              <w:t xml:space="preserve"> </w:t>
            </w:r>
            <w:r w:rsidR="003B0D9C">
              <w:rPr>
                <w:rFonts w:ascii="Calibri" w:eastAsia="Times New Roman" w:hAnsi="Calibri" w:cs="Calibri"/>
                <w:color w:val="000000"/>
                <w:lang w:val="en-ZA" w:eastAsia="en-ZA"/>
              </w:rPr>
              <w:fldChar w:fldCharType="begin"/>
            </w:r>
            <w:r w:rsidR="003B0D9C">
              <w:rPr>
                <w:rFonts w:ascii="Calibri" w:eastAsia="Times New Roman" w:hAnsi="Calibri" w:cs="Calibri"/>
                <w:color w:val="000000"/>
                <w:lang w:val="en-ZA" w:eastAsia="en-ZA"/>
              </w:rPr>
              <w:instrText xml:space="preserve"> ADDIN ZOTERO_ITEM CSL_CITATION {"citationID":"AzlJvLE8","properties":{"formattedCitation":"(190)","plainCitation":"(190)","noteIndex":0},"citationItems":[{"id":115,"uris":["http://zotero.org/users/6216265/items/QDY4GU8Y"],"itemData":{"id":115,"type":"article-journal","abstract":"The pharmaceutical industry has experienced great successes with protein therapeutics in the last two decades and with novel modalities, including cell  therapies and gene therapies, more recently. Biotherapeutics are complex in  structure and present challenges for discovery, development, regulatory, and life  cycle management. Biotherapeutics can interact with the immune system that may  lead to undesired immunological responses, including immunogenicity,  hypersensitivity reactions (HSR), injection site reactions (ISR), and others.  Many product and process related critical quality attributes (CQAs) have the  potential to trigger or augment such immunological responses to the product.  Tremendous efforts, both clinically and preclinically, have been invested to  understand the impact of product and process related CQAs on adverse  immunological effects. The information and knowledge are critical for the  implementation of Quality by Design (QbD), which requires risk assessment and  establishment of specifications and control strategies for CQAs. A quality target  product profile (QTPP) that identifies the key CQAs through process development  can help assign severity scores based on safety, immunogenicity, pharmacokinetics  (PK) and pharmacodynamics (PD) of the molecule. Gaps and future directions  related to biotherapeutics and emerging novel modalities are presented.","container-title":"Journal of pharmaceutical sciences","DOI":"10.1016/j.xphs.2020.12.003","ISSN":"1520-6017 0022-3549","issue":"3","journalAbbreviation":"J Pharm Sci","language":"eng","license":"Copyright © 2020 American Pharmacists Association®. Published by Elsevier Inc. All rights reserved.","note":"publisher-place: United States\nPMID: 33316242","page":"1025-1041","title":"The Impact of Product and Process Related Critical Quality Attributes on Immunogenicity and Adverse Immunological Effects of Biotherapeutics.","volume":"110","author":[{"family":"Wen","given":"Yi"},{"family":"Jawa","given":"Vibha"}],"issued":{"date-parts":[["2021",3]]}}}],"schema":"https://github.com/citation-style-language/schema/raw/master/csl-citation.json"} </w:instrText>
            </w:r>
            <w:r w:rsidR="003B0D9C">
              <w:rPr>
                <w:rFonts w:ascii="Calibri" w:eastAsia="Times New Roman" w:hAnsi="Calibri" w:cs="Calibri"/>
                <w:color w:val="000000"/>
                <w:lang w:val="en-ZA" w:eastAsia="en-ZA"/>
              </w:rPr>
              <w:fldChar w:fldCharType="separate"/>
            </w:r>
            <w:r w:rsidR="003B0D9C" w:rsidRPr="003B0D9C">
              <w:rPr>
                <w:rFonts w:ascii="Calibri" w:hAnsi="Calibri" w:cs="Calibri"/>
              </w:rPr>
              <w:t>(190)</w:t>
            </w:r>
            <w:r w:rsidR="003B0D9C">
              <w:rPr>
                <w:rFonts w:ascii="Calibri" w:eastAsia="Times New Roman" w:hAnsi="Calibri" w:cs="Calibri"/>
                <w:color w:val="000000"/>
                <w:lang w:val="en-ZA" w:eastAsia="en-ZA"/>
              </w:rPr>
              <w:fldChar w:fldCharType="end"/>
            </w:r>
          </w:p>
        </w:tc>
        <w:tc>
          <w:tcPr>
            <w:tcW w:w="1464" w:type="dxa"/>
            <w:noWrap/>
            <w:hideMark/>
          </w:tcPr>
          <w:p w14:paraId="3D690201"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18E54CA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FECBE97" w14:textId="77777777" w:rsidTr="00366ACD">
        <w:trPr>
          <w:trHeight w:val="270"/>
        </w:trPr>
        <w:tc>
          <w:tcPr>
            <w:tcW w:w="2703" w:type="dxa"/>
            <w:noWrap/>
            <w:hideMark/>
          </w:tcPr>
          <w:p w14:paraId="2A5B19D6" w14:textId="07085853" w:rsidR="00696AF0" w:rsidRPr="00696AF0" w:rsidRDefault="00696AF0" w:rsidP="00F84B88">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White and </w:t>
            </w:r>
            <w:proofErr w:type="spellStart"/>
            <w:r w:rsidRPr="00696AF0">
              <w:rPr>
                <w:rFonts w:ascii="Calibri" w:eastAsia="Times New Roman" w:hAnsi="Calibri" w:cs="Calibri"/>
                <w:color w:val="000000"/>
                <w:lang w:val="en-ZA" w:eastAsia="en-ZA"/>
              </w:rPr>
              <w:t>Nosten</w:t>
            </w:r>
            <w:proofErr w:type="spellEnd"/>
            <w:r w:rsidR="00F84B88">
              <w:rPr>
                <w:rFonts w:ascii="Calibri" w:eastAsia="Times New Roman" w:hAnsi="Calibri" w:cs="Calibri"/>
                <w:color w:val="000000"/>
                <w:lang w:val="en-ZA" w:eastAsia="en-ZA"/>
              </w:rPr>
              <w:t xml:space="preserve"> </w:t>
            </w:r>
            <w:r w:rsidR="00F84B88">
              <w:rPr>
                <w:rFonts w:ascii="Calibri" w:eastAsia="Times New Roman" w:hAnsi="Calibri" w:cs="Calibri"/>
                <w:color w:val="000000"/>
                <w:lang w:val="en-ZA" w:eastAsia="en-ZA"/>
              </w:rPr>
              <w:fldChar w:fldCharType="begin"/>
            </w:r>
            <w:r w:rsidR="00F84B88">
              <w:rPr>
                <w:rFonts w:ascii="Calibri" w:eastAsia="Times New Roman" w:hAnsi="Calibri" w:cs="Calibri"/>
                <w:color w:val="000000"/>
                <w:lang w:val="en-ZA" w:eastAsia="en-ZA"/>
              </w:rPr>
              <w:instrText xml:space="preserve"> ADDIN ZOTERO_ITEM CSL_CITATION {"citationID":"aCKNTPce","properties":{"formattedCitation":"(191)","plainCitation":"(191)","noteIndex":0},"citationItems":[{"id":129,"uris":["http://zotero.org/users/6216265/items/MR6ULSWI"],"itemData":{"id":129,"type":"article-journal","abstract":"Single Encounter Radical Cure and Prophylaxis (SERCAP) describes an ideal anti-malarial drug that cures all malaria in a single dose. This target product  profile has dominated anti-malarial drug discovery and development over the past  decade. The operational advantage of a single encounter has to be balanced  against the need for a high dose, reliable absorption, little variability in  pharmacokinetic properties, slow elimination (to ensure curative drug exposures  in all patients) and a very low rate of vomiting. The demanding aspirational  target may have hindered anti-malarial drug development. Aiming for three-day  regimens, as in current anti-malarial treatments, would be better.","container-title":"Malaria journal","DOI":"10.1186/s12936-021-03821-z","ISSN":"1475-2875","issue":"1","journalAbbreviation":"Malar J","language":"eng","note":"PMID: 34167536 \nPMCID: PMC8223304","page":"281","title":"SERCAP: is the perfect the enemy of the good?","volume":"20","author":[{"family":"White","given":"Nicholas J."},{"family":"Nosten","given":"François H."}],"issued":{"date-parts":[["2021",6,24]]}}}],"schema":"https://github.com/citation-style-language/schema/raw/master/csl-citation.json"} </w:instrText>
            </w:r>
            <w:r w:rsidR="00F84B88">
              <w:rPr>
                <w:rFonts w:ascii="Calibri" w:eastAsia="Times New Roman" w:hAnsi="Calibri" w:cs="Calibri"/>
                <w:color w:val="000000"/>
                <w:lang w:val="en-ZA" w:eastAsia="en-ZA"/>
              </w:rPr>
              <w:fldChar w:fldCharType="separate"/>
            </w:r>
            <w:r w:rsidR="00F84B88" w:rsidRPr="00F84B88">
              <w:rPr>
                <w:rFonts w:ascii="Calibri" w:hAnsi="Calibri" w:cs="Calibri"/>
              </w:rPr>
              <w:t>(191)</w:t>
            </w:r>
            <w:r w:rsidR="00F84B88">
              <w:rPr>
                <w:rFonts w:ascii="Calibri" w:eastAsia="Times New Roman" w:hAnsi="Calibri" w:cs="Calibri"/>
                <w:color w:val="000000"/>
                <w:lang w:val="en-ZA" w:eastAsia="en-ZA"/>
              </w:rPr>
              <w:fldChar w:fldCharType="end"/>
            </w:r>
          </w:p>
        </w:tc>
        <w:tc>
          <w:tcPr>
            <w:tcW w:w="1464" w:type="dxa"/>
            <w:noWrap/>
            <w:hideMark/>
          </w:tcPr>
          <w:p w14:paraId="03FAF10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2021</w:t>
            </w:r>
          </w:p>
        </w:tc>
        <w:tc>
          <w:tcPr>
            <w:tcW w:w="2043" w:type="dxa"/>
            <w:noWrap/>
            <w:hideMark/>
          </w:tcPr>
          <w:p w14:paraId="044AF99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1E3A5AC" w14:textId="77777777" w:rsidTr="00366ACD">
        <w:trPr>
          <w:trHeight w:val="270"/>
        </w:trPr>
        <w:tc>
          <w:tcPr>
            <w:tcW w:w="2703" w:type="dxa"/>
            <w:noWrap/>
            <w:hideMark/>
          </w:tcPr>
          <w:p w14:paraId="48588E68" w14:textId="5921D0B0" w:rsidR="00696AF0" w:rsidRPr="00696AF0" w:rsidRDefault="00696AF0" w:rsidP="00F84B88">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Winter </w:t>
            </w:r>
            <w:r w:rsidR="000620EA">
              <w:rPr>
                <w:rFonts w:ascii="Calibri" w:eastAsia="Times New Roman" w:hAnsi="Calibri" w:cs="Calibri"/>
                <w:color w:val="000000"/>
                <w:lang w:val="en-ZA" w:eastAsia="en-ZA"/>
              </w:rPr>
              <w:t>et al.</w:t>
            </w:r>
            <w:r w:rsidR="00F84B88">
              <w:rPr>
                <w:rFonts w:ascii="Calibri" w:eastAsia="Times New Roman" w:hAnsi="Calibri" w:cs="Calibri"/>
                <w:color w:val="000000"/>
                <w:lang w:val="en-ZA" w:eastAsia="en-ZA"/>
              </w:rPr>
              <w:t xml:space="preserve"> </w:t>
            </w:r>
            <w:r w:rsidR="00F84B88">
              <w:rPr>
                <w:rFonts w:ascii="Calibri" w:eastAsia="Times New Roman" w:hAnsi="Calibri" w:cs="Calibri"/>
                <w:color w:val="000000"/>
                <w:lang w:val="en-ZA" w:eastAsia="en-ZA"/>
              </w:rPr>
              <w:fldChar w:fldCharType="begin"/>
            </w:r>
            <w:r w:rsidR="00F84B88">
              <w:rPr>
                <w:rFonts w:ascii="Calibri" w:eastAsia="Times New Roman" w:hAnsi="Calibri" w:cs="Calibri"/>
                <w:color w:val="000000"/>
                <w:lang w:val="en-ZA" w:eastAsia="en-ZA"/>
              </w:rPr>
              <w:instrText xml:space="preserve"> ADDIN ZOTERO_ITEM CSL_CITATION {"citationID":"s31DCVDs","properties":{"formattedCitation":"(192)","plainCitation":"(192)","noteIndex":0},"citationItems":[{"id":681,"uris":["http://zotero.org/users/6216265/items/UNUELUHD"],"itemData":{"id":681,"type":"article-journal","abstract":"BACKGROUND: Epstein-Barr virus (EBV) is an important human pathogen which causes lifelong infection of &gt; 90% people globally and is linked to infectious  mononucleosis (arising from infection in the later teenage years) and several  types of cancer. Vaccines against EBV are in development. In order to determine  the most cost-effective public health strategy for vaccine deployment,  setting-specific data on the age at EBV acquisition and risk factors for early  infection are required. Such data are also important to inform mathematical  models of EBV transmission that can determine the required target product profile  of vaccine characteristics. We thus aimed to examine risk factors for EBV  infection in young people in England, in order to improve our understanding of  EBV epidemiology and guide future vaccination strategies. METHODS: The Health  Survey for England (HSE) is an annual, cross-sectional representative survey of  households in England during which data are collected via questionnaires and  blood samples. We randomly selected individuals who participated in the HSE 2002,  aiming for 25 participants of each sex in each single year age group from 11 to  24 years. Stored samples were tested for EBV and cytomegalovirus (CMV)  antibodies. We undertook descriptive and regression analyses of EBV  seroprevalence and risk factors for infection. RESULTS: Demographic data and  serostatus were available for 732 individuals. EBV seroprevalence was strongly  associated with age, increasing from 60.4% in 11-14 year olds throughout  adolescence (68.6% in 15-18 year olds) and stabilising by early adulthood (93.0%  in those aged 22-24 years). In univariable and multivariable logistic regression  models, ethnicity was associated with serostatus (adjusted odds ratio for  seropositivity among individuals of other ethnicity versus white individuals 2.33  [95% confidence interval 1.13-4.78]). Smoking was less strongly associated with  EBV seropositivity. CONCLUSIONS: By the age of 11 years, EBV infection is present  in over half the population, although age is not the only factor associated with  serostatus. Knowledge of the distribution of infection in the UK population is  critical for determining future vaccination policies, e.g. comparing general  versus selectively targeted vaccination strategies.","container-title":"BMC infectious diseases","DOI":"10.1186/s12879-019-4578-y","ISSN":"1471-2334","issue":"1","journalAbbreviation":"BMC Infect Dis","language":"eng","note":"PMID: 31779585 \nPMCID: PMC6883578","page":"1007","title":"Predictors of Epstein-Barr virus serostatus in young people in England.","volume":"19","author":[{"family":"Winter","given":"Joanne R."},{"family":"Taylor","given":"Graham S."},{"family":"Thomas","given":"Olivia G."},{"family":"Jackson","given":"Charlotte"},{"family":"Lewis","given":"Joanna E. A."},{"family":"Stagg","given":"Helen R."}],"issued":{"date-parts":[["2019",11,28]]}}}],"schema":"https://github.com/citation-style-language/schema/raw/master/csl-citation.json"} </w:instrText>
            </w:r>
            <w:r w:rsidR="00F84B88">
              <w:rPr>
                <w:rFonts w:ascii="Calibri" w:eastAsia="Times New Roman" w:hAnsi="Calibri" w:cs="Calibri"/>
                <w:color w:val="000000"/>
                <w:lang w:val="en-ZA" w:eastAsia="en-ZA"/>
              </w:rPr>
              <w:fldChar w:fldCharType="separate"/>
            </w:r>
            <w:r w:rsidR="00F84B88" w:rsidRPr="00F84B88">
              <w:rPr>
                <w:rFonts w:ascii="Calibri" w:hAnsi="Calibri" w:cs="Calibri"/>
              </w:rPr>
              <w:t>(192)</w:t>
            </w:r>
            <w:r w:rsidR="00F84B88">
              <w:rPr>
                <w:rFonts w:ascii="Calibri" w:eastAsia="Times New Roman" w:hAnsi="Calibri" w:cs="Calibri"/>
                <w:color w:val="000000"/>
                <w:lang w:val="en-ZA" w:eastAsia="en-ZA"/>
              </w:rPr>
              <w:fldChar w:fldCharType="end"/>
            </w:r>
          </w:p>
        </w:tc>
        <w:tc>
          <w:tcPr>
            <w:tcW w:w="1464" w:type="dxa"/>
            <w:noWrap/>
            <w:hideMark/>
          </w:tcPr>
          <w:p w14:paraId="085C06AC"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2AB6242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47EE6423" w14:textId="77777777" w:rsidTr="00366ACD">
        <w:trPr>
          <w:trHeight w:val="270"/>
        </w:trPr>
        <w:tc>
          <w:tcPr>
            <w:tcW w:w="2703" w:type="dxa"/>
            <w:noWrap/>
            <w:hideMark/>
          </w:tcPr>
          <w:p w14:paraId="555795E5" w14:textId="014FE667" w:rsidR="00696AF0" w:rsidRPr="00696AF0" w:rsidRDefault="00696AF0" w:rsidP="00F24716">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Wyatt </w:t>
            </w:r>
            <w:r w:rsidR="000620EA">
              <w:rPr>
                <w:rFonts w:ascii="Calibri" w:eastAsia="Times New Roman" w:hAnsi="Calibri" w:cs="Calibri"/>
                <w:color w:val="000000"/>
                <w:lang w:val="en-ZA" w:eastAsia="en-ZA"/>
              </w:rPr>
              <w:t>et al.</w:t>
            </w:r>
            <w:r w:rsidR="00F24716">
              <w:rPr>
                <w:rFonts w:ascii="Calibri" w:eastAsia="Times New Roman" w:hAnsi="Calibri" w:cs="Calibri"/>
                <w:color w:val="000000"/>
                <w:lang w:val="en-ZA" w:eastAsia="en-ZA"/>
              </w:rPr>
              <w:t xml:space="preserve"> </w:t>
            </w:r>
            <w:r w:rsidR="00F24716">
              <w:rPr>
                <w:rFonts w:ascii="Calibri" w:eastAsia="Times New Roman" w:hAnsi="Calibri" w:cs="Calibri"/>
                <w:color w:val="000000"/>
                <w:lang w:val="en-ZA" w:eastAsia="en-ZA"/>
              </w:rPr>
              <w:fldChar w:fldCharType="begin"/>
            </w:r>
            <w:r w:rsidR="00F24716">
              <w:rPr>
                <w:rFonts w:ascii="Calibri" w:eastAsia="Times New Roman" w:hAnsi="Calibri" w:cs="Calibri"/>
                <w:color w:val="000000"/>
                <w:lang w:val="en-ZA" w:eastAsia="en-ZA"/>
              </w:rPr>
              <w:instrText xml:space="preserve"> ADDIN ZOTERO_ITEM CSL_CITATION {"citationID":"LPE22H1P","properties":{"formattedCitation":"(193)","plainCitation":"(193)","noteIndex":0},"citationItems":[{"id":194,"uris":["http://zotero.org/users/6216265/items/FMKJVRBX"],"itemData":{"id":194,"type":"article-journal","abstract":"The discovery of drugs is a lengthy, high-risk and expensive business taking at least 12 years and is estimated to cost upwards of US$800 million for each drug to be successfully approved for clinical use. Much of this cost is driven by the late phase clinical trials and therefore the ability to terminate early those projects destined to fail is paramount to prevent unwanted costs and wasted effort. Although neglected diseases drug discovery is driven more by unmet medical need rather than financial considerations, the need to minimise wasted money and resources is even more vital in this under-funded area. To ensure any drug discovery project is addressing the requirements of the patients and health care providers and delivering a benefit over existing therapies, the ideal attributes of a novel drug needs to be pre-defined by a set of criteria called a target product profile. Using a target product profile the drug discovery process, clinical study design, and compound characteristics can be defined all the way back through to the suitability or druggability of the intended biochemical target. Assessment and prioritisation of the most promising targets for entry into screening programmes is crucial for maximising chances of success.","archive":"cmedm","archive_location":"21401506","container-title":"Current topics in medicinal chemistry","DOI":"10.2174/156802611795429185","ISSN":"1873-4294","issue":"10","journalAbbreviation":"Current topics in medicinal chemistry","note":"publisher-place: United Arab Emirates\npublisher: Bentham Science Publishers","page":"1275-1283","source":"EBSCOhost","title":"Target validation: linking target and chemical properties to desired product profile.","volume":"11","author":[{"family":"Wyatt","given":"Paul G"},{"family":"Gilbert","given":"Ian H"},{"family":"Read","given":"Kevin D"},{"family":"Fairlamb","given":"Alan H"}],"issued":{"date-parts":[["2011"]]}}}],"schema":"https://github.com/citation-style-language/schema/raw/master/csl-citation.json"} </w:instrText>
            </w:r>
            <w:r w:rsidR="00F24716">
              <w:rPr>
                <w:rFonts w:ascii="Calibri" w:eastAsia="Times New Roman" w:hAnsi="Calibri" w:cs="Calibri"/>
                <w:color w:val="000000"/>
                <w:lang w:val="en-ZA" w:eastAsia="en-ZA"/>
              </w:rPr>
              <w:fldChar w:fldCharType="separate"/>
            </w:r>
            <w:r w:rsidR="00F24716" w:rsidRPr="00F24716">
              <w:rPr>
                <w:rFonts w:ascii="Calibri" w:hAnsi="Calibri" w:cs="Calibri"/>
              </w:rPr>
              <w:t>(193)</w:t>
            </w:r>
            <w:r w:rsidR="00F24716">
              <w:rPr>
                <w:rFonts w:ascii="Calibri" w:eastAsia="Times New Roman" w:hAnsi="Calibri" w:cs="Calibri"/>
                <w:color w:val="000000"/>
                <w:lang w:val="en-ZA" w:eastAsia="en-ZA"/>
              </w:rPr>
              <w:fldChar w:fldCharType="end"/>
            </w:r>
          </w:p>
        </w:tc>
        <w:tc>
          <w:tcPr>
            <w:tcW w:w="1464" w:type="dxa"/>
            <w:noWrap/>
            <w:hideMark/>
          </w:tcPr>
          <w:p w14:paraId="1C1E46F0"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2011</w:t>
            </w:r>
          </w:p>
        </w:tc>
        <w:tc>
          <w:tcPr>
            <w:tcW w:w="2043" w:type="dxa"/>
            <w:noWrap/>
            <w:hideMark/>
          </w:tcPr>
          <w:p w14:paraId="5F04069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1A586DB4" w14:textId="77777777" w:rsidTr="00366ACD">
        <w:trPr>
          <w:trHeight w:val="270"/>
        </w:trPr>
        <w:tc>
          <w:tcPr>
            <w:tcW w:w="2703" w:type="dxa"/>
            <w:noWrap/>
            <w:hideMark/>
          </w:tcPr>
          <w:p w14:paraId="1F8472C6" w14:textId="7146B78F" w:rsidR="00696AF0" w:rsidRPr="00696AF0" w:rsidRDefault="00696AF0" w:rsidP="00F24716">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Xu </w:t>
            </w:r>
            <w:r w:rsidR="000620EA">
              <w:rPr>
                <w:rFonts w:ascii="Calibri" w:eastAsia="Times New Roman" w:hAnsi="Calibri" w:cs="Calibri"/>
                <w:color w:val="000000"/>
                <w:lang w:val="en-ZA" w:eastAsia="en-ZA"/>
              </w:rPr>
              <w:t>et al.</w:t>
            </w:r>
            <w:r w:rsidR="00F24716">
              <w:rPr>
                <w:rFonts w:ascii="Calibri" w:eastAsia="Times New Roman" w:hAnsi="Calibri" w:cs="Calibri"/>
                <w:color w:val="000000"/>
                <w:lang w:val="en-ZA" w:eastAsia="en-ZA"/>
              </w:rPr>
              <w:t xml:space="preserve"> </w:t>
            </w:r>
            <w:r w:rsidR="00F24716">
              <w:rPr>
                <w:rFonts w:ascii="Calibri" w:eastAsia="Times New Roman" w:hAnsi="Calibri" w:cs="Calibri"/>
                <w:color w:val="000000"/>
                <w:lang w:val="en-ZA" w:eastAsia="en-ZA"/>
              </w:rPr>
              <w:fldChar w:fldCharType="begin"/>
            </w:r>
            <w:r w:rsidR="00F24716">
              <w:rPr>
                <w:rFonts w:ascii="Calibri" w:eastAsia="Times New Roman" w:hAnsi="Calibri" w:cs="Calibri"/>
                <w:color w:val="000000"/>
                <w:lang w:val="en-ZA" w:eastAsia="en-ZA"/>
              </w:rPr>
              <w:instrText xml:space="preserve"> ADDIN ZOTERO_ITEM CSL_CITATION {"citationID":"2Uz4LMYj","properties":{"formattedCitation":"(194)","plainCitation":"(194)","noteIndex":0},"citationItems":[{"id":12609,"uris":["http://zotero.org/users/6216265/items/4N897BKC"],"itemData":{"id":12609,"type":"article-journal","container-title":"Journal of Biopharmaceutical Statistics","DOI":"10.1080/10543406.2019.1696356","ISSN":"1054-3406, 1520-5711","issue":"4","journalAbbreviation":"Journal of Biopharmaceutical Statistics","language":"en","page":"623-638","source":"DOI.org (Crossref)","title":"ASIED: a Bayesian adaptive subgroup-identification enrichment design","title-short":"ASIED","volume":"30","author":[{"family":"Xu","given":"Yanxun"},{"family":"Constantine","given":"Florica"},{"family":"Yuan","given":"Yuan"},{"family":"Pritchett","given":"Yili L."}],"issued":{"date-parts":[["2020",7,3]]}}}],"schema":"https://github.com/citation-style-language/schema/raw/master/csl-citation.json"} </w:instrText>
            </w:r>
            <w:r w:rsidR="00F24716">
              <w:rPr>
                <w:rFonts w:ascii="Calibri" w:eastAsia="Times New Roman" w:hAnsi="Calibri" w:cs="Calibri"/>
                <w:color w:val="000000"/>
                <w:lang w:val="en-ZA" w:eastAsia="en-ZA"/>
              </w:rPr>
              <w:fldChar w:fldCharType="separate"/>
            </w:r>
            <w:r w:rsidR="00F24716" w:rsidRPr="00F24716">
              <w:rPr>
                <w:rFonts w:ascii="Calibri" w:hAnsi="Calibri" w:cs="Calibri"/>
              </w:rPr>
              <w:t>(194)</w:t>
            </w:r>
            <w:r w:rsidR="00F24716">
              <w:rPr>
                <w:rFonts w:ascii="Calibri" w:eastAsia="Times New Roman" w:hAnsi="Calibri" w:cs="Calibri"/>
                <w:color w:val="000000"/>
                <w:lang w:val="en-ZA" w:eastAsia="en-ZA"/>
              </w:rPr>
              <w:fldChar w:fldCharType="end"/>
            </w:r>
          </w:p>
        </w:tc>
        <w:tc>
          <w:tcPr>
            <w:tcW w:w="1464" w:type="dxa"/>
            <w:noWrap/>
            <w:hideMark/>
          </w:tcPr>
          <w:p w14:paraId="3733EA86"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2020</w:t>
            </w:r>
          </w:p>
        </w:tc>
        <w:tc>
          <w:tcPr>
            <w:tcW w:w="2043" w:type="dxa"/>
            <w:noWrap/>
            <w:hideMark/>
          </w:tcPr>
          <w:p w14:paraId="1B5A4B35"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0DDC8E1E" w14:textId="77777777" w:rsidTr="00366ACD">
        <w:trPr>
          <w:trHeight w:val="270"/>
        </w:trPr>
        <w:tc>
          <w:tcPr>
            <w:tcW w:w="2703" w:type="dxa"/>
            <w:noWrap/>
            <w:hideMark/>
          </w:tcPr>
          <w:p w14:paraId="4D754F02" w14:textId="40FCE75B" w:rsidR="00696AF0" w:rsidRPr="00696AF0" w:rsidRDefault="00696AF0" w:rsidP="00A16FA2">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Yang </w:t>
            </w:r>
            <w:r w:rsidR="000620EA">
              <w:rPr>
                <w:rFonts w:ascii="Calibri" w:eastAsia="Times New Roman" w:hAnsi="Calibri" w:cs="Calibri"/>
                <w:color w:val="000000"/>
                <w:lang w:val="en-ZA" w:eastAsia="en-ZA"/>
              </w:rPr>
              <w:t>et al.</w:t>
            </w:r>
            <w:r w:rsidR="00A16FA2">
              <w:rPr>
                <w:rFonts w:ascii="Calibri" w:eastAsia="Times New Roman" w:hAnsi="Calibri" w:cs="Calibri"/>
                <w:color w:val="000000"/>
                <w:lang w:val="en-ZA" w:eastAsia="en-ZA"/>
              </w:rPr>
              <w:t xml:space="preserve">  </w:t>
            </w:r>
            <w:r w:rsidR="00A16FA2">
              <w:rPr>
                <w:rFonts w:ascii="Calibri" w:eastAsia="Times New Roman" w:hAnsi="Calibri" w:cs="Calibri"/>
                <w:color w:val="000000"/>
                <w:lang w:val="en-ZA" w:eastAsia="en-ZA"/>
              </w:rPr>
              <w:fldChar w:fldCharType="begin"/>
            </w:r>
            <w:r w:rsidR="00A16FA2">
              <w:rPr>
                <w:rFonts w:ascii="Calibri" w:eastAsia="Times New Roman" w:hAnsi="Calibri" w:cs="Calibri"/>
                <w:color w:val="000000"/>
                <w:lang w:val="en-ZA" w:eastAsia="en-ZA"/>
              </w:rPr>
              <w:instrText xml:space="preserve"> ADDIN ZOTERO_ITEM CSL_CITATION {"citationID":"wR73lEPl","properties":{"formattedCitation":"(195)","plainCitation":"(195)","noteIndex":0},"citationItems":[{"id":12611,"uris":["http://zotero.org/users/6216265/items/PKPKUWWM"],"itemData":{"id":12611,"type":"article-journal","container-title":"Journal of Biotechnology","DOI":"10.1016/j.btecx.2019.100006","ISSN":"01681656","journalAbbreviation":"Journal of Biotechnology","language":"en","page":"100006","source":"DOI.org (Crossref)","title":"Accurate definition of control strategies using cross validated stepwise regression and Monte Carlo simulation","volume":"306","author":[{"family":"Yang","given":"Patrick Y."},{"family":"Hui","given":"Cerintha J."},{"family":"Tien","given":"Daniel J."},{"family":"Snowden","given":"Andrew W."},{"family":"Derfus","given":"Gayle E."},{"family":"Opel","given":"Cary F."}],"issued":{"date-parts":[["2019"]]}}}],"schema":"https://github.com/citation-style-language/schema/raw/master/csl-citation.json"} </w:instrText>
            </w:r>
            <w:r w:rsidR="00A16FA2">
              <w:rPr>
                <w:rFonts w:ascii="Calibri" w:eastAsia="Times New Roman" w:hAnsi="Calibri" w:cs="Calibri"/>
                <w:color w:val="000000"/>
                <w:lang w:val="en-ZA" w:eastAsia="en-ZA"/>
              </w:rPr>
              <w:fldChar w:fldCharType="separate"/>
            </w:r>
            <w:r w:rsidR="00A16FA2" w:rsidRPr="00A16FA2">
              <w:rPr>
                <w:rFonts w:ascii="Calibri" w:hAnsi="Calibri" w:cs="Calibri"/>
              </w:rPr>
              <w:t>(195)</w:t>
            </w:r>
            <w:r w:rsidR="00A16FA2">
              <w:rPr>
                <w:rFonts w:ascii="Calibri" w:eastAsia="Times New Roman" w:hAnsi="Calibri" w:cs="Calibri"/>
                <w:color w:val="000000"/>
                <w:lang w:val="en-ZA" w:eastAsia="en-ZA"/>
              </w:rPr>
              <w:fldChar w:fldCharType="end"/>
            </w:r>
          </w:p>
        </w:tc>
        <w:tc>
          <w:tcPr>
            <w:tcW w:w="1464" w:type="dxa"/>
            <w:noWrap/>
            <w:hideMark/>
          </w:tcPr>
          <w:p w14:paraId="2864D78B"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2019</w:t>
            </w:r>
          </w:p>
        </w:tc>
        <w:tc>
          <w:tcPr>
            <w:tcW w:w="2043" w:type="dxa"/>
            <w:noWrap/>
            <w:hideMark/>
          </w:tcPr>
          <w:p w14:paraId="086541A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5B32C724" w14:textId="77777777" w:rsidTr="00366ACD">
        <w:trPr>
          <w:trHeight w:val="270"/>
        </w:trPr>
        <w:tc>
          <w:tcPr>
            <w:tcW w:w="2703" w:type="dxa"/>
            <w:noWrap/>
            <w:hideMark/>
          </w:tcPr>
          <w:p w14:paraId="6144CDC4" w14:textId="41445D68" w:rsidR="00696AF0" w:rsidRPr="00696AF0" w:rsidRDefault="00696AF0" w:rsidP="00A16FA2">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Yao </w:t>
            </w:r>
            <w:r w:rsidR="000620EA">
              <w:rPr>
                <w:rFonts w:ascii="Calibri" w:eastAsia="Times New Roman" w:hAnsi="Calibri" w:cs="Calibri"/>
                <w:color w:val="000000"/>
                <w:lang w:val="en-ZA" w:eastAsia="en-ZA"/>
              </w:rPr>
              <w:t>et al.</w:t>
            </w:r>
            <w:r w:rsidR="00A16FA2">
              <w:rPr>
                <w:rFonts w:ascii="Calibri" w:eastAsia="Times New Roman" w:hAnsi="Calibri" w:cs="Calibri"/>
                <w:color w:val="000000"/>
                <w:lang w:val="en-ZA" w:eastAsia="en-ZA"/>
              </w:rPr>
              <w:t xml:space="preserve"> </w:t>
            </w:r>
            <w:r w:rsidR="00A16FA2">
              <w:rPr>
                <w:rFonts w:ascii="Calibri" w:eastAsia="Times New Roman" w:hAnsi="Calibri" w:cs="Calibri"/>
                <w:color w:val="000000"/>
                <w:lang w:val="en-ZA" w:eastAsia="en-ZA"/>
              </w:rPr>
              <w:fldChar w:fldCharType="begin"/>
            </w:r>
            <w:r w:rsidR="00A16FA2">
              <w:rPr>
                <w:rFonts w:ascii="Calibri" w:eastAsia="Times New Roman" w:hAnsi="Calibri" w:cs="Calibri"/>
                <w:color w:val="000000"/>
                <w:lang w:val="en-ZA" w:eastAsia="en-ZA"/>
              </w:rPr>
              <w:instrText xml:space="preserve"> ADDIN ZOTERO_ITEM CSL_CITATION {"citationID":"eG9xfGM0","properties":{"formattedCitation":"(196)","plainCitation":"(196)","noteIndex":0},"citationItems":[{"id":12612,"uris":["http://zotero.org/users/6216265/items/HMUCMN64"],"itemData":{"id":12612,"type":"article-journal","abstract":"The proposed biosimilar candidate needs to demonstrate biosimilarity with reference products, and the quality target product profile and biosimilarity assessment criteria are prerequisite, which should be based on extensive characterization of the reference products. In this study, 13 lots of China-sourced pertuzumab (trademark: Perjeta®), with an expiration date from 2020 to 2021, were comprehensively characterized. Despite the consistency of purity, drifts in N-glycan profile were observed, which resulted in the variation of antibody-dependent cellular cytotoxicity (ADCC) activity. In detail, four parametric curves of ADCC activity of the reference product were unparalleled, and the maximum response value was highly related to the content of %afucose than half-maximal effective concentration (EC50). As ADCC is a potential critical quality attribute of Perjeta®, the glycosylation of Perjeta® and its biosimilars should be tightly monitored and controlled.","container-title":"BioMed Research International","DOI":"10.1155/2022/7868391","ISSN":"2314-6141, 2314-6133","journalAbbreviation":"BioMed Research International","language":"en","page":"1-13","source":"DOI.org (Crossref)","title":"Drifts in N-Linked Glycosylation Result in ADCC Potency Variation of Perjeta® from August 2020 to October 2021 in China","volume":"2022","author":[{"family":"Yao","given":"Bing"},{"family":"Zhang","given":"Di"},{"family":"Cao","given":"Weirong"},{"family":"Yang","given":"Gaoqiang"},{"family":"Li","given":"Wenbin"},{"family":"Hui","given":"Xiwu"},{"family":"Ouyang","given":"Pingkai"},{"family":"Chen","given":"Guoguang"},{"family":"Liu","given":"Boning"}],"editor":[{"family":"Siemianowicz","given":"Krzysztof"}],"issued":{"date-parts":[["2022",4,30]]}}}],"schema":"https://github.com/citation-style-language/schema/raw/master/csl-citation.json"} </w:instrText>
            </w:r>
            <w:r w:rsidR="00A16FA2">
              <w:rPr>
                <w:rFonts w:ascii="Calibri" w:eastAsia="Times New Roman" w:hAnsi="Calibri" w:cs="Calibri"/>
                <w:color w:val="000000"/>
                <w:lang w:val="en-ZA" w:eastAsia="en-ZA"/>
              </w:rPr>
              <w:fldChar w:fldCharType="separate"/>
            </w:r>
            <w:r w:rsidR="00A16FA2" w:rsidRPr="00A16FA2">
              <w:rPr>
                <w:rFonts w:ascii="Calibri" w:hAnsi="Calibri" w:cs="Calibri"/>
              </w:rPr>
              <w:t>(196)</w:t>
            </w:r>
            <w:r w:rsidR="00A16FA2">
              <w:rPr>
                <w:rFonts w:ascii="Calibri" w:eastAsia="Times New Roman" w:hAnsi="Calibri" w:cs="Calibri"/>
                <w:color w:val="000000"/>
                <w:lang w:val="en-ZA" w:eastAsia="en-ZA"/>
              </w:rPr>
              <w:fldChar w:fldCharType="end"/>
            </w:r>
          </w:p>
        </w:tc>
        <w:tc>
          <w:tcPr>
            <w:tcW w:w="1464" w:type="dxa"/>
            <w:noWrap/>
            <w:hideMark/>
          </w:tcPr>
          <w:p w14:paraId="2796D33D"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0DA6B414"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0DD5C813" w14:textId="77777777" w:rsidTr="00366ACD">
        <w:trPr>
          <w:trHeight w:val="270"/>
        </w:trPr>
        <w:tc>
          <w:tcPr>
            <w:tcW w:w="2703" w:type="dxa"/>
            <w:noWrap/>
            <w:hideMark/>
          </w:tcPr>
          <w:p w14:paraId="460EA4BE" w14:textId="76C04654" w:rsidR="00696AF0" w:rsidRPr="00696AF0" w:rsidRDefault="00696AF0" w:rsidP="00C94C08">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Yost </w:t>
            </w:r>
            <w:r w:rsidR="000620EA">
              <w:rPr>
                <w:rFonts w:ascii="Calibri" w:eastAsia="Times New Roman" w:hAnsi="Calibri" w:cs="Calibri"/>
                <w:color w:val="000000"/>
                <w:lang w:val="en-ZA" w:eastAsia="en-ZA"/>
              </w:rPr>
              <w:t>et al.</w:t>
            </w:r>
            <w:r w:rsidR="00C94C08">
              <w:rPr>
                <w:rFonts w:ascii="Calibri" w:eastAsia="Times New Roman" w:hAnsi="Calibri" w:cs="Calibri"/>
                <w:color w:val="000000"/>
                <w:lang w:val="en-ZA" w:eastAsia="en-ZA"/>
              </w:rPr>
              <w:t xml:space="preserve"> </w:t>
            </w:r>
            <w:r w:rsidR="00C94C08">
              <w:rPr>
                <w:rFonts w:ascii="Calibri" w:eastAsia="Times New Roman" w:hAnsi="Calibri" w:cs="Calibri"/>
                <w:color w:val="000000"/>
                <w:lang w:val="en-ZA" w:eastAsia="en-ZA"/>
              </w:rPr>
              <w:fldChar w:fldCharType="begin"/>
            </w:r>
            <w:r w:rsidR="00C94C08">
              <w:rPr>
                <w:rFonts w:ascii="Calibri" w:eastAsia="Times New Roman" w:hAnsi="Calibri" w:cs="Calibri"/>
                <w:color w:val="000000"/>
                <w:lang w:val="en-ZA" w:eastAsia="en-ZA"/>
              </w:rPr>
              <w:instrText xml:space="preserve"> ADDIN ZOTERO_ITEM CSL_CITATION {"citationID":"gtoAgo2j","properties":{"formattedCitation":"(197)","plainCitation":"(197)","noteIndex":0},"citationItems":[{"id":159,"uris":["http://zotero.org/users/6216265/items/YIRH4UIY"],"itemData":{"id":159,"type":"article-journal","abstract":"Active pharmaceutical ingredients (API) and excipients are often classified as 'brittle' or 'ductile' based on their yield pressure determined through the  Heckel analysis. Such a brittle/ductile classification is often correlated to  some measure of elasticity, die-wall stresses, and brittle fracture propensities  from studies performed with a handful of model excipients. This subsequently  gives rise to the presumption that all ductile materials behave similarly to  microcrystalline cellulose (MCC) and that all brittle materials to lactose,  mannitol, or dicalcium phosphate. Such a 'one-size-fits-all' approach can  subsequently lead to inaccurate classification of APIs, which often behave very  differently than these model excipients. This study compares the commonly  reported mechanical metrics of two proprietary APIs and two classical model  excipients. We demonstrate that materials classified as 'ductile' by Heckel's  'standards' may behave very differently than MCC and in some cases may even have  a propensity for brittle failure. Our data highlight the complexity of APIs and  the need to evaluate a set of mechanical metrics, instead of binary assignments  of ductility or brittleness based on quantities that do not fully capture the  tableting process, to truly optimize a tablet formulation as part of the overall  target product profile.","container-title":"Journal of pharmaceutical sciences","DOI":"10.1016/j.xphs.2022.01.004","ISSN":"1520-6017 0022-3549","issue":"7","journalAbbreviation":"J Pharm Sci","language":"eng","license":"Copyright © 2022 American Pharmacists Association. Published by Elsevier Inc. All rights reserved.","note":"publisher-place: United States\nPMID: 35007567","page":"1984-1991","title":"Beyond Brittle/Ductile Classification: Applying Proper Constitutive Mechanical Metrics to Understand the Compression Characteristics of Pharmaceutical  Materials.","volume":"111","author":[{"family":"Yost","given":"Edward"},{"family":"Mazel","given":"Vincent"},{"family":"Sluga","given":"Kellie K."},{"family":"Nagapudi","given":"Karthik"},{"family":"Muliadi","given":"Ariel R."}],"issued":{"date-parts":[["2022",7]]}}}],"schema":"https://github.com/citation-style-language/schema/raw/master/csl-citation.json"} </w:instrText>
            </w:r>
            <w:r w:rsidR="00C94C08">
              <w:rPr>
                <w:rFonts w:ascii="Calibri" w:eastAsia="Times New Roman" w:hAnsi="Calibri" w:cs="Calibri"/>
                <w:color w:val="000000"/>
                <w:lang w:val="en-ZA" w:eastAsia="en-ZA"/>
              </w:rPr>
              <w:fldChar w:fldCharType="separate"/>
            </w:r>
            <w:r w:rsidR="00C94C08" w:rsidRPr="00C94C08">
              <w:rPr>
                <w:rFonts w:ascii="Calibri" w:hAnsi="Calibri" w:cs="Calibri"/>
              </w:rPr>
              <w:t>(197)</w:t>
            </w:r>
            <w:r w:rsidR="00C94C08">
              <w:rPr>
                <w:rFonts w:ascii="Calibri" w:eastAsia="Times New Roman" w:hAnsi="Calibri" w:cs="Calibri"/>
                <w:color w:val="000000"/>
                <w:lang w:val="en-ZA" w:eastAsia="en-ZA"/>
              </w:rPr>
              <w:fldChar w:fldCharType="end"/>
            </w:r>
          </w:p>
        </w:tc>
        <w:tc>
          <w:tcPr>
            <w:tcW w:w="1464" w:type="dxa"/>
            <w:noWrap/>
            <w:hideMark/>
          </w:tcPr>
          <w:p w14:paraId="3AD2DFBF"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2022</w:t>
            </w:r>
          </w:p>
        </w:tc>
        <w:tc>
          <w:tcPr>
            <w:tcW w:w="2043" w:type="dxa"/>
            <w:noWrap/>
            <w:hideMark/>
          </w:tcPr>
          <w:p w14:paraId="5D9EADC7"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r w:rsidR="00696AF0" w:rsidRPr="00696AF0" w14:paraId="3071BAE6" w14:textId="77777777" w:rsidTr="00366ACD">
        <w:trPr>
          <w:trHeight w:val="270"/>
        </w:trPr>
        <w:tc>
          <w:tcPr>
            <w:tcW w:w="2703" w:type="dxa"/>
            <w:noWrap/>
            <w:hideMark/>
          </w:tcPr>
          <w:p w14:paraId="5D69277D" w14:textId="495705C4" w:rsidR="00696AF0" w:rsidRPr="00696AF0" w:rsidRDefault="00696AF0" w:rsidP="00C94C08">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 xml:space="preserve">Yu </w:t>
            </w:r>
            <w:r w:rsidR="000620EA">
              <w:rPr>
                <w:rFonts w:ascii="Calibri" w:eastAsia="Times New Roman" w:hAnsi="Calibri" w:cs="Calibri"/>
                <w:color w:val="000000"/>
                <w:lang w:val="en-ZA" w:eastAsia="en-ZA"/>
              </w:rPr>
              <w:t>et al.</w:t>
            </w:r>
            <w:r w:rsidR="00C94C08">
              <w:rPr>
                <w:rFonts w:ascii="Calibri" w:eastAsia="Times New Roman" w:hAnsi="Calibri" w:cs="Calibri"/>
                <w:color w:val="000000"/>
                <w:lang w:val="en-ZA" w:eastAsia="en-ZA"/>
              </w:rPr>
              <w:t xml:space="preserve"> </w:t>
            </w:r>
            <w:r w:rsidR="00C94C08">
              <w:rPr>
                <w:rFonts w:ascii="Calibri" w:eastAsia="Times New Roman" w:hAnsi="Calibri" w:cs="Calibri"/>
                <w:color w:val="000000"/>
                <w:lang w:val="en-ZA" w:eastAsia="en-ZA"/>
              </w:rPr>
              <w:fldChar w:fldCharType="begin"/>
            </w:r>
            <w:r w:rsidR="00C94C08">
              <w:rPr>
                <w:rFonts w:ascii="Calibri" w:eastAsia="Times New Roman" w:hAnsi="Calibri" w:cs="Calibri"/>
                <w:color w:val="000000"/>
                <w:lang w:val="en-ZA" w:eastAsia="en-ZA"/>
              </w:rPr>
              <w:instrText xml:space="preserve"> ADDIN ZOTERO_ITEM CSL_CITATION {"citationID":"aQmU4DyR","properties":{"formattedCitation":"(198)","plainCitation":"(198)","noteIndex":0},"citationItems":[{"id":12617,"uris":["http://zotero.org/users/6216265/items/U5KXL8AI"],"itemData":{"id":12617,"type":"article-journal","container-title":"The AAPS Journal","DOI":"10.1208/s12248-014-9598-3","ISSN":"1550-7416","issue":"4","journalAbbreviation":"AAPS J","language":"en","page":"771-783","source":"DOI.org (Crossref)","title":"Understanding Pharmaceutical Quality by Design","volume":"16","author":[{"family":"Yu","given":"Lawrence X."},{"family":"Amidon","given":"Gregory"},{"family":"Khan","given":"Mansoor A."},{"family":"Hoag","given":"Stephen W."},{"family":"Polli","given":"James"},{"family":"Raju","given":"G. K."},{"family":"Woodcock","given":"Janet"}],"issued":{"date-parts":[["2014",7]]}}}],"schema":"https://github.com/citation-style-language/schema/raw/master/csl-citation.json"} </w:instrText>
            </w:r>
            <w:r w:rsidR="00C94C08">
              <w:rPr>
                <w:rFonts w:ascii="Calibri" w:eastAsia="Times New Roman" w:hAnsi="Calibri" w:cs="Calibri"/>
                <w:color w:val="000000"/>
                <w:lang w:val="en-ZA" w:eastAsia="en-ZA"/>
              </w:rPr>
              <w:fldChar w:fldCharType="separate"/>
            </w:r>
            <w:r w:rsidR="00C94C08" w:rsidRPr="00C94C08">
              <w:rPr>
                <w:rFonts w:ascii="Calibri" w:hAnsi="Calibri" w:cs="Calibri"/>
              </w:rPr>
              <w:t>(198)</w:t>
            </w:r>
            <w:r w:rsidR="00C94C08">
              <w:rPr>
                <w:rFonts w:ascii="Calibri" w:eastAsia="Times New Roman" w:hAnsi="Calibri" w:cs="Calibri"/>
                <w:color w:val="000000"/>
                <w:lang w:val="en-ZA" w:eastAsia="en-ZA"/>
              </w:rPr>
              <w:fldChar w:fldCharType="end"/>
            </w:r>
          </w:p>
        </w:tc>
        <w:tc>
          <w:tcPr>
            <w:tcW w:w="1464" w:type="dxa"/>
            <w:noWrap/>
            <w:hideMark/>
          </w:tcPr>
          <w:p w14:paraId="261CD528"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2014</w:t>
            </w:r>
          </w:p>
        </w:tc>
        <w:tc>
          <w:tcPr>
            <w:tcW w:w="2043" w:type="dxa"/>
            <w:noWrap/>
            <w:hideMark/>
          </w:tcPr>
          <w:p w14:paraId="5AD4269E" w14:textId="77777777" w:rsidR="00696AF0" w:rsidRPr="00696AF0" w:rsidRDefault="00696AF0" w:rsidP="00696AF0">
            <w:pPr>
              <w:rPr>
                <w:rFonts w:ascii="Calibri" w:eastAsia="Times New Roman" w:hAnsi="Calibri" w:cs="Calibri"/>
                <w:color w:val="000000"/>
                <w:lang w:val="en-ZA" w:eastAsia="en-ZA"/>
              </w:rPr>
            </w:pPr>
            <w:r w:rsidRPr="00696AF0">
              <w:rPr>
                <w:rFonts w:ascii="Calibri" w:eastAsia="Times New Roman" w:hAnsi="Calibri" w:cs="Calibri"/>
                <w:color w:val="000000"/>
                <w:lang w:val="en-ZA" w:eastAsia="en-ZA"/>
              </w:rPr>
              <w:t>No TPP structure</w:t>
            </w:r>
          </w:p>
        </w:tc>
      </w:tr>
    </w:tbl>
    <w:p w14:paraId="74497A9D" w14:textId="415F4B78" w:rsidR="00696AF0" w:rsidRDefault="00696AF0">
      <w:r>
        <w:br w:type="page"/>
      </w:r>
    </w:p>
    <w:p w14:paraId="19528990" w14:textId="2D1627F9" w:rsidR="00B24019" w:rsidRDefault="00EB70FA" w:rsidP="00E34F53">
      <w:pPr>
        <w:spacing w:after="0" w:line="276" w:lineRule="auto"/>
        <w:jc w:val="both"/>
      </w:pPr>
      <w:r>
        <w:lastRenderedPageBreak/>
        <w:t>Table S</w:t>
      </w:r>
      <w:r w:rsidR="00101D8E">
        <w:t>3</w:t>
      </w:r>
      <w:r>
        <w:t xml:space="preserve">: </w:t>
      </w:r>
      <w:r w:rsidR="00333231">
        <w:t>List of c</w:t>
      </w:r>
      <w:r w:rsidR="0027081C">
        <w:t xml:space="preserve">itations </w:t>
      </w:r>
      <w:r w:rsidR="00B24019">
        <w:t>for the extracted data items “content”, “product type”,</w:t>
      </w:r>
    </w:p>
    <w:tbl>
      <w:tblPr>
        <w:tblStyle w:val="TableGrid"/>
        <w:tblW w:w="9067" w:type="dxa"/>
        <w:tblLayout w:type="fixed"/>
        <w:tblLook w:val="04A0" w:firstRow="1" w:lastRow="0" w:firstColumn="1" w:lastColumn="0" w:noHBand="0" w:noVBand="1"/>
      </w:tblPr>
      <w:tblGrid>
        <w:gridCol w:w="1260"/>
        <w:gridCol w:w="2790"/>
        <w:gridCol w:w="5017"/>
      </w:tblGrid>
      <w:tr w:rsidR="009149B4" w14:paraId="5DF7A6D6" w14:textId="77777777" w:rsidTr="00E666ED">
        <w:tc>
          <w:tcPr>
            <w:tcW w:w="1260" w:type="dxa"/>
            <w:vAlign w:val="center"/>
          </w:tcPr>
          <w:p w14:paraId="70FE5E41" w14:textId="6A024369" w:rsidR="00B24019" w:rsidRPr="00106C2C" w:rsidRDefault="00B24019" w:rsidP="00106C2C">
            <w:pPr>
              <w:spacing w:line="276" w:lineRule="auto"/>
              <w:rPr>
                <w:b/>
                <w:bCs/>
              </w:rPr>
            </w:pPr>
            <w:r w:rsidRPr="00106C2C">
              <w:rPr>
                <w:b/>
                <w:bCs/>
              </w:rPr>
              <w:t>Data item</w:t>
            </w:r>
          </w:p>
        </w:tc>
        <w:tc>
          <w:tcPr>
            <w:tcW w:w="2790" w:type="dxa"/>
            <w:vAlign w:val="center"/>
          </w:tcPr>
          <w:p w14:paraId="6972DA39" w14:textId="07115147" w:rsidR="00B24019" w:rsidRPr="00106C2C" w:rsidRDefault="007D0829" w:rsidP="00106C2C">
            <w:pPr>
              <w:spacing w:line="276" w:lineRule="auto"/>
              <w:rPr>
                <w:b/>
                <w:bCs/>
              </w:rPr>
            </w:pPr>
            <w:r w:rsidRPr="00106C2C">
              <w:rPr>
                <w:b/>
                <w:bCs/>
              </w:rPr>
              <w:t>Values</w:t>
            </w:r>
          </w:p>
        </w:tc>
        <w:tc>
          <w:tcPr>
            <w:tcW w:w="5017" w:type="dxa"/>
            <w:vAlign w:val="center"/>
          </w:tcPr>
          <w:p w14:paraId="762AAB39" w14:textId="3740A08C" w:rsidR="00B24019" w:rsidRPr="00106C2C" w:rsidRDefault="007D0829" w:rsidP="00106C2C">
            <w:pPr>
              <w:spacing w:line="276" w:lineRule="auto"/>
              <w:rPr>
                <w:b/>
                <w:bCs/>
              </w:rPr>
            </w:pPr>
            <w:r w:rsidRPr="00106C2C">
              <w:rPr>
                <w:b/>
                <w:bCs/>
              </w:rPr>
              <w:t>Citations</w:t>
            </w:r>
          </w:p>
        </w:tc>
      </w:tr>
      <w:tr w:rsidR="009149B4" w14:paraId="1FC67961" w14:textId="77777777" w:rsidTr="00E666ED">
        <w:tc>
          <w:tcPr>
            <w:tcW w:w="1260" w:type="dxa"/>
            <w:vMerge w:val="restart"/>
            <w:vAlign w:val="center"/>
          </w:tcPr>
          <w:p w14:paraId="58639178" w14:textId="75CB530C" w:rsidR="005467CB" w:rsidRDefault="005467CB" w:rsidP="00106C2C">
            <w:pPr>
              <w:spacing w:line="276" w:lineRule="auto"/>
            </w:pPr>
            <w:r w:rsidRPr="001C11A1">
              <w:rPr>
                <w:b/>
                <w:bCs/>
              </w:rPr>
              <w:t>Content</w:t>
            </w:r>
          </w:p>
        </w:tc>
        <w:tc>
          <w:tcPr>
            <w:tcW w:w="2790" w:type="dxa"/>
            <w:vAlign w:val="center"/>
          </w:tcPr>
          <w:p w14:paraId="7ED09DB4" w14:textId="53550A90" w:rsidR="005467CB" w:rsidRDefault="005467CB" w:rsidP="00106C2C">
            <w:pPr>
              <w:spacing w:line="276" w:lineRule="auto"/>
            </w:pPr>
            <w:r>
              <w:t>Developed a new TPP</w:t>
            </w:r>
          </w:p>
        </w:tc>
        <w:tc>
          <w:tcPr>
            <w:tcW w:w="5017" w:type="dxa"/>
            <w:vAlign w:val="center"/>
          </w:tcPr>
          <w:p w14:paraId="243EFEEC" w14:textId="47703256" w:rsidR="005467CB" w:rsidRDefault="005467CB" w:rsidP="00106C2C">
            <w:pPr>
              <w:spacing w:line="276" w:lineRule="auto"/>
            </w:pPr>
            <w:r>
              <w:fldChar w:fldCharType="begin"/>
            </w:r>
            <w:r w:rsidR="00C94C08">
              <w:instrText xml:space="preserve"> ADDIN ZOTERO_ITEM CSL_CITATION {"citationID":"Wvl9Zuig","properties":{"formattedCitation":"(199\\uc0\\u8211{}258,258\\uc0\\u8211{}325)","plainCitation":"(199–258,258–325)","noteIndex":0},"citationItems":[{"id":12208,"uris":["http://zotero.org/users/6216265/items/YUCZFS4L"],"itemData":{"id":12208,"type":"article-journal","container-title":"PLOS Neglected Tropical Diseases","DOI":"10.1371/journal.pntd.0005269","ISSN":"1935-2735","issue":"2","journalAbbreviation":"PLoS Negl Trop Dis","language":"en","page":"e0005269","source":"DOI.org (Crossref)","title":"Update on Zika Diagnostic Tests and WHO’s Related Activities","volume":"11","author":[{"family":"Chua","given":"Arlene"},{"family":"Prat","given":"Irena"},{"family":"Nuebling","given":"Claudius Micha"},{"family":"Wood","given":"David"},{"family":"Moussy","given":"Francis"}],"editor":[{"family":"De Silva","given":"Aravinda M."}],"issued":{"date-parts":[["2017",2,2]]}}},{"id":12210,"uris":["http://zotero.org/users/6216265/items/XIJQJ62C"],"itemData":{"id":12210,"type":"article-journal","container-title":"The Journal of Infectious Diseases","DOI":"10.1093/infdis/jiu821","ISSN":"0022-1899, 1537-6613","issue":"suppl_2","language":"en","page":"S29-S38","source":"DOI.org (Crossref)","title":"Defining the Needs for Next Generation Assays for Tuberculosis","volume":"211","author":[{"family":"Denkinger","given":"Claudia M."},{"family":"Kik","given":"Sandra V."},{"family":"Cirillo","given":"Daniela Maria"},{"family":"Casenghi","given":"Martina"},{"family":"Shinnick","given":"Thomas"},{"family":"Weyer","given":"Karin"},{"family":"Gilpin","given":"Chris"},{"family":"Boehme","given":"Catharina C."},{"family":"Schito","given":"Marco"},{"family":"Kimerling","given":"Michael"},{"family":"Pai","given":"Madhukar"}],"issued":{"date-parts":[["2015",4]]}}},{"id":12212,"uris":["http://zotero.org/users/6216265/items/9JFPHFWZ"],"itemData":{"id":12212,"type":"article-journal","container-title":"PLOS Neglected Tropical Diseases","DOI":"10.1371/journal.pntd.0005516","ISSN":"1935-2735","issue":"4","journalAbbreviation":"PLoS Negl Trop Dis","language":"en","page":"e0005516","source":"DOI.org (Crossref)","title":"Defining the next generation of Plasmodium vivax diagnostic tests for control and elimination: Target product profiles","title-short":"Defining the next generation of Plasmodium vivax diagnostic tests for control and elimination","volume":"11","author":[{"family":"Ding","given":"Xavier C."},{"family":"Ade","given":"Maria Paz"},{"family":"Baird","given":"J. Kevin"},{"family":"Cheng","given":"Qin"},{"family":"Cunningham","given":"Jane"},{"family":"Dhorda","given":"Mehul"},{"family":"Drakeley","given":"Chris"},{"family":"Felger","given":"Ingrid"},{"family":"Gamboa","given":"Dionicia"},{"family":"Harbers","given":"Matthias"},{"family":"Herrera","given":"Socrates"},{"family":"Lucchi","given":"Naomi"},{"family":"Mayor","given":"Alfredo"},{"family":"Mueller","given":"Ivo"},{"family":"Sattabongkot","given":"Jetsumon"},{"family":"Ratsimbason","given":"Arsène"},{"family":"Richards","given":"Jack"},{"family":"Tanner","given":"Marcel"},{"family":"González","given":"Iveth J."}],"editor":[{"family":"Pimenta","given":"Paulo Filemon"}],"issued":{"date-parts":[["2017",4,3]]}}},{"id":12214,"uris":["http://zotero.org/users/6216265/items/F3AIGXXG"],"itemData":{"id":12214,"type":"article-journal","container-title":"PLOS Neglected Tropical Diseases","DOI":"10.1371/journal.pntd.0005875","ISSN":"1935-2735","issue":"9","journalAbbreviation":"PLoS Negl Trop Dis","language":"en","page":"e0005875","source":"DOI.org (Crossref)","title":"Target product profiles for the diagnosis of Taenia solium taeniasis, neurocysticercosis and porcine cysticercosis","volume":"11","author":[{"family":"Donadeu","given":"Meritxell"},{"family":"Fahrion","given":"Anna S."},{"family":"Olliaro","given":"Piero L."},{"family":"Abela-Ridder","given":"Bernadette"}],"editor":[{"family":"Garcia","given":"Hector H."}],"issued":{"date-parts":[["2017",9,11]]}}},{"id":12207,"uris":["http://zotero.org/users/6216265/items/BI8MIJ26"],"itemData":{"id":12207,"type":"paper-conference","container-title":"IEEE Global Humanitarian Technology Conference (GHTC 2014)","DOI":"10.1109/GHTC.2014.6970338","event-place":"San Jose, CA","event-title":"2014 IEEE Global Humanitarian Technology Conference (GHTC)","ISBN":"978-1-4799-7193-0","page":"555-560","publisher":"IEEE","publisher-place":"San Jose, CA","source":"DOI.org (Crossref)","title":"Incorporating user needs into product development for improved infection detection for malaria elimination programs","URL":"http://ieeexplore.ieee.org/document/6970338/","author":[{"family":"Ebels","given":"K. B."},{"family":"Clerk","given":"C."},{"family":"Crudder","given":"C. H."},{"family":"McGray","given":"S."},{"family":"Magnuson","given":"K."},{"family":"Tietje","given":"K."},{"family":"LaBarre","given":"P."}],"accessed":{"date-parts":[["2023",11,2]]},"issued":{"date-parts":[["2014",10]]}}},{"id":12216,"uris":["http://zotero.org/users/6216265/items/YHFANQX2"],"itemData":{"id":12216,"type":"article-journal","container-title":"PLOS Neglected Tropical Diseases","DOI":"10.1371/journal.pntd.0006213","ISSN":"1935-2735","issue":"3","journalAbbreviation":"PLoS Negl Trop Dis","language":"en","page":"e0006213","source":"DOI.org (Crossref)","title":"Diagnostic tools for soil-transmitted helminths control and elimination programs: A pathway for diagnostic product development","title-short":"Diagnostic tools for soil-transmitted helminths control and elimination programs","volume":"12","author":[{"family":"Lim","given":"Mark D."},{"family":"Brooker","given":"Simon J."},{"family":"Belizario","given":"Vicente Y."},{"family":"Gay-Andrieu","given":"Françoise"},{"family":"Gilleard","given":"John"},{"family":"Levecke","given":"Bruno"},{"family":"Van Lieshout","given":"Lisette"},{"family":"Medley","given":"Graham F."},{"family":"Mekonnen","given":"Zeleke"},{"family":"Mirams","given":"Greg"},{"family":"Njenga","given":"Sammy M."},{"family":"Odiere","given":"Maurice R."},{"family":"Rudge","given":"James W."},{"family":"Stuyver","given":"Lieven"},{"family":"Vercruysse","given":"Jozef"},{"family":"Vlaminck","given":"Johnny"},{"family":"Walson","given":"Judd L."},{"literal":"the Annecy STH diagnostic experts group"}],"editor":[{"family":"Maruyama","given":"Haruhiko"}],"issued":{"date-parts":[["2018",3,1]]}}},{"id":12218,"uris":["http://zotero.org/users/6216265/items/89U67V5S"],"itemData":{"id":12218,"type":"article-journal","container-title":"Military Medicine","DOI":"10.7205/MILMED-D-15-00231","ISSN":"0026-4075, 1930-613X","issue":"8","journalAbbreviation":"Military Medicine","language":"en","page":"756-766","source":"DOI.org (Crossref)","title":"Assessing the Dengue Diagnosis Capability Gap in the Military Health System","volume":"181","author":[{"family":"Pal","given":"Subhamoy"},{"family":"Jasper","given":"Louis E."},{"family":"Lawrence","given":"Kendra L."},{"family":"Walter","given":"Maureen"},{"family":"Gilliland","given":"Theron"},{"family":"Dauner","given":"Allison L."},{"family":"Palys","given":"Thomas J."},{"family":"Wu","given":"Shuenn-Jue L."}],"issued":{"date-parts":[["2016",8]]}}},{"id":12220,"uris":["http://zotero.org/users/6216265/items/6KMQJESE"],"itemData":{"id":12220,"type":"article-journal","container-title":"PLoS Neglected Tropical Diseases","DOI":"10.1371/journal.pntd.0001746","ISSN":"1935-2735","issue":"7","journalAbbreviation":"PLoS Negl Trop Dis","language":"en","page":"e1746","source":"DOI.org (Crossref)","title":"A Diagnostics Platform for the Integrated Mapping, Monitoring, and Surveillance of Neglected Tropical Diseases: Rationale and Target Product Profiles","title-short":"A Diagnostics Platform for the Integrated Mapping, Monitoring, and Surveillance of Neglected Tropical Diseases","volume":"6","author":[{"family":"Solomon","given":"Anthony W."},{"family":"Engels","given":"Dirk"},{"family":"Bailey","given":"Robin L."},{"family":"Blake","given":"Isobel M."},{"family":"Brooker","given":"Simon"},{"family":"Chen","given":"Jia-Xu"},{"family":"Chen","given":"Jun-Hu"},{"family":"Churcher","given":"Thomas S."},{"family":"Drakeley","given":"Chris J."},{"family":"Edwards","given":"Tansy"},{"family":"Fenwick","given":"Alan"},{"family":"French","given":"Michael"},{"family":"Gabrielli","given":"Albis Francesco"},{"family":"Grassly","given":"Nicholas C."},{"family":"Harding-Esch","given":"Emma M."},{"family":"Holland","given":"Martin J."},{"family":"Koukounari","given":"Artemis"},{"family":"Lammie","given":"Patrick J."},{"family":"Leslie","given":"Jacqueline"},{"family":"Mabey","given":"David C."},{"family":"Rhajaoui","given":"Mohamed"},{"family":"Secor","given":"W. Evan"},{"family":"Stothard","given":"J. Russell"},{"family":"Wei","given":"Hu"},{"family":"Willingham","given":"A. Lee"},{"family":"Zhou","given":"Xiao-Nong"},{"family":"Peeling","given":"Rosanna W."}],"editor":[{"family":"McCarthy","given":"James S."}],"issued":{"date-parts":[["2012",7,31]]}}},{"id":12222,"uris":["http://zotero.org/users/6216265/items/77LMTDQW"],"itemData":{"id":12222,"type":"article-journal","container-title":"Sexually Transmitted Infections","DOI":"10.1136/sextrans-2016-053071","ISSN":"1368-4973, 1472-3263","issue":"S4","journalAbbreviation":"Sex Transm Infect","language":"en","page":"S69-S80","source":"DOI.org (Crossref)","title":"Advancing prevention of sexually transmitted infections through point-of-care testing: target product profiles and landscape analysis","title-short":"Advancing prevention of sexually transmitted infections through point-of-care testing","volume":"93","author":[{"family":"Toskin","given":"Igor"},{"family":"Murtagh","given":"Maurine"},{"family":"Peeling","given":"Rosanna W"},{"family":"Blondeel","given":"Karel"},{"family":"Cordero","given":"Joanna"},{"family":"Kiarie","given":"James"}],"issued":{"date-parts":[["2017",12]]}},"label":"page"},{"id":12019,"uris":["http://zotero.org/users/6216265/items/HP2FGHA5"],"itemData":{"id":12019,"type":"article-journal","container-title":"ACS Nano","DOI":"10.1021/acsnano.2c01697","ISSN":"1936-0851, 1936-086X","issue":"8","journalAbbreviation":"ACS Nano","language":"en","page":"11545-11576","source":"DOI.org (Crossref)","title":"Diagnostic Approaches For COVID-19: Lessons Learned and the Path Forward","title-short":"Diagnostic Approaches For COVID-19","volume":"16","author":[{"family":"Alafeef","given":"Maha"},{"family":"Pan","given":"Dipanjan"}],"issued":{"date-parts":[["2022",8,23]]}},"label":"page"},{"id":12021,"uris":["http://zotero.org/users/6216265/items/62V73I6Q"],"itemData":{"id":12021,"type":"article-journal","container-title":"PLOS Neglected Tropical Diseases","DOI":"10.1371/journal.pntd.0008035","ISSN":"1935-2735","issue":"4","journalAbbreviation":"PLoS Negl Trop Dis","language":"en","page":"e0008035","source":"DOI.org (Crossref)","title":"Target product profile for a test for the early assessment of treatment efficacy in Chagas disease patients: An expert consensus","title-short":"Target product profile for a test for the early assessment of treatment efficacy in Chagas disease patients","volume":"14","author":[{"family":"Alonso-Padilla","given":"Julio"},{"family":"Abril","given":"Marcelo"},{"family":"Alarcón De Noya","given":"Belkisyolé"},{"family":"Almeida","given":"Igor C."},{"family":"Angheben","given":"Andrea"},{"family":"Araujo Jorge","given":"Tania"},{"family":"Chatelain","given":"Eric"},{"family":"Esteva","given":"Monica"},{"family":"Gascón","given":"Joaquim"},{"family":"Grijalva","given":"Mario J."},{"family":"Guhl","given":"Felipe"},{"family":"Hasslocher-Moreno","given":"Alejandro Marcel"},{"family":"López","given":"Manuel Carlos"},{"family":"Luquetti","given":"Alejandro"},{"family":"Noya","given":"Oscar"},{"family":"Pinazo","given":"María Jesús"},{"family":"Ramsey","given":"Janine M."},{"family":"Ribeiro","given":"Isabela"},{"family":"Ruiz","given":"Andres Mariano"},{"family":"Schijman","given":"Alejandro G."},{"family":"Sosa-Estani","given":"Sergio"},{"family":"Thomas","given":"M. Carmen"},{"family":"Torrico","given":"Faustino"},{"family":"Zrein","given":"Maan"},{"family":"Picado","given":"Albert"}],"editor":[{"family":"Santiago","given":"Helton Da Costa"}],"issued":{"date-parts":[["2020",4,23]]}},"label":"page"},{"id":12023,"uris":["http://zotero.org/users/6216265/items/YFYAR9K4"],"itemData":{"id":12023,"type":"article-journal","container-title":"European Journal of Pharmaceutical Sciences","DOI":"10.1016/j.ejps.2016.01.003","ISSN":"09280987","journalAbbreviation":"European Journal of Pharmaceutical Sciences","language":"en","page":"92-102","source":"DOI.org (Crossref)","title":"Quality by design case study 1: Design of 5-fluorouracil loaded lipid nanoparticles by the W/O/W double emulsion — Solvent evaporation method","title-short":"Quality by design case study 1","volume":"84","author":[{"family":"Amasya","given":"Gulin"},{"family":"Badilli","given":"Ulya"},{"family":"Aksu","given":"Buket"},{"family":"Tarimci","given":"Nilufer"}],"issued":{"date-parts":[["2016",3]]}},"label":"page"},{"id":12024,"uris":["http://zotero.org/users/6216265/items/4HCDU9ZC"],"itemData":{"id":12024,"type":"article-journal","container-title":"AAPS PharmSciTech","DOI":"10.1208/s12249-019-1465-1","ISSN":"1530-9932","issue":"6","journalAbbreviation":"AAPS PharmSciTech","language":"en","page":"251","source":"DOI.org (Crossref)","title":"Quality-by-Design Approach for Biological API Encapsulation into Polymersomes Using “Off-the-Shelf” Materials: a Study on L-Asparaginase","title-short":"Quality-by-Design Approach for Biological API Encapsulation into Polymersomes Using “Off-the-Shelf” Materials","volume":"20","author":[{"family":"Apolinário","given":"Alexsandra Conceição"},{"family":"Ferraro","given":"Rafael Bertelli"},{"family":"De Oliveira","given":"Camila Areias"},{"family":"Pessoa Jr","given":"Adalberto"},{"family":"De Oliveira Rangel-Yagui","given":"Carlota"}],"issued":{"date-parts":[["2019",8]]}},"label":"page"},{"id":12025,"uris":["http://zotero.org/users/6216265/items/5VY6YHAC"],"itemData":{"id":12025,"type":"article-journal","container-title":"ACS Infectious Diseases","DOI":"10.1021/acsinfecdis.0c00889","ISSN":"2373-8227, 2373-8227","issue":"5","journalAbbreviation":"ACS Infect. Dis.","language":"en","page":"948-958","source":"DOI.org (Crossref)","title":"Target Product Profile and Development Path for Shigellosis Treatment with Antibacterials","volume":"7","author":[{"family":"Arnold","given":"Samuel L. M."}],"issued":{"date-parts":[["2021",5,14]]}},"label":"page"},{"id":12026,"uris":["http://zotero.org/users/6216265/items/NPEBDUJM"],"itemData":{"id":12026,"type":"article-journal","container-title":"International Journal of Pharmaceutics","DOI":"10.1016/j.ijpharm.2019.118448","ISSN":"03785173","journalAbbreviation":"International Journal of Pharmaceutics","language":"en","page":"118448","source":"DOI.org (Crossref)","title":"Quality by design driven development of resveratrol loaded ethosomal hydrogel for improved dermatological benefits via enhanced skin permeation and retention","volume":"567","author":[{"family":"Arora","given":"Daisy"},{"family":"Nanda","given":"Sanju"}],"issued":{"date-parts":[["2019",8]]}},"label":"page"},{"id":12027,"uris":["http://zotero.org/users/6216265/items/BRZJXFFJ"],"itemData":{"id":12027,"type":"article-journal","container-title":"International Journal of Pharmaceutics","DOI":"10.1016/j.ijpharm.2016.01.075","ISSN":"03785173","issue":"1-2","journalAbbreviation":"International Journal of Pharmaceutics","language":"en","page":"180-189","source":"DOI.org (Crossref)","title":"Self-assembly PEGylation assists SLN-paclitaxel delivery inducing cancer cell apoptosis upon internalization","volume":"501","author":[{"family":"Arranja","given":"Alexandra"},{"family":"Gouveia","given":"Luís F."},{"family":"Gener","given":"Petra"},{"family":"Rafael","given":"Diana F."},{"family":"Pereira","given":"Carolina"},{"family":"Schwartz","given":"Simó"},{"family":"Videira","given":"Mafalda A."}],"issued":{"date-parts":[["2016",3]]}},"label":"page"},{"id":12028,"uris":["http://zotero.org/users/6216265/items/AG23CAYM"],"itemData":{"id":12028,"type":"article-journal","container-title":"International Journal of Pharmaceutics","DOI":"10.1016/j.ijpharm.2012.08.033","ISSN":"03785173","issue":"1-2","journalAbbreviation":"International Journal of Pharmaceutics","language":"en","page":"167-175","source":"DOI.org (Crossref)","title":"Quality by design: Impact of formulation variables and their interactions on quality attributes of a lyophilized monoclonal antibody","title-short":"Quality by design","volume":"438","author":[{"family":"Awotwe-Otoo","given":"David"},{"family":"Agarabi","given":"Cyrus"},{"family":"Wu","given":"Geoffrey K."},{"family":"Casey","given":"Elizabeth"},{"family":"Read","given":"Erik"},{"family":"Lute","given":"Scott"},{"family":"Brorson","given":"Kurt A."},{"family":"Khan","given":"Mansoor A."},{"family":"Shah","given":"Rakhi B."}],"issued":{"date-parts":[["2012",11]]}},"label":"page"},{"id":12029,"uris":["http://zotero.org/users/6216265/items/STJ6NVD3"],"itemData":{"id":12029,"type":"article-journal","container-title":"Colloids and Surfaces B: Biointerfaces","DOI":"10.1016/j.colsurfb.2017.08.050","ISSN":"09277765","journalAbbreviation":"Colloids and Surfaces B: Biointerfaces","language":"en","page":"869-879","source":"DOI.org (Crossref)","title":"Formulation by design approach for development of ultrafine self-nanoemulsifying systems of rosuvastatin calcium containing long-chain lipophiles for hyperlipidemia management","volume":"159","author":[{"family":"Beg","given":"Sarwar"},{"family":"Katare","given":"O.P."},{"family":"Singh","given":"Bhupinder"}],"issued":{"date-parts":[["2017",11]]}},"label":"page"},{"id":12033,"uris":["http://zotero.org/users/6216265/items/RN2BACGJ"],"itemData":{"id":12033,"type":"article-journal","container-title":"Journal of Investigative Dermatology","DOI":"10.1016/j.jid.2019.07.699","ISSN":"0022202X","issue":"11","journalAbbreviation":"Journal of Investigative Dermatology","language":"en","page":"2252-2257.e1","source":"DOI.org (Crossref)","title":"Research Techniques Made Simple: An Introduction to Drug Discovery for Dermatology","title-short":"Research Techniques Made Simple","volume":"139","author":[{"family":"Bell","given":"Mark"},{"family":"Webster","given":"Lauren"},{"family":"Woodland","given":"Andrew"}],"issued":{"date-parts":[["2019",11]]}},"label":"page"},{"id":12034,"uris":["http://zotero.org/users/6216265/items/PVHKZWP8"],"itemData":{"id":12034,"type":"article-journal","container-title":"Global Health: Science and Practice","DOI":"10.9745/GHSP-D-20-00028","ISSN":"2169-575X","issue":"3","journalAbbreviation":"Glob Health Sci Pract","language":"en","page":"549-565","source":"DOI.org (Crossref)","title":"Matching Development of Point-of-Care Diagnostic Tests to the Local Context: A Case Study of Visceral Leishmaniasis in Kenya and Uganda","title-short":"Matching Development of Point-of-Care Diagnostic Tests to the Local Context","volume":"8","author":[{"family":"Bengtson","given":"Michel"},{"family":"Bharadwaj","given":"Mitasha"},{"family":"Bosch","given":"Astrid Ten"},{"family":"Nyakundi","given":"Hellen"},{"family":"Matoke-Muhia","given":"Damaris"},{"family":"Dekker","given":"Cees"},{"family":"Diehl","given":"Jan-Carel"}],"issued":{"date-parts":[["2020",9,30]]}}},{"id":12037,"uris":["http://zotero.org/users/6216265/items/Z23XTCGG"],"itemData":{"id":12037,"type":"article-journal","container-title":"Drug Discovery Today","DOI":"10.1016/j.drudis.2019.03.026","ISSN":"13596446","issue":"6","journalAbbreviation":"Drug Discovery Today","language":"en","page":"1237-1241","source":"DOI.org (Crossref)","title":"Accelerated drug discovery by rapid candidate drug identification","volume":"24","author":[{"family":"Bergström","given":"Fredrik"},{"family":"Lindmark","given":"Bo"}],"issued":{"date-parts":[["2019",6]]}}},{"id":12038,"uris":["http://zotero.org/users/6216265/items/9RQC88RQ"],"itemData":{"id":12038,"type":"article-journal","container-title":"Journal of Medicinal Chemistry","DOI":"10.1021/acs.jmedchem.9b00775","ISSN":"0022-2623, 1520-4804","issue":"2","journalAbbreviation":"J. Med. Chem.","language":"en","page":"470-489","source":"DOI.org (Crossref)","title":"Drugs for the Treatment of Zika Virus Infection","volume":"63","author":[{"family":"Bernatchez","given":"Jean A."},{"family":"Tran","given":"Lana T."},{"family":"Li","given":"Jerry"},{"family":"Luan","given":"Yepeng"},{"family":"Siqueira-Neto","given":"Jair L."},{"family":"Li","given":"Rongshi"}],"issued":{"date-parts":[["2020",1,23]]}}},{"id":12039,"uris":["http://zotero.org/users/6216265/items/WZMLIC8Z"],"itemData":{"id":12039,"type":"article-journal","container-title":"Malaria Journal","DOI":"10.1186/s12936-016-1675-x","ISSN":"1475-2875","issue":"1","journalAbbreviation":"Malar J","language":"en","page":"26","source":"DOI.org (Crossref)","title":"New developments in anti-malarial target candidate and product profiles","volume":"16","author":[{"family":"Burrows","given":"Jeremy N."},{"family":"Duparc","given":"Stephan"},{"family":"Gutteridge","given":"Winston E."},{"family":"Hooft Van Huijsduijnen","given":"Rob"},{"family":"Kaszubska","given":"Wiweka"},{"family":"Macintyre","given":"Fiona"},{"family":"Mazzuri","given":"Sébastien"},{"family":"Möhrle","given":"Jörg J."},{"family":"Wells","given":"Timothy N. C."}],"issued":{"date-parts":[["2017",12]]}}},{"id":12041,"uris":["http://zotero.org/users/6216265/items/JUE7F3IC"],"itemData":{"id":12041,"type":"article-journal","container-title":"Malaria Journal","DOI":"10.1186/s12936-018-2598-5","ISSN":"1475-2875","issue":"1","journalAbbreviation":"Malar J","language":"en","page":"462","source":"DOI.org (Crossref)","title":"A discovery and development roadmap for new endectocidal transmission-blocking agents in malaria","volume":"17","author":[{"family":"Burrows","given":"Jeremy"},{"family":"Slater","given":"Hannah"},{"family":"Macintyre","given":"Fiona"},{"family":"Rees","given":"Sarah"},{"family":"Thomas","given":"Anna"},{"family":"Okumu","given":"Fredros"},{"family":"Hooft Van Huijsduijnen","given":"Rob"},{"family":"Duparc","given":"Stephan"},{"family":"Wells","given":"Timothy N. C."}],"issued":{"date-parts":[["2018",12]]}}},{"id":12043,"uris":["http://zotero.org/users/6216265/items/5WRCBSSE"],"itemData":{"id":12043,"type":"article-journal","abstract":"Abstract\n            \n              \n              The development of robust and well-characterized methods of production of cell therapies has become increasingly important as therapies advance through clinical trials toward approval. A successful cell therapy will be a consistent, safe, and effective cell product, regardless of the cell type or application. Process development strategies can be developed to gain efficiency while maintaining or improving safety and quality profiles. This review presents an introduction to the process development challenges of cell therapies and describes some of the tools available to address production issues. This article will provide a summary of what should be considered to efficiently advance a cellular therapy from the research stage through clinical trials and finally toward commercialization. The identification of the basic questions that affect process development is summarized in the target product profile, and considerations for process optimization are discussed. The goal is to identify potential manufacturing concerns early in the process so they may be addressed effectively and thus increase the probability that a therapy will be successful.\n            \n            \n              Significance\n              The present study contributes to the field of cell therapy by providing a resource for those transitioning a potential therapy from the research stage to clinical and commercial applications. It provides the necessary steps that, when followed, can result in successful therapies from both a clinical and commercial perspective.","container-title":"Stem Cells Translational Medicine","DOI":"10.5966/sctm.2014-0294","ISSN":"2157-6564, 2157-6580","issue":"10","language":"en","page":"1155-1163","source":"DOI.org (Crossref)","title":"Concise Review: Process Development Considerations for Cell Therapy","title-short":"Concise Review","volume":"4","author":[{"family":"Campbell","given":"Andrew"},{"family":"Brieva","given":"Thomas"},{"family":"Raviv","given":"Lior"},{"family":"Rowley","given":"Jon"},{"family":"Niss","given":"Knut"},{"family":"Brandwein","given":"Harvey"},{"family":"Oh","given":"Steve"},{"family":"Karnieli","given":"Ohad"}],"issued":{"date-parts":[["2015",10,1]]}}},{"id":12045,"uris":["http://zotero.org/users/6216265/items/HWKPZCV2"],"itemData":{"id":12045,"type":"article-journal","abstract":"Significance\n            \n              Genetic systems for controlling transmission of vector-borne diseases are moving from discovery-stage demonstrations of proofs-of-principle to the next phases of development. A successful transition requires meeting safety and efficacy criteria defined in target product profiles. We show here that the Cas9/guide RNA-based gene-drive components of a genetically-engineered malaria mosquito vector,\n              Anopheles gambiae\n              , achieve key target product profile requirements for efficacy and performance. This system is designed to achieve mosquito population modification when coupled with genes encoding antiparasite effector molecules and result in stable and sustainable blocking of malaria parasite transmission.\n            \n          , \n            \n              A Cas9/guide RNA-based gene drive strain, AgNosCd-1, was developed to deliver antiparasite effector molecules to the malaria vector mosquito,\n              Anopheles gambiae\n              . The drive system targets the\n              cardinal\n              gene ortholog producing a red-eye phenotype. Drive can achieve 98 to 100% in both sexes and full introduction was observed in small cage trials within 6 to 10 generations following a single release of gene-drive males. No genetic load resulting from the integrated transgenes impaired drive performance in the trials. Potential drive-resistant target-site alleles arise at a frequency &lt;0.1, and five of the most prevalent polymorphisms in the guide RNA target site in collections of colonized and wild-derived African mosquitoes do not prevent cleavage in vitro by the Cas9/guide RNA complex. Only one predicted off-target site is cleavable in vitro, with negligible deletions observed in vivo. AgNosCd-1 meets key performance criteria of a target product profile and can be a valuable component of a field-ready strain for mosquito population modification to control malaria transmission.","container-title":"Proceedings of the National Academy of Sciences","DOI":"10.1073/pnas.2010214117","ISSN":"0027-8424, 1091-6490","issue":"37","journalAbbreviation":"Proc. Natl. Acad. Sci. U.S.A.","language":"en","page":"22805-22814","source":"DOI.org (Crossref)","title":"Next-generation gene drive for population modification of the malaria vector mosquito, &lt;i&gt;Anopheles gambiae&lt;/i&gt;","volume":"117","author":[{"family":"Carballar-Lejarazú","given":"Rebeca"},{"family":"Ogaugwu","given":"Christian"},{"family":"Tushar","given":"Taylor"},{"family":"Kelsey","given":"Adam"},{"family":"Pham","given":"Thai Binh"},{"family":"Murphy","given":"Jazmin"},{"family":"Schmidt","given":"Hanno"},{"family":"Lee","given":"Yoosook"},{"family":"Lanzaro","given":"Gregory C."},{"family":"James","given":"Anthony A."}],"issued":{"date-parts":[["2020",9,15]]}},"label":"page"},{"id":12047,"uris":["http://zotero.org/users/6216265/items/CV3FADJV"],"itemData":{"id":12047,"type":"article-journal","container-title":"The AAPS Journal","DOI":"10.1208/s12248-013-9472-8","ISSN":"1550-7416","issue":"3","journalAbbreviation":"AAPS J","language":"en","page":"674-683","source":"DOI.org (Crossref)","title":"Generic Development of Topical Dermatologic Products, Part II: Quality by Design for Topical Semisolid Products","title-short":"Generic Development of Topical Dermatologic Products, Part II","volume":"15","author":[{"family":"Chang","given":"Rong-Kun"},{"family":"Raw","given":"Andre"},{"family":"Lionberger","given":"Robert"},{"family":"Yu","given":"Lawrence"}],"issued":{"date-parts":[["2013",7]]}}},{"id":12049,"uris":["http://zotero.org/users/6216265/items/JPXF5H3P"],"itemData":{"id":12049,"type":"article-journal","abstract":"Purpose: The purpose of the study was to develop and optimize rosiglitazone maleate mucoadhesive extended-release tablets by quality by design (QbD) approach. Based on QTPP (quality target product profile) CQAs (critical quality attributes) were identified.  Methods: Failure mode and effects analysis (FMEA) method were adopted for risk assessment. Risk analysis by the evaluation of formulation and process parameters showed that the optimizing the levels of polymers could reduce high risk to achieve target profile. Drug-excipient compatibility studies by Fourier transforms infra-red and DSC studies showed that the drug was compatible with the polymers used. Design of experiment (DoE) performed by Sigma tech software, Carbopol 934P and sodium carboxymethyl cellulose (SCMC) were identified as independent variables and hardness, drug release at 12 hours and ex vivo mucoadhesion time were adopted as responses. Contour plots generated from the software were used for identification of design space.  Results: Carbopol 934P and SCMC had positive and negative effects respectively on the selected responses. Higher the concentration of Carbopol 934P and lower the concentration of SCMC mucoadhesive extended release criteria could be achieved. Drug release kinetics followed first order release with Higuchi diffusion and Fickian diffusion. Ex vivo mucoadhesion test on goat stomach mucosa indicated that adhesion time increased at higher concentrations of Carbopol 934P. Optimized formula satisfying all the required parameters was selected and evaluated. The predicted response values were in close agreement with experimental response values, confirmed by calculating standard error.  Conclusion: It has been concluded that the application of QbD in the optimization reduced the number of trials to produce a cost-effective formula.","container-title":"Advanced Pharmaceutical Bulletin","DOI":"10.15171/apb.2019.032","ISSN":"2228-5881, 2251-7308","issue":"2","journalAbbreviation":"Adv Pharm Bull","language":"en","page":"281-288","source":"DOI.org (Crossref)","title":"A Cost Effective (QbD) Approach in the Development and Optimization of Rosiglitazone Maleate Mucoadhesive Extended Release Tablets – In Vitro and Ex Vivo","volume":"9","author":[{"family":"Chappidi","given":"Suryaprakash Reddy"},{"family":"Bhargav","given":"Eranti"},{"family":"Marikunte","given":"Venkataranganna"},{"family":"Chinthaginjala","given":"Haranath"},{"family":"Vijaya Jyothi","given":"Mallela"},{"family":"Pisay","given":"Muralidhar"},{"family":"Jutur","given":"Mounika"},{"family":"Shaik Mahammad","given":"Mujahid"},{"family":"Poura","given":"Mrunalini"},{"family":"Yadav","given":"Sailaja"},{"family":"Syed","given":"Moinuddin"}],"issued":{"date-parts":[["2019",6,1]]}}},{"id":12051,"uris":["http://zotero.org/users/6216265/items/SVYHIHN7"],"itemData":{"id":12051,"type":"article-journal","container-title":"International Journal of Pharmaceutics","DOI":"10.1016/j.ijpharm.2011.12.024","ISSN":"03785173","issue":"2","journalAbbreviation":"International Journal of Pharmaceutics","language":"en","page":"167-178","source":"DOI.org (Crossref)","title":"Quality by design approach for formulation development: A case study of dispersible tablets","title-short":"Quality by design approach for formulation development","volume":"423","author":[{"family":"Charoo","given":"Naseem A."},{"family":"Shamsher","given":"Areeg A.A."},{"family":"Zidan","given":"Ahmed S."},{"family":"Rahman","given":"Ziyaur"}],"issued":{"date-parts":[["2012",2]]}},"label":"page"},{"id":12052,"uris":["http://zotero.org/users/6216265/items/3XKN2KVA"],"itemData":{"id":12052,"type":"article-journal","container-title":"Drug Development and Industrial Pharmacy","DOI":"10.3109/03639045.2016.1160108","ISSN":"0363-9045, 1520-5762","issue":"10","journalAbbreviation":"Drug Development and Industrial Pharmacy","language":"en","page":"1643-1652","source":"DOI.org (Crossref)","title":"Quality by design approach for development of suspension nasal spray products: a case study on budesonide nasal suspension","title-short":"Quality by design approach for development of suspension nasal spray products","volume":"42","author":[{"family":"Chudiwal","given":"Swapnil Sharadkumar"},{"family":"Dehghan","given":"Mohamed Hassan G."}],"issued":{"date-parts":[["2016",10,2]]}},"label":"page"},{"id":12053,"uris":["http://zotero.org/users/6216265/items/JVW5DS2L"],"itemData":{"id":12053,"type":"article-journal","container-title":"Pharmaceutical Development and Technology","DOI":"10.1080/10837450.2016.1236130","ISSN":"1083-7450, 1097-9867","issue":"10","journalAbbreviation":"Pharmaceutical Development and Technology","language":"en","page":"1077-1087","source":"DOI.org (Crossref)","title":"Quality by design (QbD) approach for design and development of drug-device combination products: a case study on flunisolide nasal spray","title-short":"Quality by design (QbD) approach for design and development of drug-device combination products","volume":"23","author":[{"family":"Chudiwal","given":"Swapnil Sharadkumar"},{"family":"Dehghan","given":"Mohamed Hassan G."}],"issued":{"date-parts":[["2018",11,26]]}},"label":"page"},{"id":12054,"uris":["http://zotero.org/users/6216265/items/ZGQI4SFC"],"itemData":{"id":12054,"type":"article-journal","container-title":"Drug Development and Industrial Pharmacy","DOI":"10.1080/03639045.2017.1413111","ISSN":"0363-9045, 1520-5762","issue":"5","journalAbbreviation":"Drug Development and Industrial Pharmacy","language":"en","page":"787-799","source":"DOI.org (Crossref)","title":"Development of sustained release gastro-retentive tablet formulation of nicardipine hydrochloride using quality by design (QbD) approach","volume":"44","author":[{"family":"Chudiwal","given":"Vijay S."},{"family":"Shahi","given":"Sadhana"},{"family":"Chudiwal","given":"Swapnil"}],"issued":{"date-parts":[["2018",5,4]]}},"label":"page"},{"id":12055,"uris":["http://zotero.org/users/6216265/items/H7PPVU8R"],"itemData":{"id":12055,"type":"article-journal","container-title":"International Journal of Pharmaceutics","DOI":"10.1016/j.ijpharm.2021.120933","ISSN":"03785173","journalAbbreviation":"International Journal of Pharmaceutics","language":"en","page":"120933","source":"DOI.org (Crossref)","title":"Quality by design (QbD) optimization of diazepam-loaded nanostructured lipid carriers (NLC) for nose-to-brain delivery: Toxicological effect of surface charge on human neuronal cells","title-short":"Quality by design (QbD) optimization of diazepam-loaded nanostructured lipid carriers (NLC) for nose-to-brain delivery","volume":"607","author":[{"family":"Costa","given":"C.P."},{"family":"Cunha","given":"S."},{"family":"Moreira","given":"J.N."},{"family":"Silva","given":"R."},{"family":"Gil-Martins","given":"E."},{"family":"Silva","given":"V."},{"family":"Azevedo","given":"L."},{"family":"Peixoto","given":"A.F."},{"family":"Sousa Lobo","given":"J.M."},{"family":"Silva","given":"A.C."}],"issued":{"date-parts":[["2021",9]]}}},{"id":12056,"uris":["http://zotero.org/users/6216265/items/8KBTRW8U"],"itemData":{"id":12056,"type":"article-journal","container-title":"International Journal of Pharmaceutics","DOI":"10.1016/j.ijpharm.2015.04.038","ISSN":"03785173","issue":"1-2","journalAbbreviation":"International Journal of Pharmaceutics","language":"en","page":"58-72","source":"DOI.org (Crossref)","title":"Implementation of quality by design principles in the development of microsponges as drug delivery carriers: Identification and optimization of critical factors using multivariate statistical analyses and design of experiments studies","title-short":"Implementation of quality by design principles in the development of microsponges as drug delivery carriers","volume":"489","author":[{"family":"Crcarevska","given":"Maja"},{"family":"Dimitrovska","given":"Aneta"},{"family":"Sibinovska","given":"Nadica"},{"family":"Mladenovska","given":"Kristina"},{"family":"Slavevska Raicki","given":"Renata"},{"family":"Glavas Dodov","given":"Marija"}],"issued":{"date-parts":[["2015",7]]}}},{"id":12057,"uris":["http://zotero.org/users/6216265/items/PSNZ5TKX"],"itemData":{"id":12057,"type":"article-journal","container-title":"Parasite Epidemiology and Control","DOI":"10.1016/j.parepi.2019.e00103","ISSN":"24056731","journalAbbreviation":"Parasite Epidemiology and Control","language":"en","page":"e00103","source":"DOI.org (Crossref)","title":"Target Product Profile for a point-of-care diagnostic test for dermal leishmaniases","volume":"5","author":[{"family":"Cruz","given":"Israel"},{"family":"Albertini","given":"Audrey"},{"family":"Barbeitas","given":"Mady"},{"family":"Arana","given":"Byron"},{"family":"Picado","given":"Albert"},{"family":"Ruiz-Postigo","given":"Jose A."},{"family":"Ndung'u","given":"Joseph M."}],"issued":{"date-parts":[["2019",5]]}}},{"id":12058,"uris":["http://zotero.org/users/6216265/items/54PQPFSY"],"itemData":{"id":12058,"type":"article-journal","abstract":"Rivastigmine is a drug commonly used in the management of Alzheimer’s disease that shows bioavailability problems. To overcome this, the use of nanosystems, such as nanostructured lipid carriers (NLC), administered through alternative routes seems promising. In this work, we performed a double optimization of a rivastigmine-loaded NLC formulation for direct drug delivery from the nose to the brain using the quality by design (QbD) approach, whereby the quality target product profile (QTPP) was the requisite for nose to brain delivery. The experiments started with the optimization of the formulation variables (or critical material attributes—CMAs) using a central composite design. The rivastigmine-loaded NLC formulations with the best critical quality attributes (CQAs) of particle size, polydispersity index (PDI), zeta potential (ZP), and encapsulation efficiency (EE) were selected for the second optimization, which was related to the production methods (ultrasound technique and high-pressure homogenization). The most suitable instrumental parameters for the production of NLC were analyzed through a Box–Behnken design, with the same CQAs being evaluated for the first optimization. For the second part of the optimization studies, were selected two rivastigmine-loaded NLC formulations: one produced by ultrasound technique and the other by the high-pressure homogenization (HPH) method. Afterwards, the pH and osmolarity of these formulations were adjusted to the physiological nasal mucosa values and in vitro drug release studies were performed. The results of the first part of the optimization showed that the most adequate ratios of lipids and surfactants were 7.49:1.94 and 4.5:0.5 (%, w/w), respectively. From the second part of the optimization, the results for the particle size, PDI, ZP, and EE of the rivastigmine-loaded NLC formulations produced by ultrasound technique and HPH method were, respectively, 114.0 ± 1.9 nm and 109.0 ± 0.9 nm; 0.221 ± 0.003 and 0.196 ± 0.007; −30.6 ± 0.3 mV and −30.5 ± 0.3 mV; 97.0 ± 0.5% and 97.2 ± 0.3%. Herein, the HPH was selected as the most suitable production method, although the ultrasound technique has also shown effectiveness. In addition, no significant changes in CQAs were observed after 90 days of storage of the formulations at different temperatures. In vitro studies showed that the release of rivastigmine followed a non-Fickian mechanism, with an initial fast drug release followed by a prolonged release over 48 h. This study has optimized a rivastigmine-loaded NLC formulation produced by the HPH method for nose-to-brain delivery of rivastigmine. The next step is for in vitro and in vivo experiments to demonstrate preclinical efficacy and safety. QbD was demonstrated to be a useful approach for the optimization of NLC formulations for which specific physicochemical requisites can be identified.","container-title":"Pharmaceutics","DOI":"10.3390/pharmaceutics12070599","ISSN":"1999-4923","issue":"7","journalAbbreviation":"Pharmaceutics","language":"en","page":"599","source":"DOI.org (Crossref)","title":"Double Optimization of Rivastigmine-Loaded Nanostructured Lipid Carriers (NLC) for Nose-to-Brain Delivery Using the Quality by Design (QbD) Approach: Formulation Variables and Instrumental Parameters","title-short":"Double Optimization of Rivastigmine-Loaded Nanostructured Lipid Carriers (NLC) for Nose-to-Brain Delivery Using the Quality by Design (QbD) Approach","volume":"12","author":[{"family":"Cunha","given":"Sara"},{"family":"Costa","given":"Cláudia Pina"},{"family":"Loureiro","given":"Joana A."},{"family":"Alves","given":"Jorge"},{"family":"Peixoto","given":"Andreia F."},{"family":"Forbes","given":"Ben"},{"family":"Sousa Lobo","given":"José Manuel"},{"family":"Silva","given":"Ana Catarina"}],"issued":{"date-parts":[["2020",6,28]]}}},{"id":12061,"uris":["http://zotero.org/users/6216265/items/V7UR6WBW"],"itemData":{"id":12061,"type":"article-journal","abstract":"Bacterial blood stream infections (BSI) are a common cause of mortality and morbidity globally. As the causative agents and the resulting treatment decisions vary, near-patient testing and surveillance tools are necessary to monitor bacterial causes and resistance to antimicrobial agents. The gold standard to identify BSIs is blood culture (BC), a methodology not widely available in resource-limited settings. The aim of the study was to map out a target product profile of a simplified BC system (SBCS) to inform product development efforts. To identify the desired characteristics of a SBCS, we enlisted a small group of specialists working in Africa and Asia. Questions were used to understand challenges and how these constraints inform system requirements. The specialists were infectious disease physicians, public health/clinical microbiologists, clinical researchers, and technology experts with different geographical backgrounds. All suggested that BC should ideally be available at the district hospital level. Many of the same operational challenges, such as limited availability of culture bottles, electricity and internet connectivity, profuse dust, the lack of ambient temperature control, and human capacity constraints were identified across the different regions. BCs, although the accepted gold standard for diagnosis of BSIs, are not widely available outside of reference/research centers in Africa and Asia. To extend the reach of this important tool, it is crucial to engage product developers and academic research partners to develop accessible alternatives.","container-title":"Diagnostics","DOI":"10.3390/diagnostics9010010","ISSN":"2075-4418","issue":"1","journalAbbreviation":"Diagnostics","language":"en","page":"10","source":"DOI.org (Crossref)","title":"Defining System Requirements for Simplified Blood Culture to Enable Widespread Use in Resource-Limited Settings","volume":"9","author":[{"family":"Dailey","given":"Peter"},{"family":"Osborn","given":"Jennifer"},{"family":"Ashley","given":"Elizabeth"},{"family":"Baron","given":"Ellen"},{"family":"Dance","given":"David"},{"family":"Fusco","given":"Daniela"},{"family":"Fanello","given":"Caterina"},{"family":"Manabe","given":"Yukari"},{"family":"Mokomane","given":"Margaret"},{"family":"Newton","given":"Paul"},{"family":"Tessema","given":"Belay"},{"family":"Isaacs","given":"Chris"},{"family":"Dittrich","given":"Sabine"}],"issued":{"date-parts":[["2019",1,11]]}}},{"id":12063,"uris":["http://zotero.org/users/6216265/items/UA5H37QU"],"itemData":{"id":12063,"type":"article-journal","container-title":"AAPS PharmSciTech","DOI":"10.1208/s12249-021-02132-5","ISSN":"1530-9932","issue":"7","journalAbbreviation":"AAPS PharmSciTech","language":"en","page":"244","source":"DOI.org (Crossref)","title":"Development and Optimization of Asenapine Sublingual Film Using QbD Approach","volume":"22","author":[{"family":"Dalal","given":"Rahil"},{"family":"Shah","given":"Jigar"},{"family":"Gorain","given":"Bapi"},{"family":"Choudhury","given":"Hira"},{"family":"Jacob","given":"Shery"},{"family":"Mehta","given":"Tejal A."},{"family":"Shah","given":"Hiral"},{"family":"Nair","given":"Anroop B."}],"issued":{"date-parts":[["2021",10]]}}},{"id":12064,"uris":["http://zotero.org/users/6216265/items/7YUHUR53"],"itemData":{"id":12064,"type":"article-journal","container-title":"International Journal of Pharmaceutics","DOI":"10.1016/j.ijpharm.2019.118717","ISSN":"03785173","journalAbbreviation":"International Journal of Pharmaceutics","language":"en","page":"118717","source":"DOI.org (Crossref)","title":"Quality by design approach for the preparation of fat-soluble vitamins lipid injectable emulsion","volume":"571","author":[{"family":"Deng","given":"Yanping"},{"family":"Zhong","given":"Guifeng"},{"family":"Wang","given":"Yi"},{"family":"Wang","given":"Ni"},{"family":"Yu","given":"Qing"},{"family":"Yu","given":"Xiangbin"}],"issued":{"date-parts":[["2019",11]]}}},{"id":12065,"uris":["http://zotero.org/users/6216265/items/3MBFKBJQ"],"itemData":{"id":12065,"type":"article-journal","container-title":"The Journal of Infectious Diseases","DOI":"10.1093/infdis/jiu682","ISSN":"0022-1899, 1537-6613","issue":"suppl_2","language":"en","page":"S39-S49","source":"DOI.org (Crossref)","title":"Target Product Profile of a Molecular Drug-Susceptibility Test for Use in Microscopy Centers","volume":"211","author":[{"family":"Denkinger","given":"Claudia M."},{"family":"Dolinger","given":"David"},{"family":"Schito","given":"Marco"},{"family":"Wells","given":"William"},{"family":"Cobelens","given":"Frank"},{"family":"Pai","given":"Madhukar"},{"family":"Zignol","given":"Matteo"},{"family":"Cirillo","given":"Daniela Maria"},{"family":"Alland","given":"David"},{"family":"Casenghi","given":"Martina"},{"family":"Gallarda","given":"Jim"},{"family":"Boehme","given":"Catharina C."},{"family":"Perkins","given":"Mark D."}],"issued":{"date-parts":[["2015",4]]}}},{"id":12067,"uris":["http://zotero.org/users/6216265/items/RRP9XUR4"],"itemData":{"id":12067,"type":"article-journal","container-title":"PLOS ONE","DOI":"10.1371/journal.pone.0161721","ISSN":"1932-6203","issue":"8","journalAbbreviation":"PLoS ONE","language":"en","page":"e0161721","source":"DOI.org (Crossref)","title":"Target Product Profile for a Diagnostic Assay to Differentiate between Bacterial and Non-Bacterial Infections and Reduce Antimicrobial Overuse in Resource-Limited Settings: An Expert Consensus","title-short":"Target Product Profile for a Diagnostic Assay to Differentiate between Bacterial and Non-Bacterial Infections and Reduce Antimicrobial Overuse in Resource-Limited Settings","volume":"11","author":[{"family":"Dittrich","given":"Sabine"},{"family":"Tadesse","given":"Birkneh Tilahun"},{"family":"Moussy","given":"Francis"},{"family":"Chua","given":"Arlene"},{"family":"Zorzet","given":"Anna"},{"family":"Tängdén","given":"Thomas"},{"family":"Dolinger","given":"David L."},{"family":"Page","given":"Anne-Laure"},{"family":"Crump","given":"John A."},{"family":"D’Acremont","given":"Valerie"},{"family":"Bassat","given":"Quique"},{"family":"Lubell","given":"Yoel"},{"family":"Newton","given":"Paul N."},{"family":"Heinrich","given":"Norbert"},{"family":"Rodwell","given":"Timothy J."},{"family":"González","given":"Iveth J."}],"editor":[{"family":"Yansouni","given":"Cedric"}],"issued":{"date-parts":[["2016",8,25]]}}},{"id":12069,"uris":["http://zotero.org/users/6216265/items/PEZECKTS"],"itemData":{"id":12069,"type":"article-journal","container-title":"Pharmaceutical Research","DOI":"10.1007/s11095-019-2663-y","ISSN":"0724-8741, 1573-904X","issue":"10","journalAbbreviation":"Pharm Res","language":"en","page":"142","source":"DOI.org (Crossref)","title":"Identification of Factors of Importance for Spray Drying of Small Interfering RNA-Loaded Lipidoid-Polymer Hybrid Nanoparticles for Inhalation","volume":"36","author":[{"family":"Dormenval","given":"Cypriane"},{"family":"Lokras","given":"Abhijeet"},{"family":"Cano-Garcia","given":"Guillermo"},{"family":"Wadhwa","given":"Abishek"},{"family":"Thanki","given":"Kaushik"},{"family":"Rose","given":"Fabrice"},{"family":"Thakur","given":"Aneesh"},{"family":"Franzyk","given":"Henrik"},{"family":"Foged","given":"Camilla"}],"issued":{"date-parts":[["2019",10]]}}},{"id":12070,"uris":["http://zotero.org/users/6216265/items/MER6KMER"],"itemData":{"id":12070,"type":"article-journal","abstract":"With increasing geographic spread, frequency, and magnitude of outbreaks, dengue continues to pose a major public health threat worldwide. Dengvaxia, a dengue live-attenuated tetravalent vaccine, was licensed in 2015, but post hoc analyses of long-term data showed serostatus-dependent vaccine performance with an excess risk of hospitalized and severe dengue in seronegative vaccine recipients. The World Health Organization (WHO) recommended that only persons with evidence of past dengue infection should receive the vaccine. A test for pre-vaccination screening for dengue serostatus is needed. To develop the target product profile (TPP) for a dengue pre-vaccination screening test, face-to-face consultative meetings were organized with follow-up regional consultations. A technical working group was formed to develop consensus on a reference test against which candidate pre-vaccination screening tests could be compared. The group also reviewed current diagnostic landscape and the need to accelerate the evaluation, regulatory approval, and policy development of tests that can identify seropositive individuals and maximize public health impact of vaccination while avoiding the risk of hospitalization in dengue-naive individuals. Pre-vaccination screening strategies will benefit from rapid diagnostic tests (RDTs) that are affordable, sensitive, and specific and can be used at the point of care (POC). The TPP described the minimum and ideal characteristics of a dengue pre-vaccination screening RDT with an emphasis on high specificity. The group also made suggestions for accelerating access to these RDTs through streamlining regulatory approval and policy development. Risk and benefit based on what can be achieved with RDTs meeting minimal and optimal characteristics in the TPP across a range of seroprevalences were defined. The final choice of RDTs in each country will depend on the performance of the RDT, dengue seroprevalence in the target population, tolerance of risk, and cost-effectiveness.","container-title":"PLOS Neglected Tropical Diseases","DOI":"10.1371/journal.pntd.0009557","ISSN":"1935-2735","issue":"7","journalAbbreviation":"PLoS Negl Trop Dis","language":"en","page":"e0009557","source":"DOI.org (Crossref)","title":"Target product profile for a dengue pre-vaccination screening test","volume":"15","author":[{"family":"Fongwen","given":"Noah"},{"family":"Wilder-Smith","given":"Annelise"},{"family":"Gubler","given":"Duane J."},{"family":"Ooi","given":"Eng Eong"},{"family":"T. Salvana","given":"Edsel Maurice"},{"family":"De Lamballerie","given":"Xavier"},{"family":"Olliaro","given":"Piero L."},{"family":"Peeling","given":"Rosanna W."}],"editor":[{"family":"Gawarammana","given":"Indika"}],"issued":{"date-parts":[["2021",7,29]]}}},{"id":12072,"uris":["http://zotero.org/users/6216265/items/BAFT5843"],"itemData":{"id":12072,"type":"article-journal","container-title":"Frontiers in Pharmacology","DOI":"10.3389/fphar.2020.00937","ISSN":"1663-9812","journalAbbreviation":"Front. Pharmacol.","page":"937","source":"DOI.org (Crossref)","title":"A Snapshot of the Global Race for Vaccines Targeting SARS-CoV-2 and the COVID-19 Pandemic","volume":"11","author":[{"family":"Funk","given":"Colin D."},{"family":"Laferrière","given":"Craig"},{"family":"Ardakani","given":"Ali"}],"issued":{"date-parts":[["2020",6,19]]}}},{"id":12074,"uris":["http://zotero.org/users/6216265/items/HAXEQ5CJ"],"itemData":{"id":12074,"type":"article-journal","container-title":"PLOS ONE","DOI":"10.1371/journal.pone.0200531","ISSN":"1932-6203","issue":"8","journalAbbreviation":"PLoS ONE","language":"en","page":"e0200531","source":"DOI.org (Crossref)","title":"Matching diagnostics development to clinical need: Target product profile development for a point of care test for community-acquired lower respiratory tract infection","title-short":"Matching diagnostics development to clinical need","volume":"13","author":[{"family":"Gal","given":"Micaela"},{"family":"Francis","given":"Nicholas A."},{"family":"Hood","given":"Kerenza"},{"family":"Villacian","given":"Jorge"},{"family":"Goossens","given":"Herman"},{"family":"Watkins","given":"Angela"},{"family":"Butler","given":"Christopher C."},{"literal":"the RAPP-ID consortium"}],"editor":[{"family":"Gupta","given":"Vineet"}],"issued":{"date-parts":[["2018",8,1]]}}},{"id":12076,"uris":["http://zotero.org/users/6216265/items/FMDTP3AR"],"itemData":{"id":12076,"type":"article-journal","container-title":"Pulmonology","DOI":"10.1016/j.rppnen.2017.12.002","ISSN":"25310437","issue":"2","journalAbbreviation":"Pulmonology","language":"en","page":"73-85","source":"DOI.org (Crossref)","title":"Point of care diagnostics for tuberculosis","volume":"24","author":[{"family":"García-Basteiro","given":"A.L."},{"family":"DiNardo","given":"A."},{"family":"Saavedra","given":"B."},{"family":"Silva","given":"D.R."},{"family":"Palmero","given":"D."},{"family":"Gegia","given":"M."},{"family":"Migliori","given":"G.B."},{"family":"Duarte","given":"R."},{"family":"Mambuque","given":"E."},{"family":"Centis","given":"R."},{"family":"Cuevas","given":"L.E."},{"family":"Izco","given":"S."},{"family":"Theron","given":"G."}],"issued":{"date-parts":[["2018",3]]}}},{"id":12078,"uris":["http://zotero.org/users/6216265/items/CQ3LBGY7"],"itemData":{"id":12078,"type":"article-journal","container-title":"Colloids and Surfaces B: Biointerfaces","DOI":"10.1016/j.colsurfb.2016.02.012","ISSN":"09277765","journalAbbreviation":"Colloids and Surfaces B: Biointerfaces","language":"en","page":"611-622","source":"DOI.org (Crossref)","title":"Systematic development of solid self-nanoemulsifying oily formulations (S-SNEOFs) for enhancing the oral bioavailability and intestinal lymphatic uptake of lopinavir","volume":"141","author":[{"family":"Garg","given":"Babita"},{"family":"Katare","given":"O.P."},{"family":"Beg","given":"Sarwar"},{"family":"Lohan","given":"Shikha"},{"family":"Singh","given":"Bhupinder"}],"issued":{"date-parts":[["2016",5]]}}},{"id":12079,"uris":["http://zotero.org/users/6216265/items/LGAAUT2S"],"itemData":{"id":12079,"type":"article-journal","container-title":"AIDS Patient Care and STDs","DOI":"10.1089/108729103322277402","ISSN":"1087-2914, 1557-7449","issue":"8","journalAbbreviation":"AIDS Patient Care and STDs","language":"en","page":"377-399","source":"DOI.org (Crossref)","title":"Development Pharmaceutics of Microbicide Formulations. Part II: Formulation, Evaluation, and Challenges","title-short":"Development Pharmaceutics of Microbicide Formulations. Part II","volume":"17","author":[{"family":"Garg","given":"Sanjay"},{"family":"Tambwekar","given":"Kaustubh R."},{"family":"Vermani","given":"Kavita"},{"family":"Kandarapu","given":"Raghupathi"},{"family":"Garg","given":"Alka"},{"family":"Waller","given":"Donald P."},{"family":"Zaneveld","given":"Lourens J.D."}],"issued":{"date-parts":[["2003",8]]}}},{"id":12080,"uris":["http://zotero.org/users/6216265/items/R5UEG7PJ"],"itemData":{"id":12080,"type":"article-journal","abstract":"Abstract\n            \n              The main objective of the present study was to apply QbD methodology in the development of once-a-day sustained release quetiapine tablets. The quality target product profile (QTPP) was defined after the pharmaceutical properties and kinetic release of the innovator product, Seroquel XR 200 mg. For the D-optimal experimental design, the level and ratio of matrix forming agents and the type of extragranular diluent were chosen as independent inputs, which represented critical formulation factors. The critical quality attributes (CQAs) studied were the cumulative percentages of quetiapine released after certain time intervals. After the analysis of the experimental design, optimal formulas and the design space were defined. Optimal formulas demonstrated zero-order release kinetics and a dissolution profile similar to the innovator product, with f\n              2\n              values of 74.53 and 83.74. It was concluded that the QbD approach allowed fast development of sustained release tablets with similar dissolution behavior as the innovator product.","container-title":"Acta Pharmaceutica","DOI":"10.1515/acph-2017-0009","ISSN":"1846-9558","issue":"1","language":"en","page":"53-70","source":"DOI.org (Crossref)","title":"Formulation and pharmaceutical development of quetiapine fumarate sustained release matrix tablets using a QbD approach","volume":"67","author":[{"family":"Gavan","given":"Alexandru"},{"family":"Porfire","given":"Alina"},{"family":"Marina","given":"Cristina"},{"family":"Tomuta","given":"Ioan"}],"issued":{"date-parts":[["2017",3,1]]}}},{"id":12086,"uris":["http://zotero.org/users/6216265/items/GQ25699G"],"itemData":{"id":12086,"type":"article-journal","container-title":"Drug Delivery and Translational Research","DOI":"10.1007/s13346-021-01083-5","ISSN":"2190-393X, 2190-3948","issue":"7","journalAbbreviation":"Drug Deliv. and Transl. Res.","language":"en","page":"1753-1773","source":"DOI.org (Crossref)","title":"Development of ritonavir-loaded nanostructured lipid carriers employing quality by design (QbD) as a tool: characterizations, permeability, and bioavailability studies","title-short":"Development of ritonavir-loaded nanostructured lipid carriers employing quality by design (QbD) as a tool","volume":"12","author":[{"family":"Gurumukhi","given":"Vishal C."},{"family":"Bari","given":"Sanjaykumar B."}],"issued":{"date-parts":[["2022",7]]}}},{"id":12088,"uris":["http://zotero.org/users/6216265/items/ZYSEVCYB"],"itemData":{"id":12088,"type":"article-journal","container-title":"AAPS PharmSciTech","DOI":"10.1208/s12249-017-0797-y","ISSN":"1530-9932","issue":"8","journalAbbreviation":"AAPS PharmSciTech","language":"en","page":"3129-3139","source":"DOI.org (Crossref)","title":"Implementation of Quality by Design for Formulation of Rebamipide Gastro-retentive Tablet","volume":"18","author":[{"family":"Ha","given":"Jung-Myung"},{"family":"Seo","given":"Jeong-Woong"},{"family":"Kim","given":"Su-Hyeon"},{"family":"Kim","given":"Ju-Young"},{"family":"Park","given":"Chun-Woong"},{"family":"Rhee","given":"Yun-Seok"},{"family":"Park","given":"Eun-Seok"}],"issued":{"date-parts":[["2017",11]]}}},{"id":12089,"uris":["http://zotero.org/users/6216265/items/8GSLRBZA"],"itemData":{"id":12089,"type":"article-journal","container-title":"European Journal of Pharmaceutical Sciences","DOI":"10.1016/j.ejps.2017.01.006","ISSN":"09280987","journalAbbreviation":"European Journal of Pharmaceutical Sciences","language":"en","page":"249-261","source":"DOI.org (Crossref)","title":"A quality by design (QbD) study on enoxaparin sodium loaded polymeric microspheres for colon-specific delivery","volume":"100","author":[{"family":"Hales","given":"Dana"},{"family":"Vlase","given":"Laurian"},{"family":"Porav","given":"Sebastian Alin"},{"family":"Bodoki","given":"Andreea"},{"family":"Barbu-Tudoran","given":"Lucian"},{"family":"Achim","given":"Marcela"},{"family":"Tomuță","given":"Ioan"}],"issued":{"date-parts":[["2017",3]]}}},{"id":12090,"uris":["http://zotero.org/users/6216265/items/BDX2EI6T"],"itemData":{"id":12090,"type":"article-journal","container-title":"Malaria Journal","DOI":"10.1186/1475-2875-13-62","ISSN":"1475-2875","issue":"1","journalAbbreviation":"Malar J","language":"en","page":"62","source":"DOI.org (Crossref)","title":"Pharmacological considerations in the design of anti-malarial drug combination therapies – is matching half-lives enough?","volume":"13","author":[{"family":"Hastings","given":"Ian M"},{"family":"Hodel","given":"Eva Maria"}],"issued":{"date-parts":[["2014",12]]}}},{"id":12092,"uris":["http://zotero.org/users/6216265/items/IJ9LMEFN"],"itemData":{"id":12092,"type":"article-journal","abstract":"Background:\n              Binge-eating disorder (BED) is a common psychiatric condition with adverse psychological and metabolic consequences. Lisdexamfetamine (LDX) is the only approved BED drug treatment. New drugs to treat BED are urgently needed.\n            \n            \n              Methods:\n              A comprehensive review of published psychopathological, pharmacological and clinical findings.\n            \n            \n              Results:\n              The evidence supports the hypothesis that BED is an impulse control disorder with similarities to ADHD, including responsiveness to catecholaminergic drugs, for example LDX and dasotraline. The target product profile (TPP) of the ideal BED drug combines treating the psychopathological drivers of the disorder with an independent weight-loss effect. Drugs with proven efficacy in BED have a common pharmacology; they potentiate central noradrenergic and dopaminergic neurotransmission. Because of the overlap between pharmacotherapy in attention deficit hyperactivity disorder (ADHD) and BED, drug-candidates from diverse pharmacological classes, which have already failed in ADHD would also be predicted to fail if tested in BED. The failure in BED trials of drugs with diverse pharmacological mechanisms indicates many possible avenues for drug discovery can probably be discounted.\n            \n            \n              Conclusions:\n              (1) The efficacy of drugs for BED is dependent on reducing its core psychopathologies of impulsivity, compulsivity and perseveration and by increasing cognitive control of eating. (2) The analysis revealed a large number of pharmacological mechanisms are unlikely to be productive in the search for effective new BED drugs. (3) The most promising areas for new treatments for BED are drugs, which augment noradrenergic and dopaminergic neurotransmission and/or those which are effective in ADHD.","container-title":"Journal of Psychopharmacology","DOI":"10.1177/02698811211032475","ISSN":"0269-8811, 1461-7285","issue":"6","journalAbbreviation":"J Psychopharmacol","language":"en","page":"680-703","source":"DOI.org (Crossref)","title":"Prospects for new drugs to treat binge-eating disorder: Insights from psychopathology and neuropharmacology","title-short":"Prospects for new drugs to treat binge-eating disorder","volume":"36","author":[{"family":"Heal","given":"David J"},{"family":"Smith","given":"Sharon L"}],"issued":{"date-parts":[["2022",6]]}}},{"id":12093,"uris":["http://zotero.org/users/6216265/items/BKG2CEJB"],"itemData":{"id":12093,"type":"chapter","container-title":"Dengue and Zika: Control and Antiviral Treatment Strategies","event-place":"Singapore","ISBN":"978-981-10-8726-4","note":"collection-title: Advances in Experimental Medicine and Biology\nDOI: 10.1007/978-981-10-8727-1_23","page":"333-353","publisher":"Springer Singapore","publisher-place":"Singapore","source":"DOI.org (Crossref)","title":"An Industry Perspective on Dengue Drug Discovery and Development","URL":"http://link.springer.com/10.1007/978-981-10-8727-1_23","volume":"1062","editor":[{"family":"Hilgenfeld","given":"Rolf"},{"family":"Vasudevan","given":"Subhash G."}],"author":[{"family":"Hernandez-Morales","given":"Ilane"},{"family":"Van Loock","given":"Marnix"}],"accessed":{"date-parts":[["2023",11,2]]},"issued":{"date-parts":[["2018"]]}}},{"id":12094,"uris":["http://zotero.org/users/6216265/items/7GHVMM79"],"itemData":{"id":12094,"type":"article-journal","container-title":"PLOS Neglected Tropical Diseases","DOI":"10.1371/journal.pntd.0003987","ISSN":"1935-2735","issue":"10","journalAbbreviation":"PLoS Negl Trop Dis","language":"en","page":"e0003987","source":"DOI.org (Crossref)","title":"A Proposed Target Product Profile and Developmental Cascade for New Cryptosporidiosis Treatments","volume":"9","author":[{"family":"Huston","given":"Christopher D."},{"family":"Spangenberg","given":"Thomas"},{"family":"Burrows","given":"Jeremy"},{"family":"Willis","given":"Paul"},{"family":"Wells","given":"Timothy N. C."},{"family":"Van Voorhis","given":"Wesley"}],"editor":[{"family":"Vinetz","given":"Joseph M."}],"issued":{"date-parts":[["2015",10,8]]}},"label":"page"},{"id":12096,"uris":["http://zotero.org/users/6216265/items/RUU3J8PP"],"itemData":{"id":12096,"type":"article-journal","container-title":"European Journal of Pharmaceutical Sciences","DOI":"10.1016/j.ejps.2020.105588","ISSN":"09280987","journalAbbreviation":"European Journal of Pharmaceutical Sciences","language":"en","page":"105588","source":"DOI.org (Crossref)","title":"Development of solid lipid microparticles by melt-emulsification/spray-drying processes as carriers for pulmonary drug delivery","volume":"156","author":[{"family":"Ignjatović","given":"Jelisaveta"},{"family":"Đuriš","given":"Jelena"},{"family":"Cvijić","given":"Sandra"},{"family":"Dobričić","given":"Vladimir"},{"family":"Montepietra","given":"Agnese"},{"family":"Lombardi","given":"Chiara"},{"family":"Ibrić","given":"Svetlana"},{"family":"Rossi","given":"Alessandra"}],"issued":{"date-parts":[["2021",1]]}}},{"id":12097,"uris":["http://zotero.org/users/6216265/items/26EN5NPI"],"itemData":{"id":12097,"type":"article-journal","container-title":"Pharmaceutical Research","DOI":"10.1007/s11095-013-1096-2","ISSN":"0724-8741, 1573-904X","issue":"11","journalAbbreviation":"Pharm Res","language":"en","page":"2772-2784","source":"DOI.org (Crossref)","title":"Engineering of an Inhalable DDA/TDB Liposomal Adjuvant: A Quality-by-Design Approach Towards Optimization of the Spray Drying Process","title-short":"Engineering of an Inhalable DDA/TDB Liposomal Adjuvant","volume":"30","author":[{"family":"Ingvarsson","given":"Pall Thor"},{"family":"Yang","given":"Mingshi"},{"family":"Mulvad","given":"Helle"},{"family":"Nielsen","given":"Hanne Mørck"},{"family":"Rantanen","given":"Jukka"},{"family":"Foged","given":"Camilla"}],"issued":{"date-parts":[["2013",11]]}}},{"id":12162,"uris":["http://zotero.org/users/6216265/items/B6HJ6D5Q"],"itemData":{"id":12162,"type":"article-journal","container-title":"BMC Infectious Diseases","DOI":"10.1186/s12879-017-2770-5","ISSN":"1471-2334","issue":"S1","journalAbbreviation":"BMC Infect Dis","language":"en","page":"707","source":"DOI.org (Crossref)","title":"Optimising diagnosis of viraemic hepatitis C infection: the development of a target product profile","title-short":"Optimising diagnosis of viraemic hepatitis C infection","volume":"17","author":[{"family":"Ivanova Reipold","given":"Elena"},{"family":"Easterbrook","given":"Philippa"},{"family":"Trianni","given":"Alessandra"},{"family":"Panneer","given":"Nivedha"},{"family":"Krakower","given":"Douglas"},{"family":"Ongarello","given":"Stefano"},{"family":"Roberts","given":"Teri"},{"family":"Miller","given":"Veronica"},{"family":"Denkinger","given":"Claudia"}],"issued":{"date-parts":[["2017",11]]}}},{"id":12099,"uris":["http://zotero.org/users/6216265/items/SIJK4SZD"],"itemData":{"id":12099,"type":"article-journal","container-title":"European Journal of Pharmaceutical Sciences","DOI":"10.1016/j.ejps.2022.106171","ISSN":"09280987","journalAbbreviation":"European Journal of Pharmaceutical Sciences","language":"en","page":"106171","source":"DOI.org (Crossref)","title":"QbD-guided pharmaceutical development of Pembrolizumab biosimilar candidate PSG-024 propelled to industry meeting primary requirements of comparability to Keytruda®","volume":"173","author":[{"family":"Jaffar-Aghaei","given":"Morteza"},{"family":"Khanipour","given":"Farzad"},{"family":"Maghsoudi","given":"Amir"},{"family":"Sarvestani","given":"Rahim"},{"family":"Mohammadian","given":"Mahdi"},{"family":"Maleki","given":"Maryam"},{"family":"Havasi","given":"Forugh"},{"family":"Rahmani","given":"Hossein"},{"family":"Karagah","given":"Amir-Hossein"},{"family":"Kazemali","given":"Mohammad-Reza"}],"issued":{"date-parts":[["2022",6]]}},"label":"page"},{"id":12099,"uris":["http://zotero.org/users/6216265/items/SIJK4SZD"],"itemData":{"id":12099,"type":"article-journal","container-title":"European Journal of Pharmaceutical Sciences","DOI":"10.1016/j.ejps.2022.106171","ISSN":"09280987","journalAbbreviation":"European Journal of Pharmaceutical Sciences","language":"en","page":"106171","source":"DOI.org (Crossref)","title":"QbD-guided pharmaceutical development of Pembrolizumab biosimilar candidate PSG-024 propelled to industry meeting primary requirements of comparability to Keytruda®","volume":"173","author":[{"family":"Jaffar-Aghaei","given":"Morteza"},{"family":"Khanipour","given":"Farzad"},{"family":"Maghsoudi","given":"Amir"},{"family":"Sarvestani","given":"Rahim"},{"family":"Mohammadian","given":"Mahdi"},{"family":"Maleki","given":"Maryam"},{"family":"Havasi","given":"Forugh"},{"family":"Rahmani","given":"Hossein"},{"family":"Karagah","given":"Amir-Hossein"},{"family":"Kazemali","given":"Mohammad-Reza"}],"issued":{"date-parts":[["2022",6]]}}},{"id":12098,"uris":["http://zotero.org/users/6216265/items/N9AXDNH6"],"itemData":{"id":12098,"type":"article-journal","abstract":"This article highlights the importance of building a marketing led cross-functional team that integrates the R&amp;D, and commercialization process in an early stage Biopharma and MedTech company. Marketing should play a prominent role in the cross-functional team at the earliest stages of company formation and product development to identify unmet need, design the development plan, shape the product life cycle, position the product in the competitive set, and understand all market drivers and competitive factors that are essential to ensure commercial success. In particular, in this paper, the focus is on the importance of creating an appealing target product profile (TPP) and describe the rational and methodology for creating the TPP. Drug development is a high risk, high cost, high reward undertaking, and the TPP provides a market-guided approach to development of drugs more quickly, inexpensively, and with a higher rate of success.","container-title":"Journal of Commercial Biotechnology","DOI":"10.5912/jcb924","ISSN":"1478-565X, 1462-8732","issue":"4","journalAbbreviation":"JCB","source":"DOI.org (Crossref)","title":"The R&amp;D Marketing Interface in Biopharma and MedTech","URL":"https://www.commercialbiotechnology.com/index.php/jcb/article/view/924","volume":"24","author":[{"family":"Jambulingam","given":"Thani"}],"accessed":{"date-parts":[["2023",11,2]]},"issued":{"date-parts":[["2019",9,7]]}}},{"id":12100,"uris":["http://zotero.org/users/6216265/items/26BEY4TK"],"itemData":{"id":12100,"type":"article-journal","container-title":"AAPS PharmSciTech","DOI":"10.1208/s12249-018-0951-1","ISSN":"1530-9932","issue":"3","journalAbbreviation":"AAPS PharmSciTech","language":"en","page":"1377-1391","source":"DOI.org (Crossref)","title":"Risk Assessment Integrated QbD Approach for Development of Optimized Bicontinuous Mucoadhesive Limicubes for Oral Delivery of Rosuvastatin","volume":"19","author":[{"family":"Javed","given":"Md Noushad"},{"family":"Kohli","given":"Kanchan"},{"family":"Amin","given":"Saima"}],"issued":{"date-parts":[["2018",4]]}}},{"id":12101,"uris":["http://zotero.org/users/6216265/items/BTDD4883"],"itemData":{"id":12101,"type":"article-journal","abstract":"Background:\n              This study is focused on preparing rifampicin-loaded bovine serum albumin nanoparticles\n(RIF BSA NPs) suitable for intravenous application using systematic quality by design\n(QbD) approach.\n            \n            \n              Aim:\n              Rifampicin is one of the first-line drugs used for tuberculosis therapy. The therapy\nlasts for a long time. Thus, there is a need to develop a sustained release formulation of rifampicin\nfor intravenous application.\n            \n            \n              Objectives:\n              The main objective of this study is optimizing particle size and entrapment efficiency\nof rifampicin-loaded bovine serum albumin nanoparticles (RIF BSA NPs) and making them suitable\nfor intravenous application using QbD approach.\n            \n            \n              Methods:\n              Quality target product profile was defined along with critical quality attributes (CQAs)\nfor the formulation. 32 factorial design was used for achieving the predetermined values of CQAs,\ni.e., mean particle size &lt;200 nm and percent entrapment efficiency&gt;50%. Incubation time of drug\nwith colloidal albumin solution and ratio of rifampicin to albumin, were selected as independent\nvariables. Checkpoint analysis was performed to confirm the suitability of the regression model for\noptimization.\n            \n            \n              Results: :\n              The optimized RIF BSA NPs were characterized by FTIR, DSC, 1H NMR techniques. The\nNPs observed by transmission electron microscopy were spherical in shape. The rifampicin release\ncould be sustained for 72 hours from BSA NPs matrix. RIF BSA NPs dispersion was stable at 5 ±\n3°C for 72 hours. Non-toxicity of nanoparticles to RAW 264.7 cell line was proved by MTT assay.\n            \n            \n              Conclusion:\n              Development of RIF BSA NPs with desired quality attributes was possible by implementing\nthe QbD approach. The optimized formulation suitable for intravenous application can potentially\nimprove the therapeutic benefits of rifampicin.","container-title":"Current Drug Delivery","DOI":"10.2174/1567201818666210212090451","ISSN":"15672018","issue":"9","journalAbbreviation":"CDD","language":"en","page":"1338-1351","source":"DOI.org (Crossref)","title":"Quality by Design Approach for Development and Optimization of Rifampicin Loaded Bovine Serum Albumin Nanoparticles and Characterization","volume":"18","author":[{"family":"Joshi","given":"Monica"},{"family":"Yadav","given":"Khushwant S."},{"family":"Prabhakar","given":"Bala"}],"issued":{"date-parts":[["2021",12,30]]}}},{"id":12102,"uris":["http://zotero.org/users/6216265/items/B3LLWKPE"],"itemData":{"id":12102,"type":"article-journal","container-title":"PLOS ONE","DOI":"10.1371/journal.pone.0228311","ISSN":"1932-6203","issue":"1","journalAbbreviation":"PLoS ONE","language":"en","page":"e0228311","source":"DOI.org (Crossref)","title":"Target Product Profile for a mobile app to read rapid diagnostic tests to strengthen infectious disease surveillance","volume":"15","author":[{"family":"Kadam","given":"Rigveda"},{"family":"White","given":"Wallace"},{"family":"Banks","given":"Nicholas"},{"family":"Katz","given":"Zachary"},{"family":"Dittrich","given":"Sabine"},{"family":"Kelly-Cirino","given":"Cassandra"}],"editor":[{"family":"Yansouni","given":"Cedric"}],"issued":{"date-parts":[["2020",1,29]]}}},{"id":12104,"uris":["http://zotero.org/users/6216265/items/L5N6G2Q5"],"itemData":{"id":12104,"type":"article-journal","abstract":"Objective:\n              The present study reports the use of MicrofluidizerTM technology to form a stable\nnanosuspension of atovaquone (ATQ) using quality by design (QbD) approach.\n            \n            \n              Methods:\n              The patient-centric quality target product profile and critical quality attributes (CQAs) were\nidentified. A Box-Behnken design was employed for the optimization of dependent variables, while\nCQAs like particle size and PDI were evaluated as response variables. Effective optimization of ATQ\nnanosuspension preparation using Microfluidizer processor as a novel green technology was achieved\nusing QbD approach.\n            \n            \n              Result:\n              The prepared nanosuspension had a mean particle size of 865 nm ± 5%, PDI of 0.261 ± 3%, and\nzeta potential of -1.79 ± 5 mV. The characterization of the prepared nanosuspension by SEM, DSC, and\nXRD revealed its nano-crystalline nature whereas FTIR spectroscopic analysis confirmed the absence\nof any physicochemical interaction because of process parameters between the drug and excipients.\n            \n            \n              Conclusion:\n              In vitro dissolution studies of the nanosuspension using USP-IV exhibited a 100% cumulative\ndrug release over 90 minutes, which is significantly better than that of ATQ pure API. In vivo\npharmacokinetic studies revealed bioequivalence of ATQ nanosuspensions by Microfluidizer homogenization\nprocess to the marketed formulation1.","container-title":"Current Drug Delivery","DOI":"10.2174/1567201817666191227095019","ISSN":"15672018","issue":"2","journalAbbreviation":"CDD","language":"en","page":"112-125","source":"DOI.org (Crossref)","title":"Development of Atovaquone Nanosuspension: Quality by Design Approach","title-short":"Development of Atovaquone Nanosuspension","volume":"17","author":[{"family":"Kakade","given":"Pratik"},{"family":"Gite","given":"Sandip"},{"family":"Patravale","given":"Vandana"}],"issued":{"date-parts":[["2020",3,12]]}}},{"id":12105,"uris":["http://zotero.org/users/6216265/items/V8UCA6A2"],"itemData":{"id":12105,"type":"article-journal","container-title":"Expert Review of Vaccines","DOI":"10.1586/14760584.2016.1158650","ISSN":"1476-0584, 1744-8395","issue":"8","journalAbbreviation":"Expert Review of Vaccines","language":"en","page":"1029-1040","source":"DOI.org (Crossref)","title":"Alternative administration routes and delivery technologies for polio vaccines","volume":"15","author":[{"family":"Kraan","given":"Heleen"},{"family":"Van Der Stel","given":"Wanda"},{"family":"Kersten","given":"Gideon"},{"family":"Amorij","given":"Jean-Pierre"}],"issued":{"date-parts":[["2016",8,2]]}}},{"id":12107,"uris":["http://zotero.org/users/6216265/items/32PGGJI8"],"itemData":{"id":12107,"type":"article-journal","abstract":"The purpose of this study was to develop a resveratrol nanosuspension with enhanced oral bioavailability, based on an understanding of the formulation and process parameters of nanosuspensions and using a quality by design (QbD) approach. Particularly, the antisolvent method, which requires no solvent removal and no heating, is newly applied to prepare resveratrol nanosuspension. To ensure the quality of the resveratrol nanosuspensions, a quality target product profile (QTPP) was defined. The particle size (z-average, d90), zeta potential, and drug content parameters affecting the QTPP were selected as critical quality attributes (CQAs). The optimum composition obtained using a 3-factor, 3-level Box–Behnken design was as follows: polyvinylpyrrolidone vinyl acetate (10 mg/mL), polyvinylpyrrolidone K12 (5 mg/mL), sodium lauryl sulfate (1 mg/mL), and diethylene glycol monoethyl ether (DEGEE, 5% v/v) at a resveratrol concentration of 5 mg/mL. The initial particle size (z-average) was 46.3 nm and the zeta potential was −38.02 mV. The robustness of the antisolvent process using the optimized composition conditions was ensured by a full factorial design. The dissolution rate of the optimized resveratrol nanosuspension was significantly greater than that of the resveratrol raw material. An in vivo pharmacokinetic study in rats showed that the area under the plasma concentration versus time curve (AUC0–12h) and the maximum plasma concentration (Cmax) respectively, than those of the resveratrol raw material. Therefore, the prepara values of the resveratrol nanosuspension were approximately 1.6- and 5.7-fold higher,tion of a resveratrol nanosuspension using the QbD approach may be an effective strategy for the development of a new dosage form of resveratrol, with enhanced oral bioavailability.","container-title":"Pharmaceutics","DOI":"10.3390/pharmaceutics11120688","ISSN":"1999-4923","issue":"12","journalAbbreviation":"Pharmaceutics","language":"en","page":"688","source":"DOI.org (Crossref)","title":"Development of a Resveratrol Nanosuspension Using the Antisolvent Precipitation Method without Solvent Removal, Based on a Quality by Design (QbD) Approach","volume":"11","author":[{"family":"Kuk","given":"Do-Hoon"},{"family":"Ha","given":"Eun-Sol"},{"family":"Ha","given":"Dong-Hyun"},{"family":"Sim","given":"Woo-Yong"},{"family":"Lee","given":"Seon-Kwang"},{"family":"Jeong","given":"Ji-Su"},{"family":"Kim","given":"Jeong-Soo"},{"family":"Baek","given":"In-hwan"},{"family":"Park","given":"Heejun"},{"family":"Choi","given":"Du Hyung"},{"family":"Yoo","given":"Jin-Wook"},{"family":"Jeong","given":"Seong Hoon"},{"family":"Hwang","given":"Sung-Joo"},{"family":"Kim","given":"Min-Soo"}],"issued":{"date-parts":[["2019",12,17]]}}},{"id":12109,"uris":["http://zotero.org/users/6216265/items/23KHJRRG"],"itemData":{"id":12109,"type":"article-journal","container-title":"AAPS PharmSciTech","DOI":"10.1208/s12249-010-9521-x","ISSN":"1530-9932","issue":"3","journalAbbreviation":"AAPS PharmSciTech","language":"en","page":"1476-1481","source":"DOI.org (Crossref)","title":"Considerations in Developing a Target Product Profile for Parenteral Pharmaceutical Products","volume":"11","author":[{"family":"Lambert","given":"William J."}],"issued":{"date-parts":[["2010",9]]}}},{"id":12111,"uris":["http://zotero.org/users/6216265/items/2UIYAEJS"],"itemData":{"id":12111,"type":"article-journal","container-title":"International Journal of Pharmaceutics","DOI":"10.1016/j.ijpharm.2017.08.094","ISSN":"03785173","issue":"2","journalAbbreviation":"International Journal of Pharmaceutics","language":"en","page":"740-746","source":"DOI.org (Crossref)","title":"Engineering of budesonide-loaded lipid-polymer hybrid nanoparticles using a quality-by-design approach","volume":"548","author":[{"family":"Leng","given":"Donglei"},{"family":"Thanki","given":"Kaushik"},{"family":"Fattal","given":"Elias"},{"family":"Foged","given":"Camilla"},{"family":"Yang","given":"Mingshi"}],"issued":{"date-parts":[["2018",9]]}}},{"id":12112,"uris":["http://zotero.org/users/6216265/items/TFH5LRBY"],"itemData":{"id":12112,"type":"article-journal","container-title":"The Lancet HIV","DOI":"10.1016/S2352-3018(20)30234-4","ISSN":"23523018","issue":"1","journalAbbreviation":"The Lancet HIV","language":"en","page":"e42-e50","source":"DOI.org (Crossref)","title":"Multi-stakeholder consensus on a target product profile for an HIV cure","volume":"8","author":[{"family":"Lewin","given":"Sharon R"},{"family":"Attoye","given":"Timothy"},{"family":"Bansbach","given":"Cathy"},{"family":"Doehle","given":"Brian"},{"family":"Dubé","given":"Karine"},{"family":"Dybul","given":"Mark"},{"family":"SenGupta","given":"Devi"},{"family":"Jiang","given":"Adam"},{"family":"Johnston","given":"Rowena"},{"family":"Lamplough","given":"Rosanne"},{"family":"McCune","given":"Joseph M"},{"family":"Nabel","given":"Gary J"},{"family":"Ndung'u","given":"Thumbi"},{"family":"Pottage","given":"John"},{"family":"Ripin","given":"David"},{"family":"Rooney","given":"James F"},{"family":"Sikazwe","given":"Izukanji"},{"family":"Nsubuga","given":"Moses"},{"family":"Warren","given":"Mitchell"},{"family":"Deeks","given":"Steven G"}],"issued":{"date-parts":[["2021",1]]}}},{"id":12114,"uris":["http://zotero.org/users/6216265/items/DUJADISB"],"itemData":{"id":12114,"type":"article-journal","abstract":"RNA interference (RNAi) has an unprecedented potential as a therapeutic strategy for reversibly silencing the expression of any gene. Therapeutic delivery of the RNAi mediator, i.e., small interfering RNA (siRNA), can be used to address diseases characterized by gene overexpression, for example inflammatory conditions like chronic obstructive pulmonary disease (COPD). Macrophages play a key role in COPD pathogenesis and are recruited to the airways and lung parenchyma, where they release proinflammatory cytokines, e.g., tumor necrosis factor-alpha (TNF-α). Hence, targeting TNF-α with siRNA is a promising therapeutic approach for COPD management. However, a safe and effective delivery system is required for delivery of TNF-α siRNA into the cytosol of hard-to-transfect macrophages. The purpose of this study was to optimize the intracellular delivery of TNF-α siRNA to the lipopolysaccharide-activated murine macrophage cell line RAW 264.7 using lipidoid-polymer hybrid nanoparticles (LPNs) composed of the lipid-like transfection agent lipidoid 5 (L\n              5\n              ) and the biodegradable polymer poly (\n              D,L\n              -lactide-co-glycolide). Applying a quality-by-design approach, the influence of critical formulation variables, i.e., the L\n              5\n              content and the L\n              5\n              :siRNA ratio (w/w), on critical quality attributes (CQAs) was investigated systematically using risk assessment and design of experiments, followed by delineation of an optimal operating space (OOS). The CQAs were identified based on the quality target product profile and included size, polydispersity index, zeta potential, encapsulation efficiency and loading for achieving efficient and safe TNF-α gene silencing in activated RAW 264.7 cells. Formulations inducing efficient gene silencing and low cytotoxicity were identified, and the optimal formulations displayed L\n              5\n              contents of 15 and 20% (w/w), respectively, and an L\n              5\n              :siRNA weight ratio of 15:1. All tested formulations within the OOS mediated efficient and sequence-specific TNF-α gene silencing in RAW 264.7 cells at TNF-α-siRNA concentrations, which were significantly lower than the concentrations required of non-encapsulated TNF-α-siRNA, highlighting the benefit of the delivery system. The results also demonstrate that increasing the loading of siRNA into the delivery system does not necessarily imply enhanced gene silencing. This opens new avenues for further exploitation of LPNs as a robust platform technology for delivering TNF-α siRNA to macrophages, e.g., in the management of COPD.","container-title":"Frontiers in Bioengineering and Biotechnology","DOI":"10.3389/fbioe.2020.601155","ISSN":"2296-4185","journalAbbreviation":"Front. Bioeng. Biotechnol.","page":"601155","source":"DOI.org (Crossref)","title":"Optimizing the Intracellular Delivery of Therapeutic Anti-inflammatory TNF-α siRNA to Activated Macrophages Using Lipidoid-Polymer Hybrid Nanoparticles","volume":"8","author":[{"family":"Lokras","given":"Abhijeet"},{"family":"Thakur","given":"Aneesh"},{"family":"Wadhwa","given":"Abishek"},{"family":"Thanki","given":"Kaushik"},{"family":"Franzyk","given":"Henrik"},{"family":"Foged","given":"Camilla"}],"issued":{"date-parts":[["2021",1,14]]}}},{"id":12116,"uris":["http://zotero.org/users/6216265/items/4JFY2AFP"],"itemData":{"id":12116,"type":"article-journal","container-title":"Malaria Journal","DOI":"10.1186/s12936-018-2549-1","ISSN":"1475-2875","issue":"1","journalAbbreviation":"Malar J","language":"en","page":"402","source":"DOI.org (Crossref)","title":"Injectable anti-malarials revisited: discovery and development of new agents to protect against malaria","title-short":"Injectable anti-malarials revisited","volume":"17","author":[{"family":"Macintyre","given":"Fiona"},{"family":"Ramachandruni","given":"Hanu"},{"family":"Burrows","given":"Jeremy N."},{"family":"Holm","given":"René"},{"family":"Thomas","given":"Anna"},{"family":"Möhrle","given":"Jörg J."},{"family":"Duparc","given":"Stephan"},{"family":"Hooft Van Huijsduijnen","given":"Rob"},{"family":"Greenwood","given":"Brian"},{"family":"Gutteridge","given":"Winston E."},{"family":"Wells","given":"Timothy N. C."},{"family":"Kaszubska","given":"Wiweka"}],"issued":{"date-parts":[["2018",12]]}}},{"id":12120,"uris":["http://zotero.org/users/6216265/items/6FGREADD"],"itemData":{"id":12120,"type":"article-journal","abstract":"The development of vaccines against one or all forms of human leishmaniasis remains hampered by a paucity of investment, at least in part resulting from the lack of well-evidenced and agreed estimates of vaccine demand. Starting from the definition of 4 main use cases (prevention of visceral leishmaniasis, prevention of cutaneous leishmaniasis, prevention of post-kala-azar dermal leishmaniasis and treatment of post-kala-azar dermal leishmaniasis), we have estimated the size of each target population, focusing on those endemic countries where incidence levels are sufficiently high to justify decisions to adopt a vaccine. We assumed a dual vaccine delivery strategy, including a wide age-range catch-up campaign before the start of routine immunisation. Vaccine characteristics and delivery parameters reflective of a target product profile and the likely duration of the clinical development effort were considered in forecasting the demand for each of the four indications. Over a period of 10 years, this demand is forecasted to range from 300–830 million doses for a vaccine preventing visceral leishmaniasis and 557–1400 million doses for a vaccine preventing cutaneous leishmaniasis under the different scenarios we simulated. In a scenario with an effective prophylactic visceral leishmaniasis vaccine, demand for use to prevent or treat post-kala-azar dermal leishmaniasis would be more limited (over the 10 years ~160,000 doses for prevention and ~7,000 doses for treatment). Demand would rise to exceed 330,000 doses, however, in the absence of an effective vaccine for visceral leishmaniasis. Because of the sizeable demand and potential for public health impact, a single-indication prophylactic vaccine for visceral or cutaneous leishmaniasis, and even more so a cross-protective prophylactic vaccine could attract the interest of commercial developers. Continuous refinement of these first-of-their kind estimates and confirmation of country willingness and ability to pay will be paramount to inform the decisions of policy makers and developers in relation to a leishmaniasis vaccine. Positive decisions can provide a much-needed contribution towards the achievement of global leishmaniasis control.","container-title":"PLOS Neglected Tropical Diseases","DOI":"10.1371/journal.pntd.0009742","ISSN":"1935-2735","issue":"9","journalAbbreviation":"PLoS Negl Trop Dis","language":"en","page":"e0009742","source":"DOI.org (Crossref)","title":"Human leishmaniasis vaccines: Use cases, target population and potential global demand","title-short":"Human leishmaniasis vaccines","volume":"15","author":[{"family":"Malvolti","given":"Stefano"},{"family":"Malhame","given":"Melissa"},{"family":"Mantel","given":"Carsten F."},{"family":"Le Rutte","given":"Epke A."},{"family":"Kaye","given":"Paul M."}],"editor":[{"family":"Laouini","given":"Dhafer"}],"issued":{"date-parts":[["2021",9,21]]}}},{"id":12122,"uris":["http://zotero.org/users/6216265/items/RPLUFES3"],"itemData":{"id":12122,"type":"article-journal","container-title":"ACS Infectious Diseases","DOI":"10.1021/acsinfecdis.6b00094","ISSN":"2373-8227, 2373-8227","issue":"8","journalAbbreviation":"ACS Infect. Dis.","language":"en","page":"530-537","source":"DOI.org (Crossref)","title":"Cryptosporidiosis Drug Discovery: Opportunities and Challenges","title-short":"Cryptosporidiosis Drug Discovery","volume":"2","author":[{"family":"Manjunatha","given":"Ujjini H."},{"family":"Chao","given":"Alexander T."},{"family":"Leong","given":"F. Joel"},{"family":"Diagana","given":"Thierry T."}],"issued":{"date-parts":[["2016",8,12]]}}},{"id":12124,"uris":["http://zotero.org/users/6216265/items/7ISI2KU2"],"itemData":{"id":12124,"type":"article-journal","abstract":"The use of morphine applied topically to painful wounds has potential advantages, such as dose reduction, fewer side effects and compound formulations, have been proposed for this purpose. Given the potential high impact of drug product quality on a patient’s health, the aim of the present study was to develop two stable sterile hydrogels containing morphine hydrochloride, intended for topical application on painful wounds. Two carboxymethylcellulose sodium-based hydrogels were prepared containing 0.125% w/w (F1-MH semi-solid formulation) and 1.0% w/w (F2-MH fluid formulation) morphine hydrochloride (MH), respectively. Studies included a risk assessment approach for definition of the quality target product profile (QTPP) and assessment of critical quality attributes (CQA) of the hydrogels to support product quality and safety. Safe, odourless, yellowish, translucent and homogeneous gels were obtained, with suitable microbiological and pharmaceutical characteristics. The active substance concentration was adapted according to the characteristics of the dose-metering device. Release profiles were investigated using Franz diffusion cells, and characterised by different kinetic models. Increasing gel viscosity prolonged drug release, with rates of 17.9 ± 2.2 μg·cm−2·h−1 (F1-MH) and 258.0 ± 30.4 μg·cm−2·h−1 (F2-MH), allowing for the reduction of the number of applications and improving patient compliance. The gels proved to be stable for up to 60 days at room temperature. The semi-solid and fluid MH-containing hydrogel formulations are safe, stable and suitable for use in hospital settings, which is rather important for wound-related pain management in cancer palliative care or burn patients.","container-title":"Pharmaceutics","DOI":"10.3390/pharmaceutics11020076","ISSN":"1999-4923","issue":"2","journalAbbreviation":"Pharmaceutics","language":"en","page":"76","source":"DOI.org (Crossref)","title":"Improved Morphine-Loaded Hydrogels for Wound-Related Pain Relief","volume":"11","author":[{"family":"Mateus","given":"Dinis"},{"family":"Marto","given":"Joana"},{"family":"Trindade","given":"Patrícia"},{"family":"Gonçalves","given":"Humberto"},{"family":"Salgado","given":"Ana"},{"family":"Machado","given":"Paula"},{"family":"Melo-Gouveia","given":"António"},{"family":"Ribeiro","given":"Helena M."},{"family":"Almeida","given":"António J."}],"issued":{"date-parts":[["2019",2,12]]}}},{"id":12126,"uris":["http://zotero.org/users/6216265/items/LPRXPBBN"],"itemData":{"id":12126,"type":"article-journal","abstract":"Introduction\n              Typhoid fever is one of the most common bacterial causes of acute febrile illness in the developing world, with an estimated 10.9 million new cases and 116.8 thousand deaths in 2017. Typhoid point-of-care (POC) diagnostic tests are widely used but have poor sensitivity and specificity, resulting in antibiotic overuse that has led to the emergence and spread of multidrug-resistant strains. With recent advances in typhoid surveillance and detection, this is the ideal time to produce a target product profile (TPP) that guides product development and ensure that a next-generation test meets the needs of users in the resource-limited settings where typhoid is endemic.\n            \n            \n              Methods\n              A structured literature review was conducted to develop a draft TPP for a next-generation typhoid diagnostic test with minimal and optimal desired characteristics for 36 test parameters. The TPP was refined using feedback collected from a Delphi survey of key stakeholders in clinical medicine, microbiology, diagnostics and public and global health.\n            \n            \n              Results\n              \n                A next-generation typhoid diagnostic test should improve patient management through the diagnosis and treatment of infection with acute\n                Salmonella enterica\n                serovars Typhi or Paratyphi with a sensitivity ≥90% and specificity ≥95%. The test would ideally be used at the lowest level of the healthcare system in settings without a reliable power or water supply and provide results in &lt;15 min at a cost of &lt;US$1.00.\n              \n            \n            \n              Conclusion\n              This report outlines the first comprehensive TPP for typhoid fever and is intended to guide the development of a next-generation typhoid diagnostic test. An accurate POC test will reduce the morbidity and mortality of typhoid fever through rapid diagnosis and treatment and will have the greatest impact in reducing antimicrobial resistance if it is combined with diagnostics for other causes of acute febrile illness in a treatment algorithm.","container-title":"BMJ Global Health","DOI":"10.1136/bmjgh-2019-001831","ISSN":"2059-7908","issue":"5","journalAbbreviation":"BMJ Glob Health","language":"en","page":"e001831","source":"DOI.org (Crossref)","title":"Redefining typhoid diagnosis: what would an improved test need to look like?","title-short":"Redefining typhoid diagnosis","volume":"4","author":[{"family":"Mather","given":"Richard G"},{"family":"Hopkins","given":"Heidi"},{"family":"Parry","given":"Christopher M"},{"family":"Dittrich","given":"Sabine"}],"issued":{"date-parts":[["2019",10]]}}},{"id":12128,"uris":["http://zotero.org/users/6216265/items/TIL2DIZ4"],"itemData":{"id":12128,"type":"article-journal","container-title":"Current Drug Delivery","DOI":"10.2174/1567201813666160325131831","ISSN":"15672018","issue":"8","journalAbbreviation":"CDD","language":"en","page":"1247-1260","source":"DOI.org (Crossref)","title":"Quality by Design Applied to Ocular Solid Lipid Nanoparticles Containing a Hydrophilic Peptide Prepared via Hot High Pressure Homogeniser","volume":"13","author":[{"family":"Mercuri","given":"Annalisa Mercuri"}],"issued":{"date-parts":[["2016",11,8]]}}},{"id":12129,"uris":["http://zotero.org/users/6216265/items/XBGYP2J5"],"itemData":{"id":12129,"type":"article-journal","container-title":"Drug Delivery and Translational Research","DOI":"10.1007/s13346-016-0315-x","ISSN":"2190-393X, 2190-3948","issue":"5","journalAbbreviation":"Drug Deliv. and Transl. Res.","language":"en","page":"579-596","source":"DOI.org (Crossref)","title":"Risk-based approach for systematic development of gastroretentive drug delivery system","volume":"6","author":[{"family":"Mirani","given":"A. G."},{"family":"Patankar","given":"S. P."},{"family":"Kadam","given":"V. J."}],"issued":{"date-parts":[["2016",10]]}}},{"id":12130,"uris":["http://zotero.org/users/6216265/items/SPBA58QC"],"itemData":{"id":12130,"type":"article-journal","container-title":"Pharmaceutical Development and Technology","DOI":"10.1080/10837450.2016.1199566","ISSN":"1083-7450, 1097-9867","issue":"7","journalAbbreviation":"Pharmaceutical Development and Technology","language":"en","page":"889-903","source":"DOI.org (Crossref)","title":"An integrated, quality by design (QbD) approach for design, development and optimization of orally disintegrating tablet formulation of carbamazepine","volume":"22","author":[{"family":"Mishra","given":"Saurabh M."},{"family":"Rohera","given":"Bhagwan D."}],"issued":{"date-parts":[["2017",10,3]]}}},{"id":12131,"uris":["http://zotero.org/users/6216265/items/9IKQU6PU"],"itemData":{"id":12131,"type":"article-journal","container-title":"Vaccine","DOI":"10.1016/j.vaccine.2015.12.032","ISSN":"0264410X","issue":"8","journalAbbreviation":"Vaccine","language":"en","page":"995-1001","source":"DOI.org (Crossref)","title":"Workshop report: Schistosomiasis vaccine clinical development and product characteristics","title-short":"Workshop report","volume":"34","author":[{"family":"Mo","given":"Annie X."},{"family":"Colley","given":"Daniel G."}],"issued":{"date-parts":[["2016",2]]}}},{"id":12133,"uris":["http://zotero.org/users/6216265/items/YBBY2S55"],"itemData":{"id":12133,"type":"article-journal","container-title":"AAPS PharmSciTech","DOI":"10.1208/s12249-020-01678-0","ISSN":"1530-9932","issue":"4","journalAbbreviation":"AAPS PharmSciTech","language":"en","page":"127","source":"DOI.org (Crossref)","title":"Quality Risk Management and Quality by Design for the Development of Diclofenac Sodium Intra-articular Gelatin Microspheres","volume":"21","author":[{"family":"Nakas","given":"Alexandros"},{"family":"Dalatsi","given":"Athanasia M."},{"family":"Kapourani","given":"Afroditi"},{"family":"Kontogiannopoulos","given":"Konstantinos N."},{"family":"Assimopoulou","given":"Andreana N."},{"family":"Barmpalexis","given":"Panagiotis"}],"issued":{"date-parts":[["2020",5]]}}},{"id":12135,"uris":["http://zotero.org/users/6216265/items/PWR85PMU"],"itemData":{"id":12135,"type":"article-journal","abstract":"In recent years, the “quality by design” (QbD) approach has been used for developing pharmaceutical formulations. This is particularly important for complex dosage forms such as topical semisolid products. The first step for developing a product using this efficient approach is defining the quality target product profile (QTPP), a list of quality attributes (QAs) that are required to be present in the final product. These quality attributes are affected by the ingredients used as well as manufacturing procedure parameters. Hence, critical material attributes (CMAs) and critical process parameters (CPPs) need to be specified. Possible failure modes of a topical semisolid product can be determined based on the physiochemical properties of ingredients and manufacturing procedures. In this review, we have defined and specified QTPP, QAs, CMAs and CPPs that are required for developing a topical semisolid product based on the QbD approach.","container-title":"Pharmaceutics","DOI":"10.3390/pharmaceutics12030287","ISSN":"1999-4923","issue":"3","journalAbbreviation":"Pharmaceutics","language":"en","page":"287","source":"DOI.org (Crossref)","title":"Quality by Design: Development of the Quality Target Product Profile (QTPP) for Semisolid Topical Products","title-short":"Quality by Design","volume":"12","author":[{"family":"Namjoshi","given":"Sarika"},{"family":"Dabbaghi","given":"Maryam"},{"family":"Roberts","given":"Michael S."},{"family":"Grice","given":"Jeffrey E."},{"family":"Mohammed","given":"Yousuf"}],"issued":{"date-parts":[["2020",3,23]]}}},{"id":12137,"uris":["http://zotero.org/users/6216265/items/MM5WP88P"],"itemData":{"id":12137,"type":"article-journal","abstract":"The purpose of this study was to apply the Quality by Design (QbD) approach to the electrospinning of fibres loaded with the nonsteroidal anti-inflammatory drugs (NSAIDs) indomethacin (INDO) and diclofenac sodium (DICLO). A Quality Target Product Profile (QTPP) was made, and risk assessments (preliminary hazard analysis) were conducted to identify the impact of material attributes and process parameters on the critical quality attributes (CQAs) of the fibres. A full factorial design of experiments (DoE) of 20 runs was built, which was used to carry out experiments. The following factors were assessed: Drugs, voltage, flow rate, and the distance between the processing needle and collector. Release studies exhibited INDO fibres had greater total release of active drug compared to DICLO fibres. Voltage and distance were found to be the most significant factors of the experiment. Multivariate statistical analytical software helped to build six feasible design spaces and two flexible, universal design spaces for both drugs, at distances of 5 cm and 12.5 cm, along with a flexible control strategy. The current findings and their analysis confirm that QbD is a viable and invaluable tool to enhance product and process understanding of electrospinning for the assurance of high-quality fibres.","container-title":"Pharmaceutics","DOI":"10.3390/pharmaceutics12010002","ISSN":"1999-4923","issue":"1","journalAbbreviation":"Pharmaceutics","language":"en","page":"2","source":"DOI.org (Crossref)","title":"Quality by Design Micro-Engineering Optimisation of NSAID-Loaded Electrospun Fibrous Patches","volume":"12","author":[{"family":"Nazari","given":"Kazem"},{"family":"Mehta","given":"Prina"},{"family":"Arshad","given":"Muhammad Sohail"},{"family":"Ahmed","given":"Shahabuddin"},{"family":"Andriotis","given":"Eleftherios G."},{"family":"Singh","given":"Neenu"},{"family":"Qutachi","given":"Omar"},{"family":"Chang","given":"Ming-Wei"},{"family":"Fatouros","given":"Dimitrios G."},{"family":"Ahmad","given":"Zeeshan"}],"issued":{"date-parts":[["2019",12,18]]}}},{"id":12140,"uris":["http://zotero.org/users/6216265/items/P6TTWYTG"],"itemData":{"id":12140,"type":"article-journal","abstract":"The requirements of a liposomal formulation vary depending on the pharmaceutical indication, the target patient population, and the corresponding route of administration. Different preparation methods require various material attributes (MAs) (properties and characteristics of the components) and process parameters (PPs) (settings of the preparation method). The identification of the quality target product profile for a liposome-based formulation, the critical quality attributes of the liposomes, and the possible MAs and PPs that may influence the key characteristics of the vesicles facilitates pharmaceutical research. Researchers can systematise their knowledge by using the quality by design (QbD) approach. The potential factors that influence the quality of the product can be collected and studied through a risk assessment process. In this paper, the requirements of a liposome formulation prepared via the thin-film hydration preparation technique are presented; furthermore, the possible factors that have an impact on the quality of the final product and have to be considered and specified during the development of a liposomal formulation are herein identified and collected. The understanding and the application of these elements of QbD in the pharmaceutical developments help to influence the quality, the achievements, and the success of the formulated product.","container-title":"Pharmaceutics","DOI":"10.3390/pharmaceutics12121164","ISSN":"1999-4923","issue":"12","journalAbbreviation":"Pharmaceutics","language":"en","page":"1164","source":"DOI.org (Crossref)","title":"A Proposed Methodology for a Risk Assessment-Based Liposome Development Process","volume":"12","author":[{"family":"Németh","given":"Zsófia"},{"family":"Pallagi","given":"Edina"},{"family":"Dobó","given":"Dorina Gabriella"},{"family":"Csóka","given":"Ildikó"}],"issued":{"date-parts":[["2020",11,29]]}}},{"id":12143,"uris":["http://zotero.org/users/6216265/items/GX745N4X"],"itemData":{"id":12143,"type":"article-journal","container-title":"PLOS ONE","DOI":"10.1371/journal.pone.0204347","ISSN":"1932-6203","issue":"9","journalAbbreviation":"PLoS ONE","language":"en","page":"e0204347","source":"DOI.org (Crossref)","title":"Molecular assays for antimalarial drug resistance surveillance: A target product profile","title-short":"Molecular assays for antimalarial drug resistance surveillance","volume":"13","author":[{"family":"Nsanzabana","given":"Christian"},{"family":"Ariey","given":"Frederic"},{"family":"Beck","given":"Hans-Peter"},{"family":"Ding","given":"Xavier C."},{"family":"Kamau","given":"Edwin"},{"family":"Krishna","given":"Sanjeev"},{"family":"Legrand","given":"Eric"},{"family":"Lucchi","given":"Naomi"},{"family":"Miotto","given":"Olivo"},{"family":"Nag","given":"Sidsel"},{"family":"Noedl","given":"Harald"},{"family":"Roper","given":"Cally"},{"family":"Rosenthal","given":"Philip J."},{"family":"Schallig","given":"Henk D. F. H."},{"family":"Taylor","given":"Steve M."},{"family":"Volkman","given":"Sarah K."},{"family":"Gonzalez","given":"Iveth J."}],"editor":[{"family":"Huijben","given":"Silvie"}],"issued":{"date-parts":[["2018",9,20]]}}},{"id":12145,"uris":["http://zotero.org/users/6216265/items/2E5LC9UZ"],"itemData":{"id":12145,"type":"article-journal","container-title":"Drug Development and Industrial Pharmacy","DOI":"10.1080/03639045.2017.1414233","ISSN":"0363-9045, 1520-5762","issue":"5","journalAbbreviation":"Drug Development and Industrial Pharmacy","language":"en","page":"837-848","source":"DOI.org (Crossref)","title":"Quality-by-design approach for the development of telmisartan potassium tablets","volume":"44","author":[{"family":"Oh","given":"Ga-Hui"},{"family":"Park","given":"Jin-Hyun"},{"family":"Shin","given":"Hye-Won"},{"family":"Kim","given":"Joo-Eun"},{"family":"Park","given":"Young-Joon"}],"issued":{"date-parts":[["2018",5,4]]}}},{"id":12146,"uris":["http://zotero.org/users/6216265/items/Q8KJXY2D"],"itemData":{"id":12146,"type":"article-journal","container-title":"International Journal of Pharmaceutics","DOI":"10.1016/j.ijpharm.2015.06.018","ISSN":"03785173","issue":"1-2","journalAbbreviation":"International Journal of Pharmaceutics","language":"en","page":"384-392","source":"DOI.org (Crossref)","title":"Adaptation of the quality by design concept in early pharmaceutical development of an intranasal nanosized formulation","volume":"491","author":[{"family":"Pallagi","given":"Edina"},{"family":"Ambrus","given":"Rita"},{"family":"Szabó-Révész","given":"Piroska"},{"family":"Csóka","given":"Ildikó"}],"issued":{"date-parts":[["2015",8]]}}},{"id":12147,"uris":["http://zotero.org/users/6216265/items/VDE4I2FT"],"itemData":{"id":12147,"type":"article-journal","container-title":"International Journal of Pharmaceutics","DOI":"10.1016/j.ijpharm.2019.03.021","ISSN":"03785173","journalAbbreviation":"International Journal of Pharmaceutics","language":"en","page":"11-22","source":"DOI.org (Crossref)","title":"Application of the QbD-based approach in the early development of liposomes for nasal administration","volume":"562","author":[{"family":"Pallagi","given":"Edina"},{"family":"Jójárt-Laczkovich","given":"Orsolya"},{"family":"Németh","given":"Zsófia"},{"family":"Szabó-Révész","given":"Piroska"},{"family":"Csóka","given":"Ildikó"}],"issued":{"date-parts":[["2019",5]]}},"label":"page"},{"id":12149,"uris":["http://zotero.org/users/6216265/items/QCK4CS2L"],"itemData":{"id":12149,"type":"article-journal","container-title":"AAPS PharmSciTech","DOI":"10.1208/s12249-016-0590-3","ISSN":"1530-9932","issue":"4","journalAbbreviation":"AAPS PharmSciTech","language":"en","page":"1213-1227","source":"DOI.org (Crossref)","title":"Quality by Design Empowered Development and Optimisation of Time-Controlled Pulsatile Release Platform Formulation Employing Compression Coating Technology","volume":"18","author":[{"family":"Patadia","given":"Riddhish"},{"family":"Vora","given":"Chintan"},{"family":"Mittal","given":"Karan"},{"family":"Mashru","given":"Rajashree C."}],"issued":{"date-parts":[["2017",5]]}}},{"id":12150,"uris":["http://zotero.org/users/6216265/items/SK7JLVQR"],"itemData":{"id":12150,"type":"article-journal","container-title":"European Journal of Pharmaceutical Sciences","DOI":"10.1016/j.ejps.2016.08.057","ISSN":"09280987","journalAbbreviation":"European Journal of Pharmaceutical Sciences","language":"en","page":"50-61","source":"DOI.org (Crossref)","title":"QbD based development of proliposome of lopinavir for improved oral bioavailability","volume":"108","author":[{"family":"Patel","given":"Grishma M."},{"family":"Shelat","given":"Pragna K."},{"family":"Lalwani","given":"Anita N."}],"issued":{"date-parts":[["2017",10]]}}},{"id":12151,"uris":["http://zotero.org/users/6216265/items/C26MV2TU"],"itemData":{"id":12151,"type":"article-journal","container-title":"International Journal of Pharmaceutics","DOI":"10.1016/j.ijpharm.2021.120474","ISSN":"03785173","journalAbbreviation":"International Journal of Pharmaceutics","language":"en","page":"120474","source":"DOI.org (Crossref)","title":"Nose to brain delivery of tailored clozapine nanosuspension stabilized using (+)-alpha-tocopherol polyethylene glycol 1000 succinate: Optimization and in vivo pharmacokinetic studies","title-short":"Nose to brain delivery of tailored clozapine nanosuspension stabilized using (+)-alpha-tocopherol polyethylene glycol 1000 succinate","volume":"600","author":[{"family":"Patel","given":"Hetal P."},{"family":"Chaudhari","given":"Priyanka S."},{"family":"Gandhi","given":"Priyanshi A."},{"family":"Desai","given":"Bhargavi V."},{"family":"Desai","given":"Ditixa T."},{"family":"Dedhiya","given":"Praful P."},{"family":"Vyas","given":"Bhavin A."},{"family":"Maulvi","given":"Furqan A."}],"issued":{"date-parts":[["2021",5]]}}},{"id":12152,"uris":["http://zotero.org/users/6216265/items/Y3289IFT"],"itemData":{"id":12152,"type":"article-journal","container-title":"Recent Patents on Drug Delivery &amp; Formulation","DOI":"10.2174/1872211310666160709193540","ISSN":"18722113","issue":"3","journalAbbreviation":"DDF","language":"en","page":"192-206","source":"DOI.org (Crossref)","title":"Quality by Design (QbD) Approach for Development of Co-Processed Excipient Pellets (MOMLETS) By Extrusion-Spheronization Technique","volume":"10","author":[{"family":"Patel","given":"Hetal"},{"family":"Patel","given":"Kishan"},{"family":"Tiwari","given":"Sanjay"},{"family":"Pandey","given":"Sonia"},{"family":"Shah","given":"Shailesh"},{"family":"Gohel","given":"Mukesh"}],"issued":{"date-parts":[["2016",12,7]]}}},{"id":12153,"uris":["http://zotero.org/users/6216265/items/4ZVJE4YB"],"itemData":{"id":12153,"type":"article-journal","abstract":"Health workers in low-resource settings often lack the support and tools to follow evidence-based clinical recommendations for diagnosing, treating and managing sick patients. Digital technologies, by combining patient health information and point-of-care diagnostics with evidence-based clinical protocols, can help improve the quality of care and the rational use of resources, and save patient lives. A growing number of electronic clinical decision support algorithms (CDSAs) on mobile devices are being developed and piloted without evidence of safety or impact. Here, we present a target product profile (TPP) for CDSAs aimed at guiding preventive or curative consultations in low-resource settings. This document will help align developer and implementer processes and product specifications with the needs of end users, in terms of quality, safety, performance and operational functionality. To identify the characteristics of CDSAs, a multidisciplinary group of experts (academia, industry and policy makers) with expertise in diagnostic and CDSA development and implementation in low-income and middle-income countries were convened to discuss a draft TPP. The TPP was finalised through a Delphi process to facilitate consensus building. An agreement greater than 75% was reached for all 40 TPP characteristics. In general, experts were in overwhelming agreement that, given that CDSAs provide patient management recommendations, the underlying clinical algorithms should be human-interpretable and evidence-based. Whenever possible, the algorithm’s patient management output should take into account pretest disease probabilities and likelihood ratios of clinical and diagnostic predictors. In addition, validation processes should at a minimum show that CDSAs are implementing faithfully the evidence they are based on, and ideally the impact on patient health outcomes. In terms of operational needs, CDSAs should be designed to fit within clinic workflows and function in connectivity-challenged and high-volume settings. Data collected through the tool should conform to local patient privacy regulations and international data standards.","container-title":"BMJ Global Health","DOI":"10.1136/bmjgh-2019-002067","ISSN":"2059-7908","issue":"2","journalAbbreviation":"BMJ Glob Health","language":"en","page":"e002067","source":"DOI.org (Crossref)","title":"Electronic clinical decision support algorithms incorporating point-of-care diagnostic tests in low-resource settings: a target product profile","title-short":"Electronic clinical decision support algorithms incorporating point-of-care diagnostic tests in low-resource settings","volume":"5","author":[{"family":"Pellé","given":"Karell G"},{"family":"Rambaud-Althaus","given":"Clotilde"},{"family":"D'Acremont","given":"Valérie"},{"family":"Moran","given":"Gretchen"},{"family":"Sampath","given":"Rangarajan"},{"family":"Katz","given":"Zachary"},{"family":"Moussy","given":"Francis G"},{"family":"Mehl","given":"Garrett Livingston"},{"family":"Dittrich","given":"Sabine"}],"issued":{"date-parts":[["2020",2]]}}},{"id":12155,"uris":["http://zotero.org/users/6216265/items/JAGNYWSA"],"itemData":{"id":12155,"type":"article-journal","container-title":"Indian Journal of Pharmaceutical Sciences","DOI":"10.4103/0250-474X.174971","ISSN":"0250-474X","issue":"6","journalAbbreviation":"Indian J Pharm Sci","language":"en","page":"751","source":"DOI.org (Crossref)","title":"Analytical quality by design approach in RP-HPLC method development for the assay of etofenamate in dosage forms","volume":"77","author":[{"family":"Peraman","given":"R"},{"family":"Bhadraya","given":"K"},{"family":"Reddy","given":"YPadmanabha"},{"family":"Reddy","given":"CSurayaprakash"},{"family":"Lokesh","given":"T"}],"issued":{"date-parts":[["2015"]]}}},{"id":12157,"uris":["http://zotero.org/users/6216265/items/3CXSQ86T"],"itemData":{"id":12157,"type":"article-journal","container-title":"European Journal of Pharmaceutical Sciences","DOI":"10.1016/j.ejps.2022.106275","ISSN":"09280987","journalAbbreviation":"European Journal of Pharmaceutical Sciences","language":"en","page":"106275","source":"DOI.org (Crossref)","title":"A quality by design approach for the qualification of automating compounding device for parenteral nutrition","volume":"179","author":[{"family":"Perrier","given":"Quentin"},{"family":"Piquemal","given":"Marie"},{"family":"Leenhardt","given":"Julien"},{"family":"Choisnard","given":"Luc"},{"family":"Mazet","given":"Roseline"},{"family":"Desruet","given":"Marie-Dominique"},{"family":"Durand","given":"Marjorie"},{"family":"Bedouch","given":"Pierrick"}],"issued":{"date-parts":[["2022",12]]}}},{"id":12158,"uris":["http://zotero.org/users/6216265/items/GPYXURV9"],"itemData":{"id":12158,"type":"article-journal","container-title":"PLOS Neglected Tropical Diseases","DOI":"10.1371/journal.pntd.0003697","ISSN":"1935-2735","issue":"6","journalAbbreviation":"PLoS Negl Trop Dis","language":"en","page":"e0003697","source":"DOI.org (Crossref)","title":"Target Product Profile (TPP) for Chagas Disease Point-of-Care Diagnosis and Assessment of Response to Treatment","volume":"9","author":[{"family":"Porrás","given":"Analía I."},{"family":"Yadon","given":"Zaida E."},{"family":"Altcheh","given":"Jaime"},{"family":"Britto","given":"Constança"},{"family":"Chaves","given":"Gabriela C."},{"family":"Flevaud","given":"Laurence"},{"family":"Martins-Filho","given":"Olindo Assis"},{"family":"Ribeiro","given":"Isabela"},{"family":"Schijman","given":"Alejandro G."},{"family":"Shikanai-Yasuda","given":"Maria Aparecida"},{"family":"Sosa-Estani","given":"Sergio"},{"family":"Stobbaerts","given":"Eric"},{"family":"Zicker","given":"Fabio"}],"editor":[{"family":"Debrabant","given":"Alain"}],"issued":{"date-parts":[["2015",6,4]]}}},{"id":12160,"uris":["http://zotero.org/users/6216265/items/3DQVTJXA"],"itemData":{"id":12160,"type":"article-journal","container-title":"Infectious Diseases of Poverty","DOI":"10.1186/s40249-017-0336-9","ISSN":"2049-9957","issue":"1","journalAbbreviation":"Infect Dis Poverty","language":"en","page":"122","source":"DOI.org (Crossref)","title":"Developing a comprehensive response for treatment of children under 6 years of age with schistosomiasis: research and development of a pediatric formulation of praziquantel","title-short":"Developing a comprehensive response for treatment of children under 6 years of age with schistosomiasis","volume":"6","author":[{"family":"Reinhard-Rupp","given":"Jutta"},{"family":"Klohe","given":"Katharina"}],"issued":{"date-parts":[["2017",12]]}}},{"id":12164,"uris":["http://zotero.org/users/6216265/items/DSYJW2FM"],"itemData":{"id":12164,"type":"article-journal","container-title":"Antiviral Research","DOI":"10.1016/j.antiviral.2013.09.016","ISSN":"01663542","journalAbbreviation":"Antiviral Research","language":"en","page":"S32-S38","source":"DOI.org (Crossref)","title":"Prioritizing multipurpose prevention technology development and investments using a target product profile","volume":"100","author":[{"family":"Romano","given":"Joe"},{"family":"Manning","given":"Judy"},{"family":"Hemmerling","given":"Anke"},{"family":"McGrory","given":"Elizabeth"},{"family":"Young Holt","given":"Bethany"}],"issued":{"date-parts":[["2013",12]]}}},{"id":12165,"uris":["http://zotero.org/users/6216265/items/U9NFSWUE"],"itemData":{"id":12165,"type":"article-journal","container-title":"Pharmaceutical Development and Technology","DOI":"10.1080/10837450.2020.1839496","ISSN":"1083-7450, 1097-9867","issue":"1","journalAbbreviation":"Pharmaceutical Development and Technology","language":"en","page":"101-109","source":"DOI.org (Crossref)","title":"Profiling gene expression dynamics underpinning conventional testing approaches to better inform pre-clinical evaluation of an age appropriate spironolactone formulation","volume":"26","author":[{"family":"Russell","given":"Craig"},{"family":"Hussain","given":"Majad"},{"family":"Huen","given":"David"},{"family":"Rahman","given":"Ayesha S."},{"family":"Mohammed","given":"Afzal R."}],"issued":{"date-parts":[["2021",1,2]]}}},{"id":12166,"uris":["http://zotero.org/users/6216265/items/4CXDQAGY"],"itemData":{"id":12166,"type":"article-journal","container-title":"Vaccine","DOI":"10.1016/j.vaccine.2020.01.017","ISSN":"0264410X","issue":"26","journalAbbreviation":"Vaccine","language":"en","page":"4135-4141","source":"DOI.org (Crossref)","title":"Meeting report: WHO consultation on accelerating Lassa fever vaccine development in endemic countries, Dakar, 10–11 September 2019","title-short":"Meeting report","volume":"38","author":[{"family":"Salami","given":"Kolawole"},{"family":"Gsell","given":"Pierre-Stéphane"},{"family":"Olayinka","given":"Adebola"},{"family":"Maiga","given":"Diadie"},{"family":"Formenty","given":"Pierre"},{"family":"Smith","given":"Peter G."},{"family":"Moorthy","given":"Vasee"}],"issued":{"date-parts":[["2020",5]]}}},{"id":12168,"uris":["http://zotero.org/users/6216265/items/NSQABGG6"],"itemData":{"id":12168,"type":"article-journal","container-title":"Drug Development and Industrial Pharmacy","DOI":"10.1080/03639045.2018.1496450","ISSN":"0363-9045, 1520-5762","issue":"12","journalAbbreviation":"Drug Development and Industrial Pharmacy","language":"en","page":"1905-1917","source":"DOI.org (Crossref)","title":"Development and &lt;i&gt;in vitro&lt;/i&gt; evaluation of pH-independent release matrix tablet of weakly acidic drug valsartan using quality by design tools","volume":"44","author":[{"family":"Saydam","given":"Mehtap"},{"family":"Takka","given":"Sevgi"}],"issued":{"date-parts":[["2018",12,2]]}}},{"id":12169,"uris":["http://zotero.org/users/6216265/items/IED5CQAX"],"itemData":{"id":12169,"type":"article-journal","container-title":"International Journal of Pharmaceutics","DOI":"10.1016/j.ijpharm.2018.06.052","ISSN":"03785173","issue":"1","journalAbbreviation":"International Journal of Pharmaceutics","language":"en","page":"385-399","source":"DOI.org (Crossref)","title":"A practical framework for implementing Quality by Design to the development of topical drug products: Nanosystem-based dosage forms","title-short":"A practical framework for implementing Quality by Design to the development of topical drug products","volume":"548","author":[{"family":"Simões","given":"Ana"},{"family":"Veiga","given":"Francisco"},{"family":"Figueiras","given":"Ana"},{"family":"Vitorino","given":"Carla"}],"issued":{"date-parts":[["2018",9]]}}},{"id":12170,"uris":["http://zotero.org/users/6216265/items/6XQRLC3S"],"itemData":{"id":12170,"type":"article-journal","container-title":"Journal of Pharmaceutical Sciences","DOI":"10.1016/j.xphs.2018.06.010","ISSN":"00223549","issue":"10","journalAbbreviation":"Journal of Pharmaceutical Sciences","language":"en","page":"2653-2662","source":"DOI.org (Crossref)","title":"A Tutorial for Developing a Topical Cream Formulation Based on the Quality by Design Approach","volume":"107","author":[{"family":"Simões","given":"Ana"},{"family":"Veiga","given":"Francisco"},{"family":"Vitorino","given":"Carla"},{"family":"Figueiras","given":"Ana"}],"issued":{"date-parts":[["2018",10]]}}},{"id":12171,"uris":["http://zotero.org/users/6216265/items/6DMVZ944"],"itemData":{"id":12171,"type":"article-journal","container-title":"AAPS PharmSciTech","DOI":"10.1208/s12249-015-0367-0","ISSN":"1530-9932","issue":"2","journalAbbreviation":"AAPS PharmSciTech","language":"en","page":"454-465","source":"DOI.org (Crossref)","title":"QbD-Enabled Development of Novel Stimuli-Responsive Gastroretentive Systems of Acyclovir for Improved Patient Compliance and Biopharmaceutical Performance","volume":"17","author":[{"family":"Singh","given":"Bhupinder"},{"family":"Kaur","given":"Anterpreet"},{"family":"Dhiman","given":"Shashi"},{"family":"Garg","given":"Babita"},{"family":"Khurana","given":"Rajneet Kaur"},{"family":"Beg","given":"Sarwar"}],"issued":{"date-parts":[["2016",4]]}}},{"id":12174,"uris":["http://zotero.org/users/6216265/items/VW2MMZZC"],"itemData":{"id":12174,"type":"article-journal","abstract":"Effective surveillance of Aedes aegypti (Linnaeus, Diptera: Culicidae) is critical to monitoring the impact of vector control measures when mitigating disease transmission by this species. There are benefits to deploying male-specific traps, particularly when a high level of catch-specificity is desired. Here, the rationale behind the developmental process of an entirely new trap which uses a sound lure to capture male Ae. aegypti, the male Aedes sound trap (MAST), is presented as a target product profile with findings from developmental trials of key trap components and performance. Trial results suggest that the presence of a black base associated with the trap influenced male catches as did variations in size of this base, to a degree. Trap entrance shape didn’t influence catch rates, but entrance size did. No significant differences in catch rates were found when sound lures were set to intermittent or continuous playbacks, at volumes between 63–74 dB or frequencies of 450 Hz compared to 500 Hz. Additionally, adult males aged 3 days post-eclosion, were less responsive to sound lures set to 500 Hz than those 4 or 6 days old. Lastly, almost no males were caught when the MAST directly faced continual winds of 1.5 ms−1, but males were captured at low rates during intermittent winds, or if the trap faced away from the wind. The developmental process to optimising this trap is applicable to the development of alternate mosquito traps beyond Aedes sound traps and provides useful information towards the improved surveillance of these disease vectors.","container-title":"Insects","DOI":"10.3390/insects12050388","ISSN":"2075-4450","issue":"5","journalAbbreviation":"Insects","language":"en","page":"388","source":"DOI.org (Crossref)","title":"Designing Aedes (Diptera: Culicidae) Mosquito Traps: The Evolution of the Male Aedes Sound Trap by Iterative Evaluation","title-short":"Designing Aedes (Diptera","volume":"12","author":[{"family":"Staunton","given":"Kyran M."},{"family":"Liu","given":"Jianyi"},{"family":"Townsend","given":"Michael"},{"family":"Desnoyer","given":"Mark"},{"family":"Howell","given":"Paul"},{"family":"Crawford","given":"Jacob E."},{"family":"Xiang","given":"Wei"},{"family":"Snoad","given":"Nigel"},{"family":"Burkot","given":"Thomas R."},{"family":"Ritchie","given":"Scott A."}],"issued":{"date-parts":[["2021",4,27]]}}},{"id":12176,"uris":["http://zotero.org/users/6216265/items/VKCQZ8EL"],"itemData":{"id":12176,"type":"article-journal","container-title":"The International Journal of Tuberculosis and Lung Disease","DOI":"10.5588/ijtld.17.0486","ISSN":"1027-3719","issue":"2","journalAbbreviation":"int j tuberc lung dis","language":"en","page":"125-132","source":"DOI.org (Crossref)","title":"Long-acting formulations for the treatment of latent tuberculous infection: opportunities and challenges","title-short":"Long-acting formulations for the treatment of latent tuberculous infection","volume":"22","author":[{"family":"Swindells","given":"S."},{"family":"Siccardi","given":"M."},{"family":"Barrett","given":"S. E."},{"family":"Olsen","given":"D. B."},{"family":"Grobler","given":"J. A."},{"family":"Podany","given":"A. T."},{"family":"Nuermberger","given":"E."},{"family":"Kim","given":"P."},{"family":"Barry","given":"C. E."},{"family":"Owen","given":"A."},{"family":"Hazuda","given":"D."},{"family":"Flexner","given":"C."}],"issued":{"date-parts":[["2018",2,1]]}}},{"id":12178,"uris":["http://zotero.org/users/6216265/items/CJUXD2YZ"],"itemData":{"id":12178,"type":"article-journal","container-title":"Journal of Pharmaceutical and Biomedical Analysis","DOI":"10.1016/j.jpba.2018.06.018","ISSN":"07317085","journalAbbreviation":"Journal of Pharmaceutical and Biomedical Analysis","language":"en","page":"395-404","source":"DOI.org (Crossref)","title":"A Quality by Design (QbD) approach to the development of a gradient high-performance liquid chromatography for the simultaneous assay of curcuminoids and doxorubicin from long-circulating liposomes","volume":"158","author":[{"family":"Sylvester","given":"Bianca"},{"family":"Tefas","given":"Lucia"},{"family":"Vlase","given":"Laurian"},{"family":"Tomuţă","given":"Ioan"},{"family":"Porfire","given":"Alina"}],"issued":{"date-parts":[["2018",9]]}}},{"id":12179,"uris":["http://zotero.org/users/6216265/items/X4ZQEQ5K"],"itemData":{"id":12179,"type":"article-journal","container-title":"European Journal of Pharmaceutical Sciences","DOI":"10.1016/j.ejps.2017.12.021","ISSN":"09280987","journalAbbreviation":"European Journal of Pharmaceutical Sciences","language":"en","page":"1-10","source":"DOI.org (Crossref)","title":"Lubricant based determination of design space for continuously manufactured high dose paracetamol tablets","volume":"115","author":[{"family":"Taipale-Kovalainen","given":"Krista"},{"family":"Karttunen","given":"Anssi-Pekka"},{"family":"Ketolainen","given":"Jarkko"},{"family":"Korhonen","given":"Ossi"}],"issued":{"date-parts":[["2018",3]]}}},{"id":12180,"uris":["http://zotero.org/users/6216265/items/4JTF3B2A"],"itemData":{"id":12180,"type":"article-journal","container-title":"European Journal of Pharmaceutics and Biopharmaceutics","DOI":"10.1016/j.ejpb.2020.08.002","ISSN":"09396411","journalAbbreviation":"European Journal of Pharmaceutics and Biopharmaceutics","language":"en","page":"88-102","source":"DOI.org (Crossref)","title":"Optimization of the quality by design approach for gene therapy products: A case study for adeno-associated viral vectors","title-short":"Optimization of the quality by design approach for gene therapy products","volume":"155","author":[{"family":"Tanaka","given":"Toshimitsu"},{"family":"Hanaoka","given":"Hideki"},{"family":"Sakurai","given":"Shingo"}],"issued":{"date-parts":[["2020",10]]}}},{"id":12181,"uris":["http://zotero.org/users/6216265/items/ERBMFXH2"],"itemData":{"id":12181,"type":"article-journal","container-title":"AAPS PharmSciTech","DOI":"10.1208/s12249-020-01738-5","ISSN":"1530-9932","issue":"5","journalAbbreviation":"AAPS PharmSciTech","language":"en","page":"200","source":"DOI.org (Crossref)","title":"A Comparison Between Lab-Scale and Hot-Melt-Extruder-Based Anti-inflammatory Ointment Manufacturing","volume":"21","author":[{"family":"Thakkar","given":"Rishi"},{"family":"Ashour","given":"Eman A."},{"family":"Shukla","given":"Ashay"},{"family":"Wang","given":"Rui"},{"family":"Chambliss","given":"Walter G."},{"family":"Bandari","given":"Suresh"},{"family":"Murthy","given":"Narasimha"},{"family":"Repka","given":"Michael A."}],"issued":{"date-parts":[["2020",7]]}}},{"id":12182,"uris":["http://zotero.org/users/6216265/items/WZVWGRQZ"],"itemData":{"id":12182,"type":"article-journal","container-title":"Pharmaceutical Research","DOI":"10.1007/s11095-018-2566-3","ISSN":"0724-8741, 1573-904X","issue":"3","journalAbbreviation":"Pharm Res","language":"en","page":"37","source":"DOI.org (Crossref)","title":"Application of a Quality-By-Design Approach to Optimise Lipid-Polymer Hybrid Nanoparticles Loaded with a Splice-Correction Antisense Oligonucleotide: Maximising Loading and Intracellular Delivery","title-short":"Application of a Quality-By-Design Approach to Optimise Lipid-Polymer Hybrid Nanoparticles Loaded with a Splice-Correction Antisense Oligonucleotide","volume":"36","author":[{"family":"Thanki","given":"Kaushik"},{"family":"Papai","given":"Simon"},{"family":"Lokras","given":"Abhijeet"},{"family":"Rose","given":"Fabrice"},{"family":"Falkenberg","given":"Emily"},{"family":"Franzyk","given":"Henrik"},{"family":"Foged","given":"Camilla"}],"issued":{"date-parts":[["2019",3]]}}},{"id":12183,"uris":["http://zotero.org/users/6216265/items/RH7A282D"],"itemData":{"id":12183,"type":"article-journal","container-title":"European Journal of Pharmaceutics and Biopharmaceutics","DOI":"10.1016/j.ejpb.2017.07.014","ISSN":"09396411","journalAbbreviation":"European Journal of Pharmaceutics and Biopharmaceutics","language":"en","page":"22-33","source":"DOI.org (Crossref)","title":"Engineering of small interfering RNA-loaded lipidoid-poly( DL -lactic-co-glycolic acid) hybrid nanoparticles for highly efficient and safe gene silencing: A quality by design-based approach","title-short":"Engineering of small interfering RNA-loaded lipidoid-poly( DL -lactic-co-glycolic acid) hybrid nanoparticles for highly efficient and safe gene silencing","volume":"120","author":[{"family":"Thanki","given":"Kaushik"},{"family":"Zeng","given":"Xianghui"},{"family":"Justesen","given":"Sarah"},{"family":"Tejlmann","given":"Sarah"},{"family":"Falkenberg","given":"Emily"},{"family":"Van Driessche","given":"Elize"},{"family":"Mørck Nielsen","given":"Hanne"},{"family":"Franzyk","given":"Henrik"},{"family":"Foged","given":"Camilla"}],"issued":{"date-parts":[["2017",11]]}}},{"id":12118,"uris":["http://zotero.org/users/6216265/items/2L47LS78"],"itemData":{"id":12118,"type":"article-journal","container-title":"PLoS Medicine","DOI":"10.1371/journal.pmed.1000398","ISSN":"1549-1676","issue":"1","journalAbbreviation":"PLoS Med","language":"en","page":"e1000398","source":"DOI.org (Crossref)","title":"A Research Agenda for Malaria Eradication: Vaccines","title-short":"A Research Agenda for Malaria Eradication","volume":"8","author":[{"literal":"The malERA Consultative Group on Vaccines"}],"issued":{"date-parts":[["2011",1,25]]}}},{"id":12184,"uris":["http://zotero.org/users/6216265/items/ZBYACQW8"],"itemData":{"id":12184,"type":"article-journal","abstract":"In the past, drug developers in industry chose approaches mainly focusing on the drug product's efficacy, safety and quality according to the level required by regulatory expectations stipulated in guidelines, pharmacopoeia and other regulatory provisions. By putting more focus on the patient perspective, regulatory authorities are currently raising their requirements regarding successful product submissions. The increasing involvement of patients in the product development process (e.g. conduction of human factor use tests, integration of feedback from patient and patient advisory groups into clinical programmes) requires adaptations to the existing and established industrial drug development processes without compromising fast patient access to innovative therapies. This review provides an expert opinion on the emerging challenges and opportunities to implement a patient‐centric approach into new drug development programmes. The aim is to better understand the challenge of finding the right balance between bringing innovative drugs fast to the patients and to develop these in parallel in a patient‐centric product form as well as why this is an opportunity and how stakeholder parties (e.g. patients, clinicians, pharmacists, caregivers, regulators) can provide support to achieve desired outcomes.","container-title":"British Journal of Clinical Pharmacology","DOI":"10.1111/bcp.14388","ISSN":"0306-5251, 1365-2125","issue":"10","journalAbbreviation":"Brit J Clinical Pharma","language":"en","page":"2020-2027","source":"DOI.org (Crossref)","title":"Challenges and opportunities to include patient‐centric product design in industrial medicines development to improve therapeutic goals","volume":"86","author":[{"family":"Timpe","given":"Carsten"},{"family":"Stegemann","given":"Sven"},{"family":"Barrett","given":"Andrew"},{"family":"Mujumdar","given":"Siddharthya"}],"issued":{"date-parts":[["2020",10]]}}},{"id":12185,"uris":["http://zotero.org/users/6216265/items/P7NUXAN8"],"itemData":{"id":12185,"type":"article-journal","container-title":"Drug Development and Industrial Pharmacy","DOI":"10.1080/03639045.2020.1717515","ISSN":"0363-9045, 1520-5762","issue":"2","journalAbbreviation":"Drug Development and Industrial Pharmacy","language":"en","page":"296-308","source":"DOI.org (Crossref)","title":"Development of an emulgel for the treatment of rosacea using quality by design approach","volume":"46","author":[{"family":"Torregrosa","given":"Annibal"},{"family":"Ochoa-Andrade","given":"Ana Teresa"},{"family":"Parente","given":"María Emma"},{"family":"Vidarte","given":"Ana"},{"family":"Guarinoni","given":"Giovanna"},{"family":"Savio","given":"Eduardo"}],"issued":{"date-parts":[["2020",2,1]]}}},{"id":12188,"uris":["http://zotero.org/users/6216265/items/KBAXCF2E"],"itemData":{"id":12188,"type":"article-journal","abstract":"Abstract\n            \n              Introduction\n              Multi-parameter diagnostic devices can simplify cardiometabolic disease diagnosis. However, existing devices may not be suitable for use in low-resource settings, where the burden of non-communicable diseases is high. Here we describe the development of a target product profile (TPP) for a point-of-care multi-parameter device for detection of biomarkers for cardiovascular disease and metabolic disorders, including diabetes, in primary care settings in low- and middle-income countries (LMICs).\n            \n            \n              Methods\n              A draft TPP developed by an expert group was reviewed through an online survey and semi-structured expert interviews to identify device characteristics requiring refinement. The draft TPP included 41 characteristics with minimal and optimal requirements; characteristics with an agreement level for either requirement of ≤ 85% in either the survey or among interviewees were further discussed by the expert group and amended as appropriate.\n            \n            \n              Results\n              Twenty people responded to the online survey and 18 experts participated in the interviews. Twenty-two characteristics had an agreement level of ≤ 85% in either the online survey or interviews. The final TPP defines the device as intended to be used for basic diagnosis and management of cardiometabolic disorders (lipids, glucose, HbA1c, and creatinine) as minimal requirement, and offering an expanded test menu for wider cardiometabolic disease management as optimal requirement. To be suitable, the device should be intended for level 1 healthcare settings or lower, used by minimally trained healthcare workers and allow testing using self-contained cartridges or strips without the need for additional reagents. Throughput should be one sample at a time in a single or multi-analyte cartridge, or optimally enable testing of several samples and analytes in parallel with random access.\n            \n            \n              Conclusion\n              This TPP will inform developers of cardiometabolic multi-parameter devices for LMIC settings, and will support decision makers in the evaluation of existing and future devices.","container-title":"BMC Cardiovascular Disorders","DOI":"10.1186/s12872-021-02298-7","ISSN":"1471-2261","issue":"1","journalAbbreviation":"BMC Cardiovasc Disord","language":"en","page":"486","source":"DOI.org (Crossref)","title":"Development of a target product profile for a point-of-care cardiometabolic device","volume":"21","author":[{"family":"Vetter","given":"Beatrice"},{"family":"Beran","given":"David"},{"family":"Boulle","given":"Philippa"},{"family":"Chua","given":"Arlene"},{"family":"De La Tour","given":"Roberto"},{"family":"Hattingh","given":"Lucy"},{"family":"Perel","given":"Pablo"},{"family":"Roglic","given":"Gojka"},{"family":"Sampath","given":"Rangarajan"},{"family":"Woodman","given":"Michael"},{"family":"Perone","given":"Sigiriya Aebischer"}],"issued":{"date-parts":[["2021",12]]}}},{"id":12190,"uris":["http://zotero.org/users/6216265/items/M48MS2XN"],"itemData":{"id":12190,"type":"article-journal","abstract":"Respiratory failure due to SARS-CoV-2 has caused widespread mortality, creating an urgent need for effective treatments and a long-term need for antivirals for future emergent coronaviruses. Pharmacotherapy for respiratory viruses has largely been unsuccessful with the exception of early treatment of influenza viruses, which shortens symptom duration and prevents infection in close contacts. Under the rapidly evolving circumstances of the COVID-19 pandemic, most clinical trials of experimental treatments in the United States have focused on later stages of the disease process. Worldwide, the clinical studies of the most impactful drugs, remdesivir and dexamethasone in ACTT-1, RECOVERY, and Solidarity, have studied hospitalized patients. Less than half of clinical trials in the U.S. have investigated oral agents, and the majority have taken place in hospitals at a disease stage where the viral load is already decreasing. The limited success of treatments for respiratory viruses and the viral dynamics of COVID-19 suggest that an antiviral therapy with the greatest impact against pandemic coronaviruses would be orally administered, well-tolerated, target a highly conserved viral protein or host-coronavirus interaction and could be used effectively throughout the world, including resource-poor settings. We examine the treatment of respiratory viral infections and current clinical trials for COVID-19 to provide a framework for effective antiviral therapy and prevention of future emergent coronaviruses and call attention to the need for continued preclinical drug discovery.","container-title":"Frontiers in Medicine","DOI":"10.3389/fmed.2020.596587","ISSN":"2296-858X","journalAbbreviation":"Front. Med.","page":"596587","source":"DOI.org (Crossref)","title":"The Need for Antiviral Drugs for Pandemic Coronaviruses From a Global Health Perspective","volume":"7","author":[{"family":"Villamagna","given":"Angela Holly"},{"family":"Gore","given":"Sara J."},{"family":"Lewis","given":"James S."},{"family":"Doggett","given":"J. Stone"}],"issued":{"date-parts":[["2020",12,22]]}}},{"id":12192,"uris":["http://zotero.org/users/6216265/items/Q327VGY9"],"itemData":{"id":12192,"type":"article-journal","container-title":"Current Opinion in HIV and AIDS","DOI":"10.1097/COH.0000000000000527","ISSN":"1746-630X","issue":"2","language":"en","page":"143-149","source":"DOI.org (Crossref)","title":"Current and future priorities for the development of optimal HIV drugs","volume":"14","author":[{"family":"Vitoria","given":"Marco"},{"family":"Rangaraj","given":"Ajay"},{"family":"Ford","given":"Nathan"},{"family":"Doherty","given":"Meg"}],"issued":{"date-parts":[["2019",3]]}}},{"id":12193,"uris":["http://zotero.org/users/6216265/items/5GMM8YEM"],"itemData":{"id":12193,"type":"article-journal","abstract":"Paracetamol (acetaminophen) overdose is one of the most common causes of acute liver injury in the Western world. To improve patient care and reduce pressure on already stretched health care providers new biomarkers are needed that identify or exclude liver injury soon after an overdose of paracetamol is ingested. This review highlights the current state of paracetamol poisoning management and how novel biomarkers could improve patient care and save healthcare providers money. Based on the widely used concept of defining a target product profile, a target biomarker profile is proposed that identifies\n              desirable\n              and\n              acceptable\n              key properties for a biomarker in development to enable the improved treatment of this patient population. The current biomarker candidates, with improved hepatic specificity and based on the fundamental mechanistic basis of paracetamol‐induced liver injury, are reviewed and their performance compared with our target profile.","container-title":"British Journal of Clinical Pharmacology","DOI":"10.1111/bcp.12699","ISSN":"0306-5251, 1365-2125","issue":"3","journalAbbreviation":"Brit J Clinical Pharma","language":"en","page":"351-362","source":"DOI.org (Crossref)","title":"Target biomarker profile for the clinical management of paracetamol overdose","volume":"80","author":[{"family":"Vliegenthart","given":"A. D. Bastiaan"},{"family":"Antoine","given":"Daniel J."},{"family":"Dear","given":"James W."}],"issued":{"date-parts":[["2015",9]]}}},{"id":12194,"uris":["http://zotero.org/users/6216265/items/6X5JL89X"],"itemData":{"id":12194,"type":"article-journal","container-title":"International Journal of Pharmaceutics","DOI":"10.1016/j.ijpharm.2013.07.043","ISSN":"03785173","issue":"1-2","journalAbbreviation":"International Journal of Pharmaceutics","language":"en","page":"169-181","source":"DOI.org (Crossref)","title":"Risk based approach for design and optimization of stomach specific delivery of rifampicin","volume":"455","author":[{"family":"Vora","given":"Chintan"},{"family":"Patadia","given":"Riddhish"},{"family":"Mittal","given":"Karan"},{"family":"Mashru","given":"Rajashree"}],"issued":{"date-parts":[["2013",10]]}}},{"id":12196,"uris":["http://zotero.org/users/6216265/items/S5N49CR8"],"itemData":{"id":12196,"type":"article-journal","container-title":"Biomedicine &amp; Pharmacotherapy","DOI":"10.1016/j.biopha.2021.111940","ISSN":"07533322","journalAbbreviation":"Biomedicine &amp; Pharmacotherapy","language":"en","page":"111940","source":"DOI.org (Crossref)","title":"Quality by design (QbD) in the formulation and optimization of liquid crystalline nanoparticles (LCNPs): A risk based industrial approach","title-short":"Quality by design (QbD) in the formulation and optimization of liquid crystalline nanoparticles (LCNPs)","volume":"141","author":[{"family":"Waghule","given":"Tejashree"},{"family":"Dabholkar","given":"Neha"},{"family":"Gorantla","given":"Srividya"},{"family":"Rapalli","given":"Vamshi Krishna"},{"family":"Saha","given":"Ranendra Narayan"},{"family":"Singhvi","given":"Gautam"}],"issued":{"date-parts":[["2021",9]]}}},{"id":12197,"uris":["http://zotero.org/users/6216265/items/MJL4TELB"],"itemData":{"id":12197,"type":"article-journal","abstract":"The World Health Organization’s Model List of Essential Medicines for Children (EMLc) presents a list of the most efficacious, safe, and cost-effective medicines for priority conditions, intended for use in children up to 12 years of age. However, gaps in global availability and use of age-appropriate formulations of medicines for children still exist. To address these shortcomings, a comprehensive analysis of the appropriateness of formulations of essential medicines for children is being undertaken through the Global Accelerator for Paediatric Formulations (GAP-f) network, a WHO network launched in 2020 to respond to the paediatric treatment gap. This article describes the development and application of a paediatric Quality Target Product Profile (pQTPP) tool by WHO, to retrospectively evaluate the paediatric age-appropriateness of formulations on the EMLc and identify potential formulation gaps, to inform the review of the EMLc in 2023. A combination of paediatric-centric and global health-focused attributes and targets were defined, taking into consideration regulatory agency paediatric development guidelines and literature sources, and a qualitative scoring system was developed and tested. Example evaluations of paracetamol and clofazimine are provided, illustrating the tool’s use. The assessment of EMLc formulations is ongoing and shortcomings and gaps in EMLc formulations have already been identified. The pQTTP tool may also be applied to national lists and prospectively when designing new paediatric formulations.","container-title":"Pharmaceutics","DOI":"10.3390/pharmaceutics14030473","ISSN":"1999-4923","issue":"3","journalAbbreviation":"Pharmaceutics","language":"en","page":"473","source":"DOI.org (Crossref)","title":"Assessing the Appropriateness of Formulations on the WHO Model List of Essential Medicines for Children: Development of a Paediatric Quality Target Product Profile Tool","title-short":"Assessing the Appropriateness of Formulations on the WHO Model List of Essential Medicines for Children","volume":"14","author":[{"family":"Walsh","given":"Jennifer"},{"family":"Masini","given":"Tiziana"},{"family":"Huttner","given":"Benedikt"},{"family":"Moja","given":"Lorenzo"},{"family":"Penazzato","given":"Martina"},{"family":"Cappello","given":"Bernadette"}],"issued":{"date-parts":[["2022",2,22]]}}},{"id":12199,"uris":["http://zotero.org/users/6216265/items/SBAHENPM"],"itemData":{"id":12199,"type":"article-journal","abstract":"Improved global access to novel age‐appropriate formulations for paediatric subsets, either of new chemical entities or existing drugs, is a priority to ensure that medicines meet the needs of these patients. However, despite regulatory incentives, the introduction to the market of paediatric formulations still lags behind adult products. This is mainly caused by additional complexities associated with the development of acceptable age‐appropriate paediatric medicines. This position paper recommends the use of a paediatric Quality Target Product Profile as an efficient tool to facilitate early planning and decision making across all teams involved in paediatric formulation development during the children‐centric formulation design for new chemical entities, or to repurpose/reformulate off‐patent drugs. Essential key attributes of a paediatric formulation are suggested and described. Moreover, greater collaboration between formulation experts and clinical colleagues, including healthcare professionals, is advocated to lead to safe and effective, age‐appropriate medicinal products. Acceptability testing should be a secondary endpoint in paediatric clinical trials to ensure postmarketing adherence is not compromised by a lack of acceptability. Not knowing the indications and the related age groups and potential dosing regimens early enough is still a major hurdle for efficient paediatric formulation development; however, the proposed paediatric Quality Target Product Profile could be a valuable collaborative tool for planning and decision making to expedite paediatric product development, particularly for those with limited experience in developing a paediatric product.","container-title":"British Journal of Clinical Pharmacology","DOI":"10.1111/bcp.14989","ISSN":"0306-5251, 1365-2125","issue":"12","journalAbbreviation":"Brit J Clinical Pharma","language":"en","page":"5034-5051","source":"DOI.org (Crossref)","title":"Path towards efficient paediatric formulation development based on partnering with clinical pharmacologists and clinicians, a conect4children expert group white paper","volume":"88","author":[{"family":"Walsh","given":"Jennifer"},{"family":"Schaufelberger","given":"Daniel"},{"family":"Iurian","given":"Sonia"},{"family":"Klein","given":"Sandra"},{"family":"Batchelor","given":"Hannah"},{"family":"Turner","given":"Roy"},{"family":"Gizurarson","given":"Sveinbjörn"},{"family":"Boltri","given":"Luigi"},{"family":"Alessandrini","given":"Elisa"},{"family":"Tuleu","given":"Catherine"}],"issued":{"date-parts":[["2022",12]]}}},{"id":12200,"uris":["http://zotero.org/users/6216265/items/IHCSNCX5"],"itemData":{"id":12200,"type":"article-journal","container-title":"European Journal of Pharmaceutical Sciences","DOI":"10.1016/j.ejps.2022.106280","ISSN":"09280987","journalAbbreviation":"European Journal of Pharmaceutical Sciences","language":"en","page":"106280","source":"DOI.org (Crossref)","title":"Structured approach for designing drug-loaded solid products by binder jetting 3D printing","volume":"178","author":[{"family":"Wang","given":"Yingya"},{"family":"Müllertz","given":"Anette"},{"family":"Rantanen","given":"Jukka"}],"issued":{"date-parts":[["2022",11]]}}},{"id":12202,"uris":["http://zotero.org/users/6216265/items/FZQPFILQ"],"itemData":{"id":12202,"type":"article-journal","container-title":"Drug Delivery and Translational Research","DOI":"10.1007/s13346-016-0313-z","ISSN":"2190-393X, 2190-3948","issue":"5","journalAbbreviation":"Drug Deliv. and Transl. Res.","language":"en","page":"572-578","source":"DOI.org (Crossref)","title":"Preliminary consultation on preferred product characteristics of benzathine penicillin G for secondary prophylaxis of rheumatic fever","volume":"6","author":[{"family":"Wyber","given":"Rosemary"},{"family":"Boyd","given":"Ben J"},{"family":"Colquhoun","given":"Samantha"},{"family":"Currie","given":"Bart J"},{"family":"Engel","given":"Mark"},{"family":"Kado","given":"Joseph"},{"family":"Karthikeyan","given":"Ganesan"},{"family":"Sullivan","given":"Mark"},{"family":"Saxena","given":"Anita"},{"family":"Sheel","given":"Meru"},{"family":"Steer","given":"Andrew"},{"family":"Mucumbitsi","given":"Joseph"},{"family":"Zühlke","given":"Liesl"},{"family":"Carapetis","given":"Jonathan"}],"issued":{"date-parts":[["2016",10]]}}},{"id":12203,"uris":["http://zotero.org/users/6216265/items/5R76JEW2"],"itemData":{"id":12203,"type":"article-journal","abstract":"Abstract\n            Quality by design (QbD) is an efficient but challenging approach for the development of biosimilar due to the complex relationship among process, quality, and efficacy. Here, the analytical similarity of adalimumab biosimilar HLX03 to Humira® was successfully established following a QbD quality study. Quality target product profile (QTPP) of HLX03 was first generated according to the public available information and initial characterization of 3 batches of Humira®. The critical quality attributes (CQAs) were then identified through risk assessment according to impact of each quality attribute on efficacy and safety. The anticipated range for each CQA was derived from similarity acceptance range and/or the corresponding regulatory guidelines. Finally, a panel of advanced and orthogonal physicochemical and functional tests and comparison of 6 batches of HLX03 and 10 batches of the reference standard demonstrated high similarity of HLX03 to Humira®, except for slightly lower percentage of high mannosylated glycans (%HM) in HLX03 which had no effect on FcγRIII binding and antibody-dependent cell-mediated cytotoxicity (ADCC) activity in human peripheral blood mononuclear cell (PBMC). All above demonstrated the feasibility and efficiency of QbD-based similarity assessment of a biosimilar monoclonal antibody (mAb).","container-title":"The AAPS Journal","DOI":"10.1208/s12248-020-00454-z","ISSN":"1550-7416","issue":"3","journalAbbreviation":"AAPS J","language":"en","page":"69","source":"DOI.org (Crossref)","title":"Quality by Design–Based Assessment for Analytical Similarity of Adalimumab Biosimilar HLX03 to Humira®","volume":"22","author":[{"family":"Zhang","given":"Erhui"},{"family":"Xie","given":"Liqi"},{"family":"Qin","given":"Peilan"},{"family":"Lu","given":"Lihong"},{"family":"Xu","given":"Yanpeng"},{"family":"Gao","given":"Wenyuan"},{"family":"Wang","given":"Linlin"},{"family":"Xie","given":"Michael Hongwei"},{"family":"Jiang","given":"Weidong"},{"family":"Liu","given":"Scott"}],"issued":{"date-parts":[["2020",5]]}}},{"id":12205,"uris":["http://zotero.org/users/6216265/items/FITMSFXY"],"itemData":{"id":12205,"type":"article-journal","container-title":"International Journal of Nanomedicine","DOI":"10.2147/IJN.S102945","ISSN":"1178-2013","journalAbbreviation":"IJN","language":"en","page":"1501","source":"DOI.org (Crossref)","title":"Nicotinamide polymeric nanoemulsified systems: a quality-by-design case study for a sustained antimicrobial activity","title-short":"Nicotinamide polymeric nanoemulsified systems","author":[{"family":"Zidan","given":"Ahmed"},{"family":"Ahmed","given":"Osama"},{"family":"Aljaeid","given":"Bader"}],"issued":{"date-parts":[["2016",4]]}}}],"schema":"https://github.com/citation-style-language/schema/raw/master/csl-citation.json"} </w:instrText>
            </w:r>
            <w:r>
              <w:fldChar w:fldCharType="separate"/>
            </w:r>
            <w:r w:rsidR="00C94C08" w:rsidRPr="00C94C08">
              <w:rPr>
                <w:rFonts w:ascii="Calibri" w:hAnsi="Calibri" w:cs="Calibri"/>
                <w:szCs w:val="24"/>
              </w:rPr>
              <w:t>(199–258,258–325)</w:t>
            </w:r>
            <w:r>
              <w:fldChar w:fldCharType="end"/>
            </w:r>
          </w:p>
        </w:tc>
      </w:tr>
      <w:tr w:rsidR="009149B4" w14:paraId="3E97DC0C" w14:textId="77777777" w:rsidTr="00E666ED">
        <w:tc>
          <w:tcPr>
            <w:tcW w:w="1260" w:type="dxa"/>
            <w:vMerge/>
            <w:vAlign w:val="center"/>
          </w:tcPr>
          <w:p w14:paraId="1C2B4952" w14:textId="77777777" w:rsidR="005467CB" w:rsidRDefault="005467CB" w:rsidP="00106C2C">
            <w:pPr>
              <w:spacing w:line="276" w:lineRule="auto"/>
            </w:pPr>
          </w:p>
        </w:tc>
        <w:tc>
          <w:tcPr>
            <w:tcW w:w="2790" w:type="dxa"/>
            <w:vAlign w:val="center"/>
          </w:tcPr>
          <w:p w14:paraId="43A8826A" w14:textId="643E9A4C" w:rsidR="005467CB" w:rsidRDefault="005467CB" w:rsidP="00106C2C">
            <w:pPr>
              <w:spacing w:line="276" w:lineRule="auto"/>
            </w:pPr>
            <w:r>
              <w:t>Revised a predefined TPP</w:t>
            </w:r>
          </w:p>
        </w:tc>
        <w:tc>
          <w:tcPr>
            <w:tcW w:w="5017" w:type="dxa"/>
            <w:vAlign w:val="center"/>
          </w:tcPr>
          <w:p w14:paraId="329FFC1E" w14:textId="09D586C9" w:rsidR="005467CB" w:rsidRDefault="005467CB" w:rsidP="00106C2C">
            <w:pPr>
              <w:spacing w:line="276" w:lineRule="auto"/>
            </w:pPr>
            <w:r>
              <w:fldChar w:fldCharType="begin"/>
            </w:r>
            <w:r w:rsidR="00C94C08">
              <w:instrText xml:space="preserve"> ADDIN ZOTERO_ITEM CSL_CITATION {"citationID":"m0PXcY6c","properties":{"formattedCitation":"(326\\uc0\\u8211{}330)","plainCitation":"(326–330)","noteIndex":0},"citationItems":[{"id":12016,"uris":["http://zotero.org/users/6216265/items/T6ZE7DG9"],"itemData":{"id":12016,"type":"article-journal","abstract":"New tuberculosis (TB) diagnostics are at a crossroads: their development, evaluation, and implementation is severely damaged by resource diversion due to COVID-19. Yet several technologies, especially those with potential for non-invasive non-sputum-based testing, hold promise for efficiently triaging and rapidly confirming TB near point-of-care. Such tests are, however, progressing through the pipeline slowly and will take years to reach patients and health workers. Compellingly, such tests will create new opportunities for difficult-to-diagnose populations, including primary care attendees (all-comers in high burden settings irrespective of reason for presentation) and community members (with early stage disease or risk factors like HIV), many of whom cannot easily produce sputum. Critically, all upcoming technologies have limitations that implementers and health workers need to be cognizant of to ensure optimal deployment without undermining confidence in a technology that still offers improvements over the status quo. In this state-of-the-art review, we critically appraise such technologies for active pulmonary TB diagnosis. We highlight strengths, limitations, outstanding research questions, and how current and future tests could be used in the presence of these limitations and uncertainties. Among triage tests, CRP (for which commercial near point-of-care devices exist) and computer-aided detection software with digital chest X-ray hold promise, together with late-stage blood-based assays that detect host and/or microbial biomarkers; however, aside from a handful of prototypes, the latter category has a shortage of promising late-stage alternatives. Furthermore, positive results from new triage tests may have utility in people without TB; however, their utility for informing diagnostic pathways for other diseases is under-researched (most sick people tested for TB do not have TB). For confirmatory tests, few true point-of-care options will be available soon; however, combining novel approaches like tongue swabs with established tests like Ultra have short-term promise but first require optimizations to specimen collection and processing procedures. Concerningly, no technologies yet have compelling evidence of meeting the World Health Organization optimal target product profile performance criteria, especially for important operational criteria crucial for field deployment. This is alarming as the target product profile criteria are themselves almost a decade old and require urgent revision, especially to cater for technologies made prominent by the COVID-19 diagnostic response (e.g., at-home testing and connectivity solutions). Throughout the review, we underscore the importance of how target populations and settings affect test performance and how the criteria by which these tests should be judged vary by use case, including in active case finding. Lastly, we advocate for health workers and researchers to themselves be vocal proponents of the uptake of both new tests and those – already available tests that remain suboptimally utilized.","container-title":"Respiration","DOI":"10.1159/000525142","ISSN":"0025-7931, 1423-0356","issue":"9","journalAbbreviation":"Respiration","language":"en","page":"797-813","source":"DOI.org (Crossref)","title":"Diagnosing Tuberculosis: What Do New Technologies Allow Us to (Not) Do?","title-short":"Diagnosing Tuberculosis","volume":"101","author":[{"family":"Abdulgader","given":"Shima M."},{"family":"Okunola","given":"Anna O."},{"family":"Ndlangalavu","given":"Gcobisa"},{"family":"Reeve","given":"Byron W.P."},{"family":"Allwood","given":"Brian W."},{"family":"Koegelenberg","given":"Coenraad F.N."},{"family":"Warren","given":"Rob M."},{"family":"Theron","given":"Grant"}],"issued":{"date-parts":[["2022"]]}},"label":"page"},{"id":12018,"uris":["http://zotero.org/users/6216265/items/5MXTTJIV"],"itemData":{"id":12018,"type":"article-journal","container-title":"The International Journal of Tuberculosis and Lung Disease","DOI":"10.5588/ijtld.17.0312","ISSN":"1027-3719","issue":"4","journalAbbreviation":"int j tuberc lung dis","language":"en","page":"425-428","source":"DOI.org (Crossref)","title":"Which attributes within target product profiles for tuberculosis diagnostics are the most important to focus on?","volume":"22","author":[{"family":"Adepoyibi","given":"T."},{"family":"Lilis","given":"L."},{"family":"Greb","given":"H."},{"family":"Boyle","given":"D."}],"issued":{"date-parts":[["2018",4,1]]}},"label":"page"},{"id":12084,"uris":["http://zotero.org/users/6216265/items/7YXYKTJ4"],"itemData":{"id":12084,"type":"article-journal","container-title":"Drug Delivery and Translational Research","DOI":"10.1007/s13346-021-01014-4","ISSN":"2190-393X, 2190-3948","issue":"5","journalAbbreviation":"Drug Deliv. and Transl. Res.","language":"en","page":"1230-1252","source":"DOI.org (Crossref)","title":"Quality by design (QbD)–based fabrication of atazanavir-loaded nanostructured lipid carriers for lymph targeting: bioavailability enhancement using chylomicron flow block model and toxicity studies","title-short":"Quality by design (QbD)–based fabrication of atazanavir-loaded nanostructured lipid carriers for lymph targeting","volume":"12","author":[{"family":"Gurumukhi","given":"Vishal C."},{"family":"Bari","given":"Sanjaykumar B."}],"issued":{"date-parts":[["2022",5]]}},"label":"page"},{"id":12132,"uris":["http://zotero.org/users/6216265/items/KVXDIG9U"],"itemData":{"id":12132,"type":"article-journal","container-title":"Vaccine: X","DOI":"10.1016/j.jvacx.2020.100060","ISSN":"25901362","journalAbbreviation":"Vaccine: X","language":"en","page":"100060","source":"DOI.org (Crossref)","title":"Theoretical risk of genetic reassortment should not impede development of live, attenuated Rift Valley fever (RVF) vaccines commentary on the draft WHO RVF Target Product Profile","volume":"5","author":[{"family":"Monath","given":"Thomas P."},{"family":"Kortekaas","given":"Jeroen"},{"family":"Watts","given":"Douglas M."},{"family":"Christofferson","given":"Rebecca C."},{"family":"Desiree LaBeaud","given":"Angelle"},{"family":"Gowen","given":"Brian B"},{"family":"Peters","given":"Clarence J."},{"family":"Smith","given":"Darci R."},{"family":"Swanepoel","given":"Robert"},{"family":"Morrill","given":"John C."},{"family":"Ksiazek","given":"Thomas G."},{"family":"Pittman","given":"Phillip R"},{"family":"Nichol","given":"Stuart T."},{"family":"Bird","given":"Brian H."},{"family":"Bettinger","given":"George"}],"issued":{"date-parts":[["2020",8]]}},"label":"page"},{"id":12139,"uris":["http://zotero.org/users/6216265/items/MHGEWWPD"],"itemData":{"id":12139,"type":"article-journal","container-title":"Journal of Medical Engineering &amp; Technology","DOI":"10.1080/03091902.2021.1946181","ISSN":"0309-1902, 1464-522X","issue":"8","journalAbbreviation":"Journal of Medical Engineering &amp; Technology","language":"en","page":"642-655","source":"DOI.org (Crossref)","title":"Review of recent innovations in portable child growth measurement devices for use in low- and middle-income countries","volume":"45","author":[{"family":"Neale","given":"Geoffrey"},{"family":"Gaihre","given":"Santosh"},{"family":"O’Gorman","given":"Pearse"},{"family":"Price","given":"Ruth K."},{"family":"Balzategi","given":"Ane Galdos"},{"family":"Barrientos","given":"Catalina Herrera"},{"family":"Rawal","given":"Shweta"},{"family":"Morgan","given":"Margaret"},{"family":"McNulty","given":"Helene"}],"issued":{"date-parts":[["2021",11,17]]}},"label":"page"}],"schema":"https://github.com/citation-style-language/schema/raw/master/csl-citation.json"} </w:instrText>
            </w:r>
            <w:r>
              <w:fldChar w:fldCharType="separate"/>
            </w:r>
            <w:r w:rsidR="00C94C08" w:rsidRPr="00C94C08">
              <w:rPr>
                <w:rFonts w:ascii="Calibri" w:hAnsi="Calibri" w:cs="Calibri"/>
                <w:szCs w:val="24"/>
              </w:rPr>
              <w:t>(326–330)</w:t>
            </w:r>
            <w:r>
              <w:fldChar w:fldCharType="end"/>
            </w:r>
          </w:p>
        </w:tc>
      </w:tr>
      <w:tr w:rsidR="009149B4" w14:paraId="049C8133" w14:textId="77777777" w:rsidTr="00E666ED">
        <w:tc>
          <w:tcPr>
            <w:tcW w:w="1260" w:type="dxa"/>
            <w:vMerge/>
            <w:vAlign w:val="center"/>
          </w:tcPr>
          <w:p w14:paraId="62E18755" w14:textId="77777777" w:rsidR="005467CB" w:rsidRDefault="005467CB" w:rsidP="00106C2C">
            <w:pPr>
              <w:spacing w:line="276" w:lineRule="auto"/>
            </w:pPr>
          </w:p>
        </w:tc>
        <w:tc>
          <w:tcPr>
            <w:tcW w:w="2790" w:type="dxa"/>
            <w:vAlign w:val="center"/>
          </w:tcPr>
          <w:p w14:paraId="0111B2F5" w14:textId="05A15241" w:rsidR="005467CB" w:rsidRDefault="005467CB" w:rsidP="00106C2C">
            <w:pPr>
              <w:spacing w:line="276" w:lineRule="auto"/>
            </w:pPr>
            <w:r>
              <w:t>Described a pre-existing TPP</w:t>
            </w:r>
          </w:p>
        </w:tc>
        <w:tc>
          <w:tcPr>
            <w:tcW w:w="5017" w:type="dxa"/>
            <w:vAlign w:val="center"/>
          </w:tcPr>
          <w:p w14:paraId="1F0B03C6" w14:textId="6119F7C2" w:rsidR="005467CB" w:rsidRDefault="005467CB" w:rsidP="00106C2C">
            <w:pPr>
              <w:spacing w:line="276" w:lineRule="auto"/>
            </w:pPr>
            <w:r>
              <w:fldChar w:fldCharType="begin"/>
            </w:r>
            <w:r w:rsidR="00C94C08">
              <w:instrText xml:space="preserve"> ADDIN ZOTERO_ITEM CSL_CITATION {"citationID":"ZQ98zcZw","properties":{"formattedCitation":"(331\\uc0\\u8211{}335)","plainCitation":"(331–335)","noteIndex":0},"citationItems":[{"id":12224,"uris":["http://zotero.org/users/6216265/items/PPK7BIQD"],"itemData":{"id":12224,"type":"article-journal","container-title":"Clinical Microbiology and Infection","DOI":"10.1016/j.cmi.2015.03.014","ISSN":"1198743X","issue":"6","journalAbbreviation":"Clinical Microbiology and Infection","language":"en","page":"529-542","source":"DOI.org (Crossref)","title":"New diagnostic tools in schistosomiasis","volume":"21","author":[{"family":"Utzinger","given":"J."},{"family":"Becker","given":"S.L."},{"family":"Van Lieshout","given":"L."},{"family":"Van Dam","given":"G.J."},{"family":"Knopp","given":"S."}],"issued":{"date-parts":[["2015",6]]}},"label":"page"},{"id":12032,"uris":["http://zotero.org/users/6216265/items/2D395RHX"],"itemData":{"id":12032,"type":"article-journal","container-title":"Drug Delivery","DOI":"10.3109/10717544.2014.900154","ISSN":"1071-7544, 1521-0464","issue":"6","journalAbbreviation":"Drug Delivery","language":"en","page":"765-784","source":"DOI.org (Crossref)","title":"QbD-based systematic development of novel optimized solid self-nanoemulsifying drug delivery systems (SNEDDS) of lovastatin with enhanced biopharmaceutical performance","volume":"22","author":[{"family":"Beg","given":"Sarwar"},{"family":"Sandhu","given":"Premjeet Singh"},{"family":"Batra","given":"Rattandeep Singh"},{"family":"Khurana","given":"Rajneet Kaur"},{"family":"Singh","given":"Bhupinder"}],"issued":{"date-parts":[["2015",8,18]]}},"label":"page"},{"id":12082,"uris":["http://zotero.org/users/6216265/items/KYH6Z94A"],"itemData":{"id":12082,"type":"article-journal","abstract":"COVID-19 pandemic will continue to pose a major public health threat until vaccination-mediated herd immunity is achieved. Most projections predict vaccines will reach a large subset of the population late in 2021 or early 2022. In the meantime, countries are exploring options to remove strict lockdown measures and allow society and the economy to return to normal function. One possibility is to expand on existing COVID-19 testing strategies by including large-scale rapid point-of-care diagnostic tests (POCTs). Currently, there is significant variability in performance and features of available POCTs, making selection and procurement of an appropriate test for specific use case difficult. In this review, we have used the World Health Organization’s (WHO) recently published target product profiles (TPPs) for specific use cases of COVID-19 diagnostic tests to screen for top-performing POCTs on the market. Several POCTs, based on clinical sensitivity/specificity, the limit of detection, and time to results, which meet WHO TPP criteria for direct detection of SARS-CoV-2 (acute infection) or indirect diagnosis of past infection (host antibodies), are highlighted here.","container-title":"Diagnostics","DOI":"10.3390/diagnostics11010115","ISSN":"2075-4418","issue":"1","journalAbbreviation":"Diagnostics","language":"en","page":"115","source":"DOI.org (Crossref)","title":"COVID-19 Point-of-Care Diagnostics That Satisfy Global Target Product Profiles","volume":"11","author":[{"family":"Ghaffari","given":"Abdi"},{"family":"Meurant","given":"Robyn"},{"family":"Ardakani","given":"Ali"}],"issued":{"date-parts":[["2021",1,12]]}},"label":"page"},{"id":12123,"uris":["http://zotero.org/users/6216265/items/F9JDW4KQ"],"itemData":{"id":12123,"type":"article-journal","container-title":"ACS Infectious Diseases","DOI":"10.1021/acsinfecdis.0c00353","ISSN":"2373-8227, 2373-8227","issue":"11","journalAbbreviation":"ACS Infect. Dis.","language":"en","page":"2830-2843","source":"DOI.org (Crossref)","title":"Chagas Disease: Current View of an Ancient and Global Chemotherapy Challenge","title-short":"Chagas Disease","volume":"6","author":[{"family":"Martín-Escolano","given":"Javier"},{"family":"Medina-Carmona","given":"Encarnación"},{"family":"Martín-Escolano","given":"Rubén"}],"issued":{"date-parts":[["2020",11,13]]}},"label":"page"},{"id":12173,"uris":["http://zotero.org/users/6216265/items/XZYY4ZIT"],"itemData":{"id":12173,"type":"chapter","container-title":"Pharmaceutical Medicine and Translational Clinical Research","ISBN":"978-0-12-802103-3","language":"en","note":"DOI: 10.1016/B978-0-12-802103-3.00005-5","page":"65-80","publisher":"Elsevier","source":"DOI.org (Crossref)","title":"Target Product Profile and Clinical Development Plan","URL":"https://linkinghub.elsevier.com/retrieve/pii/B9780128021033000055","author":[{"family":"Singh","given":"Gursharan"}],"accessed":{"date-parts":[["2023",11,2]]},"issued":{"date-parts":[["2018"]]}},"label":"page"}],"schema":"https://github.com/citation-style-language/schema/raw/master/csl-citation.json"} </w:instrText>
            </w:r>
            <w:r>
              <w:fldChar w:fldCharType="separate"/>
            </w:r>
            <w:r w:rsidR="00C94C08" w:rsidRPr="00C94C08">
              <w:rPr>
                <w:rFonts w:ascii="Calibri" w:hAnsi="Calibri" w:cs="Calibri"/>
                <w:szCs w:val="24"/>
              </w:rPr>
              <w:t>(331–335)</w:t>
            </w:r>
            <w:r>
              <w:fldChar w:fldCharType="end"/>
            </w:r>
          </w:p>
        </w:tc>
      </w:tr>
      <w:tr w:rsidR="00AA466E" w14:paraId="0D7024D5" w14:textId="77777777" w:rsidTr="00E666ED">
        <w:tc>
          <w:tcPr>
            <w:tcW w:w="1260" w:type="dxa"/>
            <w:vMerge w:val="restart"/>
            <w:vAlign w:val="center"/>
          </w:tcPr>
          <w:p w14:paraId="03153E56" w14:textId="6C601A3D" w:rsidR="005F76A9" w:rsidRPr="005F76A9" w:rsidRDefault="005F76A9" w:rsidP="00106C2C">
            <w:pPr>
              <w:spacing w:line="276" w:lineRule="auto"/>
              <w:rPr>
                <w:b/>
                <w:bCs/>
              </w:rPr>
            </w:pPr>
            <w:r w:rsidRPr="005F76A9">
              <w:rPr>
                <w:b/>
                <w:bCs/>
              </w:rPr>
              <w:t>Product type</w:t>
            </w:r>
          </w:p>
        </w:tc>
        <w:tc>
          <w:tcPr>
            <w:tcW w:w="2790" w:type="dxa"/>
            <w:vAlign w:val="center"/>
          </w:tcPr>
          <w:p w14:paraId="610518EF" w14:textId="0ED2A736" w:rsidR="005F76A9" w:rsidRDefault="005F76A9" w:rsidP="00106C2C">
            <w:pPr>
              <w:spacing w:line="276" w:lineRule="auto"/>
            </w:pPr>
            <w:r>
              <w:t>Therapeutics</w:t>
            </w:r>
          </w:p>
        </w:tc>
        <w:tc>
          <w:tcPr>
            <w:tcW w:w="5017" w:type="dxa"/>
            <w:vAlign w:val="center"/>
          </w:tcPr>
          <w:p w14:paraId="1B9A670D" w14:textId="3C36502F" w:rsidR="005F76A9" w:rsidRDefault="005F76A9" w:rsidP="00106C2C">
            <w:pPr>
              <w:spacing w:line="276" w:lineRule="auto"/>
            </w:pPr>
            <w:r>
              <w:fldChar w:fldCharType="begin"/>
            </w:r>
            <w:r w:rsidR="00C94C08">
              <w:instrText xml:space="preserve"> ADDIN ZOTERO_ITEM CSL_CITATION {"citationID":"sYi1DwGM","properties":{"formattedCitation":"(211\\uc0\\u8211{}213,215,217,218,220\\uc0\\u8211{}223,225\\uc0\\u8211{}227,229\\uc0\\u8211{}231,234,240,246,247,249,251\\uc0\\u8211{}254,258,259,266\\uc0\\u8211{}268,270,272,273,277,280,282,285,292,295,296,299,301,305\\uc0\\u8211{}308,312,315,316,319\\uc0\\u8211{}321,323,324,328,334,335)","plainCitation":"(211–213,215,217,218,220–223,225–227,229–231,234,240,246,247,249,251–254,258,259,266–268,270,272,273,277,280,282,285,292,295,296,299,301,305–308,312,315,316,319–321,323,324,328,334,335)","noteIndex":0},"citationItems":[{"id":12024,"uris":["http://zotero.org/users/6216265/items/4HCDU9ZC"],"itemData":{"id":12024,"type":"article-journal","container-title":"AAPS PharmSciTech","DOI":"10.1208/s12249-019-1465-1","ISSN":"1530-9932","issue":"6","journalAbbreviation":"AAPS PharmSciTech","language":"en","page":"251","source":"DOI.org (Crossref)","title":"Quality-by-Design Approach for Biological API Encapsulation into Polymersomes Using “Off-the-Shelf” Materials: a Study on L-Asparaginase","title-short":"Quality-by-Design Approach for Biological API Encapsulation into Polymersomes Using “Off-the-Shelf” Materials","volume":"20","author":[{"family":"Apolinário","given":"Alexsandra Conceição"},{"family":"Ferraro","given":"Rafael Bertelli"},{"family":"De Oliveira","given":"Camila Areias"},{"family":"Pessoa Jr","given":"Adalberto"},{"family":"De Oliveira Rangel-Yagui","given":"Carlota"}],"issued":{"date-parts":[["2019",8]]}},"label":"page"},{"id":12025,"uris":["http://zotero.org/users/6216265/items/5VY6YHAC"],"itemData":{"id":12025,"type":"article-journal","container-title":"ACS Infectious Diseases","DOI":"10.1021/acsinfecdis.0c00889","ISSN":"2373-8227, 2373-8227","issue":"5","journalAbbreviation":"ACS Infect. Dis.","language":"en","page":"948-958","source":"DOI.org (Crossref)","title":"Target Product Profile and Development Path for Shigellosis Treatment with Antibacterials","volume":"7","author":[{"family":"Arnold","given":"Samuel L. M."}],"issued":{"date-parts":[["2021",5,14]]}},"label":"page"},{"id":12026,"uris":["http://zotero.org/users/6216265/items/NPEBDUJM"],"itemData":{"id":12026,"type":"article-journal","container-title":"International Journal of Pharmaceutics","DOI":"10.1016/j.ijpharm.2019.118448","ISSN":"03785173","journalAbbreviation":"International Journal of Pharmaceutics","language":"en","page":"118448","source":"DOI.org (Crossref)","title":"Quality by design driven development of resveratrol loaded ethosomal hydrogel for improved dermatological benefits via enhanced skin permeation and retention","volume":"567","author":[{"family":"Arora","given":"Daisy"},{"family":"Nanda","given":"Sanju"}],"issued":{"date-parts":[["2019",8]]}},"label":"page"},{"id":12028,"uris":["http://zotero.org/users/6216265/items/AG23CAYM"],"itemData":{"id":12028,"type":"article-journal","container-title":"International Journal of Pharmaceutics","DOI":"10.1016/j.ijpharm.2012.08.033","ISSN":"03785173","issue":"1-2","journalAbbreviation":"International Journal of Pharmaceutics","language":"en","page":"167-175","source":"DOI.org (Crossref)","title":"Quality by design: Impact of formulation variables and their interactions on quality attributes of a lyophilized monoclonal antibody","title-short":"Quality by design","volume":"438","author":[{"family":"Awotwe-Otoo","given":"David"},{"family":"Agarabi","given":"Cyrus"},{"family":"Wu","given":"Geoffrey K."},{"family":"Casey","given":"Elizabeth"},{"family":"Read","given":"Erik"},{"family":"Lute","given":"Scott"},{"family":"Brorson","given":"Kurt A."},{"family":"Khan","given":"Mansoor A."},{"family":"Shah","given":"Rakhi B."}],"issued":{"date-parts":[["2012",11]]}},"label":"page"},{"id":12033,"uris":["http://zotero.org/users/6216265/items/RN2BACGJ"],"itemData":{"id":12033,"type":"article-journal","container-title":"Journal of Investigative Dermatology","DOI":"10.1016/j.jid.2019.07.699","ISSN":"0022202X","issue":"11","journalAbbreviation":"Journal of Investigative Dermatology","language":"en","page":"2252-2257.e1","source":"DOI.org (Crossref)","title":"Research Techniques Made Simple: An Introduction to Drug Discovery for Dermatology","title-short":"Research Techniques Made Simple","volume":"139","author":[{"family":"Bell","given":"Mark"},{"family":"Webster","given":"Lauren"},{"family":"Woodland","given":"Andrew"}],"issued":{"date-parts":[["2019",11]]}},"label":"page"},{"id":12034,"uris":["http://zotero.org/users/6216265/items/PVHKZWP8"],"itemData":{"id":12034,"type":"article-journal","container-title":"Global Health: Science and Practice","DOI":"10.9745/GHSP-D-20-00028","ISSN":"2169-575X","issue":"3","journalAbbreviation":"Glob Health Sci Pract","language":"en","page":"549-565","source":"DOI.org (Crossref)","title":"Matching Development of Point-of-Care Diagnostic Tests to the Local Context: A Case Study of Visceral Leishmaniasis in Kenya and Uganda","title-short":"Matching Development of Point-of-Care Diagnostic Tests to the Local Context","volume":"8","author":[{"family":"Bengtson","given":"Michel"},{"family":"Bharadwaj","given":"Mitasha"},{"family":"Bosch","given":"Astrid Ten"},{"family":"Nyakundi","given":"Hellen"},{"family":"Matoke-Muhia","given":"Damaris"},{"family":"Dekker","given":"Cees"},{"family":"Diehl","given":"Jan-Carel"}],"issued":{"date-parts":[["2020",9,30]]}},"label":"page"},{"id":12038,"uris":["http://zotero.org/users/6216265/items/9RQC88RQ"],"itemData":{"id":12038,"type":"article-journal","container-title":"Journal of Medicinal Chemistry","DOI":"10.1021/acs.jmedchem.9b00775","ISSN":"0022-2623, 1520-4804","issue":"2","journalAbbreviation":"J. Med. Chem.","language":"en","page":"470-489","source":"DOI.org (Crossref)","title":"Drugs for the Treatment of Zika Virus Infection","volume":"63","author":[{"family":"Bernatchez","given":"Jean A."},{"family":"Tran","given":"Lana T."},{"family":"Li","given":"Jerry"},{"family":"Luan","given":"Yepeng"},{"family":"Siqueira-Neto","given":"Jair L."},{"family":"Li","given":"Rongshi"}],"issued":{"date-parts":[["2020",1,23]]}},"label":"page"},{"id":12039,"uris":["http://zotero.org/users/6216265/items/WZMLIC8Z"],"itemData":{"id":12039,"type":"article-journal","container-title":"Malaria Journal","DOI":"10.1186/s12936-016-1675-x","ISSN":"1475-2875","issue":"1","journalAbbreviation":"Malar J","language":"en","page":"26","source":"DOI.org (Crossref)","title":"New developments in anti-malarial target candidate and product profiles","volume":"16","author":[{"family":"Burrows","given":"Jeremy N."},{"family":"Duparc","given":"Stephan"},{"family":"Gutteridge","given":"Winston E."},{"family":"Hooft Van Huijsduijnen","given":"Rob"},{"family":"Kaszubska","given":"Wiweka"},{"family":"Macintyre","given":"Fiona"},{"family":"Mazzuri","given":"Sébastien"},{"family":"Möhrle","given":"Jörg J."},{"family":"Wells","given":"Timothy N. C."}],"issued":{"date-parts":[["2017",12]]}}},{"id":12041,"uris":["http://zotero.org/users/6216265/items/JUE7F3IC"],"itemData":{"id":12041,"type":"article-journal","container-title":"Malaria Journal","DOI":"10.1186/s12936-018-2598-5","ISSN":"1475-2875","issue":"1","journalAbbreviation":"Malar J","language":"en","page":"462","source":"DOI.org (Crossref)","title":"A discovery and development roadmap for new endectocidal transmission-blocking agents in malaria","volume":"17","author":[{"family":"Burrows","given":"Jeremy"},{"family":"Slater","given":"Hannah"},{"family":"Macintyre","given":"Fiona"},{"family":"Rees","given":"Sarah"},{"family":"Thomas","given":"Anna"},{"family":"Okumu","given":"Fredros"},{"family":"Hooft Van Huijsduijnen","given":"Rob"},{"family":"Duparc","given":"Stephan"},{"family":"Wells","given":"Timothy N. C."}],"issued":{"date-parts":[["2018",12]]}},"label":"page"},{"id":12043,"uris":["http://zotero.org/users/6216265/items/5WRCBSSE"],"itemData":{"id":12043,"type":"article-journal","abstract":"Abstract\n            \n              \n              The development of robust and well-characterized methods of production of cell therapies has become increasingly important as therapies advance through clinical trials toward approval. A successful cell therapy will be a consistent, safe, and effective cell product, regardless of the cell type or application. Process development strategies can be developed to gain efficiency while maintaining or improving safety and quality profiles. This review presents an introduction to the process development challenges of cell therapies and describes some of the tools available to address production issues. This article will provide a summary of what should be considered to efficiently advance a cellular therapy from the research stage through clinical trials and finally toward commercialization. The identification of the basic questions that affect process development is summarized in the target product profile, and considerations for process optimization are discussed. The goal is to identify potential manufacturing concerns early in the process so they may be addressed effectively and thus increase the probability that a therapy will be successful.\n            \n            \n              Significance\n              The present study contributes to the field of cell therapy by providing a resource for those transitioning a potential therapy from the research stage to clinical and commercial applications. It provides the necessary steps that, when followed, can result in successful therapies from both a clinical and commercial perspective.","container-title":"Stem Cells Translational Medicine","DOI":"10.5966/sctm.2014-0294","ISSN":"2157-6564, 2157-6580","issue":"10","language":"en","page":"1155-1163","source":"DOI.org (Crossref)","title":"Concise Review: Process Development Considerations for Cell Therapy","title-short":"Concise Review","volume":"4","author":[{"family":"Campbell","given":"Andrew"},{"family":"Brieva","given":"Thomas"},{"family":"Raviv","given":"Lior"},{"family":"Rowley","given":"Jon"},{"family":"Niss","given":"Knut"},{"family":"Brandwein","given":"Harvey"},{"family":"Oh","given":"Steve"},{"family":"Karnieli","given":"Ohad"}],"issued":{"date-parts":[["2015",10,1]]}},"label":"page"},{"id":12047,"uris":["http://zotero.org/users/6216265/items/CV3FADJV"],"itemData":{"id":12047,"type":"article-journal","container-title":"The AAPS Journal","DOI":"10.1208/s12248-013-9472-8","ISSN":"1550-7416","issue":"3","journalAbbreviation":"AAPS J","language":"en","page":"674-683","source":"DOI.org (Crossref)","title":"Generic Development of Topical Dermatologic Products, Part II: Quality by Design for Topical Semisolid Products","title-short":"Generic Development of Topical Dermatologic Products, Part II","volume":"15","author":[{"family":"Chang","given":"Rong-Kun"},{"family":"Raw","given":"Andre"},{"family":"Lionberger","given":"Robert"},{"family":"Yu","given":"Lawrence"}],"issued":{"date-parts":[["2013",7]]}},"label":"page"},{"id":12049,"uris":["http://zotero.org/users/6216265/items/JPXF5H3P"],"itemData":{"id":12049,"type":"article-journal","abstract":"Purpose: The purpose of the study was to develop and optimize rosiglitazone maleate mucoadhesive extended-release tablets by quality by design (QbD) approach. Based on QTPP (quality target product profile) CQAs (critical quality attributes) were identified.  Methods: Failure mode and effects analysis (FMEA) method were adopted for risk assessment. Risk analysis by the evaluation of formulation and process parameters showed that the optimizing the levels of polymers could reduce high risk to achieve target profile. Drug-excipient compatibility studies by Fourier transforms infra-red and DSC studies showed that the drug was compatible with the polymers used. Design of experiment (DoE) performed by Sigma tech software, Carbopol 934P and sodium carboxymethyl cellulose (SCMC) were identified as independent variables and hardness, drug release at 12 hours and ex vivo mucoadhesion time were adopted as responses. Contour plots generated from the software were used for identification of design space.  Results: Carbopol 934P and SCMC had positive and negative effects respectively on the selected responses. Higher the concentration of Carbopol 934P and lower the concentration of SCMC mucoadhesive extended release criteria could be achieved. Drug release kinetics followed first order release with Higuchi diffusion and Fickian diffusion. Ex vivo mucoadhesion test on goat stomach mucosa indicated that adhesion time increased at higher concentrations of Carbopol 934P. Optimized formula satisfying all the required parameters was selected and evaluated. The predicted response values were in close agreement with experimental response values, confirmed by calculating standard error.  Conclusion: It has been concluded that the application of QbD in the optimization reduced the number of trials to produce a cost-effective formula.","container-title":"Advanced Pharmaceutical Bulletin","DOI":"10.15171/apb.2019.032","ISSN":"2228-5881, 2251-7308","issue":"2","journalAbbreviation":"Adv Pharm Bull","language":"en","page":"281-288","source":"DOI.org (Crossref)","title":"A Cost Effective (QbD) Approach in the Development and Optimization of Rosiglitazone Maleate Mucoadhesive Extended Release Tablets – In Vitro and Ex Vivo","volume":"9","author":[{"family":"Chappidi","given":"Suryaprakash Reddy"},{"family":"Bhargav","given":"Eranti"},{"family":"Marikunte","given":"Venkataranganna"},{"family":"Chinthaginjala","given":"Haranath"},{"family":"Vijaya Jyothi","given":"Mallela"},{"family":"Pisay","given":"Muralidhar"},{"family":"Jutur","given":"Mounika"},{"family":"Shaik Mahammad","given":"Mujahid"},{"family":"Poura","given":"Mrunalini"},{"family":"Yadav","given":"Sailaja"},{"family":"Syed","given":"Moinuddin"}],"issued":{"date-parts":[["2019",6,1]]}},"label":"page"},{"id":12051,"uris":["http://zotero.org/users/6216265/items/SVYHIHN7"],"itemData":{"id":12051,"type":"article-journal","container-title":"International Journal of Pharmaceutics","DOI":"10.1016/j.ijpharm.2011.12.024","ISSN":"03785173","issue":"2","journalAbbreviation":"International Journal of Pharmaceutics","language":"en","page":"167-178","source":"DOI.org (Crossref)","title":"Quality by design approach for formulation development: A case study of dispersible tablets","title-short":"Quality by design approach for formulation development","volume":"423","author":[{"family":"Charoo","given":"Naseem A."},{"family":"Shamsher","given":"Areeg A.A."},{"family":"Zidan","given":"Ahmed S."},{"family":"Rahman","given":"Ziyaur"}],"issued":{"date-parts":[["2012",2]]}},"label":"page"},{"id":12053,"uris":["http://zotero.org/users/6216265/items/JVW5DS2L"],"itemData":{"id":12053,"type":"article-journal","container-title":"Pharmaceutical Development and Technology","DOI":"10.1080/10837450.2016.1236130","ISSN":"1083-7450, 1097-9867","issue":"10","journalAbbreviation":"Pharmaceutical Development and Technology","language":"en","page":"1077-1087","source":"DOI.org (Crossref)","title":"Quality by design (QbD) approach for design and development of drug-device combination products: a case study on flunisolide nasal spray","title-short":"Quality by design (QbD) approach for design and development of drug-device combination products","volume":"23","author":[{"family":"Chudiwal","given":"Swapnil Sharadkumar"},{"family":"Dehghan","given":"Mohamed Hassan G."}],"issued":{"date-parts":[["2018",11,26]]}},"label":"page"},{"id":12054,"uris":["http://zotero.org/users/6216265/items/ZGQI4SFC"],"itemData":{"id":12054,"type":"article-journal","container-title":"Drug Development and Industrial Pharmacy","DOI":"10.1080/03639045.2017.1413111","ISSN":"0363-9045, 1520-5762","issue":"5","journalAbbreviation":"Drug Development and Industrial Pharmacy","language":"en","page":"787-799","source":"DOI.org (Crossref)","title":"Development of sustained release gastro-retentive tablet formulation of nicardipine hydrochloride using quality by design (QbD) approach","volume":"44","author":[{"family":"Chudiwal","given":"Vijay S."},{"family":"Shahi","given":"Sadhana"},{"family":"Chudiwal","given":"Swapnil"}],"issued":{"date-parts":[["2018",5,4]]}},"label":"page"},{"id":12055,"uris":["http://zotero.org/users/6216265/items/H7PPVU8R"],"itemData":{"id":12055,"type":"article-journal","container-title":"International Journal of Pharmaceutics","DOI":"10.1016/j.ijpharm.2021.120933","ISSN":"03785173","journalAbbreviation":"International Journal of Pharmaceutics","language":"en","page":"120933","source":"DOI.org (Crossref)","title":"Quality by design (QbD) optimization of diazepam-loaded nanostructured lipid carriers (NLC) for nose-to-brain delivery: Toxicological effect of surface charge on human neuronal cells","title-short":"Quality by design (QbD) optimization of diazepam-loaded nanostructured lipid carriers (NLC) for nose-to-brain delivery","volume":"607","author":[{"family":"Costa","given":"C.P."},{"family":"Cunha","given":"S."},{"family":"Moreira","given":"J.N."},{"family":"Silva","given":"R."},{"family":"Gil-Martins","given":"E."},{"family":"Silva","given":"V."},{"family":"Azevedo","given":"L."},{"family":"Peixoto","given":"A.F."},{"family":"Sousa Lobo","given":"J.M."},{"family":"Silva","given":"A.C."}],"issued":{"date-parts":[["2021",9]]}},"label":"page"},{"id":12058,"uris":["http://zotero.org/users/6216265/items/54PQPFSY"],"itemData":{"id":12058,"type":"article-journal","abstract":"Rivastigmine is a drug commonly used in the management of Alzheimer’s disease that shows bioavailability problems. To overcome this, the use of nanosystems, such as nanostructured lipid carriers (NLC), administered through alternative routes seems promising. In this work, we performed a double optimization of a rivastigmine-loaded NLC formulation for direct drug delivery from the nose to the brain using the quality by design (QbD) approach, whereby the quality target product profile (QTPP) was the requisite for nose to brain delivery. The experiments started with the optimization of the formulation variables (or critical material attributes—CMAs) using a central composite design. The rivastigmine-loaded NLC formulations with the best critical quality attributes (CQAs) of particle size, polydispersity index (PDI), zeta potential (ZP), and encapsulation efficiency (EE) were selected for the second optimization, which was related to the production methods (ultrasound technique and high-pressure homogenization). The most suitable instrumental parameters for the production of NLC were analyzed through a Box–Behnken design, with the same CQAs being evaluated for the first optimization. For the second part of the optimization studies, were selected two rivastigmine-loaded NLC formulations: one produced by ultrasound technique and the other by the high-pressure homogenization (HPH) method. Afterwards, the pH and osmolarity of these formulations were adjusted to the physiological nasal mucosa values and in vitro drug release studies were performed. The results of the first part of the optimization showed that the most adequate ratios of lipids and surfactants were 7.49:1.94 and 4.5:0.5 (%, w/w), respectively. From the second part of the optimization, the results for the particle size, PDI, ZP, and EE of the rivastigmine-loaded NLC formulations produced by ultrasound technique and HPH method were, respectively, 114.0 ± 1.9 nm and 109.0 ± 0.9 nm; 0.221 ± 0.003 and 0.196 ± 0.007; −30.6 ± 0.3 mV and −30.5 ± 0.3 mV; 97.0 ± 0.5% and 97.2 ± 0.3%. Herein, the HPH was selected as the most suitable production method, although the ultrasound technique has also shown effectiveness. In addition, no significant changes in CQAs were observed after 90 days of storage of the formulations at different temperatures. In vitro studies showed that the release of rivastigmine followed a non-Fickian mechanism, with an initial fast drug release followed by a prolonged release over 48 h. This study has optimized a rivastigmine-loaded NLC formulation produced by the HPH method for nose-to-brain delivery of rivastigmine. The next step is for in vitro and in vivo experiments to demonstrate preclinical efficacy and safety. QbD was demonstrated to be a useful approach for the optimization of NLC formulations for which specific physicochemical requisites can be identified.","container-title":"Pharmaceutics","DOI":"10.3390/pharmaceutics12070599","ISSN":"1999-4923","issue":"7","journalAbbreviation":"Pharmaceutics","language":"en","page":"599","source":"DOI.org (Crossref)","title":"Double Optimization of Rivastigmine-Loaded Nanostructured Lipid Carriers (NLC) for Nose-to-Brain Delivery Using the Quality by Design (QbD) Approach: Formulation Variables and Instrumental Parameters","title-short":"Double Optimization of Rivastigmine-Loaded Nanostructured Lipid Carriers (NLC) for Nose-to-Brain Delivery Using the Quality by Design (QbD) Approach","volume":"12","author":[{"family":"Cunha","given":"Sara"},{"family":"Costa","given":"Cláudia Pina"},{"family":"Loureiro","given":"Joana A."},{"family":"Alves","given":"Jorge"},{"family":"Peixoto","given":"Andreia F."},{"family":"Forbes","given":"Ben"},{"family":"Sousa Lobo","given":"José Manuel"},{"family":"Silva","given":"Ana Catarina"}],"issued":{"date-parts":[["2020",6,28]]}},"label":"page"},{"id":12069,"uris":["http://zotero.org/users/6216265/items/PEZECKTS"],"itemData":{"id":12069,"type":"article-journal","container-title":"Pharmaceutical Research","DOI":"10.1007/s11095-019-2663-y","ISSN":"0724-8741, 1573-904X","issue":"10","journalAbbreviation":"Pharm Res","language":"en","page":"142","source":"DOI.org (Crossref)","title":"Identification of Factors of Importance for Spray Drying of Small Interfering RNA-Loaded Lipidoid-Polymer Hybrid Nanoparticles for Inhalation","volume":"36","author":[{"family":"Dormenval","given":"Cypriane"},{"family":"Lokras","given":"Abhijeet"},{"family":"Cano-Garcia","given":"Guillermo"},{"family":"Wadhwa","given":"Abishek"},{"family":"Thanki","given":"Kaushik"},{"family":"Rose","given":"Fabrice"},{"family":"Thakur","given":"Aneesh"},{"family":"Franzyk","given":"Henrik"},{"family":"Foged","given":"Camilla"}],"issued":{"date-parts":[["2019",10]]}},"label":"page"},{"id":12079,"uris":["http://zotero.org/users/6216265/items/LGAAUT2S"],"itemData":{"id":12079,"type":"article-journal","container-title":"AIDS Patient Care and STDs","DOI":"10.1089/108729103322277402","ISSN":"1087-2914, 1557-7449","issue":"8","journalAbbreviation":"AIDS Patient Care and STDs","language":"en","page":"377-399","source":"DOI.org (Crossref)","title":"Development Pharmaceutics of Microbicide Formulations. Part II: Formulation, Evaluation, and Challenges","title-short":"Development Pharmaceutics of Microbicide Formulations. Part II","volume":"17","author":[{"family":"Garg","given":"Sanjay"},{"family":"Tambwekar","given":"Kaustubh R."},{"family":"Vermani","given":"Kavita"},{"family":"Kandarapu","given":"Raghupathi"},{"family":"Garg","given":"Alka"},{"family":"Waller","given":"Donald P."},{"family":"Zaneveld","given":"Lourens J.D."}],"issued":{"date-parts":[["2003",8]]}},"label":"page"},{"id":12080,"uris":["http://zotero.org/users/6216265/items/R5UEG7PJ"],"itemData":{"id":12080,"type":"article-journal","abstract":"Abstract\n            \n              The main objective of the present study was to apply QbD methodology in the development of once-a-day sustained release quetiapine tablets. The quality target product profile (QTPP) was defined after the pharmaceutical properties and kinetic release of the innovator product, Seroquel XR 200 mg. For the D-optimal experimental design, the level and ratio of matrix forming agents and the type of extragranular diluent were chosen as independent inputs, which represented critical formulation factors. The critical quality attributes (CQAs) studied were the cumulative percentages of quetiapine released after certain time intervals. After the analysis of the experimental design, optimal formulas and the design space were defined. Optimal formulas demonstrated zero-order release kinetics and a dissolution profile similar to the innovator product, with f\n              2\n              values of 74.53 and 83.74. It was concluded that the QbD approach allowed fast development of sustained release tablets with similar dissolution behavior as the innovator product.","container-title":"Acta Pharmaceutica","DOI":"10.1515/acph-2017-0009","ISSN":"1846-9558","issue":"1","language":"en","page":"53-70","source":"DOI.org (Crossref)","title":"Formulation and pharmaceutical development of quetiapine fumarate sustained release matrix tablets using a QbD approach","volume":"67","author":[{"family":"Gavan","given":"Alexandru"},{"family":"Porfire","given":"Alina"},{"family":"Marina","given":"Cristina"},{"family":"Tomuta","given":"Ioan"}],"issued":{"date-parts":[["2017",3,1]]}},"label":"page"},{"id":12084,"uris":["http://zotero.org/users/6216265/items/7YXYKTJ4"],"itemData":{"id":12084,"type":"article-journal","container-title":"Drug Delivery and Translational Research","DOI":"10.1007/s13346-021-01014-4","ISSN":"2190-393X, 2190-3948","issue":"5","journalAbbreviation":"Drug Deliv. and Transl. Res.","language":"en","page":"1230-1252","source":"DOI.org (Crossref)","title":"Quality by design (QbD)–based fabrication of atazanavir-loaded nanostructured lipid carriers for lymph targeting: bioavailability enhancement using chylomicron flow block model and toxicity studies","title-short":"Quality by design (QbD)–based fabrication of atazanavir-loaded nanostructured lipid carriers for lymph targeting","volume":"12","author":[{"family":"Gurumukhi","given":"Vishal C."},{"family":"Bari","given":"Sanjaykumar B."}],"issued":{"date-parts":[["2022",5]]}},"label":"page"},{"id":12088,"uris":["http://zotero.org/users/6216265/items/ZYSEVCYB"],"itemData":{"id":12088,"type":"article-journal","container-title":"AAPS PharmSciTech","DOI":"10.1208/s12249-017-0797-y","ISSN":"1530-9932","issue":"8","journalAbbreviation":"AAPS PharmSciTech","language":"en","page":"3129-3139","source":"DOI.org (Crossref)","title":"Implementation of Quality by Design for Formulation of Rebamipide Gastro-retentive Tablet","volume":"18","author":[{"family":"Ha","given":"Jung-Myung"},{"family":"Seo","given":"Jeong-Woong"},{"family":"Kim","given":"Su-Hyeon"},{"family":"Kim","given":"Ju-Young"},{"family":"Park","given":"Chun-Woong"},{"family":"Rhee","given":"Yun-Seok"},{"family":"Park","given":"Eun-Seok"}],"issued":{"date-parts":[["2017",11]]}},"label":"page"},{"id":12090,"uris":["http://zotero.org/users/6216265/items/BDX2EI6T"],"itemData":{"id":12090,"type":"article-journal","container-title":"Malaria Journal","DOI":"10.1186/1475-2875-13-62","ISSN":"1475-2875","issue":"1","journalAbbreviation":"Malar J","language":"en","page":"62","source":"DOI.org (Crossref)","title":"Pharmacological considerations in the design of anti-malarial drug combination therapies – is matching half-lives enough?","volume":"13","author":[{"family":"Hastings","given":"Ian M"},{"family":"Hodel","given":"Eva Maria"}],"issued":{"date-parts":[["2014",12]]}},"label":"page"},{"id":12092,"uris":["http://zotero.org/users/6216265/items/IJ9LMEFN"],"itemData":{"id":12092,"type":"article-journal","abstract":"Background:\n              Binge-eating disorder (BED) is a common psychiatric condition with adverse psychological and metabolic consequences. Lisdexamfetamine (LDX) is the only approved BED drug treatment. New drugs to treat BED are urgently needed.\n            \n            \n              Methods:\n              A comprehensive review of published psychopathological, pharmacological and clinical findings.\n            \n            \n              Results:\n              The evidence supports the hypothesis that BED is an impulse control disorder with similarities to ADHD, including responsiveness to catecholaminergic drugs, for example LDX and dasotraline. The target product profile (TPP) of the ideal BED drug combines treating the psychopathological drivers of the disorder with an independent weight-loss effect. Drugs with proven efficacy in BED have a common pharmacology; they potentiate central noradrenergic and dopaminergic neurotransmission. Because of the overlap between pharmacotherapy in attention deficit hyperactivity disorder (ADHD) and BED, drug-candidates from diverse pharmacological classes, which have already failed in ADHD would also be predicted to fail if tested in BED. The failure in BED trials of drugs with diverse pharmacological mechanisms indicates many possible avenues for drug discovery can probably be discounted.\n            \n            \n              Conclusions:\n              (1) The efficacy of drugs for BED is dependent on reducing its core psychopathologies of impulsivity, compulsivity and perseveration and by increasing cognitive control of eating. (2) The analysis revealed a large number of pharmacological mechanisms are unlikely to be productive in the search for effective new BED drugs. (3) The most promising areas for new treatments for BED are drugs, which augment noradrenergic and dopaminergic neurotransmission and/or those which are effective in ADHD.","container-title":"Journal of Psychopharmacology","DOI":"10.1177/02698811211032475","ISSN":"0269-8811, 1461-7285","issue":"6","journalAbbreviation":"J Psychopharmacol","language":"en","page":"680-703","source":"DOI.org (Crossref)","title":"Prospects for new drugs to treat binge-eating disorder: Insights from psychopathology and neuropharmacology","title-short":"Prospects for new drugs to treat binge-eating disorder","volume":"36","author":[{"family":"Heal","given":"David J"},{"family":"Smith","given":"Sharon L"}],"issued":{"date-parts":[["2022",6]]}},"label":"page"},{"id":12093,"uris":["http://zotero.org/users/6216265/items/BKG2CEJB"],"itemData":{"id":12093,"type":"chapter","container-title":"Dengue and Zika: Control and Antiviral Treatment Strategies","event-place":"Singapore","ISBN":"978-981-10-8726-4","note":"collection-title: Advances in Experimental Medicine and Biology\nDOI: 10.1007/978-981-10-8727-1_23","page":"333-353","publisher":"Springer Singapore","publisher-place":"Singapore","source":"DOI.org (Crossref)","title":"An Industry Perspective on Dengue Drug Discovery and Development","URL":"http://link.springer.com/10.1007/978-981-10-8727-1_23","volume":"1062","editor":[{"family":"Hilgenfeld","given":"Rolf"},{"family":"Vasudevan","given":"Subhash G."}],"author":[{"family":"Hernandez-Morales","given":"Ilane"},{"family":"Van Loock","given":"Marnix"}],"accessed":{"date-parts":[["2023",11,2]]},"issued":{"date-parts":[["2018"]]}},"label":"page"},{"id":12094,"uris":["http://zotero.org/users/6216265/items/7GHVMM79"],"itemData":{"id":12094,"type":"article-journal","container-title":"PLOS Neglected Tropical Diseases","DOI":"10.1371/journal.pntd.0003987","ISSN":"1935-2735","issue":"10","journalAbbreviation":"PLoS Negl Trop Dis","language":"en","page":"e0003987","source":"DOI.org (Crossref)","title":"A Proposed Target Product Profile and Developmental Cascade for New Cryptosporidiosis Treatments","volume":"9","author":[{"family":"Huston","given":"Christopher D."},{"family":"Spangenberg","given":"Thomas"},{"family":"Burrows","given":"Jeremy"},{"family":"Willis","given":"Paul"},{"family":"Wells","given":"Timothy N. C."},{"family":"Van Voorhis","given":"Wesley"}],"editor":[{"family":"Vinetz","given":"Joseph M."}],"issued":{"date-parts":[["2015",10,8]]}},"label":"page"},{"id":12099,"uris":["http://zotero.org/users/6216265/items/SIJK4SZD"],"itemData":{"id":12099,"type":"article-journal","container-title":"European Journal of Pharmaceutical Sciences","DOI":"10.1016/j.ejps.2022.106171","ISSN":"09280987","journalAbbreviation":"European Journal of Pharmaceutical Sciences","language":"en","page":"106171","source":"DOI.org (Crossref)","title":"QbD-guided pharmaceutical development of Pembrolizumab biosimilar candidate PSG-024 propelled to industry meeting primary requirements of comparability to Keytruda®","volume":"173","author":[{"family":"Jaffar-Aghaei","given":"Morteza"},{"family":"Khanipour","given":"Farzad"},{"family":"Maghsoudi","given":"Amir"},{"family":"Sarvestani","given":"Rahim"},{"family":"Mohammadian","given":"Mahdi"},{"family":"Maleki","given":"Maryam"},{"family":"Havasi","given":"Forugh"},{"family":"Rahmani","given":"Hossein"},{"family":"Karagah","given":"Amir-Hossein"},{"family":"Kazemali","given":"Mohammad-Reza"}],"issued":{"date-parts":[["2022",6]]}},"label":"page"},{"id":12098,"uris":["http://zotero.org/users/6216265/items/N9AXDNH6"],"itemData":{"id":12098,"type":"article-journal","abstract":"This article highlights the importance of building a marketing led cross-functional team that integrates the R&amp;D, and commercialization process in an early stage Biopharma and MedTech company. Marketing should play a prominent role in the cross-functional team at the earliest stages of company formation and product development to identify unmet need, design the development plan, shape the product life cycle, position the product in the competitive set, and understand all market drivers and competitive factors that are essential to ensure commercial success. In particular, in this paper, the focus is on the importance of creating an appealing target product profile (TPP) and describe the rational and methodology for creating the TPP. Drug development is a high risk, high cost, high reward undertaking, and the TPP provides a market-guided approach to development of drugs more quickly, inexpensively, and with a higher rate of success.","container-title":"Journal of Commercial Biotechnology","DOI":"10.5912/jcb924","ISSN":"1478-565X, 1462-8732","issue":"4","journalAbbreviation":"JCB","source":"DOI.org (Crossref)","title":"The R&amp;D Marketing Interface in Biopharma and MedTech","URL":"https://www.commercialbiotechnology.com/index.php/jcb/article/view/924","volume":"24","author":[{"family":"Jambulingam","given":"Thani"}],"accessed":{"date-parts":[["2023",11,2]]},"issued":{"date-parts":[["2019",9,7]]}},"label":"page"},{"id":12109,"uris":["http://zotero.org/users/6216265/items/23KHJRRG"],"itemData":{"id":12109,"type":"article-journal","container-title":"AAPS PharmSciTech","DOI":"10.1208/s12249-010-9521-x","ISSN":"1530-9932","issue":"3","journalAbbreviation":"AAPS PharmSciTech","language":"en","page":"1476-1481","source":"DOI.org (Crossref)","title":"Considerations in Developing a Target Product Profile for Parenteral Pharmaceutical Products","volume":"11","author":[{"family":"Lambert","given":"William J."}],"issued":{"date-parts":[["2010",9]]}},"label":"page"},{"id":12111,"uris":["http://zotero.org/users/6216265/items/2UIYAEJS"],"itemData":{"id":12111,"type":"article-journal","container-title":"International Journal of Pharmaceutics","DOI":"10.1016/j.ijpharm.2017.08.094","ISSN":"03785173","issue":"2","journalAbbreviation":"International Journal of Pharmaceutics","language":"en","page":"740-746","source":"DOI.org (Crossref)","title":"Engineering of budesonide-loaded lipid-polymer hybrid nanoparticles using a quality-by-design approach","volume":"548","author":[{"family":"Leng","given":"Donglei"},{"family":"Thanki","given":"Kaushik"},{"family":"Fattal","given":"Elias"},{"family":"Foged","given":"Camilla"},{"family":"Yang","given":"Mingshi"}],"issued":{"date-parts":[["2018",9]]}},"label":"page"},{"id":12112,"uris":["http://zotero.org/users/6216265/items/TFH5LRBY"],"itemData":{"id":12112,"type":"article-journal","container-title":"The Lancet HIV","DOI":"10.1016/S2352-3018(20)30234-4","ISSN":"23523018","issue":"1","journalAbbreviation":"The Lancet HIV","language":"en","page":"e42-e50","source":"DOI.org (Crossref)","title":"Multi-stakeholder consensus on a target product profile for an HIV cure","volume":"8","author":[{"family":"Lewin","given":"Sharon R"},{"family":"Attoye","given":"Timothy"},{"family":"Bansbach","given":"Cathy"},{"family":"Doehle","given":"Brian"},{"family":"Dubé","given":"Karine"},{"family":"Dybul","given":"Mark"},{"family":"SenGupta","given":"Devi"},{"family":"Jiang","given":"Adam"},{"family":"Johnston","given":"Rowena"},{"family":"Lamplough","given":"Rosanne"},{"family":"McCune","given":"Joseph M"},{"family":"Nabel","given":"Gary J"},{"family":"Ndung'u","given":"Thumbi"},{"family":"Pottage","given":"John"},{"family":"Ripin","given":"David"},{"family":"Rooney","given":"James F"},{"family":"Sikazwe","given":"Izukanji"},{"family":"Nsubuga","given":"Moses"},{"family":"Warren","given":"Mitchell"},{"family":"Deeks","given":"Steven G"}],"issued":{"date-parts":[["2021",1]]}},"label":"page"},{"id":12116,"uris":["http://zotero.org/users/6216265/items/4JFY2AFP"],"itemData":{"id":12116,"type":"article-journal","container-title":"Malaria Journal","DOI":"10.1186/s12936-018-2549-1","ISSN":"1475-2875","issue":"1","journalAbbreviation":"Malar J","language":"en","page":"402","source":"DOI.org (Crossref)","title":"Injectable anti-malarials revisited: discovery and development of new agents to protect against malaria","title-short":"Injectable anti-malarials revisited","volume":"17","author":[{"family":"Macintyre","given":"Fiona"},{"family":"Ramachandruni","given":"Hanu"},{"family":"Burrows","given":"Jeremy N."},{"family":"Holm","given":"René"},{"family":"Thomas","given":"Anna"},{"family":"Möhrle","given":"Jörg J."},{"family":"Duparc","given":"Stephan"},{"family":"Hooft Van Huijsduijnen","given":"Rob"},{"family":"Greenwood","given":"Brian"},{"family":"Gutteridge","given":"Winston E."},{"family":"Wells","given":"Timothy N. C."},{"family":"Kaszubska","given":"Wiweka"}],"issued":{"date-parts":[["2018",12]]}},"label":"page"},{"id":12122,"uris":["http://zotero.org/users/6216265/items/RPLUFES3"],"itemData":{"id":12122,"type":"article-journal","container-title":"ACS Infectious Diseases","DOI":"10.1021/acsinfecdis.6b00094","ISSN":"2373-8227, 2373-8227","issue":"8","journalAbbreviation":"ACS Infect. Dis.","language":"en","page":"530-537","source":"DOI.org (Crossref)","title":"Cryptosporidiosis Drug Discovery: Opportunities and Challenges","title-short":"Cryptosporidiosis Drug Discovery","volume":"2","author":[{"family":"Manjunatha","given":"Ujjini H."},{"family":"Chao","given":"Alexander T."},{"family":"Leong","given":"F. Joel"},{"family":"Diagana","given":"Thierry T."}],"issued":{"date-parts":[["2016",8,12]]}},"label":"page"},{"id":12123,"uris":["http://zotero.org/users/6216265/items/F9JDW4KQ"],"itemData":{"id":12123,"type":"article-journal","container-title":"ACS Infectious Diseases","DOI":"10.1021/acsinfecdis.0c00353","ISSN":"2373-8227, 2373-8227","issue":"11","journalAbbreviation":"ACS Infect. Dis.","language":"en","page":"2830-2843","source":"DOI.org (Crossref)","title":"Chagas Disease: Current View of an Ancient and Global Chemotherapy Challenge","title-short":"Chagas Disease","volume":"6","author":[{"family":"Martín-Escolano","given":"Javier"},{"family":"Medina-Carmona","given":"Encarnación"},{"family":"Martín-Escolano","given":"Rubén"}],"issued":{"date-parts":[["2020",11,13]]}},"label":"page"},{"id":12124,"uris":["http://zotero.org/users/6216265/items/7ISI2KU2"],"itemData":{"id":12124,"type":"article-journal","abstract":"The use of morphine applied topically to painful wounds has potential advantages, such as dose reduction, fewer side effects and compound formulations, have been proposed for this purpose. Given the potential high impact of drug product quality on a patient’s health, the aim of the present study was to develop two stable sterile hydrogels containing morphine hydrochloride, intended for topical application on painful wounds. Two carboxymethylcellulose sodium-based hydrogels were prepared containing 0.125% w/w (F1-MH semi-solid formulation) and 1.0% w/w (F2-MH fluid formulation) morphine hydrochloride (MH), respectively. Studies included a risk assessment approach for definition of the quality target product profile (QTPP) and assessment of critical quality attributes (CQA) of the hydrogels to support product quality and safety. Safe, odourless, yellowish, translucent and homogeneous gels were obtained, with suitable microbiological and pharmaceutical characteristics. The active substance concentration was adapted according to the characteristics of the dose-metering device. Release profiles were investigated using Franz diffusion cells, and characterised by different kinetic models. Increasing gel viscosity prolonged drug release, with rates of 17.9 ± 2.2 μg·cm−2·h−1 (F1-MH) and 258.0 ± 30.4 μg·cm−2·h−1 (F2-MH), allowing for the reduction of the number of applications and improving patient compliance. The gels proved to be stable for up to 60 days at room temperature. The semi-solid and fluid MH-containing hydrogel formulations are safe, stable and suitable for use in hospital settings, which is rather important for wound-related pain management in cancer palliative care or burn patients.","container-title":"Pharmaceutics","DOI":"10.3390/pharmaceutics11020076","ISSN":"1999-4923","issue":"2","journalAbbreviation":"Pharmaceutics","language":"en","page":"76","source":"DOI.org (Crossref)","title":"Improved Morphine-Loaded Hydrogels for Wound-Related Pain Relief","volume":"11","author":[{"family":"Mateus","given":"Dinis"},{"family":"Marto","given":"Joana"},{"family":"Trindade","given":"Patrícia"},{"family":"Gonçalves","given":"Humberto"},{"family":"Salgado","given":"Ana"},{"family":"Machado","given":"Paula"},{"family":"Melo-Gouveia","given":"António"},{"family":"Ribeiro","given":"Helena M."},{"family":"Almeida","given":"António J."}],"issued":{"date-parts":[["2019",2,12]]}},"label":"page"},{"id":12130,"uris":["http://zotero.org/users/6216265/items/SPBA58QC"],"itemData":{"id":12130,"type":"article-journal","container-title":"Pharmaceutical Development and Technology","DOI":"10.1080/10837450.2016.1199566","ISSN":"1083-7450, 1097-9867","issue":"7","journalAbbreviation":"Pharmaceutical Development and Technology","language":"en","page":"889-903","source":"DOI.org (Crossref)","title":"An integrated, quality by design (QbD) approach for design, development and optimization of orally disintegrating tablet formulation of carbamazepine","volume":"22","author":[{"family":"Mishra","given":"Saurabh M."},{"family":"Rohera","given":"Bhagwan D."}],"issued":{"date-parts":[["2017",10,3]]}},"label":"page"},{"id":12135,"uris":["http://zotero.org/users/6216265/items/PWR85PMU"],"itemData":{"id":12135,"type":"article-journal","abstract":"In recent years, the “quality by design” (QbD) approach has been used for developing pharmaceutical formulations. This is particularly important for complex dosage forms such as topical semisolid products. The first step for developing a product using this efficient approach is defining the quality target product profile (QTPP), a list of quality attributes (QAs) that are required to be present in the final product. These quality attributes are affected by the ingredients used as well as manufacturing procedure parameters. Hence, critical material attributes (CMAs) and critical process parameters (CPPs) need to be specified. Possible failure modes of a topical semisolid product can be determined based on the physiochemical properties of ingredients and manufacturing procedures. In this review, we have defined and specified QTPP, QAs, CMAs and CPPs that are required for developing a topical semisolid product based on the QbD approach.","container-title":"Pharmaceutics","DOI":"10.3390/pharmaceutics12030287","ISSN":"1999-4923","issue":"3","journalAbbreviation":"Pharmaceutics","language":"en","page":"287","source":"DOI.org (Crossref)","title":"Quality by Design: Development of the Quality Target Product Profile (QTPP) for Semisolid Topical Products","title-short":"Quality by Design","volume":"12","author":[{"family":"Namjoshi","given":"Sarika"},{"family":"Dabbaghi","given":"Maryam"},{"family":"Roberts","given":"Michael S."},{"family":"Grice","given":"Jeffrey E."},{"family":"Mohammed","given":"Yousuf"}],"issued":{"date-parts":[["2020",3,23]]}},"label":"page"},{"id":12140,"uris":["http://zotero.org/users/6216265/items/P6TTWYTG"],"itemData":{"id":12140,"type":"article-journal","abstract":"The requirements of a liposomal formulation vary depending on the pharmaceutical indication, the target patient population, and the corresponding route of administration. Different preparation methods require various material attributes (MAs) (properties and characteristics of the components) and process parameters (PPs) (settings of the preparation method). The identification of the quality target product profile for a liposome-based formulation, the critical quality attributes of the liposomes, and the possible MAs and PPs that may influence the key characteristics of the vesicles facilitates pharmaceutical research. Researchers can systematise their knowledge by using the quality by design (QbD) approach. The potential factors that influence the quality of the product can be collected and studied through a risk assessment process. In this paper, the requirements of a liposome formulation prepared via the thin-film hydration preparation technique are presented; furthermore, the possible factors that have an impact on the quality of the final product and have to be considered and specified during the development of a liposomal formulation are herein identified and collected. The understanding and the application of these elements of QbD in the pharmaceutical developments help to influence the quality, the achievements, and the success of the formulated product.","container-title":"Pharmaceutics","DOI":"10.3390/pharmaceutics12121164","ISSN":"1999-4923","issue":"12","journalAbbreviation":"Pharmaceutics","language":"en","page":"1164","source":"DOI.org (Crossref)","title":"A Proposed Methodology for a Risk Assessment-Based Liposome Development Process","volume":"12","author":[{"family":"Németh","given":"Zsófia"},{"family":"Pallagi","given":"Edina"},{"family":"Dobó","given":"Dorina Gabriella"},{"family":"Csóka","given":"Ildikó"}],"issued":{"date-parts":[["2020",11,29]]}},"label":"page"},{"id":12146,"uris":["http://zotero.org/users/6216265/items/Q8KJXY2D"],"itemData":{"id":12146,"type":"article-journal","container-title":"International Journal of Pharmaceutics","DOI":"10.1016/j.ijpharm.2015.06.018","ISSN":"03785173","issue":"1-2","journalAbbreviation":"International Journal of Pharmaceutics","language":"en","page":"384-392","source":"DOI.org (Crossref)","title":"Adaptation of the quality by design concept in early pharmaceutical development of an intranasal nanosized formulation","volume":"491","author":[{"family":"Pallagi","given":"Edina"},{"family":"Ambrus","given":"Rita"},{"family":"Szabó-Révész","given":"Piroska"},{"family":"Csóka","given":"Ildikó"}],"issued":{"date-parts":[["2015",8]]}},"label":"page"},{"id":12155,"uris":["http://zotero.org/users/6216265/items/JAGNYWSA"],"itemData":{"id":12155,"type":"article-journal","container-title":"Indian Journal of Pharmaceutical Sciences","DOI":"10.4103/0250-474X.174971","ISSN":"0250-474X","issue":"6","journalAbbreviation":"Indian J Pharm Sci","language":"en","page":"751","source":"DOI.org (Crossref)","title":"Analytical quality by design approach in RP-HPLC method development for the assay of etofenamate in dosage forms","volume":"77","author":[{"family":"Peraman","given":"R"},{"family":"Bhadraya","given":"K"},{"family":"Reddy","given":"YPadmanabha"},{"family":"Reddy","given":"CSurayaprakash"},{"family":"Lokesh","given":"T"}],"issued":{"date-parts":[["2015"]]}},"label":"page"},{"id":12160,"uris":["http://zotero.org/users/6216265/items/3DQVTJXA"],"itemData":{"id":12160,"type":"article-journal","container-title":"Infectious Diseases of Poverty","DOI":"10.1186/s40249-017-0336-9","ISSN":"2049-9957","issue":"1","journalAbbreviation":"Infect Dis Poverty","language":"en","page":"122","source":"DOI.org (Crossref)","title":"Developing a comprehensive response for treatment of children under 6 years of age with schistosomiasis: research and development of a pediatric formulation of praziquantel","title-short":"Developing a comprehensive response for treatment of children under 6 years of age with schistosomiasis","volume":"6","author":[{"family":"Reinhard-Rupp","given":"Jutta"},{"family":"Klohe","given":"Katharina"}],"issued":{"date-parts":[["2017",12]]}},"label":"page"},{"id":12164,"uris":["http://zotero.org/users/6216265/items/DSYJW2FM"],"itemData":{"id":12164,"type":"article-journal","container-title":"Antiviral Research","DOI":"10.1016/j.antiviral.2013.09.016","ISSN":"01663542","journalAbbreviation":"Antiviral Research","language":"en","page":"S32-S38","source":"DOI.org (Crossref)","title":"Prioritizing multipurpose prevention technology development and investments using a target product profile","volume":"100","author":[{"family":"Romano","given":"Joe"},{"family":"Manning","given":"Judy"},{"family":"Hemmerling","given":"Anke"},{"family":"McGrory","given":"Elizabeth"},{"family":"Young Holt","given":"Bethany"}],"issued":{"date-parts":[["2013",12]]}},"label":"page"},{"id":12168,"uris":["http://zotero.org/users/6216265/items/NSQABGG6"],"itemData":{"id":12168,"type":"article-journal","container-title":"Drug Development and Industrial Pharmacy","DOI":"10.1080/03639045.2018.1496450","ISSN":"0363-9045, 1520-5762","issue":"12","journalAbbreviation":"Drug Development and Industrial Pharmacy","language":"en","page":"1905-1917","source":"DOI.org (Crossref)","title":"Development and &lt;i&gt;in vitro&lt;/i&gt; evaluation of pH-independent release matrix tablet of weakly acidic drug valsartan using quality by design tools","volume":"44","author":[{"family":"Saydam","given":"Mehtap"},{"family":"Takka","given":"Sevgi"}],"issued":{"date-parts":[["2018",12,2]]}},"label":"page"},{"id":12170,"uris":["http://zotero.org/users/6216265/items/6XQRLC3S"],"itemData":{"id":12170,"type":"article-journal","container-title":"Journal of Pharmaceutical Sciences","DOI":"10.1016/j.xphs.2018.06.010","ISSN":"00223549","issue":"10","journalAbbreviation":"Journal of Pharmaceutical Sciences","language":"en","page":"2653-2662","source":"DOI.org (Crossref)","title":"A Tutorial for Developing a Topical Cream Formulation Based on the Quality by Design Approach","volume":"107","author":[{"family":"Simões","given":"Ana"},{"family":"Veiga","given":"Francisco"},{"family":"Vitorino","given":"Carla"},{"family":"Figueiras","given":"Ana"}],"issued":{"date-parts":[["2018",10]]}},"label":"page"},{"id":12173,"uris":["http://zotero.org/users/6216265/items/XZYY4ZIT"],"itemData":{"id":12173,"type":"chapter","container-title":"Pharmaceutical Medicine and Translational Clinical Research","ISBN":"978-0-12-802103-3","language":"en","note":"DOI: 10.1016/B978-0-12-802103-3.00005-5","page":"65-80","publisher":"Elsevier","source":"DOI.org (Crossref)","title":"Target Product Profile and Clinical Development Plan","URL":"https://linkinghub.elsevier.com/retrieve/pii/B9780128021033000055","author":[{"family":"Singh","given":"Gursharan"}],"accessed":{"date-parts":[["2023",11,2]]},"issued":{"date-parts":[["2018"]]}},"label":"page"},{"id":12178,"uris":["http://zotero.org/users/6216265/items/CJUXD2YZ"],"itemData":{"id":12178,"type":"article-journal","container-title":"Journal of Pharmaceutical and Biomedical Analysis","DOI":"10.1016/j.jpba.2018.06.018","ISSN":"07317085","journalAbbreviation":"Journal of Pharmaceutical and Biomedical Analysis","language":"en","page":"395-404","source":"DOI.org (Crossref)","title":"A Quality by Design (QbD) approach to the development of a gradient high-performance liquid chromatography for the simultaneous assay of curcuminoids and doxorubicin from long-circulating liposomes","volume":"158","author":[{"family":"Sylvester","given":"Bianca"},{"family":"Tefas","given":"Lucia"},{"family":"Vlase","given":"Laurian"},{"family":"Tomuţă","given":"Ioan"},{"family":"Porfire","given":"Alina"}],"issued":{"date-parts":[["2018",9]]}},"label":"page"},{"id":12179,"uris":["http://zotero.org/users/6216265/items/X4ZQEQ5K"],"itemData":{"id":12179,"type":"article-journal","container-title":"European Journal of Pharmaceutical Sciences","DOI":"10.1016/j.ejps.2017.12.021","ISSN":"09280987","journalAbbreviation":"European Journal of Pharmaceutical Sciences","language":"en","page":"1-10","source":"DOI.org (Crossref)","title":"Lubricant based determination of design space for continuously manufactured high dose paracetamol tablets","volume":"115","author":[{"family":"Taipale-Kovalainen","given":"Krista"},{"family":"Karttunen","given":"Anssi-Pekka"},{"family":"Ketolainen","given":"Jarkko"},{"family":"Korhonen","given":"Ossi"}],"issued":{"date-parts":[["2018",3]]}},"label":"page"},{"id":12180,"uris":["http://zotero.org/users/6216265/items/4JTF3B2A"],"itemData":{"id":12180,"type":"article-journal","container-title":"European Journal of Pharmaceutics and Biopharmaceutics","DOI":"10.1016/j.ejpb.2020.08.002","ISSN":"09396411","journalAbbreviation":"European Journal of Pharmaceutics and Biopharmaceutics","language":"en","page":"88-102","source":"DOI.org (Crossref)","title":"Optimization of the quality by design approach for gene therapy products: A case study for adeno-associated viral vectors","title-short":"Optimization of the quality by design approach for gene therapy products","volume":"155","author":[{"family":"Tanaka","given":"Toshimitsu"},{"family":"Hanaoka","given":"Hideki"},{"family":"Sakurai","given":"Shingo"}],"issued":{"date-parts":[["2020",10]]}},"label":"page"},{"id":12181,"uris":["http://zotero.org/users/6216265/items/ERBMFXH2"],"itemData":{"id":12181,"type":"article-journal","container-title":"AAPS PharmSciTech","DOI":"10.1208/s12249-020-01738-5","ISSN":"1530-9932","issue":"5","journalAbbreviation":"AAPS PharmSciTech","language":"en","page":"200","source":"DOI.org (Crossref)","title":"A Comparison Between Lab-Scale and Hot-Melt-Extruder-Based Anti-inflammatory Ointment Manufacturing","volume":"21","author":[{"family":"Thakkar","given":"Rishi"},{"family":"Ashour","given":"Eman A."},{"family":"Shukla","given":"Ashay"},{"family":"Wang","given":"Rui"},{"family":"Chambliss","given":"Walter G."},{"family":"Bandari","given":"Suresh"},{"family":"Murthy","given":"Narasimha"},{"family":"Repka","given":"Michael A."}],"issued":{"date-parts":[["2020",7]]}},"label":"page"},{"id":12184,"uris":["http://zotero.org/users/6216265/items/ZBYACQW8"],"itemData":{"id":12184,"type":"article-journal","abstract":"In the past, drug developers in industry chose approaches mainly focusing on the drug product's efficacy, safety and quality according to the level required by regulatory expectations stipulated in guidelines, pharmacopoeia and other regulatory provisions. By putting more focus on the patient perspective, regulatory authorities are currently raising their requirements regarding successful product submissions. The increasing involvement of patients in the product development process (e.g. conduction of human factor use tests, integration of feedback from patient and patient advisory groups into clinical programmes) requires adaptations to the existing and established industrial drug development processes without compromising fast patient access to innovative therapies. This review provides an expert opinion on the emerging challenges and opportunities to implement a patient‐centric approach into new drug development programmes. The aim is to better understand the challenge of finding the right balance between bringing innovative drugs fast to the patients and to develop these in parallel in a patient‐centric product form as well as why this is an opportunity and how stakeholder parties (e.g. patients, clinicians, pharmacists, caregivers, regulators) can provide support to achieve desired outcomes.","container-title":"British Journal of Clinical Pharmacology","DOI":"10.1111/bcp.14388","ISSN":"0306-5251, 1365-2125","issue":"10","journalAbbreviation":"Brit J Clinical Pharma","language":"en","page":"2020-2027","source":"DOI.org (Crossref)","title":"Challenges and opportunities to include patient‐centric product design in industrial medicines development to improve therapeutic goals","volume":"86","author":[{"family":"Timpe","given":"Carsten"},{"family":"Stegemann","given":"Sven"},{"family":"Barrett","given":"Andrew"},{"family":"Mujumdar","given":"Siddharthya"}],"issued":{"date-parts":[["2020",10]]}},"label":"page"},{"id":12190,"uris":["http://zotero.org/users/6216265/items/M48MS2XN"],"itemData":{"id":12190,"type":"article-journal","abstract":"Respiratory failure due to SARS-CoV-2 has caused widespread mortality, creating an urgent need for effective treatments and a long-term need for antivirals for future emergent coronaviruses. Pharmacotherapy for respiratory viruses has largely been unsuccessful with the exception of early treatment of influenza viruses, which shortens symptom duration and prevents infection in close contacts. Under the rapidly evolving circumstances of the COVID-19 pandemic, most clinical trials of experimental treatments in the United States have focused on later stages of the disease process. Worldwide, the clinical studies of the most impactful drugs, remdesivir and dexamethasone in ACTT-1, RECOVERY, and Solidarity, have studied hospitalized patients. Less than half of clinical trials in the U.S. have investigated oral agents, and the majority have taken place in hospitals at a disease stage where the viral load is already decreasing. The limited success of treatments for respiratory viruses and the viral dynamics of COVID-19 suggest that an antiviral therapy with the greatest impact against pandemic coronaviruses would be orally administered, well-tolerated, target a highly conserved viral protein or host-coronavirus interaction and could be used effectively throughout the world, including resource-poor settings. We examine the treatment of respiratory viral infections and current clinical trials for COVID-19 to provide a framework for effective antiviral therapy and prevention of future emergent coronaviruses and call attention to the need for continued preclinical drug discovery.","container-title":"Frontiers in Medicine","DOI":"10.3389/fmed.2020.596587","ISSN":"2296-858X","journalAbbreviation":"Front. Med.","page":"596587","source":"DOI.org (Crossref)","title":"The Need for Antiviral Drugs for Pandemic Coronaviruses From a Global Health Perspective","volume":"7","author":[{"family":"Villamagna","given":"Angela Holly"},{"family":"Gore","given":"Sara J."},{"family":"Lewis","given":"James S."},{"family":"Doggett","given":"J. Stone"}],"issued":{"date-parts":[["2020",12,22]]}},"label":"page"},{"id":12192,"uris":["http://zotero.org/users/6216265/items/Q327VGY9"],"itemData":{"id":12192,"type":"article-journal","container-title":"Current Opinion in HIV and AIDS","DOI":"10.1097/COH.0000000000000527","ISSN":"1746-630X","issue":"2","language":"en","page":"143-149","source":"DOI.org (Crossref)","title":"Current and future priorities for the development of optimal HIV drugs","volume":"14","author":[{"family":"Vitoria","given":"Marco"},{"family":"Rangaraj","given":"Ajay"},{"family":"Ford","given":"Nathan"},{"family":"Doherty","given":"Meg"}],"issued":{"date-parts":[["2019",3]]}},"label":"page"},{"id":12196,"uris":["http://zotero.org/users/6216265/items/S5N49CR8"],"itemData":{"id":12196,"type":"article-journal","container-title":"Biomedicine &amp; Pharmacotherapy","DOI":"10.1016/j.biopha.2021.111940","ISSN":"07533322","journalAbbreviation":"Biomedicine &amp; Pharmacotherapy","language":"en","page":"111940","source":"DOI.org (Crossref)","title":"Quality by design (QbD) in the formulation and optimization of liquid crystalline nanoparticles (LCNPs): A risk based industrial approach","title-short":"Quality by design (QbD) in the formulation and optimization of liquid crystalline nanoparticles (LCNPs)","volume":"141","author":[{"family":"Waghule","given":"Tejashree"},{"family":"Dabholkar","given":"Neha"},{"family":"Gorantla","given":"Srividya"},{"family":"Rapalli","given":"Vamshi Krishna"},{"family":"Saha","given":"Ranendra Narayan"},{"family":"Singhvi","given":"Gautam"}],"issued":{"date-parts":[["2021",9]]}},"label":"page"},{"id":12197,"uris":["http://zotero.org/users/6216265/items/MJL4TELB"],"itemData":{"id":12197,"type":"article-journal","abstract":"The World Health Organization’s Model List of Essential Medicines for Children (EMLc) presents a list of the most efficacious, safe, and cost-effective medicines for priority conditions, intended for use in children up to 12 years of age. However, gaps in global availability and use of age-appropriate formulations of medicines for children still exist. To address these shortcomings, a comprehensive analysis of the appropriateness of formulations of essential medicines for children is being undertaken through the Global Accelerator for Paediatric Formulations (GAP-f) network, a WHO network launched in 2020 to respond to the paediatric treatment gap. This article describes the development and application of a paediatric Quality Target Product Profile (pQTPP) tool by WHO, to retrospectively evaluate the paediatric age-appropriateness of formulations on the EMLc and identify potential formulation gaps, to inform the review of the EMLc in 2023. A combination of paediatric-centric and global health-focused attributes and targets were defined, taking into consideration regulatory agency paediatric development guidelines and literature sources, and a qualitative scoring system was developed and tested. Example evaluations of paracetamol and clofazimine are provided, illustrating the tool’s use. The assessment of EMLc formulations is ongoing and shortcomings and gaps in EMLc formulations have already been identified. The pQTTP tool may also be applied to national lists and prospectively when designing new paediatric formulations.","container-title":"Pharmaceutics","DOI":"10.3390/pharmaceutics14030473","ISSN":"1999-4923","issue":"3","journalAbbreviation":"Pharmaceutics","language":"en","page":"473","source":"DOI.org (Crossref)","title":"Assessing the Appropriateness of Formulations on the WHO Model List of Essential Medicines for Children: Development of a Paediatric Quality Target Product Profile Tool","title-short":"Assessing the Appropriateness of Formulations on the WHO Model List of Essential Medicines for Children","volume":"14","author":[{"family":"Walsh","given":"Jennifer"},{"family":"Masini","given":"Tiziana"},{"family":"Huttner","given":"Benedikt"},{"family":"Moja","given":"Lorenzo"},{"family":"Penazzato","given":"Martina"},{"family":"Cappello","given":"Bernadette"}],"issued":{"date-parts":[["2022",2,22]]}}},{"id":12199,"uris":["http://zotero.org/users/6216265/items/SBAHENPM"],"itemData":{"id":12199,"type":"article-journal","abstract":"Improved global access to novel age‐appropriate formulations for paediatric subsets, either of new chemical entities or existing drugs, is a priority to ensure that medicines meet the needs of these patients. However, despite regulatory incentives, the introduction to the market of paediatric formulations still lags behind adult products. This is mainly caused by additional complexities associated with the development of acceptable age‐appropriate paediatric medicines. This position paper recommends the use of a paediatric Quality Target Product Profile as an efficient tool to facilitate early planning and decision making across all teams involved in paediatric formulation development during the children‐centric formulation design for new chemical entities, or to repurpose/reformulate off‐patent drugs. Essential key attributes of a paediatric formulation are suggested and described. Moreover, greater collaboration between formulation experts and clinical colleagues, including healthcare professionals, is advocated to lead to safe and effective, age‐appropriate medicinal products. Acceptability testing should be a secondary endpoint in paediatric clinical trials to ensure postmarketing adherence is not compromised by a lack of acceptability. Not knowing the indications and the related age groups and potential dosing regimens early enough is still a major hurdle for efficient paediatric formulation development; however, the proposed paediatric Quality Target Product Profile could be a valuable collaborative tool for planning and decision making to expedite paediatric product development, particularly for those with limited experience in developing a paediatric product.","container-title":"British Journal of Clinical Pharmacology","DOI":"10.1111/bcp.14989","ISSN":"0306-5251, 1365-2125","issue":"12","journalAbbreviation":"Brit J Clinical Pharma","language":"en","page":"5034-5051","source":"DOI.org (Crossref)","title":"Path towards efficient paediatric formulation development based on partnering with clinical pharmacologists and clinicians, a conect4children expert group white paper","volume":"88","author":[{"family":"Walsh","given":"Jennifer"},{"family":"Schaufelberger","given":"Daniel"},{"family":"Iurian","given":"Sonia"},{"family":"Klein","given":"Sandra"},{"family":"Batchelor","given":"Hannah"},{"family":"Turner","given":"Roy"},{"family":"Gizurarson","given":"Sveinbjörn"},{"family":"Boltri","given":"Luigi"},{"family":"Alessandrini","given":"Elisa"},{"family":"Tuleu","given":"Catherine"}],"issued":{"date-parts":[["2022",12]]}},"label":"page"},{"id":12202,"uris":["http://zotero.org/users/6216265/items/FZQPFILQ"],"itemData":{"id":12202,"type":"article-journal","container-title":"Drug Delivery and Translational Research","DOI":"10.1007/s13346-016-0313-z","ISSN":"2190-393X, 2190-3948","issue":"5","journalAbbreviation":"Drug Deliv. and Transl. Res.","language":"en","page":"572-578","source":"DOI.org (Crossref)","title":"Preliminary consultation on preferred product characteristics of benzathine penicillin G for secondary prophylaxis of rheumatic fever","volume":"6","author":[{"family":"Wyber","given":"Rosemary"},{"family":"Boyd","given":"Ben J"},{"family":"Colquhoun","given":"Samantha"},{"family":"Currie","given":"Bart J"},{"family":"Engel","given":"Mark"},{"family":"Kado","given":"Joseph"},{"family":"Karthikeyan","given":"Ganesan"},{"family":"Sullivan","given":"Mark"},{"family":"Saxena","given":"Anita"},{"family":"Sheel","given":"Meru"},{"family":"Steer","given":"Andrew"},{"family":"Mucumbitsi","given":"Joseph"},{"family":"Zühlke","given":"Liesl"},{"family":"Carapetis","given":"Jonathan"}],"issued":{"date-parts":[["2016",10]]}},"label":"page"},{"id":12203,"uris":["http://zotero.org/users/6216265/items/5R76JEW2"],"itemData":{"id":12203,"type":"article-journal","abstract":"Abstract\n            Quality by design (QbD) is an efficient but challenging approach for the development of biosimilar due to the complex relationship among process, quality, and efficacy. Here, the analytical similarity of adalimumab biosimilar HLX03 to Humira® was successfully established following a QbD quality study. Quality target product profile (QTPP) of HLX03 was first generated according to the public available information and initial characterization of 3 batches of Humira®. The critical quality attributes (CQAs) were then identified through risk assessment according to impact of each quality attribute on efficacy and safety. The anticipated range for each CQA was derived from similarity acceptance range and/or the corresponding regulatory guidelines. Finally, a panel of advanced and orthogonal physicochemical and functional tests and comparison of 6 batches of HLX03 and 10 batches of the reference standard demonstrated high similarity of HLX03 to Humira®, except for slightly lower percentage of high mannosylated glycans (%HM) in HLX03 which had no effect on FcγRIII binding and antibody-dependent cell-mediated cytotoxicity (ADCC) activity in human peripheral blood mononuclear cell (PBMC). All above demonstrated the feasibility and efficiency of QbD-based similarity assessment of a biosimilar monoclonal antibody (mAb).","container-title":"The AAPS Journal","DOI":"10.1208/s12248-020-00454-z","ISSN":"1550-7416","issue":"3","journalAbbreviation":"AAPS J","language":"en","page":"69","source":"DOI.org (Crossref)","title":"Quality by Design–Based Assessment for Analytical Similarity of Adalimumab Biosimilar HLX03 to Humira®","volume":"22","author":[{"family":"Zhang","given":"Erhui"},{"family":"Xie","given":"Liqi"},{"family":"Qin","given":"Peilan"},{"family":"Lu","given":"Lihong"},{"family":"Xu","given":"Yanpeng"},{"family":"Gao","given":"Wenyuan"},{"family":"Wang","given":"Linlin"},{"family":"Xie","given":"Michael Hongwei"},{"family":"Jiang","given":"Weidong"},{"family":"Liu","given":"Scott"}],"issued":{"date-parts":[["2020",5]]}},"label":"page"}],"schema":"https://github.com/citation-style-language/schema/raw/master/csl-citation.json"} </w:instrText>
            </w:r>
            <w:r>
              <w:fldChar w:fldCharType="separate"/>
            </w:r>
            <w:r w:rsidR="00C94C08" w:rsidRPr="00C94C08">
              <w:rPr>
                <w:rFonts w:ascii="Calibri" w:hAnsi="Calibri" w:cs="Calibri"/>
                <w:szCs w:val="24"/>
              </w:rPr>
              <w:t>(211–213,215,217,218,220–223,225–227,229–231,234,240,246,247,249,251–254,258,259,266–268,270,272,273,277,280,282,285,292,295,296,299,301,305–308,312,315,316,319–321,323,324,328,334,335)</w:t>
            </w:r>
            <w:r>
              <w:fldChar w:fldCharType="end"/>
            </w:r>
          </w:p>
        </w:tc>
      </w:tr>
      <w:tr w:rsidR="00AA466E" w14:paraId="003A4904" w14:textId="77777777" w:rsidTr="00E666ED">
        <w:tc>
          <w:tcPr>
            <w:tcW w:w="1260" w:type="dxa"/>
            <w:vMerge/>
            <w:vAlign w:val="center"/>
          </w:tcPr>
          <w:p w14:paraId="2241C151" w14:textId="77777777" w:rsidR="005F76A9" w:rsidRDefault="005F76A9" w:rsidP="00106C2C">
            <w:pPr>
              <w:spacing w:line="276" w:lineRule="auto"/>
            </w:pPr>
          </w:p>
        </w:tc>
        <w:tc>
          <w:tcPr>
            <w:tcW w:w="2790" w:type="dxa"/>
            <w:vAlign w:val="center"/>
          </w:tcPr>
          <w:p w14:paraId="4FA21445" w14:textId="7791B40D" w:rsidR="005F76A9" w:rsidRDefault="005F76A9" w:rsidP="00106C2C">
            <w:pPr>
              <w:spacing w:line="276" w:lineRule="auto"/>
            </w:pPr>
            <w:r>
              <w:t>Diagnostics</w:t>
            </w:r>
          </w:p>
        </w:tc>
        <w:tc>
          <w:tcPr>
            <w:tcW w:w="5017" w:type="dxa"/>
            <w:vAlign w:val="center"/>
          </w:tcPr>
          <w:p w14:paraId="17F07EB9" w14:textId="6D256289" w:rsidR="005F76A9" w:rsidRDefault="005F76A9" w:rsidP="00106C2C">
            <w:pPr>
              <w:spacing w:line="276" w:lineRule="auto"/>
            </w:pPr>
            <w:r>
              <w:fldChar w:fldCharType="begin"/>
            </w:r>
            <w:r w:rsidR="00C94C08">
              <w:instrText xml:space="preserve"> ADDIN ZOTERO_ITEM CSL_CITATION {"citationID":"Nyzw9nfc","properties":{"formattedCitation":"(199\\uc0\\u8211{}209,218,233,235,238,239,241,243,244,262,274,283,294,295,317,326,327,331,333)","plainCitation":"(199–209,218,233,235,238,239,241,243,244,262,274,283,294,295,317,326,327,331,333)","noteIndex":0},"citationItems":[{"id":12208,"uris":["http://zotero.org/users/6216265/items/YUCZFS4L"],"itemData":{"id":12208,"type":"article-journal","container-title":"PLOS Neglected Tropical Diseases","DOI":"10.1371/journal.pntd.0005269","ISSN":"1935-2735","issue":"2","journalAbbreviation":"PLoS Negl Trop Dis","language":"en","page":"e0005269","source":"DOI.org (Crossref)","title":"Update on Zika Diagnostic Tests and WHO’s Related Activities","volume":"11","author":[{"family":"Chua","given":"Arlene"},{"family":"Prat","given":"Irena"},{"family":"Nuebling","given":"Claudius Micha"},{"family":"Wood","given":"David"},{"family":"Moussy","given":"Francis"}],"editor":[{"family":"De Silva","given":"Aravinda M."}],"issued":{"date-parts":[["2017",2,2]]}},"label":"page"},{"id":12210,"uris":["http://zotero.org/users/6216265/items/XIJQJ62C"],"itemData":{"id":12210,"type":"article-journal","container-title":"The Journal of Infectious Diseases","DOI":"10.1093/infdis/jiu821","ISSN":"0022-1899, 1537-6613","issue":"suppl_2","language":"en","page":"S29-S38","source":"DOI.org (Crossref)","title":"Defining the Needs for Next Generation Assays for Tuberculosis","volume":"211","author":[{"family":"Denkinger","given":"Claudia M."},{"family":"Kik","given":"Sandra V."},{"family":"Cirillo","given":"Daniela Maria"},{"family":"Casenghi","given":"Martina"},{"family":"Shinnick","given":"Thomas"},{"family":"Weyer","given":"Karin"},{"family":"Gilpin","given":"Chris"},{"family":"Boehme","given":"Catharina C."},{"family":"Schito","given":"Marco"},{"family":"Kimerling","given":"Michael"},{"family":"Pai","given":"Madhukar"}],"issued":{"date-parts":[["2015",4]]}},"label":"page"},{"id":12212,"uris":["http://zotero.org/users/6216265/items/9JFPHFWZ"],"itemData":{"id":12212,"type":"article-journal","container-title":"PLOS Neglected Tropical Diseases","DOI":"10.1371/journal.pntd.0005516","ISSN":"1935-2735","issue":"4","journalAbbreviation":"PLoS Negl Trop Dis","language":"en","page":"e0005516","source":"DOI.org (Crossref)","title":"Defining the next generation of Plasmodium vivax diagnostic tests for control and elimination: Target product profiles","title-short":"Defining the next generation of Plasmodium vivax diagnostic tests for control and elimination","volume":"11","author":[{"family":"Ding","given":"Xavier C."},{"family":"Ade","given":"Maria Paz"},{"family":"Baird","given":"J. Kevin"},{"family":"Cheng","given":"Qin"},{"family":"Cunningham","given":"Jane"},{"family":"Dhorda","given":"Mehul"},{"family":"Drakeley","given":"Chris"},{"family":"Felger","given":"Ingrid"},{"family":"Gamboa","given":"Dionicia"},{"family":"Harbers","given":"Matthias"},{"family":"Herrera","given":"Socrates"},{"family":"Lucchi","given":"Naomi"},{"family":"Mayor","given":"Alfredo"},{"family":"Mueller","given":"Ivo"},{"family":"Sattabongkot","given":"Jetsumon"},{"family":"Ratsimbason","given":"Arsène"},{"family":"Richards","given":"Jack"},{"family":"Tanner","given":"Marcel"},{"family":"González","given":"Iveth J."}],"editor":[{"family":"Pimenta","given":"Paulo Filemon"}],"issued":{"date-parts":[["2017",4,3]]}},"label":"page"},{"id":12214,"uris":["http://zotero.org/users/6216265/items/F3AIGXXG"],"itemData":{"id":12214,"type":"article-journal","container-title":"PLOS Neglected Tropical Diseases","DOI":"10.1371/journal.pntd.0005875","ISSN":"1935-2735","issue":"9","journalAbbreviation":"PLoS Negl Trop Dis","language":"en","page":"e0005875","source":"DOI.org (Crossref)","title":"Target product profiles for the diagnosis of Taenia solium taeniasis, neurocysticercosis and porcine cysticercosis","volume":"11","author":[{"family":"Donadeu","given":"Meritxell"},{"family":"Fahrion","given":"Anna S."},{"family":"Olliaro","given":"Piero L."},{"family":"Abela-Ridder","given":"Bernadette"}],"editor":[{"family":"Garcia","given":"Hector H."}],"issued":{"date-parts":[["2017",9,11]]}},"label":"page"},{"id":12207,"uris":["http://zotero.org/users/6216265/items/BI8MIJ26"],"itemData":{"id":12207,"type":"paper-conference","container-title":"IEEE Global Humanitarian Technology Conference (GHTC 2014)","DOI":"10.1109/GHTC.2014.6970338","event-place":"San Jose, CA","event-title":"2014 IEEE Global Humanitarian Technology Conference (GHTC)","ISBN":"978-1-4799-7193-0","page":"555-560","publisher":"IEEE","publisher-place":"San Jose, CA","source":"DOI.org (Crossref)","title":"Incorporating user needs into product development for improved infection detection for malaria elimination programs","URL":"http://ieeexplore.ieee.org/document/6970338/","author":[{"family":"Ebels","given":"K. B."},{"family":"Clerk","given":"C."},{"family":"Crudder","given":"C. H."},{"family":"McGray","given":"S."},{"family":"Magnuson","given":"K."},{"family":"Tietje","given":"K."},{"family":"LaBarre","given":"P."}],"accessed":{"date-parts":[["2023",11,2]]},"issued":{"date-parts":[["2014",10]]}},"label":"page"},{"id":12216,"uris":["http://zotero.org/users/6216265/items/YHFANQX2"],"itemData":{"id":12216,"type":"article-journal","container-title":"PLOS Neglected Tropical Diseases","DOI":"10.1371/journal.pntd.0006213","ISSN":"1935-2735","issue":"3","journalAbbreviation":"PLoS Negl Trop Dis","language":"en","page":"e0006213","source":"DOI.org (Crossref)","title":"Diagnostic tools for soil-transmitted helminths control and elimination programs: A pathway for diagnostic product development","title-short":"Diagnostic tools for soil-transmitted helminths control and elimination programs","volume":"12","author":[{"family":"Lim","given":"Mark D."},{"family":"Brooker","given":"Simon J."},{"family":"Belizario","given":"Vicente Y."},{"family":"Gay-Andrieu","given":"Françoise"},{"family":"Gilleard","given":"John"},{"family":"Levecke","given":"Bruno"},{"family":"Van Lieshout","given":"Lisette"},{"family":"Medley","given":"Graham F."},{"family":"Mekonnen","given":"Zeleke"},{"family":"Mirams","given":"Greg"},{"family":"Njenga","given":"Sammy M."},{"family":"Odiere","given":"Maurice R."},{"family":"Rudge","given":"James W."},{"family":"Stuyver","given":"Lieven"},{"family":"Vercruysse","given":"Jozef"},{"family":"Vlaminck","given":"Johnny"},{"family":"Walson","given":"Judd L."},{"literal":"the Annecy STH diagnostic experts group"}],"editor":[{"family":"Maruyama","given":"Haruhiko"}],"issued":{"date-parts":[["2018",3,1]]}},"label":"page"},{"id":12218,"uris":["http://zotero.org/users/6216265/items/89U67V5S"],"itemData":{"id":12218,"type":"article-journal","container-title":"Military Medicine","DOI":"10.7205/MILMED-D-15-00231","ISSN":"0026-4075, 1930-613X","issue":"8","journalAbbreviation":"Military Medicine","language":"en","page":"756-766","source":"DOI.org (Crossref)","title":"Assessing the Dengue Diagnosis Capability Gap in the Military Health System","volume":"181","author":[{"family":"Pal","given":"Subhamoy"},{"family":"Jasper","given":"Louis E."},{"family":"Lawrence","given":"Kendra L."},{"family":"Walter","given":"Maureen"},{"family":"Gilliland","given":"Theron"},{"family":"Dauner","given":"Allison L."},{"family":"Palys","given":"Thomas J."},{"family":"Wu","given":"Shuenn-Jue L."}],"issued":{"date-parts":[["2016",8]]}},"label":"page"},{"id":12220,"uris":["http://zotero.org/users/6216265/items/6KMQJESE"],"itemData":{"id":12220,"type":"article-journal","container-title":"PLoS Neglected Tropical Diseases","DOI":"10.1371/journal.pntd.0001746","ISSN":"1935-2735","issue":"7","journalAbbreviation":"PLoS Negl Trop Dis","language":"en","page":"e1746","source":"DOI.org (Crossref)","title":"A Diagnostics Platform for the Integrated Mapping, Monitoring, and Surveillance of Neglected Tropical Diseases: Rationale and Target Product Profiles","title-short":"A Diagnostics Platform for the Integrated Mapping, Monitoring, and Surveillance of Neglected Tropical Diseases","volume":"6","author":[{"family":"Solomon","given":"Anthony W."},{"family":"Engels","given":"Dirk"},{"family":"Bailey","given":"Robin L."},{"family":"Blake","given":"Isobel M."},{"family":"Brooker","given":"Simon"},{"family":"Chen","given":"Jia-Xu"},{"family":"Chen","given":"Jun-Hu"},{"family":"Churcher","given":"Thomas S."},{"family":"Drakeley","given":"Chris J."},{"family":"Edwards","given":"Tansy"},{"family":"Fenwick","given":"Alan"},{"family":"French","given":"Michael"},{"family":"Gabrielli","given":"Albis Francesco"},{"family":"Grassly","given":"Nicholas C."},{"family":"Harding-Esch","given":"Emma M."},{"family":"Holland","given":"Martin J."},{"family":"Koukounari","given":"Artemis"},{"family":"Lammie","given":"Patrick J."},{"family":"Leslie","given":"Jacqueline"},{"family":"Mabey","given":"David C."},{"family":"Rhajaoui","given":"Mohamed"},{"family":"Secor","given":"W. Evan"},{"family":"Stothard","given":"J. Russell"},{"family":"Wei","given":"Hu"},{"family":"Willingham","given":"A. Lee"},{"family":"Zhou","given":"Xiao-Nong"},{"family":"Peeling","given":"Rosanna W."}],"editor":[{"family":"McCarthy","given":"James S."}],"issued":{"date-parts":[["2012",7,31]]}},"label":"page"},{"id":12222,"uris":["http://zotero.org/users/6216265/items/77LMTDQW"],"itemData":{"id":12222,"type":"article-journal","container-title":"Sexually Transmitted Infections","DOI":"10.1136/sextrans-2016-053071","ISSN":"1368-4973, 1472-3263","issue":"S4","journalAbbreviation":"Sex Transm Infect","language":"en","page":"S69-S80","source":"DOI.org (Crossref)","title":"Advancing prevention of sexually transmitted infections through point-of-care testing: target product profiles and landscape analysis","title-short":"Advancing prevention of sexually transmitted infections through point-of-care testing","volume":"93","author":[{"family":"Toskin","given":"Igor"},{"family":"Murtagh","given":"Maurine"},{"family":"Peeling","given":"Rosanna W"},{"family":"Blondeel","given":"Karel"},{"family":"Cordero","given":"Joanna"},{"family":"Kiarie","given":"James"}],"issued":{"date-parts":[["2017",12]]}},"label":"page"},{"id":12224,"uris":["http://zotero.org/users/6216265/items/PPK7BIQD"],"itemData":{"id":12224,"type":"article-journal","container-title":"Clinical Microbiology and Infection","DOI":"10.1016/j.cmi.2015.03.014","ISSN":"1198743X","issue":"6","journalAbbreviation":"Clinical Microbiology and Infection","language":"en","page":"529-542","source":"DOI.org (Crossref)","title":"New diagnostic tools in schistosomiasis","volume":"21","author":[{"family":"Utzinger","given":"J."},{"family":"Becker","given":"S.L."},{"family":"Van Lieshout","given":"L."},{"family":"Van Dam","given":"G.J."},{"family":"Knopp","given":"S."}],"issued":{"date-parts":[["2015",6]]}},"label":"page"},{"id":12016,"uris":["http://zotero.org/users/6216265/items/T6ZE7DG9"],"itemData":{"id":12016,"type":"article-journal","abstract":"New tuberculosis (TB) diagnostics are at a crossroads: their development, evaluation, and implementation is severely damaged by resource diversion due to COVID-19. Yet several technologies, especially those with potential for non-invasive non-sputum-based testing, hold promise for efficiently triaging and rapidly confirming TB near point-of-care. Such tests are, however, progressing through the pipeline slowly and will take years to reach patients and health workers. Compellingly, such tests will create new opportunities for difficult-to-diagnose populations, including primary care attendees (all-comers in high burden settings irrespective of reason for presentation) and community members (with early stage disease or risk factors like HIV), many of whom cannot easily produce sputum. Critically, all upcoming technologies have limitations that implementers and health workers need to be cognizant of to ensure optimal deployment without undermining confidence in a technology that still offers improvements over the status quo. In this state-of-the-art review, we critically appraise such technologies for active pulmonary TB diagnosis. We highlight strengths, limitations, outstanding research questions, and how current and future tests could be used in the presence of these limitations and uncertainties. Among triage tests, CRP (for which commercial near point-of-care devices exist) and computer-aided detection software with digital chest X-ray hold promise, together with late-stage blood-based assays that detect host and/or microbial biomarkers; however, aside from a handful of prototypes, the latter category has a shortage of promising late-stage alternatives. Furthermore, positive results from new triage tests may have utility in people without TB; however, their utility for informing diagnostic pathways for other diseases is under-researched (most sick people tested for TB do not have TB). For confirmatory tests, few true point-of-care options will be available soon; however, combining novel approaches like tongue swabs with established tests like Ultra have short-term promise but first require optimizations to specimen collection and processing procedures. Concerningly, no technologies yet have compelling evidence of meeting the World Health Organization optimal target product profile performance criteria, especially for important operational criteria crucial for field deployment. This is alarming as the target product profile criteria are themselves almost a decade old and require urgent revision, especially to cater for technologies made prominent by the COVID-19 diagnostic response (e.g., at-home testing and connectivity solutions). Throughout the review, we underscore the importance of how target populations and settings affect test performance and how the criteria by which these tests should be judged vary by use case, including in active case finding. Lastly, we advocate for health workers and researchers to themselves be vocal proponents of the uptake of both new tests and those – already available tests that remain suboptimally utilized.","container-title":"Respiration","DOI":"10.1159/000525142","ISSN":"0025-7931, 1423-0356","issue":"9","journalAbbreviation":"Respiration","language":"en","page":"797-813","source":"DOI.org (Crossref)","title":"Diagnosing Tuberculosis: What Do New Technologies Allow Us to (Not) Do?","title-short":"Diagnosing Tuberculosis","volume":"101","author":[{"family":"Abdulgader","given":"Shima M."},{"family":"Okunola","given":"Anna O."},{"family":"Ndlangalavu","given":"Gcobisa"},{"family":"Reeve","given":"Byron W.P."},{"family":"Allwood","given":"Brian W."},{"family":"Koegelenberg","given":"Coenraad F.N."},{"family":"Warren","given":"Rob M."},{"family":"Theron","given":"Grant"}],"issued":{"date-parts":[["2022"]]}},"label":"page"},{"id":12018,"uris":["http://zotero.org/users/6216265/items/5MXTTJIV"],"itemData":{"id":12018,"type":"article-journal","container-title":"The International Journal of Tuberculosis and Lung Disease","DOI":"10.5588/ijtld.17.0312","ISSN":"1027-3719","issue":"4","journalAbbreviation":"int j tuberc lung dis","language":"en","page":"425-428","source":"DOI.org (Crossref)","title":"Which attributes within target product profiles for tuberculosis diagnostics are the most important to focus on?","volume":"22","author":[{"family":"Adepoyibi","given":"T."},{"family":"Lilis","given":"L."},{"family":"Greb","given":"H."},{"family":"Boyle","given":"D."}],"issued":{"date-parts":[["2018",4,1]]}},"label":"page"},{"id":12019,"uris":["http://zotero.org/users/6216265/items/HP2FGHA5"],"itemData":{"id":12019,"type":"article-journal","container-title":"ACS Nano","DOI":"10.1021/acsnano.2c01697","ISSN":"1936-0851, 1936-086X","issue":"8","journalAbbreviation":"ACS Nano","language":"en","page":"11545-11576","source":"DOI.org (Crossref)","title":"Diagnostic Approaches For COVID-19: Lessons Learned and the Path Forward","title-short":"Diagnostic Approaches For COVID-19","volume":"16","author":[{"family":"Alafeef","given":"Maha"},{"family":"Pan","given":"Dipanjan"}],"issued":{"date-parts":[["2022",8,23]]}},"label":"page"},{"id":12021,"uris":["http://zotero.org/users/6216265/items/62V73I6Q"],"itemData":{"id":12021,"type":"article-journal","container-title":"PLOS Neglected Tropical Diseases","DOI":"10.1371/journal.pntd.0008035","ISSN":"1935-2735","issue":"4","journalAbbreviation":"PLoS Negl Trop Dis","language":"en","page":"e0008035","source":"DOI.org (Crossref)","title":"Target product profile for a test for the early assessment of treatment efficacy in Chagas disease patients: An expert consensus","title-short":"Target product profile for a test for the early assessment of treatment efficacy in Chagas disease patients","volume":"14","author":[{"family":"Alonso-Padilla","given":"Julio"},{"family":"Abril","given":"Marcelo"},{"family":"Alarcón De Noya","given":"Belkisyolé"},{"family":"Almeida","given":"Igor C."},{"family":"Angheben","given":"Andrea"},{"family":"Araujo Jorge","given":"Tania"},{"family":"Chatelain","given":"Eric"},{"family":"Esteva","given":"Monica"},{"family":"Gascón","given":"Joaquim"},{"family":"Grijalva","given":"Mario J."},{"family":"Guhl","given":"Felipe"},{"family":"Hasslocher-Moreno","given":"Alejandro Marcel"},{"family":"López","given":"Manuel Carlos"},{"family":"Luquetti","given":"Alejandro"},{"family":"Noya","given":"Oscar"},{"family":"Pinazo","given":"María Jesús"},{"family":"Ramsey","given":"Janine M."},{"family":"Ribeiro","given":"Isabela"},{"family":"Ruiz","given":"Andres Mariano"},{"family":"Schijman","given":"Alejandro G."},{"family":"Sosa-Estani","given":"Sergio"},{"family":"Thomas","given":"M. Carmen"},{"family":"Torrico","given":"Faustino"},{"family":"Zrein","given":"Maan"},{"family":"Picado","given":"Albert"}],"editor":[{"family":"Santiago","given":"Helton Da Costa"}],"issued":{"date-parts":[["2020",4,23]]}},"label":"page"},{"id":12034,"uris":["http://zotero.org/users/6216265/items/PVHKZWP8"],"itemData":{"id":12034,"type":"article-journal","container-title":"Global Health: Science and Practice","DOI":"10.9745/GHSP-D-20-00028","ISSN":"2169-575X","issue":"3","journalAbbreviation":"Glob Health Sci Pract","language":"en","page":"549-565","source":"DOI.org (Crossref)","title":"Matching Development of Point-of-Care Diagnostic Tests to the Local Context: A Case Study of Visceral Leishmaniasis in Kenya and Uganda","title-short":"Matching Development of Point-of-Care Diagnostic Tests to the Local Context","volume":"8","author":[{"family":"Bengtson","given":"Michel"},{"family":"Bharadwaj","given":"Mitasha"},{"family":"Bosch","given":"Astrid Ten"},{"family":"Nyakundi","given":"Hellen"},{"family":"Matoke-Muhia","given":"Damaris"},{"family":"Dekker","given":"Cees"},{"family":"Diehl","given":"Jan-Carel"}],"issued":{"date-parts":[["2020",9,30]]}},"label":"page"},{"id":12057,"uris":["http://zotero.org/users/6216265/items/PSNZ5TKX"],"itemData":{"id":12057,"type":"article-journal","container-title":"Parasite Epidemiology and Control","DOI":"10.1016/j.parepi.2019.e00103","ISSN":"24056731","journalAbbreviation":"Parasite Epidemiology and Control","language":"en","page":"e00103","source":"DOI.org (Crossref)","title":"Target Product Profile for a point-of-care diagnostic test for dermal leishmaniases","volume":"5","author":[{"family":"Cruz","given":"Israel"},{"family":"Albertini","given":"Audrey"},{"family":"Barbeitas","given":"Mady"},{"family":"Arana","given":"Byron"},{"family":"Picado","given":"Albert"},{"family":"Ruiz-Postigo","given":"Jose A."},{"family":"Ndung'u","given":"Joseph M."}],"issued":{"date-parts":[["2019",5]]}},"label":"page"},{"id":12061,"uris":["http://zotero.org/users/6216265/items/V7UR6WBW"],"itemData":{"id":12061,"type":"article-journal","abstract":"Bacterial blood stream infections (BSI) are a common cause of mortality and morbidity globally. As the causative agents and the resulting treatment decisions vary, near-patient testing and surveillance tools are necessary to monitor bacterial causes and resistance to antimicrobial agents. The gold standard to identify BSIs is blood culture (BC), a methodology not widely available in resource-limited settings. The aim of the study was to map out a target product profile of a simplified BC system (SBCS) to inform product development efforts. To identify the desired characteristics of a SBCS, we enlisted a small group of specialists working in Africa and Asia. Questions were used to understand challenges and how these constraints inform system requirements. The specialists were infectious disease physicians, public health/clinical microbiologists, clinical researchers, and technology experts with different geographical backgrounds. All suggested that BC should ideally be available at the district hospital level. Many of the same operational challenges, such as limited availability of culture bottles, electricity and internet connectivity, profuse dust, the lack of ambient temperature control, and human capacity constraints were identified across the different regions. BCs, although the accepted gold standard for diagnosis of BSIs, are not widely available outside of reference/research centers in Africa and Asia. To extend the reach of this important tool, it is crucial to engage product developers and academic research partners to develop accessible alternatives.","container-title":"Diagnostics","DOI":"10.3390/diagnostics9010010","ISSN":"2075-4418","issue":"1","journalAbbreviation":"Diagnostics","language":"en","page":"10","source":"DOI.org (Crossref)","title":"Defining System Requirements for Simplified Blood Culture to Enable Widespread Use in Resource-Limited Settings","volume":"9","author":[{"family":"Dailey","given":"Peter"},{"family":"Osborn","given":"Jennifer"},{"family":"Ashley","given":"Elizabeth"},{"family":"Baron","given":"Ellen"},{"family":"Dance","given":"David"},{"family":"Fusco","given":"Daniela"},{"family":"Fanello","given":"Caterina"},{"family":"Manabe","given":"Yukari"},{"family":"Mokomane","given":"Margaret"},{"family":"Newton","given":"Paul"},{"family":"Tessema","given":"Belay"},{"family":"Isaacs","given":"Chris"},{"family":"Dittrich","given":"Sabine"}],"issued":{"date-parts":[["2019",1,11]]}},"label":"page"},{"id":12065,"uris":["http://zotero.org/users/6216265/items/3MBFKBJQ"],"itemData":{"id":12065,"type":"article-journal","container-title":"The Journal of Infectious Diseases","DOI":"10.1093/infdis/jiu682","ISSN":"0022-1899, 1537-6613","issue":"suppl_2","language":"en","page":"S39-S49","source":"DOI.org (Crossref)","title":"Target Product Profile of a Molecular Drug-Susceptibility Test for Use in Microscopy Centers","volume":"211","author":[{"family":"Denkinger","given":"Claudia M."},{"family":"Dolinger","given":"David"},{"family":"Schito","given":"Marco"},{"family":"Wells","given":"William"},{"family":"Cobelens","given":"Frank"},{"family":"Pai","given":"Madhukar"},{"family":"Zignol","given":"Matteo"},{"family":"Cirillo","given":"Daniela Maria"},{"family":"Alland","given":"David"},{"family":"Casenghi","given":"Martina"},{"family":"Gallarda","given":"Jim"},{"family":"Boehme","given":"Catharina C."},{"family":"Perkins","given":"Mark D."}],"issued":{"date-parts":[["2015",4]]}},"label":"page"},{"id":12067,"uris":["http://zotero.org/users/6216265/items/RRP9XUR4"],"itemData":{"id":12067,"type":"article-journal","container-title":"PLOS ONE","DOI":"10.1371/journal.pone.0161721","ISSN":"1932-6203","issue":"8","journalAbbreviation":"PLoS ONE","language":"en","page":"e0161721","source":"DOI.org (Crossref)","title":"Target Product Profile for a Diagnostic Assay to Differentiate between Bacterial and Non-Bacterial Infections and Reduce Antimicrobial Overuse in Resource-Limited Settings: An Expert Consensus","title-short":"Target Product Profile for a Diagnostic Assay to Differentiate between Bacterial and Non-Bacterial Infections and Reduce Antimicrobial Overuse in Resource-Limited Settings","volume":"11","author":[{"family":"Dittrich","given":"Sabine"},{"family":"Tadesse","given":"Birkneh Tilahun"},{"family":"Moussy","given":"Francis"},{"family":"Chua","given":"Arlene"},{"family":"Zorzet","given":"Anna"},{"family":"Tängdén","given":"Thomas"},{"family":"Dolinger","given":"David L."},{"family":"Page","given":"Anne-Laure"},{"family":"Crump","given":"John A."},{"family":"D’Acremont","given":"Valerie"},{"family":"Bassat","given":"Quique"},{"family":"Lubell","given":"Yoel"},{"family":"Newton","given":"Paul N."},{"family":"Heinrich","given":"Norbert"},{"family":"Rodwell","given":"Timothy J."},{"family":"González","given":"Iveth J."}],"editor":[{"family":"Yansouni","given":"Cedric"}],"issued":{"date-parts":[["2016",8,25]]}},"label":"page"},{"id":12070,"uris":["http://zotero.org/users/6216265/items/MER6KMER"],"itemData":{"id":12070,"type":"article-journal","abstract":"With increasing geographic spread, frequency, and magnitude of outbreaks, dengue continues to pose a major public health threat worldwide. Dengvaxia, a dengue live-attenuated tetravalent vaccine, was licensed in 2015, but post hoc analyses of long-term data showed serostatus-dependent vaccine performance with an excess risk of hospitalized and severe dengue in seronegative vaccine recipients. The World Health Organization (WHO) recommended that only persons with evidence of past dengue infection should receive the vaccine. A test for pre-vaccination screening for dengue serostatus is needed. To develop the target product profile (TPP) for a dengue pre-vaccination screening test, face-to-face consultative meetings were organized with follow-up regional consultations. A technical working group was formed to develop consensus on a reference test against which candidate pre-vaccination screening tests could be compared. The group also reviewed current diagnostic landscape and the need to accelerate the evaluation, regulatory approval, and policy development of tests that can identify seropositive individuals and maximize public health impact of vaccination while avoiding the risk of hospitalization in dengue-naive individuals. Pre-vaccination screening strategies will benefit from rapid diagnostic tests (RDTs) that are affordable, sensitive, and specific and can be used at the point of care (POC). The TPP described the minimum and ideal characteristics of a dengue pre-vaccination screening RDT with an emphasis on high specificity. The group also made suggestions for accelerating access to these RDTs through streamlining regulatory approval and policy development. Risk and benefit based on what can be achieved with RDTs meeting minimal and optimal characteristics in the TPP across a range of seroprevalences were defined. The final choice of RDTs in each country will depend on the performance of the RDT, dengue seroprevalence in the target population, tolerance of risk, and cost-effectiveness.","container-title":"PLOS Neglected Tropical Diseases","DOI":"10.1371/journal.pntd.0009557","ISSN":"1935-2735","issue":"7","journalAbbreviation":"PLoS Negl Trop Dis","language":"en","page":"e0009557","source":"DOI.org (Crossref)","title":"Target product profile for a dengue pre-vaccination screening test","volume":"15","author":[{"family":"Fongwen","given":"Noah"},{"family":"Wilder-Smith","given":"Annelise"},{"family":"Gubler","given":"Duane J."},{"family":"Ooi","given":"Eng Eong"},{"family":"T. Salvana","given":"Edsel Maurice"},{"family":"De Lamballerie","given":"Xavier"},{"family":"Olliaro","given":"Piero L."},{"family":"Peeling","given":"Rosanna W."}],"editor":[{"family":"Gawarammana","given":"Indika"}],"issued":{"date-parts":[["2021",7,29]]}},"label":"page"},{"id":12074,"uris":["http://zotero.org/users/6216265/items/HAXEQ5CJ"],"itemData":{"id":12074,"type":"article-journal","container-title":"PLOS ONE","DOI":"10.1371/journal.pone.0200531","ISSN":"1932-6203","issue":"8","journalAbbreviation":"PLoS ONE","language":"en","page":"e0200531","source":"DOI.org (Crossref)","title":"Matching diagnostics development to clinical need: Target product profile development for a point of care test for community-acquired lower respiratory tract infection","title-short":"Matching diagnostics development to clinical need","volume":"13","author":[{"family":"Gal","given":"Micaela"},{"family":"Francis","given":"Nicholas A."},{"family":"Hood","given":"Kerenza"},{"family":"Villacian","given":"Jorge"},{"family":"Goossens","given":"Herman"},{"family":"Watkins","given":"Angela"},{"family":"Butler","given":"Christopher C."},{"literal":"the RAPP-ID consortium"}],"editor":[{"family":"Gupta","given":"Vineet"}],"issued":{"date-parts":[["2018",8,1]]}},"label":"page"},{"id":12076,"uris":["http://zotero.org/users/6216265/items/FMDTP3AR"],"itemData":{"id":12076,"type":"article-journal","container-title":"Pulmonology","DOI":"10.1016/j.rppnen.2017.12.002","ISSN":"25310437","issue":"2","journalAbbreviation":"Pulmonology","language":"en","page":"73-85","source":"DOI.org (Crossref)","title":"Point of care diagnostics for tuberculosis","volume":"24","author":[{"family":"García-Basteiro","given":"A.L."},{"family":"DiNardo","given":"A."},{"family":"Saavedra","given":"B."},{"family":"Silva","given":"D.R."},{"family":"Palmero","given":"D."},{"family":"Gegia","given":"M."},{"family":"Migliori","given":"G.B."},{"family":"Duarte","given":"R."},{"family":"Mambuque","given":"E."},{"family":"Centis","given":"R."},{"family":"Cuevas","given":"L.E."},{"family":"Izco","given":"S."},{"family":"Theron","given":"G."}],"issued":{"date-parts":[["2018",3]]}},"label":"page"},{"id":12082,"uris":["http://zotero.org/users/6216265/items/KYH6Z94A"],"itemData":{"id":12082,"type":"article-journal","abstract":"COVID-19 pandemic will continue to pose a major public health threat until vaccination-mediated herd immunity is achieved. Most projections predict vaccines will reach a large subset of the population late in 2021 or early 2022. In the meantime, countries are exploring options to remove strict lockdown measures and allow society and the economy to return to normal function. One possibility is to expand on existing COVID-19 testing strategies by including large-scale rapid point-of-care diagnostic tests (POCTs). Currently, there is significant variability in performance and features of available POCTs, making selection and procurement of an appropriate test for specific use case difficult. In this review, we have used the World Health Organization’s (WHO) recently published target product profiles (TPPs) for specific use cases of COVID-19 diagnostic tests to screen for top-performing POCTs on the market. Several POCTs, based on clinical sensitivity/specificity, the limit of detection, and time to results, which meet WHO TPP criteria for direct detection of SARS-CoV-2 (acute infection) or indirect diagnosis of past infection (host antibodies), are highlighted here.","container-title":"Diagnostics","DOI":"10.3390/diagnostics11010115","ISSN":"2075-4418","issue":"1","journalAbbreviation":"Diagnostics","language":"en","page":"115","source":"DOI.org (Crossref)","title":"COVID-19 Point-of-Care Diagnostics That Satisfy Global Target Product Profiles","volume":"11","author":[{"family":"Ghaffari","given":"Abdi"},{"family":"Meurant","given":"Robyn"},{"family":"Ardakani","given":"Ali"}],"issued":{"date-parts":[["2021",1,12]]}},"label":"page"},{"id":12102,"uris":["http://zotero.org/users/6216265/items/B3LLWKPE"],"itemData":{"id":12102,"type":"article-journal","container-title":"PLOS ONE","DOI":"10.1371/journal.pone.0228311","ISSN":"1932-6203","issue":"1","journalAbbreviation":"PLoS ONE","language":"en","page":"e0228311","source":"DOI.org (Crossref)","title":"Target Product Profile for a mobile app to read rapid diagnostic tests to strengthen infectious disease surveillance","volume":"15","author":[{"family":"Kadam","given":"Rigveda"},{"family":"White","given":"Wallace"},{"family":"Banks","given":"Nicholas"},{"family":"Katz","given":"Zachary"},{"family":"Dittrich","given":"Sabine"},{"family":"Kelly-Cirino","given":"Cassandra"}],"editor":[{"family":"Yansouni","given":"Cedric"}],"issued":{"date-parts":[["2020",1,29]]}},"label":"page"},{"id":12126,"uris":["http://zotero.org/users/6216265/items/LPRXPBBN"],"itemData":{"id":12126,"type":"article-journal","abstract":"Introduction\n              Typhoid fever is one of the most common bacterial causes of acute febrile illness in the developing world, with an estimated 10.9 million new cases and 116.8 thousand deaths in 2017. Typhoid point-of-care (POC) diagnostic tests are widely used but have poor sensitivity and specificity, resulting in antibiotic overuse that has led to the emergence and spread of multidrug-resistant strains. With recent advances in typhoid surveillance and detection, this is the ideal time to produce a target product profile (TPP) that guides product development and ensure that a next-generation test meets the needs of users in the resource-limited settings where typhoid is endemic.\n            \n            \n              Methods\n              A structured literature review was conducted to develop a draft TPP for a next-generation typhoid diagnostic test with minimal and optimal desired characteristics for 36 test parameters. The TPP was refined using feedback collected from a Delphi survey of key stakeholders in clinical medicine, microbiology, diagnostics and public and global health.\n            \n            \n              Results\n              \n                A next-generation typhoid diagnostic test should improve patient management through the diagnosis and treatment of infection with acute\n                Salmonella enterica\n                serovars Typhi or Paratyphi with a sensitivity ≥90% and specificity ≥95%. The test would ideally be used at the lowest level of the healthcare system in settings without a reliable power or water supply and provide results in &lt;15 min at a cost of &lt;US$1.00.\n              \n            \n            \n              Conclusion\n              This report outlines the first comprehensive TPP for typhoid fever and is intended to guide the development of a next-generation typhoid diagnostic test. An accurate POC test will reduce the morbidity and mortality of typhoid fever through rapid diagnosis and treatment and will have the greatest impact in reducing antimicrobial resistance if it is combined with diagnostics for other causes of acute febrile illness in a treatment algorithm.","container-title":"BMJ Global Health","DOI":"10.1136/bmjgh-2019-001831","ISSN":"2059-7908","issue":"5","journalAbbreviation":"BMJ Glob Health","language":"en","page":"e001831","source":"DOI.org (Crossref)","title":"Redefining typhoid diagnosis: what would an improved test need to look like?","title-short":"Redefining typhoid diagnosis","volume":"4","author":[{"family":"Mather","given":"Richard G"},{"family":"Hopkins","given":"Heidi"},{"family":"Parry","given":"Christopher M"},{"family":"Dittrich","given":"Sabine"}],"issued":{"date-parts":[["2019",10]]}},"label":"page"},{"id":12143,"uris":["http://zotero.org/users/6216265/items/GX745N4X"],"itemData":{"id":12143,"type":"article-journal","container-title":"PLOS ONE","DOI":"10.1371/journal.pone.0204347","ISSN":"1932-6203","issue":"9","journalAbbreviation":"PLoS ONE","language":"en","page":"e0204347","source":"DOI.org (Crossref)","title":"Molecular assays for antimalarial drug resistance surveillance: A target product profile","title-short":"Molecular assays for antimalarial drug resistance surveillance","volume":"13","author":[{"family":"Nsanzabana","given":"Christian"},{"family":"Ariey","given":"Frederic"},{"family":"Beck","given":"Hans-Peter"},{"family":"Ding","given":"Xavier C."},{"family":"Kamau","given":"Edwin"},{"family":"Krishna","given":"Sanjeev"},{"family":"Legrand","given":"Eric"},{"family":"Lucchi","given":"Naomi"},{"family":"Miotto","given":"Olivo"},{"family":"Nag","given":"Sidsel"},{"family":"Noedl","given":"Harald"},{"family":"Roper","given":"Cally"},{"family":"Rosenthal","given":"Philip J."},{"family":"Schallig","given":"Henk D. F. H."},{"family":"Taylor","given":"Steve M."},{"family":"Volkman","given":"Sarah K."},{"family":"Gonzalez","given":"Iveth J."}],"editor":[{"family":"Huijben","given":"Silvie"}],"issued":{"date-parts":[["2018",9,20]]}},"label":"page"},{"id":12158,"uris":["http://zotero.org/users/6216265/items/GPYXURV9"],"itemData":{"id":12158,"type":"article-journal","container-title":"PLOS Neglected Tropical Diseases","DOI":"10.1371/journal.pntd.0003697","ISSN":"1935-2735","issue":"6","journalAbbreviation":"PLoS Negl Trop Dis","language":"en","page":"e0003697","source":"DOI.org (Crossref)","title":"Target Product Profile (TPP) for Chagas Disease Point-of-Care Diagnosis and Assessment of Response to Treatment","volume":"9","author":[{"family":"Porrás","given":"Analía I."},{"family":"Yadon","given":"Zaida E."},{"family":"Altcheh","given":"Jaime"},{"family":"Britto","given":"Constança"},{"family":"Chaves","given":"Gabriela C."},{"family":"Flevaud","given":"Laurence"},{"family":"Martins-Filho","given":"Olindo Assis"},{"family":"Ribeiro","given":"Isabela"},{"family":"Schijman","given":"Alejandro G."},{"family":"Shikanai-Yasuda","given":"Maria Aparecida"},{"family":"Sosa-Estani","given":"Sergio"},{"family":"Stobbaerts","given":"Eric"},{"family":"Zicker","given":"Fabio"}],"editor":[{"family":"Debrabant","given":"Alain"}],"issued":{"date-parts":[["2015",6,4]]}},"label":"page"},{"id":12160,"uris":["http://zotero.org/users/6216265/items/3DQVTJXA"],"itemData":{"id":12160,"type":"article-journal","container-title":"Infectious Diseases of Poverty","DOI":"10.1186/s40249-017-0336-9","ISSN":"2049-9957","issue":"1","journalAbbreviation":"Infect Dis Poverty","language":"en","page":"122","source":"DOI.org (Crossref)","title":"Developing a comprehensive response for treatment of children under 6 years of age with schistosomiasis: research and development of a pediatric formulation of praziquantel","title-short":"Developing a comprehensive response for treatment of children under 6 years of age with schistosomiasis","volume":"6","author":[{"family":"Reinhard-Rupp","given":"Jutta"},{"family":"Klohe","given":"Katharina"}],"issued":{"date-parts":[["2017",12]]}},"label":"page"},{"id":12193,"uris":["http://zotero.org/users/6216265/items/5GMM8YEM"],"itemData":{"id":12193,"type":"article-journal","abstract":"Paracetamol (acetaminophen) overdose is one of the most common causes of acute liver injury in the Western world. To improve patient care and reduce pressure on already stretched health care providers new biomarkers are needed that identify or exclude liver injury soon after an overdose of paracetamol is ingested. This review highlights the current state of paracetamol poisoning management and how novel biomarkers could improve patient care and save healthcare providers money. Based on the widely used concept of defining a target product profile, a target biomarker profile is proposed that identifies\n              desirable\n              and\n              acceptable\n              key properties for a biomarker in development to enable the improved treatment of this patient population. The current biomarker candidates, with improved hepatic specificity and based on the fundamental mechanistic basis of paracetamol‐induced liver injury, are reviewed and their performance compared with our target profile.","container-title":"British Journal of Clinical Pharmacology","DOI":"10.1111/bcp.12699","ISSN":"0306-5251, 1365-2125","issue":"3","journalAbbreviation":"Brit J Clinical Pharma","language":"en","page":"351-362","source":"DOI.org (Crossref)","title":"Target biomarker profile for the clinical management of paracetamol overdose","volume":"80","author":[{"family":"Vliegenthart","given":"A. D. Bastiaan"},{"family":"Antoine","given":"Daniel J."},{"family":"Dear","given":"James W."}],"issued":{"date-parts":[["2015",9]]}},"label":"page"}],"schema":"https://github.com/citation-style-language/schema/raw/master/csl-citation.json"} </w:instrText>
            </w:r>
            <w:r>
              <w:fldChar w:fldCharType="separate"/>
            </w:r>
            <w:r w:rsidR="00C94C08" w:rsidRPr="00C94C08">
              <w:rPr>
                <w:rFonts w:ascii="Calibri" w:hAnsi="Calibri" w:cs="Calibri"/>
                <w:szCs w:val="24"/>
              </w:rPr>
              <w:t>(199–209,218,233,235,238,239,241,243,244,262,274,283,294,295,317,326,327,331,333)</w:t>
            </w:r>
            <w:r>
              <w:fldChar w:fldCharType="end"/>
            </w:r>
          </w:p>
        </w:tc>
      </w:tr>
      <w:tr w:rsidR="00AA466E" w14:paraId="08FEB3B4" w14:textId="77777777" w:rsidTr="00E666ED">
        <w:tc>
          <w:tcPr>
            <w:tcW w:w="1260" w:type="dxa"/>
            <w:vMerge/>
            <w:vAlign w:val="center"/>
          </w:tcPr>
          <w:p w14:paraId="570FCEB5" w14:textId="77777777" w:rsidR="005F76A9" w:rsidRDefault="005F76A9" w:rsidP="00106C2C">
            <w:pPr>
              <w:spacing w:line="276" w:lineRule="auto"/>
            </w:pPr>
          </w:p>
        </w:tc>
        <w:tc>
          <w:tcPr>
            <w:tcW w:w="2790" w:type="dxa"/>
            <w:vAlign w:val="center"/>
          </w:tcPr>
          <w:p w14:paraId="1479CEB3" w14:textId="2690B53F" w:rsidR="005F76A9" w:rsidRDefault="005F76A9" w:rsidP="00106C2C">
            <w:pPr>
              <w:spacing w:line="276" w:lineRule="auto"/>
            </w:pPr>
            <w:r>
              <w:t>Vaccines</w:t>
            </w:r>
          </w:p>
        </w:tc>
        <w:tc>
          <w:tcPr>
            <w:tcW w:w="5017" w:type="dxa"/>
            <w:vAlign w:val="center"/>
          </w:tcPr>
          <w:p w14:paraId="1FFB5BD5" w14:textId="58A679BF" w:rsidR="005F76A9" w:rsidRDefault="005F76A9" w:rsidP="00C94C08">
            <w:pPr>
              <w:spacing w:line="276" w:lineRule="auto"/>
            </w:pPr>
            <w:r>
              <w:fldChar w:fldCharType="begin"/>
            </w:r>
            <w:r w:rsidR="00C94C08">
              <w:instrText xml:space="preserve"> ADDIN ZOTERO_ITEM CSL_CITATION {"citationID":"dmuKfhZr","properties":{"formattedCitation":"(242,256,264,271,278,298,311,329)","plainCitation":"(242,256,264,271,278,298,311,329)","noteIndex":0},"citationItems":[{"id":12072,"uris":["http://zotero.org/users/6216265/items/BAFT5843"],"itemData":{"id":12072,"type":"article-journal","container-title":"Frontiers in Pharmacology","DOI":"10.3389/fphar.2020.00937","ISSN":"1663-9812","journalAbbreviation":"Front. Pharmacol.","page":"937","source":"DOI.org (Crossref)","title":"A Snapshot of the Global Race for Vaccines Targeting SARS-CoV-2 and the COVID-19 Pandemic","volume":"11","author":[{"family":"Funk","given":"Colin D."},{"family":"Laferrière","given":"Craig"},{"family":"Ardakani","given":"Ali"}],"issued":{"date-parts":[["2020",6,19]]}},"label":"page"},{"id":12097,"uris":["http://zotero.org/users/6216265/items/26EN5NPI"],"itemData":{"id":12097,"type":"article-journal","container-title":"Pharmaceutical Research","DOI":"10.1007/s11095-013-1096-2","ISSN":"0724-8741, 1573-904X","issue":"11","journalAbbreviation":"Pharm Res","language":"en","page":"2772-2784","source":"DOI.org (Crossref)","title":"Engineering of an Inhalable DDA/TDB Liposomal Adjuvant: A Quality-by-Design Approach Towards Optimization of the Spray Drying Process","title-short":"Engineering of an Inhalable DDA/TDB Liposomal Adjuvant","volume":"30","author":[{"family":"Ingvarsson","given":"Pall Thor"},{"family":"Yang","given":"Mingshi"},{"family":"Mulvad","given":"Helle"},{"family":"Nielsen","given":"Hanne Mørck"},{"family":"Rantanen","given":"Jukka"},{"family":"Foged","given":"Camilla"}],"issued":{"date-parts":[["2013",11]]}},"label":"page"},{"id":12105,"uris":["http://zotero.org/users/6216265/items/V8UCA6A2"],"itemData":{"id":12105,"type":"article-journal","container-title":"Expert Review of Vaccines","DOI":"10.1586/14760584.2016.1158650","ISSN":"1476-0584, 1744-8395","issue":"8","journalAbbreviation":"Expert Review of Vaccines","language":"en","page":"1029-1040","source":"DOI.org (Crossref)","title":"Alternative administration routes and delivery technologies for polio vaccines","volume":"15","author":[{"family":"Kraan","given":"Heleen"},{"family":"Van Der Stel","given":"Wanda"},{"family":"Kersten","given":"Gideon"},{"family":"Amorij","given":"Jean-Pierre"}],"issued":{"date-parts":[["2016",8,2]]}},"label":"page"},{"id":12120,"uris":["http://zotero.org/users/6216265/items/6FGREADD"],"itemData":{"id":12120,"type":"article-journal","abstract":"The development of vaccines against one or all forms of human leishmaniasis remains hampered by a paucity of investment, at least in part resulting from the lack of well-evidenced and agreed estimates of vaccine demand. Starting from the definition of 4 main use cases (prevention of visceral leishmaniasis, prevention of cutaneous leishmaniasis, prevention of post-kala-azar dermal leishmaniasis and treatment of post-kala-azar dermal leishmaniasis), we have estimated the size of each target population, focusing on those endemic countries where incidence levels are sufficiently high to justify decisions to adopt a vaccine. We assumed a dual vaccine delivery strategy, including a wide age-range catch-up campaign before the start of routine immunisation. Vaccine characteristics and delivery parameters reflective of a target product profile and the likely duration of the clinical development effort were considered in forecasting the demand for each of the four indications. Over a period of 10 years, this demand is forecasted to range from 300–830 million doses for a vaccine preventing visceral leishmaniasis and 557–1400 million doses for a vaccine preventing cutaneous leishmaniasis under the different scenarios we simulated. In a scenario with an effective prophylactic visceral leishmaniasis vaccine, demand for use to prevent or treat post-kala-azar dermal leishmaniasis would be more limited (over the 10 years ~160,000 doses for prevention and ~7,000 doses for treatment). Demand would rise to exceed 330,000 doses, however, in the absence of an effective vaccine for visceral leishmaniasis. Because of the sizeable demand and potential for public health impact, a single-indication prophylactic vaccine for visceral or cutaneous leishmaniasis, and even more so a cross-protective prophylactic vaccine could attract the interest of commercial developers. Continuous refinement of these first-of-their kind estimates and confirmation of country willingness and ability to pay will be paramount to inform the decisions of policy makers and developers in relation to a leishmaniasis vaccine. Positive decisions can provide a much-needed contribution towards the achievement of global leishmaniasis control.","container-title":"PLOS Neglected Tropical Diseases","DOI":"10.1371/journal.pntd.0009742","ISSN":"1935-2735","issue":"9","journalAbbreviation":"PLoS Negl Trop Dis","language":"en","page":"e0009742","source":"DOI.org (Crossref)","title":"Human leishmaniasis vaccines: Use cases, target population and potential global demand","title-short":"Human leishmaniasis vaccines","volume":"15","author":[{"family":"Malvolti","given":"Stefano"},{"family":"Malhame","given":"Melissa"},{"family":"Mantel","given":"Carsten F."},{"family":"Le Rutte","given":"Epke A."},{"family":"Kaye","given":"Paul M."}],"editor":[{"family":"Laouini","given":"Dhafer"}],"issued":{"date-parts":[["2021",9,21]]}},"label":"page"},{"id":12131,"uris":["http://zotero.org/users/6216265/items/9IKQU6PU"],"itemData":{"id":12131,"type":"article-journal","container-title":"Vaccine","DOI":"10.1016/j.vaccine.2015.12.032","ISSN":"0264410X","issue":"8","journalAbbreviation":"Vaccine","language":"en","page":"995-1001","source":"DOI.org (Crossref)","title":"Workshop report: Schistosomiasis vaccine clinical development and product characteristics","title-short":"Workshop report","volume":"34","author":[{"family":"Mo","given":"Annie X."},{"family":"Colley","given":"Daniel G."}],"issued":{"date-parts":[["2016",2]]}},"label":"page"},{"id":12132,"uris":["http://zotero.org/users/6216265/items/KVXDIG9U"],"itemData":{"id":12132,"type":"article-journal","container-title":"Vaccine: X","DOI":"10.1016/j.jvacx.2020.100060","ISSN":"25901362","journalAbbreviation":"Vaccine: X","language":"en","page":"100060","source":"DOI.org (Crossref)","title":"Theoretical risk of genetic reassortment should not impede development of live, attenuated Rift Valley fever (RVF) vaccines commentary on the draft WHO RVF Target Product Profile","volume":"5","author":[{"family":"Monath","given":"Thomas P."},{"family":"Kortekaas","given":"Jeroen"},{"family":"Watts","given":"Douglas M."},{"family":"Christofferson","given":"Rebecca C."},{"family":"Desiree LaBeaud","given":"Angelle"},{"family":"Gowen","given":"Brian B"},{"family":"Peters","given":"Clarence J."},{"family":"Smith","given":"Darci R."},{"family":"Swanepoel","given":"Robert"},{"family":"Morrill","given":"John C."},{"family":"Ksiazek","given":"Thomas G."},{"family":"Pittman","given":"Phillip R"},{"family":"Nichol","given":"Stuart T."},{"family":"Bird","given":"Brian H."},{"family":"Bettinger","given":"George"}],"issued":{"date-parts":[["2020",8]]}},"label":"page"},{"id":12166,"uris":["http://zotero.org/users/6216265/items/4CXDQAGY"],"itemData":{"id":12166,"type":"article-journal","container-title":"Vaccine","DOI":"10.1016/j.vaccine.2020.01.017","ISSN":"0264410X","issue":"26","journalAbbreviation":"Vaccine","language":"en","page":"4135-4141","source":"DOI.org (Crossref)","title":"Meeting report: WHO consultation on accelerating Lassa fever vaccine development in endemic countries, Dakar, 10–11 September 2019","title-short":"Meeting report","volume":"38","author":[{"family":"Salami","given":"Kolawole"},{"family":"Gsell","given":"Pierre-Stéphane"},{"family":"Olayinka","given":"Adebola"},{"family":"Maiga","given":"Diadie"},{"family":"Formenty","given":"Pierre"},{"family":"Smith","given":"Peter G."},{"family":"Moorthy","given":"Vasee"}],"issued":{"date-parts":[["2020",5]]}},"label":"page"},{"id":12118,"uris":["http://zotero.org/users/6216265/items/2L47LS78"],"itemData":{"id":12118,"type":"article-journal","container-title":"PLoS Medicine","DOI":"10.1371/journal.pmed.1000398","ISSN":"1549-1676","issue":"1","journalAbbreviation":"PLoS Med","language":"en","page":"e1000398","source":"DOI.org (Crossref)","title":"A Research Agenda for Malaria Eradication: Vaccines","title-short":"A Research Agenda for Malaria Eradication","volume":"8","author":[{"literal":"The malERA Consultative Group on Vaccines"}],"issued":{"date-parts":[["2011",1,25]]}},"label":"page"}],"schema":"https://github.com/citation-style-language/schema/raw/master/csl-citation.json"} </w:instrText>
            </w:r>
            <w:r>
              <w:fldChar w:fldCharType="separate"/>
            </w:r>
            <w:r w:rsidR="00C94C08" w:rsidRPr="00C94C08">
              <w:rPr>
                <w:rFonts w:ascii="Calibri" w:hAnsi="Calibri" w:cs="Calibri"/>
              </w:rPr>
              <w:t>(242,256,264,271,278,298,311,329)</w:t>
            </w:r>
            <w:r>
              <w:fldChar w:fldCharType="end"/>
            </w:r>
          </w:p>
        </w:tc>
      </w:tr>
      <w:tr w:rsidR="00AA466E" w14:paraId="3CC74A35" w14:textId="77777777" w:rsidTr="00E666ED">
        <w:tc>
          <w:tcPr>
            <w:tcW w:w="1260" w:type="dxa"/>
            <w:vMerge/>
            <w:vAlign w:val="center"/>
          </w:tcPr>
          <w:p w14:paraId="3432451B" w14:textId="77777777" w:rsidR="005F76A9" w:rsidRDefault="005F76A9" w:rsidP="00106C2C">
            <w:pPr>
              <w:spacing w:line="276" w:lineRule="auto"/>
            </w:pPr>
          </w:p>
        </w:tc>
        <w:tc>
          <w:tcPr>
            <w:tcW w:w="2790" w:type="dxa"/>
            <w:vAlign w:val="center"/>
          </w:tcPr>
          <w:p w14:paraId="0791F1DB" w14:textId="52CEFA11" w:rsidR="005F76A9" w:rsidRDefault="005F76A9" w:rsidP="00106C2C">
            <w:pPr>
              <w:spacing w:line="276" w:lineRule="auto"/>
            </w:pPr>
            <w:r>
              <w:t>Medical devices</w:t>
            </w:r>
          </w:p>
        </w:tc>
        <w:tc>
          <w:tcPr>
            <w:tcW w:w="5017" w:type="dxa"/>
            <w:vAlign w:val="center"/>
          </w:tcPr>
          <w:p w14:paraId="04F81842" w14:textId="7B06762A" w:rsidR="005F76A9" w:rsidRDefault="005F76A9" w:rsidP="00C94C08">
            <w:pPr>
              <w:spacing w:line="276" w:lineRule="auto"/>
            </w:pPr>
            <w:r>
              <w:fldChar w:fldCharType="begin"/>
            </w:r>
            <w:r w:rsidR="00C94C08">
              <w:instrText xml:space="preserve"> ADDIN ZOTERO_ITEM CSL_CITATION {"citationID":"qnvMZTb7","properties":{"formattedCitation":"(293,314,330)","plainCitation":"(293,314,330)","noteIndex":0},"citationItems":[{"id":12139,"uris":["http://zotero.org/users/6216265/items/MHGEWWPD"],"itemData":{"id":12139,"type":"article-journal","container-title":"Journal of Medical Engineering &amp; Technology","DOI":"10.1080/03091902.2021.1946181","ISSN":"0309-1902, 1464-522X","issue":"8","journalAbbreviation":"Journal of Medical Engineering &amp; Technology","language":"en","page":"642-655","source":"DOI.org (Crossref)","title":"Review of recent innovations in portable child growth measurement devices for use in low- and middle-income countries","volume":"45","author":[{"family":"Neale","given":"Geoffrey"},{"family":"Gaihre","given":"Santosh"},{"family":"O’Gorman","given":"Pearse"},{"family":"Price","given":"Ruth K."},{"family":"Balzategi","given":"Ane Galdos"},{"family":"Barrientos","given":"Catalina Herrera"},{"family":"Rawal","given":"Shweta"},{"family":"Morgan","given":"Margaret"},{"family":"McNulty","given":"Helene"}],"issued":{"date-parts":[["2021",11,17]]}}},{"id":12157,"uris":["http://zotero.org/users/6216265/items/3CXSQ86T"],"itemData":{"id":12157,"type":"article-journal","container-title":"European Journal of Pharmaceutical Sciences","DOI":"10.1016/j.ejps.2022.106275","ISSN":"09280987","journalAbbreviation":"European Journal of Pharmaceutical Sciences","language":"en","page":"106275","source":"DOI.org (Crossref)","title":"A quality by design approach for the qualification of automating compounding device for parenteral nutrition","volume":"179","author":[{"family":"Perrier","given":"Quentin"},{"family":"Piquemal","given":"Marie"},{"family":"Leenhardt","given":"Julien"},{"family":"Choisnard","given":"Luc"},{"family":"Mazet","given":"Roseline"},{"family":"Desruet","given":"Marie-Dominique"},{"family":"Durand","given":"Marjorie"},{"family":"Bedouch","given":"Pierrick"}],"issued":{"date-parts":[["2022",12]]}}},{"id":12188,"uris":["http://zotero.org/users/6216265/items/KBAXCF2E"],"itemData":{"id":12188,"type":"article-journal","abstract":"Abstract\n            \n              Introduction\n              Multi-parameter diagnostic devices can simplify cardiometabolic disease diagnosis. However, existing devices may not be suitable for use in low-resource settings, where the burden of non-communicable diseases is high. Here we describe the development of a target product profile (TPP) for a point-of-care multi-parameter device for detection of biomarkers for cardiovascular disease and metabolic disorders, including diabetes, in primary care settings in low- and middle-income countries (LMICs).\n            \n            \n              Methods\n              A draft TPP developed by an expert group was reviewed through an online survey and semi-structured expert interviews to identify device characteristics requiring refinement. The draft TPP included 41 characteristics with minimal and optimal requirements; characteristics with an agreement level for either requirement of ≤ 85% in either the survey or among interviewees were further discussed by the expert group and amended as appropriate.\n            \n            \n              Results\n              Twenty people responded to the online survey and 18 experts participated in the interviews. Twenty-two characteristics had an agreement level of ≤ 85% in either the online survey or interviews. The final TPP defines the device as intended to be used for basic diagnosis and management of cardiometabolic disorders (lipids, glucose, HbA1c, and creatinine) as minimal requirement, and offering an expanded test menu for wider cardiometabolic disease management as optimal requirement. To be suitable, the device should be intended for level 1 healthcare settings or lower, used by minimally trained healthcare workers and allow testing using self-contained cartridges or strips without the need for additional reagents. Throughput should be one sample at a time in a single or multi-analyte cartridge, or optimally enable testing of several samples and analytes in parallel with random access.\n            \n            \n              Conclusion\n              This TPP will inform developers of cardiometabolic multi-parameter devices for LMIC settings, and will support decision makers in the evaluation of existing and future devices.","container-title":"BMC Cardiovascular Disorders","DOI":"10.1186/s12872-021-02298-7","ISSN":"1471-2261","issue":"1","journalAbbreviation":"BMC Cardiovasc Disord","language":"en","page":"486","source":"DOI.org (Crossref)","title":"Development of a target product profile for a point-of-care cardiometabolic device","volume":"21","author":[{"family":"Vetter","given":"Beatrice"},{"family":"Beran","given":"David"},{"family":"Boulle","given":"Philippa"},{"family":"Chua","given":"Arlene"},{"family":"De La Tour","given":"Roberto"},{"family":"Hattingh","given":"Lucy"},{"family":"Perel","given":"Pablo"},{"family":"Roglic","given":"Gojka"},{"family":"Sampath","given":"Rangarajan"},{"family":"Woodman","given":"Michael"},{"family":"Perone","given":"Sigiriya Aebischer"}],"issued":{"date-parts":[["2021",12]]}},"label":"page"}],"schema":"https://github.com/citation-style-language/schema/raw/master/csl-citation.json"} </w:instrText>
            </w:r>
            <w:r>
              <w:fldChar w:fldCharType="separate"/>
            </w:r>
            <w:r w:rsidR="00C94C08" w:rsidRPr="00C94C08">
              <w:rPr>
                <w:rFonts w:ascii="Calibri" w:hAnsi="Calibri" w:cs="Calibri"/>
              </w:rPr>
              <w:t>(293,314,330)</w:t>
            </w:r>
            <w:r>
              <w:fldChar w:fldCharType="end"/>
            </w:r>
          </w:p>
        </w:tc>
      </w:tr>
      <w:tr w:rsidR="00AA466E" w14:paraId="1C685A99" w14:textId="77777777" w:rsidTr="00E666ED">
        <w:tc>
          <w:tcPr>
            <w:tcW w:w="1260" w:type="dxa"/>
            <w:vMerge/>
            <w:vAlign w:val="center"/>
          </w:tcPr>
          <w:p w14:paraId="2F2FB386" w14:textId="77777777" w:rsidR="005F76A9" w:rsidRDefault="005F76A9" w:rsidP="00106C2C">
            <w:pPr>
              <w:spacing w:line="276" w:lineRule="auto"/>
            </w:pPr>
          </w:p>
        </w:tc>
        <w:tc>
          <w:tcPr>
            <w:tcW w:w="2790" w:type="dxa"/>
            <w:vAlign w:val="center"/>
          </w:tcPr>
          <w:p w14:paraId="5406EF26" w14:textId="33845038" w:rsidR="005F76A9" w:rsidRDefault="005F76A9" w:rsidP="00106C2C">
            <w:pPr>
              <w:spacing w:line="276" w:lineRule="auto"/>
            </w:pPr>
            <w:r>
              <w:t>Other products (e.g., apps, technology, etc.)</w:t>
            </w:r>
          </w:p>
        </w:tc>
        <w:tc>
          <w:tcPr>
            <w:tcW w:w="5017" w:type="dxa"/>
            <w:vAlign w:val="center"/>
          </w:tcPr>
          <w:p w14:paraId="29116BFC" w14:textId="37EAE3BD" w:rsidR="005F76A9" w:rsidRDefault="005F76A9" w:rsidP="00106C2C">
            <w:pPr>
              <w:spacing w:line="276" w:lineRule="auto"/>
            </w:pPr>
            <w:r>
              <w:fldChar w:fldCharType="begin"/>
            </w:r>
            <w:r>
              <w:instrText xml:space="preserve"> ADDIN ZOTERO_ITEM CSL_CITATION {"citationID":"CTzwe6JF","properties":{"formattedCitation":"(21,25,27\\uc0\\u8211{}29,37,41,45,49,50,58,63,65,70,75,76,78,80,84,91,92,96,98,102,104\\uc0\\u8211{}109,115,118,120,122,123,128,129,132,137,141,144)","plainCitation":"(21,25,27–29,37,41,45,49,50,58,63,65,70,75,76,78,80,84,91,92,96,98,102,104–109,115,118,120,122,123,128,129,132,137,141,144)","dontUpdate":true,"noteIndex":0},"citationItems":[{"id":12023,"uris":["http://zotero.org/users/6216265/items/YFYAR9K4"],"itemData":{"id":12023,"type":"article-journal","container-title":"European Journal of Pharmaceutical Sciences","DOI":"10.1016/j.ejps.2016.01.003","ISSN":"09280987","journalAbbreviation":"European Journal of Pharmaceutical Sciences","language":"en","page":"92-102","source":"DOI.org (Crossref)","title":"Quality by design case study 1: Design of 5-fluorouracil loaded lipid nanoparticles by the W/O/W double emulsion — Solvent evaporation method","title-short":"Quality by design case study 1","volume":"84","author":[{"family":"Amasya","given":"Gulin"},{"family":"Badilli","given":"Ulya"},{"family":"Aksu","given":"Buket"},{"family":"Tarimci","given":"Nilufer"}],"issued":{"date-parts":[["2016",3]]}},"label":"page"},{"id":12027,"uris":["http://zotero.org/users/6216265/items/BRZJXFFJ"],"itemData":{"id":12027,"type":"article-journal","container-title":"International Journal of Pharmaceutics","DOI":"10.1016/j.ijpharm.2016.01.075","ISSN":"03785173","issue":"1-2","journalAbbreviation":"International Journal of Pharmaceutics","language":"en","page":"180-189","source":"DOI.org (Crossref)","title":"Self-assembly PEGylation assists SLN-paclitaxel delivery inducing cancer cell apoptosis upon internalization","volume":"501","author":[{"family":"Arranja","given":"Alexandra"},{"family":"Gouveia","given":"Luís F."},{"family":"Gener","given":"Petra"},{"family":"Rafael","given":"Diana F."},{"family":"Pereira","given":"Carolina"},{"family":"Schwartz","given":"Simó"},{"family":"Videira","given":"Mafalda A."}],"issued":{"date-parts":[["2016",3]]}},"label":"page"},{"id":12029,"uris":["http://zotero.org/users/6216265/items/STJ6NVD3"],"itemData":{"id":12029,"type":"article-journal","container-title":"Colloids and Surfaces B: Biointerfaces","DOI":"10.1016/j.colsurfb.2017.08.050","ISSN":"09277765","journalAbbreviation":"Colloids and Surfaces B: Biointerfaces","language":"en","page":"869-879","source":"DOI.org (Crossref)","title":"Formulation by design approach for development of ultrafine self-nanoemulsifying systems of rosuvastatin calcium containing long-chain lipophiles for hyperlipidemia management","volume":"159","author":[{"family":"Beg","given":"Sarwar"},{"family":"Katare","given":"O.P."},{"family":"Singh","given":"Bhupinder"}],"issued":{"date-parts":[["2017",11]]}}},{"id":12030,"uris":["http://zotero.org/users/6216265/items/CK8YSWR6"],"itemData":{"id":12030,"type":"article-journal","container-title":"Drug Development and Industrial Pharmacy","DOI":"10.1080/03639045.2017.1395459","ISSN":"0363-9045, 1520-5762","issue":"3","journalAbbreviation":"Drug Development and Industrial Pharmacy","language":"en","page":"407-420","source":"DOI.org (Crossref)","title":"QbD-driven development and evaluation of nanostructured lipid carriers (NLCs) of Olmesartan medoxomil employing multivariate statistical techniques","volume":"44","author":[{"family":"Beg","given":"Sarwar"},{"family":"Saini","given":"Sumant"},{"family":"Bandopadhyay","given":"Shantanu"},{"family":"Katare","given":"O. P."},{"family":"Singh","given":"Bhupinder"}],"issued":{"date-parts":[["2018",3,4]]}}},{"id":12032,"uris":["http://zotero.org/users/6216265/items/2D395RHX"],"itemData":{"id":12032,"type":"article-journal","container-title":"Drug Delivery","DOI":"10.3109/10717544.2014.900154","ISSN":"1071-7544, 1521-0464","issue":"6","journalAbbreviation":"Drug Delivery","language":"en","page":"765-784","source":"DOI.org (Crossref)","title":"QbD-based systematic development of novel optimized solid self-nanoemulsifying drug delivery systems (SNEDDS) of lovastatin with enhanced biopharmaceutical performance","volume":"22","author":[{"family":"Beg","given":"Sarwar"},{"family":"Sandhu","given":"Premjeet Singh"},{"family":"Batra","given":"Rattandeep Singh"},{"family":"Khurana","given":"Rajneet Kaur"},{"family":"Singh","given":"Bhupinder"}],"issued":{"date-parts":[["2015",8,18]]}},"label":"page"},{"id":12045,"uris":["http://zotero.org/users/6216265/items/HWKPZCV2"],"itemData":{"id":12045,"type":"article-journal","abstract":"Significance\n            \n              Genetic systems for controlling transmission of vector-borne diseases are moving from discovery-stage demonstrations of proofs-of-principle to the next phases of development. A successful transition requires meeting safety and efficacy criteria defined in target product profiles. We show here that the Cas9/guide RNA-based gene-drive components of a genetically-engineered malaria mosquito vector,\n              Anopheles gambiae\n              , achieve key target product profile requirements for efficacy and performance. This system is designed to achieve mosquito population modification when coupled with genes encoding antiparasite effector molecules and result in stable and sustainable blocking of malaria parasite transmission.\n            \n          , \n            \n              A Cas9/guide RNA-based gene drive strain, AgNosCd-1, was developed to deliver antiparasite effector molecules to the malaria vector mosquito,\n              Anopheles gambiae\n              . The drive system targets the\n              cardinal\n              gene ortholog producing a red-eye phenotype. Drive can achieve 98 to 100% in both sexes and full introduction was observed in small cage trials within 6 to 10 generations following a single release of gene-drive males. No genetic load resulting from the integrated transgenes impaired drive performance in the trials. Potential drive-resistant target-site alleles arise at a frequency &lt;0.1, and five of the most prevalent polymorphisms in the guide RNA target site in collections of colonized and wild-derived African mosquitoes do not prevent cleavage in vitro by the Cas9/guide RNA complex. Only one predicted off-target site is cleavable in vitro, with negligible deletions observed in vivo. AgNosCd-1 meets key performance criteria of a target product profile and can be a valuable component of a field-ready strain for mosquito population modification to control malaria transmission.","container-title":"Proceedings of the National Academy of Sciences","DOI":"10.1073/pnas.2010214117","ISSN":"0027-8424, 1091-6490","issue":"37","journalAbbreviation":"Proc. Natl. Acad. Sci. U.S.A.","language":"en","page":"22805-22814","source":"DOI.org (Crossref)","title":"Next-generation gene drive for population modification of the malaria vector mosquito, &lt;i&gt;Anopheles gambiae&lt;/i&gt;","volume":"117","author":[{"family":"Carballar-Lejarazú","given":"Rebeca"},{"family":"Ogaugwu","given":"Christian"},{"family":"Tushar","given":"Taylor"},{"family":"Kelsey","given":"Adam"},{"family":"Pham","given":"Thai Binh"},{"family":"Murphy","given":"Jazmin"},{"family":"Schmidt","given":"Hanno"},{"family":"Lee","given":"Yoosook"},{"family":"Lanzaro","given":"Gregory C."},{"family":"James","given":"Anthony A."}],"issued":{"date-parts":[["2020",9,15]]}},"label":"page"},{"id":12052,"uris":["http://zotero.org/users/6216265/items/3XKN2KVA"],"itemData":{"id":12052,"type":"article-journal","container-title":"Drug Development and Industrial Pharmacy","DOI":"10.3109/03639045.2016.1160108","ISSN":"0363-9045, 1520-5762","issue":"10","journalAbbreviation":"Drug Development and Industrial Pharmacy","language":"en","page":"1643-1652","source":"DOI.org (Crossref)","title":"Quality by design approach for development of suspension nasal spray products: a case study on budesonide nasal suspension","title-short":"Quality by design approach for development of suspension nasal spray products","volume":"42","author":[{"family":"Chudiwal","given":"Swapnil Sharadkumar"},{"family":"Dehghan","given":"Mohamed Hassan G."}],"issued":{"date-parts":[["2016",10,2]]}},"label":"page"},{"id":12056,"uris":["http://zotero.org/users/6216265/items/8KBTRW8U"],"itemData":{"id":12056,"type":"article-journal","container-title":"International Journal of Pharmaceutics","DOI":"10.1016/j.ijpharm.2015.04.038","ISSN":"03785173","issue":"1-2","journalAbbreviation":"International Journal of Pharmaceutics","language":"en","page":"58-72","source":"DOI.org (Crossref)","title":"Implementation of quality by design principles in the development of microsponges as drug delivery carriers: Identification and optimization of critical factors using multivariate statistical analyses and design of experiments studies","title-short":"Implementation of quality by design principles in the development of microsponges as drug delivery carriers","volume":"489","author":[{"family":"Crcarevska","given":"Maja"},{"family":"Dimitrovska","given":"Aneta"},{"family":"Sibinovska","given":"Nadica"},{"family":"Mladenovska","given":"Kristina"},{"family":"Slavevska Raicki","given":"Renata"},{"family":"Glavas Dodov","given":"Marija"}],"issued":{"date-parts":[["2015",7]]}},"label":"page"},{"id":12063,"uris":["http://zotero.org/users/6216265/items/UA5H37QU"],"itemData":{"id":12063,"type":"article-journal","container-title":"AAPS PharmSciTech","DOI":"10.1208/s12249-021-02132-5","ISSN":"1530-9932","issue":"7","journalAbbreviation":"AAPS PharmSciTech","language":"en","page":"244","source":"DOI.org (Crossref)","title":"Development and Optimization of Asenapine Sublingual Film Using QbD Approach","volume":"22","author":[{"family":"Dalal","given":"Rahil"},{"family":"Shah","given":"Jigar"},{"family":"Gorain","given":"Bapi"},{"family":"Choudhury","given":"Hira"},{"family":"Jacob","given":"Shery"},{"family":"Mehta","given":"Tejal A."},{"family":"Shah","given":"Hiral"},{"family":"Nair","given":"Anroop B."}],"issued":{"date-parts":[["2021",10]]}},"label":"page"},{"id":12064,"uris":["http://zotero.org/users/6216265/items/7YUHUR53"],"itemData":{"id":12064,"type":"article-journal","container-title":"International Journal of Pharmaceutics","DOI":"10.1016/j.ijpharm.2019.118717","ISSN":"03785173","journalAbbreviation":"International Journal of Pharmaceutics","language":"en","page":"118717","source":"DOI.org (Crossref)","title":"Quality by design approach for the preparation of fat-soluble vitamins lipid injectable emulsion","volume":"571","author":[{"family":"Deng","given":"Yanping"},{"family":"Zhong","given":"Guifeng"},{"family":"Wang","given":"Yi"},{"family":"Wang","given":"Ni"},{"family":"Yu","given":"Qing"},{"family":"Yu","given":"Xiangbin"}],"issued":{"date-parts":[["2019",11]]}},"label":"page"},{"id":12078,"uris":["http://zotero.org/users/6216265/items/CQ3LBGY7"],"itemData":{"id":12078,"type":"article-journal","container-title":"Colloids and Surfaces B: Biointerfaces","DOI":"10.1016/j.colsurfb.2016.02.012","ISSN":"09277765","journalAbbreviation":"Colloids and Surfaces B: Biointerfaces","language":"en","page":"611-622","source":"DOI.org (Crossref)","title":"Systematic development of solid self-nanoemulsifying oily formulations (S-SNEOFs) for enhancing the oral bioavailability and intestinal lymphatic uptake of lopinavir","volume":"141","author":[{"family":"Garg","given":"Babita"},{"family":"Katare","given":"O.P."},{"family":"Beg","given":"Sarwar"},{"family":"Lohan","given":"Shikha"},{"family":"Singh","given":"Bhupinder"}],"issued":{"date-parts":[["2016",5]]}},"label":"page"},{"id":12086,"uris":["http://zotero.org/users/6216265/items/GQ25699G"],"itemData":{"id":12086,"type":"article-journal","container-title":"Drug Delivery and Translational Research","DOI":"10.1007/s13346-021-01083-5","ISSN":"2190-393X, 2190-3948","issue":"7","journalAbbreviation":"Drug Deliv. and Transl. Res.","language":"en","page":"1753-1773","source":"DOI.org (Crossref)","title":"Development of ritonavir-loaded nanostructured lipid carriers employing quality by design (QbD) as a tool: characterizations, permeability, and bioavailability studies","title-short":"Development of ritonavir-loaded nanostructured lipid carriers employing quality by design (QbD) as a tool","volume":"12","author":[{"family":"Gurumukhi","given":"Vishal C."},{"family":"Bari","given":"Sanjaykumar B."}],"issued":{"date-parts":[["2022",7]]}},"label":"page"},{"id":12089,"uris":["http://zotero.org/users/6216265/items/8GSLRBZA"],"itemData":{"id":12089,"type":"article-journal","container-title":"European Journal of Pharmaceutical Sciences","DOI":"10.1016/j.ejps.2017.01.006","ISSN":"09280987","journalAbbreviation":"European Journal of Pharmaceutical Sciences","language":"en","page":"249-261","source":"DOI.org (Crossref)","title":"A quality by design (QbD) study on enoxaparin sodium loaded polymeric microspheres for colon-specific delivery","volume":"100","author":[{"family":"Hales","given":"Dana"},{"family":"Vlase","given":"Laurian"},{"family":"Porav","given":"Sebastian Alin"},{"family":"Bodoki","given":"Andreea"},{"family":"Barbu-Tudoran","given":"Lucian"},{"family":"Achim","given":"Marcela"},{"family":"Tomuță","given":"Ioan"}],"issued":{"date-parts":[["2017",3]]}},"label":"page"},{"id":12096,"uris":["http://zotero.org/users/6216265/items/RUU3J8PP"],"itemData":{"id":12096,"type":"article-journal","container-title":"European Journal of Pharmaceutical Sciences","DOI":"10.1016/j.ejps.2020.105588","ISSN":"09280987","journalAbbreviation":"European Journal of Pharmaceutical Sciences","language":"en","page":"105588","source":"DOI.org (Crossref)","title":"Development of solid lipid microparticles by melt-emulsification/spray-drying processes as carriers for pulmonary drug delivery","volume":"156","author":[{"family":"Ignjatović","given":"Jelisaveta"},{"family":"Đuriš","given":"Jelena"},{"family":"Cvijić","given":"Sandra"},{"family":"Dobričić","given":"Vladimir"},{"family":"Montepietra","given":"Agnese"},{"family":"Lombardi","given":"Chiara"},{"family":"Ibrić","given":"Svetlana"},{"family":"Rossi","given":"Alessandra"}],"issued":{"date-parts":[["2021",1]]}},"label":"page"},{"id":12100,"uris":["http://zotero.org/users/6216265/items/26BEY4TK"],"itemData":{"id":12100,"type":"article-journal","container-title":"AAPS PharmSciTech","DOI":"10.1208/s12249-018-0951-1","ISSN":"1530-9932","issue":"3","journalAbbreviation":"AAPS PharmSciTech","language":"en","page":"1377-1391","source":"DOI.org (Crossref)","title":"Risk Assessment Integrated QbD Approach for Development of Optimized Bicontinuous Mucoadhesive Limicubes for Oral Delivery of Rosuvastatin","volume":"19","author":[{"family":"Javed","given":"Md Noushad"},{"family":"Kohli","given":"Kanchan"},{"family":"Amin","given":"Saima"}],"issued":{"date-parts":[["2018",4]]}},"label":"page"},{"id":12101,"uris":["http://zotero.org/users/6216265/items/BTDD4883"],"itemData":{"id":12101,"type":"article-journal","abstract":"Background:\n              This study is focused on preparing rifampicin-loaded bovine serum albumin nanoparticles\n(RIF BSA NPs) suitable for intravenous application using systematic quality by design\n(QbD) approach.\n            \n            \n              Aim:\n              Rifampicin is one of the first-line drugs used for tuberculosis therapy. The therapy\nlasts for a long time. Thus, there is a need to develop a sustained release formulation of rifampicin\nfor intravenous application.\n            \n            \n              Objectives:\n              The main objective of this study is optimizing particle size and entrapment efficiency\nof rifampicin-loaded bovine serum albumin nanoparticles (RIF BSA NPs) and making them suitable\nfor intravenous application using QbD approach.\n            \n            \n              Methods:\n              Quality target product profile was defined along with critical quality attributes (CQAs)\nfor the formulation. 32 factorial design was used for achieving the predetermined values of CQAs,\ni.e., mean particle size &lt;200 nm and percent entrapment efficiency&gt;50%. Incubation time of drug\nwith colloidal albumin solution and ratio of rifampicin to albumin, were selected as independent\nvariables. Checkpoint analysis was performed to confirm the suitability of the regression model for\noptimization.\n            \n            \n              Results: :\n              The optimized RIF BSA NPs were characterized by FTIR, DSC, 1H NMR techniques. The\nNPs observed by transmission electron microscopy were spherical in shape. The rifampicin release\ncould be sustained for 72 hours from BSA NPs matrix. RIF BSA NPs dispersion was stable at 5 ±\n3°C for 72 hours. Non-toxicity of nanoparticles to RAW 264.7 cell line was proved by MTT assay.\n            \n            \n              Conclusion:\n              Development of RIF BSA NPs with desired quality attributes was possible by implementing\nthe QbD approach. The optimized formulation suitable for intravenous application can potentially\nimprove the therapeutic benefits of rifampicin.","container-title":"Current Drug Delivery","DOI":"10.2174/1567201818666210212090451","ISSN":"15672018","issue":"9","journalAbbreviation":"CDD","language":"en","page":"1338-1351","source":"DOI.org (Crossref)","title":"Quality by Design Approach for Development and Optimization of Rifampicin Loaded Bovine Serum Albumin Nanoparticles and Characterization","volume":"18","author":[{"family":"Joshi","given":"Monica"},{"family":"Yadav","given":"Khushwant S."},{"family":"Prabhakar","given":"Bala"}],"issued":{"date-parts":[["2021",12,30]]}},"label":"page"},{"id":12104,"uris":["http://zotero.org/users/6216265/items/L5N6G2Q5"],"itemData":{"id":12104,"type":"article-journal","abstract":"Objective:\n              The present study reports the use of MicrofluidizerTM technology to form a stable\nnanosuspension of atovaquone (ATQ) using quality by design (QbD) approach.\n            \n            \n              Methods:\n              The patient-centric quality target product profile and critical quality attributes (CQAs) were\nidentified. A Box-Behnken design was employed for the optimization of dependent variables, while\nCQAs like particle size and PDI were evaluated as response variables. Effective optimization of ATQ\nnanosuspension preparation using Microfluidizer processor as a novel green technology was achieved\nusing QbD approach.\n            \n            \n              Result:\n              The prepared nanosuspension had a mean particle size of 865 nm ± 5%, PDI of 0.261 ± 3%, and\nzeta potential of -1.79 ± 5 mV. The characterization of the prepared nanosuspension by SEM, DSC, and\nXRD revealed its nano-crystalline nature whereas FTIR spectroscopic analysis confirmed the absence\nof any physicochemical interaction because of process parameters between the drug and excipients.\n            \n            \n              Conclusion:\n              In vitro dissolution studies of the nanosuspension using USP-IV exhibited a 100% cumulative\ndrug release over 90 minutes, which is significantly better than that of ATQ pure API. In vivo\npharmacokinetic studies revealed bioequivalence of ATQ nanosuspensions by Microfluidizer homogenization\nprocess to the marketed formulation1.","container-title":"Current Drug Delivery","DOI":"10.2174/1567201817666191227095019","ISSN":"15672018","issue":"2","journalAbbreviation":"CDD","language":"en","page":"112-125","source":"DOI.org (Crossref)","title":"Development of Atovaquone Nanosuspension: Quality by Design Approach","title-short":"Development of Atovaquone Nanosuspension","volume":"17","author":[{"family":"Kakade","given":"Pratik"},{"family":"Gite","given":"Sandip"},{"family":"Patravale","given":"Vandana"}],"issued":{"date-parts":[["2020",3,12]]}},"label":"page"},{"id":12107,"uris":["http://zotero.org/users/6216265/items/32PGGJI8"],"itemData":{"id":12107,"type":"article-journal","abstract":"The purpose of this study was to develop a resveratrol nanosuspension with enhanced oral bioavailability, based on an understanding of the formulation and process parameters of nanosuspensions and using a quality by design (QbD) approach. Particularly, the antisolvent method, which requires no solvent removal and no heating, is newly applied to prepare resveratrol nanosuspension. To ensure the quality of the resveratrol nanosuspensions, a quality target product profile (QTPP) was defined. The particle size (z-average, d90), zeta potential, and drug content parameters affecting the QTPP were selected as critical quality attributes (CQAs). The optimum composition obtained using a 3-factor, 3-level Box–Behnken design was as follows: polyvinylpyrrolidone vinyl acetate (10 mg/mL), polyvinylpyrrolidone K12 (5 mg/mL), sodium lauryl sulfate (1 mg/mL), and diethylene glycol monoethyl ether (DEGEE, 5% v/v) at a resveratrol concentration of 5 mg/mL. The initial particle size (z-average) was 46.3 nm and the zeta potential was −38.02 mV. The robustness of the antisolvent process using the optimized composition conditions was ensured by a full factorial design. The dissolution rate of the optimized resveratrol nanosuspension was significantly greater than that of the resveratrol raw material. An in vivo pharmacokinetic study in rats showed that the area under the plasma concentration versus time curve (AUC0–12h) and the maximum plasma concentration (Cmax) respectively, than those of the resveratrol raw material. Therefore, the prepara values of the resveratrol nanosuspension were approximately 1.6- and 5.7-fold higher,tion of a resveratrol nanosuspension using the QbD approach may be an effective strategy for the development of a new dosage form of resveratrol, with enhanced oral bioavailability.","container-title":"Pharmaceutics","DOI":"10.3390/pharmaceutics11120688","ISSN":"1999-4923","issue":"12","journalAbbreviation":"Pharmaceutics","language":"en","page":"688","source":"DOI.org (Crossref)","title":"Development of a Resveratrol Nanosuspension Using the Antisolvent Precipitation Method without Solvent Removal, Based on a Quality by Design (QbD) Approach","volume":"11","author":[{"family":"Kuk","given":"Do-Hoon"},{"family":"Ha","given":"Eun-Sol"},{"family":"Ha","given":"Dong-Hyun"},{"family":"Sim","given":"Woo-Yong"},{"family":"Lee","given":"Seon-Kwang"},{"family":"Jeong","given":"Ji-Su"},{"family":"Kim","given":"Jeong-Soo"},{"family":"Baek","given":"In-hwan"},{"family":"Park","given":"Heejun"},{"family":"Choi","given":"Du Hyung"},{"family":"Yoo","given":"Jin-Wook"},{"family":"Jeong","given":"Seong Hoon"},{"family":"Hwang","given":"Sung-Joo"},{"family":"Kim","given":"Min-Soo"}],"issued":{"date-parts":[["2019",12,17]]}},"label":"page"},{"id":12114,"uris":["http://zotero.org/users/6216265/items/DUJADISB"],"itemData":{"id":12114,"type":"article-journal","abstract":"RNA interference (RNAi) has an unprecedented potential as a therapeutic strategy for reversibly silencing the expression of any gene. Therapeutic delivery of the RNAi mediator, i.e., small interfering RNA (siRNA), can be used to address diseases characterized by gene overexpression, for example inflammatory conditions like chronic obstructive pulmonary disease (COPD). Macrophages play a key role in COPD pathogenesis and are recruited to the airways and lung parenchyma, where they release proinflammatory cytokines, e.g., tumor necrosis factor-alpha (TNF-α). Hence, targeting TNF-α with siRNA is a promising therapeutic approach for COPD management. However, a safe and effective delivery system is required for delivery of TNF-α siRNA into the cytosol of hard-to-transfect macrophages. The purpose of this study was to optimize the intracellular delivery of TNF-α siRNA to the lipopolysaccharide-activated murine macrophage cell line RAW 264.7 using lipidoid-polymer hybrid nanoparticles (LPNs) composed of the lipid-like transfection agent lipidoid 5 (L\n              5\n              ) and the biodegradable polymer poly (\n              D,L\n              -lactide-co-glycolide). Applying a quality-by-design approach, the influence of critical formulation variables, i.e., the L\n              5\n              content and the L\n              5\n              :siRNA ratio (w/w), on critical quality attributes (CQAs) was investigated systematically using risk assessment and design of experiments, followed by delineation of an optimal operating space (OOS). The CQAs were identified based on the quality target product profile and included size, polydispersity index, zeta potential, encapsulation efficiency and loading for achieving efficient and safe TNF-α gene silencing in activated RAW 264.7 cells. Formulations inducing efficient gene silencing and low cytotoxicity were identified, and the optimal formulations displayed L\n              5\n              contents of 15 and 20% (w/w), respectively, and an L\n              5\n              :siRNA weight ratio of 15:1. All tested formulations within the OOS mediated efficient and sequence-specific TNF-α gene silencing in RAW 264.7 cells at TNF-α-siRNA concentrations, which were significantly lower than the concentrations required of non-encapsulated TNF-α-siRNA, highlighting the benefit of the delivery system. The results also demonstrate that increasing the loading of siRNA into the delivery system does not necessarily imply enhanced gene silencing. This opens new avenues for further exploitation of LPNs as a robust platform technology for delivering TNF-α siRNA to macrophages, e.g., in the management of COPD.","container-title":"Frontiers in Bioengineering and Biotechnology","DOI":"10.3389/fbioe.2020.601155","ISSN":"2296-4185","journalAbbreviation":"Front. Bioeng. Biotechnol.","page":"601155","source":"DOI.org (Crossref)","title":"Optimizing the Intracellular Delivery of Therapeutic Anti-inflammatory TNF-α siRNA to Activated Macrophages Using Lipidoid-Polymer Hybrid Nanoparticles","volume":"8","author":[{"family":"Lokras","given":"Abhijeet"},{"family":"Thakur","given":"Aneesh"},{"family":"Wadhwa","given":"Abishek"},{"family":"Thanki","given":"Kaushik"},{"family":"Franzyk","given":"Henrik"},{"family":"Foged","given":"Camilla"}],"issued":{"date-parts":[["2021",1,14]]}},"label":"page"},{"id":12128,"uris":["http://zotero.org/users/6216265/items/TIL2DIZ4"],"itemData":{"id":12128,"type":"article-journal","container-title":"Current Drug Delivery","DOI":"10.2174/1567201813666160325131831","ISSN":"15672018","issue":"8","journalAbbreviation":"CDD","language":"en","page":"1247-1260","source":"DOI.org (Crossref)","title":"Quality by Design Applied to Ocular Solid Lipid Nanoparticles Containing a Hydrophilic Peptide Prepared via Hot High Pressure Homogeniser","volume":"13","author":[{"family":"Mercuri","given":"Annalisa Mercuri"}],"issued":{"date-parts":[["2016",11,8]]}},"label":"page"},{"id":12129,"uris":["http://zotero.org/users/6216265/items/XBGYP2J5"],"itemData":{"id":12129,"type":"article-journal","container-title":"Drug Delivery and Translational Research","DOI":"10.1007/s13346-016-0315-x","ISSN":"2190-393X, 2190-3948","issue":"5","journalAbbreviation":"Drug Deliv. and Transl. Res.","language":"en","page":"579-596","source":"DOI.org (Crossref)","title":"Risk-based approach for systematic development of gastroretentive drug delivery system","volume":"6","author":[{"family":"Mirani","given":"A. G."},{"family":"Patankar","given":"S. P."},{"family":"Kadam","given":"V. J."}],"issued":{"date-parts":[["2016",10]]}},"label":"page"},{"id":12133,"uris":["http://zotero.org/users/6216265/items/YBBY2S55"],"itemData":{"id":12133,"type":"article-journal","container-title":"AAPS PharmSciTech","DOI":"10.1208/s12249-020-01678-0","ISSN":"1530-9932","issue":"4","journalAbbreviation":"AAPS PharmSciTech","language":"en","page":"127","source":"DOI.org (Crossref)","title":"Quality Risk Management and Quality by Design for the Development of Diclofenac Sodium Intra-articular Gelatin Microspheres","volume":"21","author":[{"family":"Nakas","given":"Alexandros"},{"family":"Dalatsi","given":"Athanasia M."},{"family":"Kapourani","given":"Afroditi"},{"family":"Kontogiannopoulos","given":"Konstantinos N."},{"family":"Assimopoulou","given":"Andreana N."},{"family":"Barmpalexis","given":"Panagiotis"}],"issued":{"date-parts":[["2020",5]]}},"label":"page"},{"id":12137,"uris":["http://zotero.org/users/6216265/items/MM5WP88P"],"itemData":{"id":12137,"type":"article-journal","abstract":"The purpose of this study was to apply the Quality by Design (QbD) approach to the electrospinning of fibres loaded with the nonsteroidal anti-inflammatory drugs (NSAIDs) indomethacin (INDO) and diclofenac sodium (DICLO). A Quality Target Product Profile (QTPP) was made, and risk assessments (preliminary hazard analysis) were conducted to identify the impact of material attributes and process parameters on the critical quality attributes (CQAs) of the fibres. A full factorial design of experiments (DoE) of 20 runs was built, which was used to carry out experiments. The following factors were assessed: Drugs, voltage, flow rate, and the distance between the processing needle and collector. Release studies exhibited INDO fibres had greater total release of active drug compared to DICLO fibres. Voltage and distance were found to be the most significant factors of the experiment. Multivariate statistical analytical software helped to build six feasible design spaces and two flexible, universal design spaces for both drugs, at distances of 5 cm and 12.5 cm, along with a flexible control strategy. The current findings and their analysis confirm that QbD is a viable and invaluable tool to enhance product and process understanding of electrospinning for the assurance of high-quality fibres.","container-title":"Pharmaceutics","DOI":"10.3390/pharmaceutics12010002","ISSN":"1999-4923","issue":"1","journalAbbreviation":"Pharmaceutics","language":"en","page":"2","source":"DOI.org (Crossref)","title":"Quality by Design Micro-Engineering Optimisation of NSAID-Loaded Electrospun Fibrous Patches","volume":"12","author":[{"family":"Nazari","given":"Kazem"},{"family":"Mehta","given":"Prina"},{"family":"Arshad","given":"Muhammad Sohail"},{"family":"Ahmed","given":"Shahabuddin"},{"family":"Andriotis","given":"Eleftherios G."},{"family":"Singh","given":"Neenu"},{"family":"Qutachi","given":"Omar"},{"family":"Chang","given":"Ming-Wei"},{"family":"Fatouros","given":"Dimitrios G."},{"family":"Ahmad","given":"Zeeshan"}],"issued":{"date-parts":[["2019",12,18]]}},"label":"page"},{"id":12145,"uris":["http://zotero.org/users/6216265/items/2E5LC9UZ"],"itemData":{"id":12145,"type":"article-journal","container-title":"Drug Development and Industrial Pharmacy","DOI":"10.1080/03639045.2017.1414233","ISSN":"0363-9045, 1520-5762","issue":"5","journalAbbreviation":"Drug Development and Industrial Pharmacy","language":"en","page":"837-848","source":"DOI.org (Crossref)","title":"Quality-by-design approach for the development of telmisartan potassium tablets","volume":"44","author":[{"family":"Oh","given":"Ga-Hui"},{"family":"Park","given":"Jin-Hyun"},{"family":"Shin","given":"Hye-Won"},{"family":"Kim","given":"Joo-Eun"},{"family":"Park","given":"Young-Joon"}],"issued":{"date-parts":[["2018",5,4]]}},"label":"page"},{"id":12147,"uris":["http://zotero.org/users/6216265/items/VDE4I2FT"],"itemData":{"id":12147,"type":"article-journal","container-title":"International Journal of Pharmaceutics","DOI":"10.1016/j.ijpharm.2019.03.021","ISSN":"03785173","journalAbbreviation":"International Journal of Pharmaceutics","language":"en","page":"11-22","source":"DOI.org (Crossref)","title":"Application of the QbD-based approach in the early development of liposomes for nasal administration","volume":"562","author":[{"family":"Pallagi","given":"Edina"},{"family":"Jójárt-Laczkovich","given":"Orsolya"},{"family":"Németh","given":"Zsófia"},{"family":"Szabó-Révész","given":"Piroska"},{"family":"Csóka","given":"Ildikó"}],"issued":{"date-parts":[["2019",5]]}},"label":"page"},{"id":12149,"uris":["http://zotero.org/users/6216265/items/QCK4CS2L"],"itemData":{"id":12149,"type":"article-journal","container-title":"AAPS PharmSciTech","DOI":"10.1208/s12249-016-0590-3","ISSN":"1530-9932","issue":"4","journalAbbreviation":"AAPS PharmSciTech","language":"en","page":"1213-1227","source":"DOI.org (Crossref)","title":"Quality by Design Empowered Development and Optimisation of Time-Controlled Pulsatile Release Platform Formulation Employing Compression Coating Technology","volume":"18","author":[{"family":"Patadia","given":"Riddhish"},{"family":"Vora","given":"Chintan"},{"family":"Mittal","given":"Karan"},{"family":"Mashru","given":"Rajashree C."}],"issued":{"date-parts":[["2017",5]]}},"label":"page"},{"id":12150,"uris":["http://zotero.org/users/6216265/items/SK7JLVQR"],"itemData":{"id":12150,"type":"article-journal","container-title":"European Journal of Pharmaceutical Sciences","DOI":"10.1016/j.ejps.2016.08.057","ISSN":"09280987","journalAbbreviation":"European Journal of Pharmaceutical Sciences","language":"en","page":"50-61","source":"DOI.org (Crossref)","title":"QbD based development of proliposome of lopinavir for improved oral bioavailability","volume":"108","author":[{"family":"Patel","given":"Grishma M."},{"family":"Shelat","given":"Pragna K."},{"family":"Lalwani","given":"Anita N."}],"issued":{"date-parts":[["2017",10]]}}},{"id":12151,"uris":["http://zotero.org/users/6216265/items/C26MV2TU"],"itemData":{"id":12151,"type":"article-journal","container-title":"International Journal of Pharmaceutics","DOI":"10.1016/j.ijpharm.2021.120474","ISSN":"03785173","journalAbbreviation":"International Journal of Pharmaceutics","language":"en","page":"120474","source":"DOI.org (Crossref)","title":"Nose to brain delivery of tailored clozapine nanosuspension stabilized using (+)-alpha-tocopherol polyethylene glycol 1000 succinate: Optimization and in vivo pharmacokinetic studies","title-short":"Nose to brain delivery of tailored clozapine nanosuspension stabilized using (+)-alpha-tocopherol polyethylene glycol 1000 succinate","volume":"600","author":[{"family":"Patel","given":"Hetal P."},{"family":"Chaudhari","given":"Priyanka S."},{"family":"Gandhi","given":"Priyanshi A."},{"family":"Desai","given":"Bhargavi V."},{"family":"Desai","given":"Ditixa T."},{"family":"Dedhiya","given":"Praful P."},{"family":"Vyas","given":"Bhavin A."},{"family":"Maulvi","given":"Furqan A."}],"issued":{"date-parts":[["2021",5]]}}},{"id":12152,"uris":["http://zotero.org/users/6216265/items/Y3289IFT"],"itemData":{"id":12152,"type":"article-journal","container-title":"Recent Patents on Drug Delivery &amp; Formulation","DOI":"10.2174/1872211310666160709193540","ISSN":"18722113","issue":"3","journalAbbreviation":"DDF","language":"en","page":"192-206","source":"DOI.org (Crossref)","title":"Quality by Design (QbD) Approach for Development of Co-Processed Excipient Pellets (MOMLETS) By Extrusion-Spheronization Technique","volume":"10","author":[{"family":"Patel","given":"Hetal"},{"family":"Patel","given":"Kishan"},{"family":"Tiwari","given":"Sanjay"},{"family":"Pandey","given":"Sonia"},{"family":"Shah","given":"Shailesh"},{"family":"Gohel","given":"Mukesh"}],"issued":{"date-parts":[["2016",12,7]]}},"label":"page"},{"id":12153,"uris":["http://zotero.org/users/6216265/items/4ZVJE4YB"],"itemData":{"id":12153,"type":"article-journal","abstract":"Health workers in low-resource settings often lack the support and tools to follow evidence-based clinical recommendations for diagnosing, treating and managing sick patients. Digital technologies, by combining patient health information and point-of-care diagnostics with evidence-based clinical protocols, can help improve the quality of care and the rational use of resources, and save patient lives. A growing number of electronic clinical decision support algorithms (CDSAs) on mobile devices are being developed and piloted without evidence of safety or impact. Here, we present a target product profile (TPP) for CDSAs aimed at guiding preventive or curative consultations in low-resource settings. This document will help align developer and implementer processes and product specifications with the needs of end users, in terms of quality, safety, performance and operational functionality. To identify the characteristics of CDSAs, a multidisciplinary group of experts (academia, industry and policy makers) with expertise in diagnostic and CDSA development and implementation in low-income and middle-income countries were convened to discuss a draft TPP. The TPP was finalised through a Delphi process to facilitate consensus building. An agreement greater than 75% was reached for all 40 TPP characteristics. In general, experts were in overwhelming agreement that, given that CDSAs provide patient management recommendations, the underlying clinical algorithms should be human-interpretable and evidence-based. Whenever possible, the algorithm’s patient management output should take into account pretest disease probabilities and likelihood ratios of clinical and diagnostic predictors. In addition, validation processes should at a minimum show that CDSAs are implementing faithfully the evidence they are based on, and ideally the impact on patient health outcomes. In terms of operational needs, CDSAs should be designed to fit within clinic workflows and function in connectivity-challenged and high-volume settings. Data collected through the tool should conform to local patient privacy regulations and international data standards.","container-title":"BMJ Global Health","DOI":"10.1136/bmjgh-2019-002067","ISSN":"2059-7908","issue":"2","journalAbbreviation":"BMJ Glob Health","language":"en","page":"e002067","source":"DOI.org (Crossref)","title":"Electronic clinical decision support algorithms incorporating point-of-care diagnostic tests in low-resource settings: a target product profile","title-short":"Electronic clinical decision support algorithms incorporating point-of-care diagnostic tests in low-resource settings","volume":"5","author":[{"family":"Pellé","given":"Karell G"},{"family":"Rambaud-Althaus","given":"Clotilde"},{"family":"D'Acremont","given":"Valérie"},{"family":"Moran","given":"Gretchen"},{"family":"Sampath","given":"Rangarajan"},{"family":"Katz","given":"Zachary"},{"family":"Moussy","given":"Francis G"},{"family":"Mehl","given":"Garrett Livingston"},{"family":"Dittrich","given":"Sabine"}],"issued":{"date-parts":[["2020",2]]}},"label":"page"},{"id":12165,"uris":["http://zotero.org/users/6216265/items/U9NFSWUE"],"itemData":{"id":12165,"type":"article-journal","container-title":"Pharmaceutical Development and Technology","DOI":"10.1080/10837450.2020.1839496","ISSN":"1083-7450, 1097-9867","issue":"1","journalAbbreviation":"Pharmaceutical Development and Technology","language":"en","page":"101-109","source":"DOI.org (Crossref)","title":"Profiling gene expression dynamics underpinning conventional testing approaches to better inform pre-clinical evaluation of an age appropriate spironolactone formulation","volume":"26","author":[{"family":"Russell","given":"Craig"},{"family":"Hussain","given":"Majad"},{"family":"Huen","given":"David"},{"family":"Rahman","given":"Ayesha S."},{"family":"Mohammed","given":"Afzal R."}],"issued":{"date-parts":[["2021",1,2]]}},"label":"page"},{"id":12169,"uris":["http://zotero.org/users/6216265/items/IED5CQAX"],"itemData":{"id":12169,"type":"article-journal","container-title":"International Journal of Pharmaceutics","DOI":"10.1016/j.ijpharm.2018.06.052","ISSN":"03785173","issue":"1","journalAbbreviation":"International Journal of Pharmaceutics","language":"en","page":"385-399","source":"DOI.org (Crossref)","title":"A practical framework for implementing Quality by Design to the development of topical drug products: Nanosystem-based dosage forms","title-short":"A practical framework for implementing Quality by Design to the development of topical drug products","volume":"548","author":[{"family":"Simões","given":"Ana"},{"family":"Veiga","given":"Francisco"},{"family":"Figueiras","given":"Ana"},{"family":"Vitorino","given":"Carla"}],"issued":{"date-parts":[["2018",9]]}},"label":"page"},{"id":12171,"uris":["http://zotero.org/users/6216265/items/6DMVZ944"],"itemData":{"id":12171,"type":"article-journal","container-title":"AAPS PharmSciTech","DOI":"10.1208/s12249-015-0367-0","ISSN":"1530-9932","issue":"2","journalAbbreviation":"AAPS PharmSciTech","language":"en","page":"454-465","source":"DOI.org (Crossref)","title":"QbD-Enabled Development of Novel Stimuli-Responsive Gastroretentive Systems of Acyclovir for Improved Patient Compliance and Biopharmaceutical Performance","volume":"17","author":[{"family":"Singh","given":"Bhupinder"},{"family":"Kaur","given":"Anterpreet"},{"family":"Dhiman","given":"Shashi"},{"family":"Garg","given":"Babita"},{"family":"Khurana","given":"Rajneet Kaur"},{"family":"Beg","given":"Sarwar"}],"issued":{"date-parts":[["2016",4]]}},"label":"page"},{"id":12174,"uris":["http://zotero.org/users/6216265/items/VW2MMZZC"],"itemData":{"id":12174,"type":"article-journal","abstract":"Effective surveillance of Aedes aegypti (Linnaeus, Diptera: Culicidae) is critical to monitoring the impact of vector control measures when mitigating disease transmission by this species. There are benefits to deploying male-specific traps, particularly when a high level of catch-specificity is desired. Here, the rationale behind the developmental process of an entirely new trap which uses a sound lure to capture male Ae. aegypti, the male Aedes sound trap (MAST), is presented as a target product profile with findings from developmental trials of key trap components and performance. Trial results suggest that the presence of a black base associated with the trap influenced male catches as did variations in size of this base, to a degree. Trap entrance shape didn’t influence catch rates, but entrance size did. No significant differences in catch rates were found when sound lures were set to intermittent or continuous playbacks, at volumes between 63–74 dB or frequencies of 450 Hz compared to 500 Hz. Additionally, adult males aged 3 days post-eclosion, were less responsive to sound lures set to 500 Hz than those 4 or 6 days old. Lastly, almost no males were caught when the MAST directly faced continual winds of 1.5 ms−1, but males were captured at low rates during intermittent winds, or if the trap faced away from the wind. The developmental process to optimising this trap is applicable to the development of alternate mosquito traps beyond Aedes sound traps and provides useful information towards the improved surveillance of these disease vectors.","container-title":"Insects","DOI":"10.3390/insects12050388","ISSN":"2075-4450","issue":"5","journalAbbreviation":"Insects","language":"en","page":"388","source":"DOI.org (Crossref)","title":"Designing Aedes (Diptera: Culicidae) Mosquito Traps: The Evolution of the Male Aedes Sound Trap by Iterative Evaluation","title-short":"Designing Aedes (Diptera","volume":"12","author":[{"family":"Staunton","given":"Kyran M."},{"family":"Liu","given":"Jianyi"},{"family":"Townsend","given":"Michael"},{"family":"Desnoyer","given":"Mark"},{"family":"Howell","given":"Paul"},{"family":"Crawford","given":"Jacob E."},{"family":"Xiang","given":"Wei"},{"family":"Snoad","given":"Nigel"},{"family":"Burkot","given":"Thomas R."},{"family":"Ritchie","given":"Scott A."}],"issued":{"date-parts":[["2021",4,27]]}},"label":"page"},{"id":12176,"uris":["http://zotero.org/users/6216265/items/VKCQZ8EL"],"itemData":{"id":12176,"type":"article-journal","container-title":"The International Journal of Tuberculosis and Lung Disease","DOI":"10.5588/ijtld.17.0486","ISSN":"1027-3719","issue":"2","journalAbbreviation":"int j tuberc lung dis","language":"en","page":"125-132","source":"DOI.org (Crossref)","title":"Long-acting formulations for the treatment of latent tuberculous infection: opportunities and challenges","title-short":"Long-acting formulations for the treatment of latent tuberculous infection","volume":"22","author":[{"family":"Swindells","given":"S."},{"family":"Siccardi","given":"M."},{"family":"Barrett","given":"S. E."},{"family":"Olsen","given":"D. B."},{"family":"Grobler","given":"J. A."},{"family":"Podany","given":"A. T."},{"family":"Nuermberger","given":"E."},{"family":"Kim","given":"P."},{"family":"Barry","given":"C. E."},{"family":"Owen","given":"A."},{"family":"Hazuda","given":"D."},{"family":"Flexner","given":"C."}],"issued":{"date-parts":[["2018",2,1]]}},"label":"page"},{"id":12182,"uris":["http://zotero.org/users/6216265/items/WZVWGRQZ"],"itemData":{"id":12182,"type":"article-journal","container-title":"Pharmaceutical Research","DOI":"10.1007/s11095-018-2566-3","ISSN":"0724-8741, 1573-904X","issue":"3","journalAbbreviation":"Pharm Res","language":"en","page":"37","source":"DOI.org (Crossref)","title":"Application of a Quality-By-Design Approach to Optimise Lipid-Polymer Hybrid Nanoparticles Loaded with a Splice-Correction Antisense Oligonucleotide: Maximising Loading and Intracellular Delivery","title-short":"Application of a Quality-By-Design Approach to Optimise Lipid-Polymer Hybrid Nanoparticles Loaded with a Splice-Correction Antisense Oligonucleotide","volume":"36","author":[{"family":"Thanki","given":"Kaushik"},{"family":"Papai","given":"Simon"},{"family":"Lokras","given":"Abhijeet"},{"family":"Rose","given":"Fabrice"},{"family":"Falkenberg","given":"Emily"},{"family":"Franzyk","given":"Henrik"},{"family":"Foged","given":"Camilla"}],"issued":{"date-parts":[["2019",3]]}}},{"id":12183,"uris":["http://zotero.org/users/6216265/items/RH7A282D"],"itemData":{"id":12183,"type":"article-journal","container-title":"European Journal of Pharmaceutics and Biopharmaceutics","DOI":"10.1016/j.ejpb.2017.07.014","ISSN":"09396411","journalAbbreviation":"European Journal of Pharmaceutics and Biopharmaceutics","language":"en","page":"22-33","source":"DOI.org (Crossref)","title":"Engineering of small interfering RNA-loaded lipidoid-poly( DL -lactic-co-glycolic acid) hybrid nanoparticles for highly efficient and safe gene silencing: A quality by design-based approach","title-short":"Engineering of small interfering RNA-loaded lipidoid-poly( DL -lactic-co-glycolic acid) hybrid nanoparticles for highly efficient and safe gene silencing","volume":"120","author":[{"family":"Thanki","given":"Kaushik"},{"family":"Zeng","given":"Xianghui"},{"family":"Justesen","given":"Sarah"},{"family":"Tejlmann","given":"Sarah"},{"family":"Falkenberg","given":"Emily"},{"family":"Van Driessche","given":"Elize"},{"family":"Mørck Nielsen","given":"Hanne"},{"family":"Franzyk","given":"Henrik"},{"family":"Foged","given":"Camilla"}],"issued":{"date-parts":[["2017",11]]}},"label":"page"},{"id":12185,"uris":["http://zotero.org/users/6216265/items/P7NUXAN8"],"itemData":{"id":12185,"type":"article-journal","container-title":"Drug Development and Industrial Pharmacy","DOI":"10.1080/03639045.2020.1717515","ISSN":"0363-9045, 1520-5762","issue":"2","journalAbbreviation":"Drug Development and Industrial Pharmacy","language":"en","page":"296-308","source":"DOI.org (Crossref)","title":"Development of an emulgel for the treatment of rosacea using quality by design approach","volume":"46","author":[{"family":"Torregrosa","given":"Annibal"},{"family":"Ochoa-Andrade","given":"Ana Teresa"},{"family":"Parente","given":"María Emma"},{"family":"Vidarte","given":"Ana"},{"family":"Guarinoni","given":"Giovanna"},{"family":"Savio","given":"Eduardo"}],"issued":{"date-parts":[["2020",2,1]]}},"label":"page"},{"id":12194,"uris":["http://zotero.org/users/6216265/items/6X5JL89X"],"itemData":{"id":12194,"type":"article-journal","container-title":"International Journal of Pharmaceutics","DOI":"10.1016/j.ijpharm.2013.07.043","ISSN":"03785173","issue":"1-2","journalAbbreviation":"International Journal of Pharmaceutics","language":"en","page":"169-181","source":"DOI.org (Crossref)","title":"Risk based approach for design and optimization of stomach specific delivery of rifampicin","volume":"455","author":[{"family":"Vora","given":"Chintan"},{"family":"Patadia","given":"Riddhish"},{"family":"Mittal","given":"Karan"},{"family":"Mashru","given":"Rajashree"}],"issued":{"date-parts":[["2013",10]]}},"label":"page"},{"id":12200,"uris":["http://zotero.org/users/6216265/items/IHCSNCX5"],"itemData":{"id":12200,"type":"article-journal","container-title":"European Journal of Pharmaceutical Sciences","DOI":"10.1016/j.ejps.2022.106280","ISSN":"09280987","journalAbbreviation":"European Journal of Pharmaceutical Sciences","language":"en","page":"106280","source":"DOI.org (Crossref)","title":"Structured approach for designing drug-loaded solid products by binder jetting 3D printing","volume":"178","author":[{"family":"Wang","given":"Yingya"},{"family":"Müllertz","given":"Anette"},{"family":"Rantanen","given":"Jukka"}],"issued":{"date-parts":[["2022",11]]}},"label":"page"},{"id":12205,"uris":["http://zotero.org/users/6216265/items/FITMSFXY"],"itemData":{"id":12205,"type":"article-journal","container-title":"International Journal of Nanomedicine","DOI":"10.2147/IJN.S102945","ISSN":"1178-2013","journalAbbreviation":"IJN","language":"en","page":"1501","source":"DOI.org (Crossref)","title":"Nicotinamide polymeric nanoemulsified systems: a quality-by-design case study for a sustained antimicrobial activity","title-short":"Nicotinamide polymeric nanoemulsified systems","author":[{"family":"Zidan","given":"Ahmed"},{"family":"Ahmed","given":"Osama"},{"family":"Aljaeid","given":"Bader"}],"issued":{"date-parts":[["2016",4]]}},"label":"page"}],"schema":"https://github.com/citation-style-language/schema/raw/master/csl-citation.json"} </w:instrText>
            </w:r>
            <w:r>
              <w:fldChar w:fldCharType="separate"/>
            </w:r>
            <w:r w:rsidRPr="00BA486C">
              <w:rPr>
                <w:rFonts w:ascii="Calibri" w:hAnsi="Calibri" w:cs="Calibri"/>
                <w:szCs w:val="24"/>
              </w:rPr>
              <w:t>(21,25,27–29,37,41,45,49,50,58,63,65,70,75,76,78,80,84,91,92,96,98,102,104–109,115,118,120,122,123,128,129,132,137,141,144)</w:t>
            </w:r>
            <w:r>
              <w:fldChar w:fldCharType="end"/>
            </w:r>
          </w:p>
        </w:tc>
      </w:tr>
      <w:tr w:rsidR="009120C6" w14:paraId="51B3233F" w14:textId="77777777" w:rsidTr="00E666ED">
        <w:tc>
          <w:tcPr>
            <w:tcW w:w="1260" w:type="dxa"/>
            <w:vMerge w:val="restart"/>
            <w:vAlign w:val="center"/>
          </w:tcPr>
          <w:p w14:paraId="524B0AD3" w14:textId="70B06EB5" w:rsidR="009120C6" w:rsidRPr="00C920DC" w:rsidRDefault="009120C6" w:rsidP="00106C2C">
            <w:pPr>
              <w:spacing w:line="276" w:lineRule="auto"/>
              <w:rPr>
                <w:b/>
                <w:bCs/>
              </w:rPr>
            </w:pPr>
            <w:r w:rsidRPr="00C920DC">
              <w:rPr>
                <w:b/>
                <w:bCs/>
              </w:rPr>
              <w:t>Disease category</w:t>
            </w:r>
          </w:p>
        </w:tc>
        <w:tc>
          <w:tcPr>
            <w:tcW w:w="2790" w:type="dxa"/>
            <w:vAlign w:val="center"/>
          </w:tcPr>
          <w:p w14:paraId="23EB2894" w14:textId="4D49C5ED" w:rsidR="009120C6" w:rsidRDefault="009120C6" w:rsidP="00106C2C">
            <w:pPr>
              <w:spacing w:line="276" w:lineRule="auto"/>
            </w:pPr>
            <w:r>
              <w:t>Infectious disease</w:t>
            </w:r>
          </w:p>
        </w:tc>
        <w:tc>
          <w:tcPr>
            <w:tcW w:w="5017" w:type="dxa"/>
            <w:vAlign w:val="center"/>
          </w:tcPr>
          <w:p w14:paraId="0F808D23" w14:textId="0D1C62E5" w:rsidR="009120C6" w:rsidRDefault="009120C6" w:rsidP="00106C2C">
            <w:pPr>
              <w:spacing w:line="276" w:lineRule="auto"/>
            </w:pPr>
            <w:r>
              <w:fldChar w:fldCharType="begin"/>
            </w:r>
            <w:r>
              <w:instrText xml:space="preserve"> ADDIN ZOTERO_ITEM CSL_CITATION {"citationID":"tj6Uqgv3","properties":{"formattedCitation":"(7\\uc0\\u8211{}20,23,31,33\\uc0\\u8211{}35,37,46,48,51,52,54\\uc0\\u8211{}59,61\\uc0\\u8211{}63,66,68,69,71,72,76\\uc0\\u8211{}79,81,83,85\\uc0\\u8211{}88,90,94,95,101,106,112\\uc0\\u8211{}114,116,120,122,123,130,134,135,137,142)","plainCitation":"(7–20,23,31,33–35,37,46,48,51,52,54–59,61–63,66,68,69,71,72,76–79,81,83,85–88,90,94,95,101,106,112–114,116,120,122,123,130,134,135,137,142)","dontUpdate":true,"noteIndex":0},"citationItems":[{"id":12016,"uris":["http://zotero.org/users/6216265/items/T6ZE7DG9"],"itemData":{"id":12016,"type":"article-journal","abstract":"New tuberculosis (TB) diagnostics are at a crossroads: their development, evaluation, and implementation is severely damaged by resource diversion due to COVID-19. Yet several technologies, especially those with potential for non-invasive non-sputum-based testing, hold promise for efficiently triaging and rapidly confirming TB near point-of-care. Such tests are, however, progressing through the pipeline slowly and will take years to reach patients and health workers. Compellingly, such tests will create new opportunities for difficult-to-diagnose populations, including primary care attendees (all-comers in high burden settings irrespective of reason for presentation) and community members (with early stage disease or risk factors like HIV), many of whom cannot easily produce sputum. Critically, all upcoming technologies have limitations that implementers and health workers need to be cognizant of to ensure optimal deployment without undermining confidence in a technology that still offers improvements over the status quo. In this state-of-the-art review, we critically appraise such technologies for active pulmonary TB diagnosis. We highlight strengths, limitations, outstanding research questions, and how current and future tests could be used in the presence of these limitations and uncertainties. Among triage tests, CRP (for which commercial near point-of-care devices exist) and computer-aided detection software with digital chest X-ray hold promise, together with late-stage blood-based assays that detect host and/or microbial biomarkers; however, aside from a handful of prototypes, the latter category has a shortage of promising late-stage alternatives. Furthermore, positive results from new triage tests may have utility in people without TB; however, their utility for informing diagnostic pathways for other diseases is under-researched (most sick people tested for TB do not have TB). For confirmatory tests, few true point-of-care options will be available soon; however, combining novel approaches like tongue swabs with established tests like Ultra have short-term promise but first require optimizations to specimen collection and processing procedures. Concerningly, no technologies yet have compelling evidence of meeting the World Health Organization optimal target product profile performance criteria, especially for important operational criteria crucial for field deployment. This is alarming as the target product profile criteria are themselves almost a decade old and require urgent revision, especially to cater for technologies made prominent by the COVID-19 diagnostic response (e.g., at-home testing and connectivity solutions). Throughout the review, we underscore the importance of how target populations and settings affect test performance and how the criteria by which these tests should be judged vary by use case, including in active case finding. Lastly, we advocate for health workers and researchers to themselves be vocal proponents of the uptake of both new tests and those – already available tests that remain suboptimally utilized.","container-title":"Respiration","DOI":"10.1159/000525142","ISSN":"0025-7931, 1423-0356","issue":"9","journalAbbreviation":"Respiration","language":"en","page":"797-813","source":"DOI.org (Crossref)","title":"Diagnosing Tuberculosis: What Do New Technologies Allow Us to (Not) Do?","title-short":"Diagnosing Tuberculosis","volume":"101","author":[{"family":"Abdulgader","given":"Shima M."},{"family":"Okunola","given":"Anna O."},{"family":"Ndlangalavu","given":"Gcobisa"},{"family":"Reeve","given":"Byron W.P."},{"family":"Allwood","given":"Brian W."},{"family":"Koegelenberg","given":"Coenraad F.N."},{"family":"Warren","given":"Rob M."},{"family":"Theron","given":"Grant"}],"issued":{"date-parts":[["2022"]]}},"label":"page"},{"id":12018,"uris":["http://zotero.org/users/6216265/items/5MXTTJIV"],"itemData":{"id":12018,"type":"article-journal","container-title":"The International Journal of Tuberculosis and Lung Disease","DOI":"10.5588/ijtld.17.0312","ISSN":"1027-3719","issue":"4","journalAbbreviation":"int j tuberc lung dis","language":"en","page":"425-428","source":"DOI.org (Crossref)","title":"Which attributes within target product profiles for tuberculosis diagnostics are the most important to focus on?","volume":"22","author":[{"family":"Adepoyibi","given":"T."},{"family":"Lilis","given":"L."},{"family":"Greb","given":"H."},{"family":"Boyle","given":"D."}],"issued":{"date-parts":[["2018",4,1]]}},"label":"page"},{"id":12019,"uris":["http://zotero.org/users/6216265/items/HP2FGHA5"],"itemData":{"id":12019,"type":"article-journal","container-title":"ACS Nano","DOI":"10.1021/acsnano.2c01697","ISSN":"1936-0851, 1936-086X","issue":"8","journalAbbreviation":"ACS Nano","language":"en","page":"11545-11576","source":"DOI.org (Crossref)","title":"Diagnostic Approaches For COVID-19: Lessons Learned and the Path Forward","title-short":"Diagnostic Approaches For COVID-19","volume":"16","author":[{"family":"Alafeef","given":"Maha"},{"family":"Pan","given":"Dipanjan"}],"issued":{"date-parts":[["2022",8,23]]}},"label":"page"},{"id":12021,"uris":["http://zotero.org/users/6216265/items/62V73I6Q"],"itemData":{"id":12021,"type":"article-journal","container-title":"PLOS Neglected Tropical Diseases","DOI":"10.1371/journal.pntd.0008035","ISSN":"1935-2735","issue":"4","journalAbbreviation":"PLoS Negl Trop Dis","language":"en","page":"e0008035","source":"DOI.org (Crossref)","title":"Target product profile for a test for the early assessment of treatment efficacy in Chagas disease patients: An expert consensus","title-short":"Target product profile for a test for the early assessment of treatment efficacy in Chagas disease patients","volume":"14","author":[{"family":"Alonso-Padilla","given":"Julio"},{"family":"Abril","given":"Marcelo"},{"family":"Alarcón De Noya","given":"Belkisyolé"},{"family":"Almeida","given":"Igor C."},{"family":"Angheben","given":"Andrea"},{"family":"Araujo Jorge","given":"Tania"},{"family":"Chatelain","given":"Eric"},{"family":"Esteva","given":"Monica"},{"family":"Gascón","given":"Joaquim"},{"family":"Grijalva","given":"Mario J."},{"family":"Guhl","given":"Felipe"},{"family":"Hasslocher-Moreno","given":"Alejandro Marcel"},{"family":"López","given":"Manuel Carlos"},{"family":"Luquetti","given":"Alejandro"},{"family":"Noya","given":"Oscar"},{"family":"Pinazo","given":"María Jesús"},{"family":"Ramsey","given":"Janine M."},{"family":"Ribeiro","given":"Isabela"},{"family":"Ruiz","given":"Andres Mariano"},{"family":"Schijman","given":"Alejandro G."},{"family":"Sosa-Estani","given":"Sergio"},{"family":"Thomas","given":"M. Carmen"},{"family":"Torrico","given":"Faustino"},{"family":"Zrein","given":"Maan"},{"family":"Picado","given":"Albert"}],"editor":[{"family":"Santiago","given":"Helton Da Costa"}],"issued":{"date-parts":[["2020",4,23]]}},"label":"page"},{"id":12025,"uris":["http://zotero.org/users/6216265/items/5VY6YHAC"],"itemData":{"id":12025,"type":"article-journal","container-title":"ACS Infectious Diseases","DOI":"10.1021/acsinfecdis.0c00889","ISSN":"2373-8227, 2373-8227","issue":"5","journalAbbreviation":"ACS Infect. Dis.","language":"en","page":"948-958","source":"DOI.org (Crossref)","title":"Target Product Profile and Development Path for Shigellosis Treatment with Antibacterials","volume":"7","author":[{"family":"Arnold","given":"Samuel L. M."}],"issued":{"date-parts":[["2021",5,14]]}},"label":"page"},{"id":12034,"uris":["http://zotero.org/users/6216265/items/PVHKZWP8"],"itemData":{"id":12034,"type":"article-journal","container-title":"Global Health: Science and Practice","DOI":"10.9745/GHSP-D-20-00028","ISSN":"2169-575X","issue":"3","journalAbbreviation":"Glob Health Sci Pract","language":"en","page":"549-565","source":"DOI.org (Crossref)","title":"Matching Development of Point-of-Care Diagnostic Tests to the Local Context: A Case Study of Visceral Leishmaniasis in Kenya and Uganda","title-short":"Matching Development of Point-of-Care Diagnostic Tests to the Local Context","volume":"8","author":[{"family":"Bengtson","given":"Michel"},{"family":"Bharadwaj","given":"Mitasha"},{"family":"Bosch","given":"Astrid Ten"},{"family":"Nyakundi","given":"Hellen"},{"family":"Matoke-Muhia","given":"Damaris"},{"family":"Dekker","given":"Cees"},{"family":"Diehl","given":"Jan-Carel"}],"issued":{"date-parts":[["2020",9,30]]}},"label":"page"},{"id":12038,"uris":["http://zotero.org/users/6216265/items/9RQC88RQ"],"itemData":{"id":12038,"type":"article-journal","container-title":"Journal of Medicinal Chemistry","DOI":"10.1021/acs.jmedchem.9b00775","ISSN":"0022-2623, 1520-4804","issue":"2","journalAbbreviation":"J. Med. Chem.","language":"en","page":"470-489","source":"DOI.org (Crossref)","title":"Drugs for the Treatment of Zika Virus Infection","volume":"63","author":[{"family":"Bernatchez","given":"Jean A."},{"family":"Tran","given":"Lana T."},{"family":"Li","given":"Jerry"},{"family":"Luan","given":"Yepeng"},{"family":"Siqueira-Neto","given":"Jair L."},{"family":"Li","given":"Rongshi"}],"issued":{"date-parts":[["2020",1,23]]}},"label":"page"},{"id":12039,"uris":["http://zotero.org/users/6216265/items/WZMLIC8Z"],"itemData":{"id":12039,"type":"article-journal","container-title":"Malaria Journal","DOI":"10.1186/s12936-016-1675-x","ISSN":"1475-2875","issue":"1","journalAbbreviation":"Malar J","language":"en","page":"26","source":"DOI.org (Crossref)","title":"New developments in anti-malarial target candidate and product profiles","volume":"16","author":[{"family":"Burrows","given":"Jeremy N."},{"family":"Duparc","given":"Stephan"},{"family":"Gutteridge","given":"Winston E."},{"family":"Hooft Van Huijsduijnen","given":"Rob"},{"family":"Kaszubska","given":"Wiweka"},{"family":"Macintyre","given":"Fiona"},{"family":"Mazzuri","given":"Sébastien"},{"family":"Möhrle","given":"Jörg J."},{"family":"Wells","given":"Timothy N. C."}],"issued":{"date-parts":[["2017",12]]}}},{"id":12041,"uris":["http://zotero.org/users/6216265/items/JUE7F3IC"],"itemData":{"id":12041,"type":"article-journal","container-title":"Malaria Journal","DOI":"10.1186/s12936-018-2598-5","ISSN":"1475-2875","issue":"1","journalAbbreviation":"Malar J","language":"en","page":"462","source":"DOI.org (Crossref)","title":"A discovery and development roadmap for new endectocidal transmission-blocking agents in malaria","volume":"17","author":[{"family":"Burrows","given":"Jeremy"},{"family":"Slater","given":"Hannah"},{"family":"Macintyre","given":"Fiona"},{"family":"Rees","given":"Sarah"},{"family":"Thomas","given":"Anna"},{"family":"Okumu","given":"Fredros"},{"family":"Hooft Van Huijsduijnen","given":"Rob"},{"family":"Duparc","given":"Stephan"},{"family":"Wells","given":"Timothy N. C."}],"issued":{"date-parts":[["2018",12]]}},"label":"page"},{"id":12045,"uris":["http://zotero.org/users/6216265/items/HWKPZCV2"],"itemData":{"id":12045,"type":"article-journal","abstract":"Significance\n            \n              Genetic systems for controlling transmission of vector-borne diseases are moving from discovery-stage demonstrations of proofs-of-principle to the next phases of development. A successful transition requires meeting safety and efficacy criteria defined in target product profiles. We show here that the Cas9/guide RNA-based gene-drive components of a genetically-engineered malaria mosquito vector,\n              Anopheles gambiae\n              , achieve key target product profile requirements for efficacy and performance. This system is designed to achieve mosquito population modification when coupled with genes encoding antiparasite effector molecules and result in stable and sustainable blocking of malaria parasite transmission.\n            \n          , \n            \n              A Cas9/guide RNA-based gene drive strain, AgNosCd-1, was developed to deliver antiparasite effector molecules to the malaria vector mosquito,\n              Anopheles gambiae\n              . The drive system targets the\n              cardinal\n              gene ortholog producing a red-eye phenotype. Drive can achieve 98 to 100% in both sexes and full introduction was observed in small cage trials within 6 to 10 generations following a single release of gene-drive males. No genetic load resulting from the integrated transgenes impaired drive performance in the trials. Potential drive-resistant target-site alleles arise at a frequency &lt;0.1, and five of the most prevalent polymorphisms in the guide RNA target site in collections of colonized and wild-derived African mosquitoes do not prevent cleavage in vitro by the Cas9/guide RNA complex. Only one predicted off-target site is cleavable in vitro, with negligible deletions observed in vivo. AgNosCd-1 meets key performance criteria of a target product profile and can be a valuable component of a field-ready strain for mosquito population modification to control malaria transmission.","container-title":"Proceedings of the National Academy of Sciences","DOI":"10.1073/pnas.2010214117","ISSN":"0027-8424, 1091-6490","issue":"37","journalAbbreviation":"Proc. Natl. Acad. Sci. U.S.A.","language":"en","page":"22805-22814","source":"DOI.org (Crossref)","title":"Next-generation gene drive for population modification of the malaria vector mosquito, &lt;i&gt;Anopheles gambiae&lt;/i&gt;","volume":"117","author":[{"family":"Carballar-Lejarazú","given":"Rebeca"},{"family":"Ogaugwu","given":"Christian"},{"family":"Tushar","given":"Taylor"},{"family":"Kelsey","given":"Adam"},{"family":"Pham","given":"Thai Binh"},{"family":"Murphy","given":"Jazmin"},{"family":"Schmidt","given":"Hanno"},{"family":"Lee","given":"Yoosook"},{"family":"Lanzaro","given":"Gregory C."},{"family":"James","given":"Anthony A."}],"issued":{"date-parts":[["2020",9,15]]}},"label":"page"},{"id":12057,"uris":["http://zotero.org/users/6216265/items/PSNZ5TKX"],"itemData":{"id":12057,"type":"article-journal","container-title":"Parasite Epidemiology and Control","DOI":"10.1016/j.parepi.2019.e00103","ISSN":"24056731","journalAbbreviation":"Parasite Epidemiology and Control","language":"en","page":"e00103","source":"DOI.org (Crossref)","title":"Target Product Profile for a point-of-care diagnostic test for dermal leishmaniases","volume":"5","author":[{"family":"Cruz","given":"Israel"},{"family":"Albertini","given":"Audrey"},{"family":"Barbeitas","given":"Mady"},{"family":"Arana","given":"Byron"},{"family":"Picado","given":"Albert"},{"family":"Ruiz-Postigo","given":"Jose A."},{"family":"Ndung'u","given":"Joseph M."}],"issued":{"date-parts":[["2019",5]]}},"label":"page"},{"id":12061,"uris":["http://zotero.org/users/6216265/items/V7UR6WBW"],"itemData":{"id":12061,"type":"article-journal","abstract":"Bacterial blood stream infections (BSI) are a common cause of mortality and morbidity globally. As the causative agents and the resulting treatment decisions vary, near-patient testing and surveillance tools are necessary to monitor bacterial causes and resistance to antimicrobial agents. The gold standard to identify BSIs is blood culture (BC), a methodology not widely available in resource-limited settings. The aim of the study was to map out a target product profile of a simplified BC system (SBCS) to inform product development efforts. To identify the desired characteristics of a SBCS, we enlisted a small group of specialists working in Africa and Asia. Questions were used to understand challenges and how these constraints inform system requirements. The specialists were infectious disease physicians, public health/clinical microbiologists, clinical researchers, and technology experts with different geographical backgrounds. All suggested that BC should ideally be available at the district hospital level. Many of the same operational challenges, such as limited availability of culture bottles, electricity and internet connectivity, profuse dust, the lack of ambient temperature control, and human capacity constraints were identified across the different regions. BCs, although the accepted gold standard for diagnosis of BSIs, are not widely available outside of reference/research centers in Africa and Asia. To extend the reach of this important tool, it is crucial to engage product developers and academic research partners to develop accessible alternatives.","container-title":"Diagnostics","DOI":"10.3390/diagnostics9010010","ISSN":"2075-4418","issue":"1","journalAbbreviation":"Diagnostics","language":"en","page":"10","source":"DOI.org (Crossref)","title":"Defining System Requirements for Simplified Blood Culture to Enable Widespread Use in Resource-Limited Settings","volume":"9","author":[{"family":"Dailey","given":"Peter"},{"family":"Osborn","given":"Jennifer"},{"family":"Ashley","given":"Elizabeth"},{"family":"Baron","given":"Ellen"},{"family":"Dance","given":"David"},{"family":"Fusco","given":"Daniela"},{"family":"Fanello","given":"Caterina"},{"family":"Manabe","given":"Yukari"},{"family":"Mokomane","given":"Margaret"},{"family":"Newton","given":"Paul"},{"family":"Tessema","given":"Belay"},{"family":"Isaacs","given":"Chris"},{"family":"Dittrich","given":"Sabine"}],"issued":{"date-parts":[["2019",1,11]]}},"label":"page"},{"id":12065,"uris":["http://zotero.org/users/6216265/items/3MBFKBJQ"],"itemData":{"id":12065,"type":"article-journal","container-title":"The Journal of Infectious Diseases","DOI":"10.1093/infdis/jiu682","ISSN":"0022-1899, 1537-6613","issue":"suppl_2","language":"en","page":"S39-S49","source":"DOI.org (Crossref)","title":"Target Product Profile of a Molecular Drug-Susceptibility Test for Use in Microscopy Centers","volume":"211","author":[{"family":"Denkinger","given":"Claudia M."},{"family":"Dolinger","given":"David"},{"family":"Schito","given":"Marco"},{"family":"Wells","given":"William"},{"family":"Cobelens","given":"Frank"},{"family":"Pai","given":"Madhukar"},{"family":"Zignol","given":"Matteo"},{"family":"Cirillo","given":"Daniela Maria"},{"family":"Alland","given":"David"},{"family":"Casenghi","given":"Martina"},{"family":"Gallarda","given":"Jim"},{"family":"Boehme","given":"Catharina C."},{"family":"Perkins","given":"Mark D."}],"issued":{"date-parts":[["2015",4]]}},"label":"page"},{"id":12067,"uris":["http://zotero.org/users/6216265/items/RRP9XUR4"],"itemData":{"id":12067,"type":"article-journal","container-title":"PLOS ONE","DOI":"10.1371/journal.pone.0161721","ISSN":"1932-6203","issue":"8","journalAbbreviation":"PLoS ONE","language":"en","page":"e0161721","source":"DOI.org (Crossref)","title":"Target Product Profile for a Diagnostic Assay to Differentiate between Bacterial and Non-Bacterial Infections and Reduce Antimicrobial Overuse in Resource-Limited Settings: An Expert Consensus","title-short":"Target Product Profile for a Diagnostic Assay to Differentiate between Bacterial and Non-Bacterial Infections and Reduce Antimicrobial Overuse in Resource-Limited Settings","volume":"11","author":[{"family":"Dittrich","given":"Sabine"},{"family":"Tadesse","given":"Birkneh Tilahun"},{"family":"Moussy","given":"Francis"},{"family":"Chua","given":"Arlene"},{"family":"Zorzet","given":"Anna"},{"family":"Tängdén","given":"Thomas"},{"family":"Dolinger","given":"David L."},{"family":"Page","given":"Anne-Laure"},{"family":"Crump","given":"John A."},{"family":"D’Acremont","given":"Valerie"},{"family":"Bassat","given":"Quique"},{"family":"Lubell","given":"Yoel"},{"family":"Newton","given":"Paul N."},{"family":"Heinrich","given":"Norbert"},{"family":"Rodwell","given":"Timothy J."},{"family":"González","given":"Iveth J."}],"editor":[{"family":"Yansouni","given":"Cedric"}],"issued":{"date-parts":[["2016",8,25]]}},"label":"page"},{"id":12070,"uris":["http://zotero.org/users/6216265/items/MER6KMER"],"itemData":{"id":12070,"type":"article-journal","abstract":"With increasing geographic spread, frequency, and magnitude of outbreaks, dengue continues to pose a major public health threat worldwide. Dengvaxia, a dengue live-attenuated tetravalent vaccine, was licensed in 2015, but post hoc analyses of long-term data showed serostatus-dependent vaccine performance with an excess risk of hospitalized and severe dengue in seronegative vaccine recipients. The World Health Organization (WHO) recommended that only persons with evidence of past dengue infection should receive the vaccine. A test for pre-vaccination screening for dengue serostatus is needed. To develop the target product profile (TPP) for a dengue pre-vaccination screening test, face-to-face consultative meetings were organized with follow-up regional consultations. A technical working group was formed to develop consensus on a reference test against which candidate pre-vaccination screening tests could be compared. The group also reviewed current diagnostic landscape and the need to accelerate the evaluation, regulatory approval, and policy development of tests that can identify seropositive individuals and maximize public health impact of vaccination while avoiding the risk of hospitalization in dengue-naive individuals. Pre-vaccination screening strategies will benefit from rapid diagnostic tests (RDTs) that are affordable, sensitive, and specific and can be used at the point of care (POC). The TPP described the minimum and ideal characteristics of a dengue pre-vaccination screening RDT with an emphasis on high specificity. The group also made suggestions for accelerating access to these RDTs through streamlining regulatory approval and policy development. Risk and benefit based on what can be achieved with RDTs meeting minimal and optimal characteristics in the TPP across a range of seroprevalences were defined. The final choice of RDTs in each country will depend on the performance of the RDT, dengue seroprevalence in the target population, tolerance of risk, and cost-effectiveness.","container-title":"PLOS Neglected Tropical Diseases","DOI":"10.1371/journal.pntd.0009557","ISSN":"1935-2735","issue":"7","journalAbbreviation":"PLoS Negl Trop Dis","language":"en","page":"e0009557","source":"DOI.org (Crossref)","title":"Target product profile for a dengue pre-vaccination screening test","volume":"15","author":[{"family":"Fongwen","given":"Noah"},{"family":"Wilder-Smith","given":"Annelise"},{"family":"Gubler","given":"Duane J."},{"family":"Ooi","given":"Eng Eong"},{"family":"T. Salvana","given":"Edsel Maurice"},{"family":"De Lamballerie","given":"Xavier"},{"family":"Olliaro","given":"Piero L."},{"family":"Peeling","given":"Rosanna W."}],"editor":[{"family":"Gawarammana","given":"Indika"}],"issued":{"date-parts":[["2021",7,29]]}},"label":"page"},{"id":12072,"uris":["http://zotero.org/users/6216265/items/BAFT5843"],"itemData":{"id":12072,"type":"article-journal","container-title":"Frontiers in Pharmacology","DOI":"10.3389/fphar.2020.00937","ISSN":"1663-9812","journalAbbreviation":"Front. Pharmacol.","page":"937","source":"DOI.org (Crossref)","title":"A Snapshot of the Global Race for Vaccines Targeting SARS-CoV-2 and the COVID-19 Pandemic","volume":"11","author":[{"family":"Funk","given":"Colin D."},{"family":"Laferrière","given":"Craig"},{"family":"Ardakani","given":"Ali"}],"issued":{"date-parts":[["2020",6,19]]}},"label":"page"},{"id":12074,"uris":["http://zotero.org/users/6216265/items/HAXEQ5CJ"],"itemData":{"id":12074,"type":"article-journal","container-title":"PLOS ONE","DOI":"10.1371/journal.pone.0200531","ISSN":"1932-6203","issue":"8","journalAbbreviation":"PLoS ONE","language":"en","page":"e0200531","source":"DOI.org (Crossref)","title":"Matching diagnostics development to clinical need: Target product profile development for a point of care test for community-acquired lower respiratory tract infection","title-short":"Matching diagnostics development to clinical need","volume":"13","author":[{"family":"Gal","given":"Micaela"},{"family":"Francis","given":"Nicholas A."},{"family":"Hood","given":"Kerenza"},{"family":"Villacian","given":"Jorge"},{"family":"Goossens","given":"Herman"},{"family":"Watkins","given":"Angela"},{"family":"Butler","given":"Christopher C."},{"literal":"the RAPP-ID consortium"}],"editor":[{"family":"Gupta","given":"Vineet"}],"issued":{"date-parts":[["2018",8,1]]}},"label":"page"},{"id":12076,"uris":["http://zotero.org/users/6216265/items/FMDTP3AR"],"itemData":{"id":12076,"type":"article-journal","container-title":"Pulmonology","DOI":"10.1016/j.rppnen.2017.12.002","ISSN":"25310437","issue":"2","journalAbbreviation":"Pulmonology","language":"en","page":"73-85","source":"DOI.org (Crossref)","title":"Point of care diagnostics for tuberculosis","volume":"24","author":[{"family":"García-Basteiro","given":"A.L."},{"family":"DiNardo","given":"A."},{"family":"Saavedra","given":"B."},{"family":"Silva","given":"D.R."},{"family":"Palmero","given":"D."},{"family":"Gegia","given":"M."},{"family":"Migliori","given":"G.B."},{"family":"Duarte","given":"R."},{"family":"Mambuque","given":"E."},{"family":"Centis","given":"R."},{"family":"Cuevas","given":"L.E."},{"family":"Izco","given":"S."},{"family":"Theron","given":"G."}],"issued":{"date-parts":[["2018",3]]}},"label":"page"},{"id":12078,"uris":["http://zotero.org/users/6216265/items/CQ3LBGY7"],"itemData":{"id":12078,"type":"article-journal","container-title":"Colloids and Surfaces B: Biointerfaces","DOI":"10.1016/j.colsurfb.2016.02.012","ISSN":"09277765","journalAbbreviation":"Colloids and Surfaces B: Biointerfaces","language":"en","page":"611-622","source":"DOI.org (Crossref)","title":"Systematic development of solid self-nanoemulsifying oily formulations (S-SNEOFs) for enhancing the oral bioavailability and intestinal lymphatic uptake of lopinavir","volume":"141","author":[{"family":"Garg","given":"Babita"},{"family":"Katare","given":"O.P."},{"family":"Beg","given":"Sarwar"},{"family":"Lohan","given":"Shikha"},{"family":"Singh","given":"Bhupinder"}],"issued":{"date-parts":[["2016",5]]}}},{"id":12079,"uris":["http://zotero.org/users/6216265/items/LGAAUT2S"],"itemData":{"id":12079,"type":"article-journal","container-title":"AIDS Patient Care and STDs","DOI":"10.1089/108729103322277402","ISSN":"1087-2914, 1557-7449","issue":"8","journalAbbreviation":"AIDS Patient Care and STDs","language":"en","page":"377-399","source":"DOI.org (Crossref)","title":"Development Pharmaceutics of Microbicide Formulations. Part II: Formulation, Evaluation, and Challenges","title-short":"Development Pharmaceutics of Microbicide Formulations. Part II","volume":"17","author":[{"family":"Garg","given":"Sanjay"},{"family":"Tambwekar","given":"Kaustubh R."},{"family":"Vermani","given":"Kavita"},{"family":"Kandarapu","given":"Raghupathi"},{"family":"Garg","given":"Alka"},{"family":"Waller","given":"Donald P."},{"family":"Zaneveld","given":"Lourens J.D."}],"issued":{"date-parts":[["2003",8]]}},"label":"page"},{"id":12082,"uris":["http://zotero.org/users/6216265/items/KYH6Z94A"],"itemData":{"id":12082,"type":"article-journal","abstract":"COVID-19 pandemic will continue to pose a major public health threat until vaccination-mediated herd immunity is achieved. Most projections predict vaccines will reach a large subset of the population late in 2021 or early 2022. In the meantime, countries are exploring options to remove strict lockdown measures and allow society and the economy to return to normal function. One possibility is to expand on existing COVID-19 testing strategies by including large-scale rapid point-of-care diagnostic tests (POCTs). Currently, there is significant variability in performance and features of available POCTs, making selection and procurement of an appropriate test for specific use case difficult. In this review, we have used the World Health Organization’s (WHO) recently published target product profiles (TPPs) for specific use cases of COVID-19 diagnostic tests to screen for top-performing POCTs on the market. Several POCTs, based on clinical sensitivity/specificity, the limit of detection, and time to results, which meet WHO TPP criteria for direct detection of SARS-CoV-2 (acute infection) or indirect diagnosis of past infection (host antibodies), are highlighted here.","container-title":"Diagnostics","DOI":"10.3390/diagnostics11010115","ISSN":"2075-4418","issue":"1","journalAbbreviation":"Diagnostics","language":"en","page":"115","source":"DOI.org (Crossref)","title":"COVID-19 Point-of-Care Diagnostics That Satisfy Global Target Product Profiles","volume":"11","author":[{"family":"Ghaffari","given":"Abdi"},{"family":"Meurant","given":"Robyn"},{"family":"Ardakani","given":"Ali"}],"issued":{"date-parts":[["2021",1,12]]}},"label":"page"},{"id":12084,"uris":["http://zotero.org/users/6216265/items/7YXYKTJ4"],"itemData":{"id":12084,"type":"article-journal","container-title":"Drug Delivery and Translational Research","DOI":"10.1007/s13346-021-01014-4","ISSN":"2190-393X, 2190-3948","issue":"5","journalAbbreviation":"Drug Deliv. and Transl. Res.","language":"en","page":"1230-1252","source":"DOI.org (Crossref)","title":"Quality by design (QbD)–based fabrication of atazanavir-loaded nanostructured lipid carriers for lymph targeting: bioavailability enhancement using chylomicron flow block model and toxicity studies","title-short":"Quality by design (QbD)–based fabrication of atazanavir-loaded nanostructured lipid carriers for lymph targeting","volume":"12","author":[{"family":"Gurumukhi","given":"Vishal C."},{"family":"Bari","given":"Sanjaykumar B."}],"issued":{"date-parts":[["2022",5]]}}},{"id":12086,"uris":["http://zotero.org/users/6216265/items/GQ25699G"],"itemData":{"id":12086,"type":"article-journal","container-title":"Drug Delivery and Translational Research","DOI":"10.1007/s13346-021-01083-5","ISSN":"2190-393X, 2190-3948","issue":"7","journalAbbreviation":"Drug Deliv. and Transl. Res.","language":"en","page":"1753-1773","source":"DOI.org (Crossref)","title":"Development of ritonavir-loaded nanostructured lipid carriers employing quality by design (QbD) as a tool: characterizations, permeability, and bioavailability studies","title-short":"Development of ritonavir-loaded nanostructured lipid carriers employing quality by design (QbD) as a tool","volume":"12","author":[{"family":"Gurumukhi","given":"Vishal C."},{"family":"Bari","given":"Sanjaykumar B."}],"issued":{"date-parts":[["2022",7]]}},"label":"page"},{"id":12090,"uris":["http://zotero.org/users/6216265/items/BDX2EI6T"],"itemData":{"id":12090,"type":"article-journal","container-title":"Malaria Journal","DOI":"10.1186/1475-2875-13-62","ISSN":"1475-2875","issue":"1","journalAbbreviation":"Malar J","language":"en","page":"62","source":"DOI.org (Crossref)","title":"Pharmacological considerations in the design of anti-malarial drug combination therapies – is matching half-lives enough?","volume":"13","author":[{"family":"Hastings","given":"Ian M"},{"family":"Hodel","given":"Eva Maria"}],"issued":{"date-parts":[["2014",12]]}},"label":"page"},{"id":12093,"uris":["http://zotero.org/users/6216265/items/BKG2CEJB"],"itemData":{"id":12093,"type":"chapter","container-title":"Dengue and Zika: Control and Antiviral Treatment Strategies","event-place":"Singapore","ISBN":"978-981-10-8726-4","note":"collection-title: Advances in Experimental Medicine and Biology\nDOI: 10.1007/978-981-10-8727-1_23","page":"333-353","publisher":"Springer Singapore","publisher-place":"Singapore","source":"DOI.org (Crossref)","title":"An Industry Perspective on Dengue Drug Discovery and Development","URL":"http://link.springer.com/10.1007/978-981-10-8727-1_23","volume":"1062","editor":[{"family":"Hilgenfeld","given":"Rolf"},{"family":"Vasudevan","given":"Subhash G."}],"author":[{"family":"Hernandez-Morales","given":"Ilane"},{"family":"Van Loock","given":"Marnix"}],"accessed":{"date-parts":[["2023",11,2]]},"issued":{"date-parts":[["2018"]]}},"label":"page"},{"id":12094,"uris":["http://zotero.org/users/6216265/items/7GHVMM79"],"itemData":{"id":12094,"type":"article-journal","container-title":"PLOS Neglected Tropical Diseases","DOI":"10.1371/journal.pntd.0003987","ISSN":"1935-2735","issue":"10","journalAbbreviation":"PLoS Negl Trop Dis","language":"en","page":"e0003987","source":"DOI.org (Crossref)","title":"A Proposed Target Product Profile and Developmental Cascade for New Cryptosporidiosis Treatments","volume":"9","author":[{"family":"Huston","given":"Christopher D."},{"family":"Spangenberg","given":"Thomas"},{"family":"Burrows","given":"Jeremy"},{"family":"Willis","given":"Paul"},{"family":"Wells","given":"Timothy N. C."},{"family":"Van Voorhis","given":"Wesley"}],"editor":[{"family":"Vinetz","given":"Joseph M."}],"issued":{"date-parts":[["2015",10,8]]}},"label":"page"},{"id":12097,"uris":["http://zotero.org/users/6216265/items/26EN5NPI"],"itemData":{"id":12097,"type":"article-journal","container-title":"Pharmaceutical Research","DOI":"10.1007/s11095-013-1096-2","ISSN":"0724-8741, 1573-904X","issue":"11","journalAbbreviation":"Pharm Res","language":"en","page":"2772-2784","source":"DOI.org (Crossref)","title":"Engineering of an Inhalable DDA/TDB Liposomal Adjuvant: A Quality-by-Design Approach Towards Optimization of the Spray Drying Process","title-short":"Engineering of an Inhalable DDA/TDB Liposomal Adjuvant","volume":"30","author":[{"family":"Ingvarsson","given":"Pall Thor"},{"family":"Yang","given":"Mingshi"},{"family":"Mulvad","given":"Helle"},{"family":"Nielsen","given":"Hanne Mørck"},{"family":"Rantanen","given":"Jukka"},{"family":"Foged","given":"Camilla"}],"issued":{"date-parts":[["2013",11]]}},"label":"page"},{"id":12101,"uris":["http://zotero.org/users/6216265/items/BTDD4883"],"itemData":{"id":12101,"type":"article-journal","abstract":"Background:\n              This study is focused on preparing rifampicin-loaded bovine serum albumin nanoparticles\n(RIF BSA NPs) suitable for intravenous application using systematic quality by design\n(QbD) approach.\n            \n            \n              Aim:\n              Rifampicin is one of the first-line drugs used for tuberculosis therapy. The therapy\nlasts for a long time. Thus, there is a need to develop a sustained release formulation of rifampicin\nfor intravenous application.\n            \n            \n              Objectives:\n              The main objective of this study is optimizing particle size and entrapment efficiency\nof rifampicin-loaded bovine serum albumin nanoparticles (RIF BSA NPs) and making them suitable\nfor intravenous application using QbD approach.\n            \n            \n              Methods:\n              Quality target product profile was defined along with critical quality attributes (CQAs)\nfor the formulation. 32 factorial design was used for achieving the predetermined values of CQAs,\ni.e., mean particle size &lt;200 nm and percent entrapment efficiency&gt;50%. Incubation time of drug\nwith colloidal albumin solution and ratio of rifampicin to albumin, were selected as independent\nvariables. Checkpoint analysis was performed to confirm the suitability of the regression model for\noptimization.\n            \n            \n              Results: :\n              The optimized RIF BSA NPs were characterized by FTIR, DSC, 1H NMR techniques. The\nNPs observed by transmission electron microscopy were spherical in shape. The rifampicin release\ncould be sustained for 72 hours from BSA NPs matrix. RIF BSA NPs dispersion was stable at 5 ±\n3°C for 72 hours. Non-toxicity of nanoparticles to RAW 264.7 cell line was proved by MTT assay.\n            \n            \n              Conclusion:\n              Development of RIF BSA NPs with desired quality attributes was possible by implementing\nthe QbD approach. The optimized formulation suitable for intravenous application can potentially\nimprove the therapeutic benefits of rifampicin.","container-title":"Current Drug Delivery","DOI":"10.2174/1567201818666210212090451","ISSN":"15672018","issue":"9","journalAbbreviation":"CDD","language":"en","page":"1338-1351","source":"DOI.org (Crossref)","title":"Quality by Design Approach for Development and Optimization of Rifampicin Loaded Bovine Serum Albumin Nanoparticles and Characterization","volume":"18","author":[{"family":"Joshi","given":"Monica"},{"family":"Yadav","given":"Khushwant S."},{"family":"Prabhakar","given":"Bala"}],"issued":{"date-parts":[["2021",12,30]]}},"label":"page"},{"id":12102,"uris":["http://zotero.org/users/6216265/items/B3LLWKPE"],"itemData":{"id":12102,"type":"article-journal","container-title":"PLOS ONE","DOI":"10.1371/journal.pone.0228311","ISSN":"1932-6203","issue":"1","journalAbbreviation":"PLoS ONE","language":"en","page":"e0228311","source":"DOI.org (Crossref)","title":"Target Product Profile for a mobile app to read rapid diagnostic tests to strengthen infectious disease surveillance","volume":"15","author":[{"family":"Kadam","given":"Rigveda"},{"family":"White","given":"Wallace"},{"family":"Banks","given":"Nicholas"},{"family":"Katz","given":"Zachary"},{"family":"Dittrich","given":"Sabine"},{"family":"Kelly-Cirino","given":"Cassandra"}],"editor":[{"family":"Yansouni","given":"Cedric"}],"issued":{"date-parts":[["2020",1,29]]}},"label":"page"},{"id":12104,"uris":["http://zotero.org/users/6216265/items/L5N6G2Q5"],"itemData":{"id":12104,"type":"article-journal","abstract":"Objective:\n              The present study reports the use of MicrofluidizerTM technology to form a stable\nnanosuspension of atovaquone (ATQ) using quality by design (QbD) approach.\n            \n            \n              Methods:\n              The patient-centric quality target product profile and critical quality attributes (CQAs) were\nidentified. A Box-Behnken design was employed for the optimization of dependent variables, while\nCQAs like particle size and PDI were evaluated as response variables. Effective optimization of ATQ\nnanosuspension preparation using Microfluidizer processor as a novel green technology was achieved\nusing QbD approach.\n            \n            \n              Result:\n              The prepared nanosuspension had a mean particle size of 865 nm ± 5%, PDI of 0.261 ± 3%, and\nzeta potential of -1.79 ± 5 mV. The characterization of the prepared nanosuspension by SEM, DSC, and\nXRD revealed its nano-crystalline nature whereas FTIR spectroscopic analysis confirmed the absence\nof any physicochemical interaction because of process parameters between the drug and excipients.\n            \n            \n              Conclusion:\n              In vitro dissolution studies of the nanosuspension using USP-IV exhibited a 100% cumulative\ndrug release over 90 minutes, which is significantly better than that of ATQ pure API. In vivo\npharmacokinetic studies revealed bioequivalence of ATQ nanosuspensions by Microfluidizer homogenization\nprocess to the marketed formulation1.","container-title":"Current Drug Delivery","DOI":"10.2174/1567201817666191227095019","ISSN":"15672018","issue":"2","journalAbbreviation":"CDD","language":"en","page":"112-125","source":"DOI.org (Crossref)","title":"Development of Atovaquone Nanosuspension: Quality by Design Approach","title-short":"Development of Atovaquone Nanosuspension","volume":"17","author":[{"family":"Kakade","given":"Pratik"},{"family":"Gite","given":"Sandip"},{"family":"Patravale","given":"Vandana"}],"issued":{"date-parts":[["2020",3,12]]}},"label":"page"},{"id":12105,"uris":["http://zotero.org/users/6216265/items/V8UCA6A2"],"itemData":{"id":12105,"type":"article-journal","container-title":"Expert Review of Vaccines","DOI":"10.1586/14760584.2016.1158650","ISSN":"1476-0584, 1744-8395","issue":"8","journalAbbreviation":"Expert Review of Vaccines","language":"en","page":"1029-1040","source":"DOI.org (Crossref)","title":"Alternative administration routes and delivery technologies for polio vaccines","volume":"15","author":[{"family":"Kraan","given":"Heleen"},{"family":"Van Der Stel","given":"Wanda"},{"family":"Kersten","given":"Gideon"},{"family":"Amorij","given":"Jean-Pierre"}],"issued":{"date-parts":[["2016",8,2]]}},"label":"page"},{"id":12109,"uris":["http://zotero.org/users/6216265/items/23KHJRRG"],"itemData":{"id":12109,"type":"article-journal","container-title":"AAPS PharmSciTech","DOI":"10.1208/s12249-010-9521-x","ISSN":"1530-9932","issue":"3","journalAbbreviation":"AAPS PharmSciTech","language":"en","page":"1476-1481","source":"DOI.org (Crossref)","title":"Considerations in Developing a Target Product Profile for Parenteral Pharmaceutical Products","volume":"11","author":[{"family":"Lambert","given":"William J."}],"issued":{"date-parts":[["2010",9]]}},"label":"page"},{"id":12112,"uris":["http://zotero.org/users/6216265/items/TFH5LRBY"],"itemData":{"id":12112,"type":"article-journal","container-title":"The Lancet HIV","DOI":"10.1016/S2352-3018(20)30234-4","ISSN":"23523018","issue":"1","journalAbbreviation":"The Lancet HIV","language":"en","page":"e42-e50","source":"DOI.org (Crossref)","title":"Multi-stakeholder consensus on a target product profile for an HIV cure","volume":"8","author":[{"family":"Lewin","given":"Sharon R"},{"family":"Attoye","given":"Timothy"},{"family":"Bansbach","given":"Cathy"},{"family":"Doehle","given":"Brian"},{"family":"Dubé","given":"Karine"},{"family":"Dybul","given":"Mark"},{"family":"SenGupta","given":"Devi"},{"family":"Jiang","given":"Adam"},{"family":"Johnston","given":"Rowena"},{"family":"Lamplough","given":"Rosanne"},{"family":"McCune","given":"Joseph M"},{"family":"Nabel","given":"Gary J"},{"family":"Ndung'u","given":"Thumbi"},{"family":"Pottage","given":"John"},{"family":"Ripin","given":"David"},{"family":"Rooney","given":"James F"},{"family":"Sikazwe","given":"Izukanji"},{"family":"Nsubuga","given":"Moses"},{"family":"Warren","given":"Mitchell"},{"family":"Deeks","given":"Steven G"}],"issued":{"date-parts":[["2021",1]]}},"label":"page"},{"id":12116,"uris":["http://zotero.org/users/6216265/items/4JFY2AFP"],"itemData":{"id":12116,"type":"article-journal","container-title":"Malaria Journal","DOI":"10.1186/s12936-018-2549-1","ISSN":"1475-2875","issue":"1","journalAbbreviation":"Malar J","language":"en","page":"402","source":"DOI.org (Crossref)","title":"Injectable anti-malarials revisited: discovery and development of new agents to protect against malaria","title-short":"Injectable anti-malarials revisited","volume":"17","author":[{"family":"Macintyre","given":"Fiona"},{"family":"Ramachandruni","given":"Hanu"},{"family":"Burrows","given":"Jeremy N."},{"family":"Holm","given":"René"},{"family":"Thomas","given":"Anna"},{"family":"Möhrle","given":"Jörg J."},{"family":"Duparc","given":"Stephan"},{"family":"Hooft Van Huijsduijnen","given":"Rob"},{"family":"Greenwood","given":"Brian"},{"family":"Gutteridge","given":"Winston E."},{"family":"Wells","given":"Timothy N. C."},{"family":"Kaszubska","given":"Wiweka"}],"issued":{"date-parts":[["2018",12]]}},"label":"page"},{"id":12118,"uris":["http://zotero.org/users/6216265/items/2L47LS78"],"itemData":{"id":12118,"type":"article-journal","container-title":"PLoS Medicine","DOI":"10.1371/journal.pmed.1000398","ISSN":"1549-1676","issue":"1","journalAbbreviation":"PLoS Med","language":"en","page":"e1000398","source":"DOI.org (Crossref)","title":"A Research Agenda for Malaria Eradication: Vaccines","title-short":"A Research Agenda for Malaria Eradication","volume":"8","author":[{"literal":"The malERA Consultative Group on Vaccines"}],"issued":{"date-parts":[["2011",1,25]]}},"label":"page"},{"id":12120,"uris":["http://zotero.org/users/6216265/items/6FGREADD"],"itemData":{"id":12120,"type":"article-journal","abstract":"The development of vaccines against one or all forms of human leishmaniasis remains hampered by a paucity of investment, at least in part resulting from the lack of well-evidenced and agreed estimates of vaccine demand. Starting from the definition of 4 main use cases (prevention of visceral leishmaniasis, prevention of cutaneous leishmaniasis, prevention of post-kala-azar dermal leishmaniasis and treatment of post-kala-azar dermal leishmaniasis), we have estimated the size of each target population, focusing on those endemic countries where incidence levels are sufficiently high to justify decisions to adopt a vaccine. We assumed a dual vaccine delivery strategy, including a wide age-range catch-up campaign before the start of routine immunisation. Vaccine characteristics and delivery parameters reflective of a target product profile and the likely duration of the clinical development effort were considered in forecasting the demand for each of the four indications. Over a period of 10 years, this demand is forecasted to range from 300–830 million doses for a vaccine preventing visceral leishmaniasis and 557–1400 million doses for a vaccine preventing cutaneous leishmaniasis under the different scenarios we simulated. In a scenario with an effective prophylactic visceral leishmaniasis vaccine, demand for use to prevent or treat post-kala-azar dermal leishmaniasis would be more limited (over the 10 years ~160,000 doses for prevention and ~7,000 doses for treatment). Demand would rise to exceed 330,000 doses, however, in the absence of an effective vaccine for visceral leishmaniasis. Because of the sizeable demand and potential for public health impact, a single-indication prophylactic vaccine for visceral or cutaneous leishmaniasis, and even more so a cross-protective prophylactic vaccine could attract the interest of commercial developers. Continuous refinement of these first-of-their kind estimates and confirmation of country willingness and ability to pay will be paramount to inform the decisions of policy makers and developers in relation to a leishmaniasis vaccine. Positive decisions can provide a much-needed contribution towards the achievement of global leishmaniasis control.","container-title":"PLOS Neglected Tropical Diseases","DOI":"10.1371/journal.pntd.0009742","ISSN":"1935-2735","issue":"9","journalAbbreviation":"PLoS Negl Trop Dis","language":"en","page":"e0009742","source":"DOI.org (Crossref)","title":"Human leishmaniasis vaccines: Use cases, target population and potential global demand","title-short":"Human leishmaniasis vaccines","volume":"15","author":[{"family":"Malvolti","given":"Stefano"},{"family":"Malhame","given":"Melissa"},{"family":"Mantel","given":"Carsten F."},{"family":"Le Rutte","given":"Epke A."},{"family":"Kaye","given":"Paul M."}],"editor":[{"family":"Laouini","given":"Dhafer"}],"issued":{"date-parts":[["2021",9,21]]}},"label":"page"},{"id":12122,"uris":["http://zotero.org/users/6216265/items/RPLUFES3"],"itemData":{"id":12122,"type":"article-journal","container-title":"ACS Infectious Diseases","DOI":"10.1021/acsinfecdis.6b00094","ISSN":"2373-8227, 2373-8227","issue":"8","journalAbbreviation":"ACS Infect. Dis.","language":"en","page":"530-537","source":"DOI.org (Crossref)","title":"Cryptosporidiosis Drug Discovery: Opportunities and Challenges","title-short":"Cryptosporidiosis Drug Discovery","volume":"2","author":[{"family":"Manjunatha","given":"Ujjini H."},{"family":"Chao","given":"Alexander T."},{"family":"Leong","given":"F. Joel"},{"family":"Diagana","given":"Thierry T."}],"issued":{"date-parts":[["2016",8,12]]}},"label":"page"},{"id":12123,"uris":["http://zotero.org/users/6216265/items/F9JDW4KQ"],"itemData":{"id":12123,"type":"article-journal","container-title":"ACS Infectious Diseases","DOI":"10.1021/acsinfecdis.0c00353","ISSN":"2373-8227, 2373-8227","issue":"11","journalAbbreviation":"ACS Infect. Dis.","language":"en","page":"2830-2843","source":"DOI.org (Crossref)","title":"Chagas Disease: Current View of an Ancient and Global Chemotherapy Challenge","title-short":"Chagas Disease","volume":"6","author":[{"family":"Martín-Escolano","given":"Javier"},{"family":"Medina-Carmona","given":"Encarnación"},{"family":"Martín-Escolano","given":"Rubén"}],"issued":{"date-parts":[["2020",11,13]]}},"label":"page"},{"id":12126,"uris":["http://zotero.org/users/6216265/items/LPRXPBBN"],"itemData":{"id":12126,"type":"article-journal","abstract":"Introduction\n              Typhoid fever is one of the most common bacterial causes of acute febrile illness in the developing world, with an estimated 10.9 million new cases and 116.8 thousand deaths in 2017. Typhoid point-of-care (POC) diagnostic tests are widely used but have poor sensitivity and specificity, resulting in antibiotic overuse that has led to the emergence and spread of multidrug-resistant strains. With recent advances in typhoid surveillance and detection, this is the ideal time to produce a target product profile (TPP) that guides product development and ensure that a next-generation test meets the needs of users in the resource-limited settings where typhoid is endemic.\n            \n            \n              Methods\n              A structured literature review was conducted to develop a draft TPP for a next-generation typhoid diagnostic test with minimal and optimal desired characteristics for 36 test parameters. The TPP was refined using feedback collected from a Delphi survey of key stakeholders in clinical medicine, microbiology, diagnostics and public and global health.\n            \n            \n              Results\n              \n                A next-generation typhoid diagnostic test should improve patient management through the diagnosis and treatment of infection with acute\n                Salmonella enterica\n                serovars Typhi or Paratyphi with a sensitivity ≥90% and specificity ≥95%. The test would ideally be used at the lowest level of the healthcare system in settings without a reliable power or water supply and provide results in &lt;15 min at a cost of &lt;US$1.00.\n              \n            \n            \n              Conclusion\n              This report outlines the first comprehensive TPP for typhoid fever and is intended to guide the development of a next-generation typhoid diagnostic test. An accurate POC test will reduce the morbidity and mortality of typhoid fever through rapid diagnosis and treatment and will have the greatest impact in reducing antimicrobial resistance if it is combined with diagnostics for other causes of acute febrile illness in a treatment algorithm.","container-title":"BMJ Global Health","DOI":"10.1136/bmjgh-2019-001831","ISSN":"2059-7908","issue":"5","journalAbbreviation":"BMJ Glob Health","language":"en","page":"e001831","source":"DOI.org (Crossref)","title":"Redefining typhoid diagnosis: what would an improved test need to look like?","title-short":"Redefining typhoid diagnosis","volume":"4","author":[{"family":"Mather","given":"Richard G"},{"family":"Hopkins","given":"Heidi"},{"family":"Parry","given":"Christopher M"},{"family":"Dittrich","given":"Sabine"}],"issued":{"date-parts":[["2019",10]]}},"label":"page"},{"id":12131,"uris":["http://zotero.org/users/6216265/items/9IKQU6PU"],"itemData":{"id":12131,"type":"article-journal","container-title":"Vaccine","DOI":"10.1016/j.vaccine.2015.12.032","ISSN":"0264410X","issue":"8","journalAbbreviation":"Vaccine","language":"en","page":"995-1001","source":"DOI.org (Crossref)","title":"Workshop report: Schistosomiasis vaccine clinical development and product characteristics","title-short":"Workshop report","volume":"34","author":[{"family":"Mo","given":"Annie X."},{"family":"Colley","given":"Daniel G."}],"issued":{"date-parts":[["2016",2]]}},"label":"page"},{"id":12132,"uris":["http://zotero.org/users/6216265/items/KVXDIG9U"],"itemData":{"id":12132,"type":"article-journal","container-title":"Vaccine: X","DOI":"10.1016/j.jvacx.2020.100060","ISSN":"25901362","journalAbbreviation":"Vaccine: X","language":"en","page":"100060","source":"DOI.org (Crossref)","title":"Theoretical risk of genetic reassortment should not impede development of live, attenuated Rift Valley fever (RVF) vaccines commentary on the draft WHO RVF Target Product Profile","volume":"5","author":[{"family":"Monath","given":"Thomas P."},{"family":"Kortekaas","given":"Jeroen"},{"family":"Watts","given":"Douglas M."},{"family":"Christofferson","given":"Rebecca C."},{"family":"Desiree LaBeaud","given":"Angelle"},{"family":"Gowen","given":"Brian B"},{"family":"Peters","given":"Clarence J."},{"family":"Smith","given":"Darci R."},{"family":"Swanepoel","given":"Robert"},{"family":"Morrill","given":"John C."},{"family":"Ksiazek","given":"Thomas G."},{"family":"Pittman","given":"Phillip R"},{"family":"Nichol","given":"Stuart T."},{"family":"Bird","given":"Brian H."},{"family":"Bettinger","given":"George"}],"issued":{"date-parts":[["2020",8]]}},"label":"page"},{"id":12143,"uris":["http://zotero.org/users/6216265/items/GX745N4X"],"itemData":{"id":12143,"type":"article-journal","container-title":"PLOS ONE","DOI":"10.1371/journal.pone.0204347","ISSN":"1932-6203","issue":"9","journalAbbreviation":"PLoS ONE","language":"en","page":"e0204347","source":"DOI.org (Crossref)","title":"Molecular assays for antimalarial drug resistance surveillance: A target product profile","title-short":"Molecular assays for antimalarial drug resistance surveillance","volume":"13","author":[{"family":"Nsanzabana","given":"Christian"},{"family":"Ariey","given":"Frederic"},{"family":"Beck","given":"Hans-Peter"},{"family":"Ding","given":"Xavier C."},{"family":"Kamau","given":"Edwin"},{"family":"Krishna","given":"Sanjeev"},{"family":"Legrand","given":"Eric"},{"family":"Lucchi","given":"Naomi"},{"family":"Miotto","given":"Olivo"},{"family":"Nag","given":"Sidsel"},{"family":"Noedl","given":"Harald"},{"family":"Roper","given":"Cally"},{"family":"Rosenthal","given":"Philip J."},{"family":"Schallig","given":"Henk D. F. H."},{"family":"Taylor","given":"Steve M."},{"family":"Volkman","given":"Sarah K."},{"family":"Gonzalez","given":"Iveth J."}],"editor":[{"family":"Huijben","given":"Silvie"}],"issued":{"date-parts":[["2018",9,20]]}},"label":"page"},{"id":12150,"uris":["http://zotero.org/users/6216265/items/SK7JLVQR"],"itemData":{"id":12150,"type":"article-journal","container-title":"European Journal of Pharmaceutical Sciences","DOI":"10.1016/j.ejps.2016.08.057","ISSN":"09280987","journalAbbreviation":"European Journal of Pharmaceutical Sciences","language":"en","page":"50-61","source":"DOI.org (Crossref)","title":"QbD based development of proliposome of lopinavir for improved oral bioavailability","volume":"108","author":[{"family":"Patel","given":"Grishma M."},{"family":"Shelat","given":"Pragna K."},{"family":"Lalwani","given":"Anita N."}],"issued":{"date-parts":[["2017",10]]}},"label":"page"},{"id":12158,"uris":["http://zotero.org/users/6216265/items/GPYXURV9"],"itemData":{"id":12158,"type":"article-journal","container-title":"PLOS Neglected Tropical Diseases","DOI":"10.1371/journal.pntd.0003697","ISSN":"1935-2735","issue":"6","journalAbbreviation":"PLoS Negl Trop Dis","language":"en","page":"e0003697","source":"DOI.org (Crossref)","title":"Target Product Profile (TPP) for Chagas Disease Point-of-Care Diagnosis and Assessment of Response to Treatment","volume":"9","author":[{"family":"Porrás","given":"Analía I."},{"family":"Yadon","given":"Zaida E."},{"family":"Altcheh","given":"Jaime"},{"family":"Britto","given":"Constança"},{"family":"Chaves","given":"Gabriela C."},{"family":"Flevaud","given":"Laurence"},{"family":"Martins-Filho","given":"Olindo Assis"},{"family":"Ribeiro","given":"Isabela"},{"family":"Schijman","given":"Alejandro G."},{"family":"Shikanai-Yasuda","given":"Maria Aparecida"},{"family":"Sosa-Estani","given":"Sergio"},{"family":"Stobbaerts","given":"Eric"},{"family":"Zicker","given":"Fabio"}],"editor":[{"family":"Debrabant","given":"Alain"}],"issued":{"date-parts":[["2015",6,4]]}},"label":"page"},{"id":12160,"uris":["http://zotero.org/users/6216265/items/3DQVTJXA"],"itemData":{"id":12160,"type":"article-journal","container-title":"Infectious Diseases of Poverty","DOI":"10.1186/s40249-017-0336-9","ISSN":"2049-9957","issue":"1","journalAbbreviation":"Infect Dis Poverty","language":"en","page":"122","source":"DOI.org (Crossref)","title":"Developing a comprehensive response for treatment of children under 6 years of age with schistosomiasis: research and development of a pediatric formulation of praziquantel","title-short":"Developing a comprehensive response for treatment of children under 6 years of age with schistosomiasis","volume":"6","author":[{"family":"Reinhard-Rupp","given":"Jutta"},{"family":"Klohe","given":"Katharina"}],"issued":{"date-parts":[["2017",12]]}},"label":"page"},{"id":12162,"uris":["http://zotero.org/users/6216265/items/B6HJ6D5Q"],"itemData":{"id":12162,"type":"article-journal","container-title":"BMC Infectious Diseases","DOI":"10.1186/s12879-017-2770-5","ISSN":"1471-2334","issue":"S1","journalAbbreviation":"BMC Infect Dis","language":"en","page":"707","source":"DOI.org (Crossref)","title":"Optimising diagnosis of viraemic hepatitis C infection: the development of a target product profile","title-short":"Optimising diagnosis of viraemic hepatitis C infection","volume":"17","author":[{"family":"Ivanova Reipold","given":"Elena"},{"family":"Easterbrook","given":"Philippa"},{"family":"Trianni","given":"Alessandra"},{"family":"Panneer","given":"Nivedha"},{"family":"Krakower","given":"Douglas"},{"family":"Ongarello","given":"Stefano"},{"family":"Roberts","given":"Teri"},{"family":"Miller","given":"Veronica"},{"family":"Denkinger","given":"Claudia"}],"issued":{"date-parts":[["2017",11]]}},"label":"page"},{"id":12164,"uris":["http://zotero.org/users/6216265/items/DSYJW2FM"],"itemData":{"id":12164,"type":"article-journal","container-title":"Antiviral Research","DOI":"10.1016/j.antiviral.2013.09.016","ISSN":"01663542","journalAbbreviation":"Antiviral Research","language":"en","page":"S32-S38","source":"DOI.org (Crossref)","title":"Prioritizing multipurpose prevention technology development and investments using a target product profile","volume":"100","author":[{"family":"Romano","given":"Joe"},{"family":"Manning","given":"Judy"},{"family":"Hemmerling","given":"Anke"},{"family":"McGrory","given":"Elizabeth"},{"family":"Young Holt","given":"Bethany"}],"issued":{"date-parts":[["2013",12]]}},"label":"page"},{"id":12166,"uris":["http://zotero.org/users/6216265/items/4CXDQAGY"],"itemData":{"id":12166,"type":"article-journal","container-title":"Vaccine","DOI":"10.1016/j.vaccine.2020.01.017","ISSN":"0264410X","issue":"26","journalAbbreviation":"Vaccine","language":"en","page":"4135-4141","source":"DOI.org (Crossref)","title":"Meeting report: WHO consultation on accelerating Lassa fever vaccine development in endemic countries, Dakar, 10–11 September 2019","title-short":"Meeting report","volume":"38","author":[{"family":"Salami","given":"Kolawole"},{"family":"Gsell","given":"Pierre-Stéphane"},{"family":"Olayinka","given":"Adebola"},{"family":"Maiga","given":"Diadie"},{"family":"Formenty","given":"Pierre"},{"family":"Smith","given":"Peter G."},{"family":"Moorthy","given":"Vasee"}],"issued":{"date-parts":[["2020",5]]}},"label":"page"},{"id":12171,"uris":["http://zotero.org/users/6216265/items/6DMVZ944"],"itemData":{"id":12171,"type":"article-journal","container-title":"AAPS PharmSciTech","DOI":"10.1208/s12249-015-0367-0","ISSN":"1530-9932","issue":"2","journalAbbreviation":"AAPS PharmSciTech","language":"en","page":"454-465","source":"DOI.org (Crossref)","title":"QbD-Enabled Development of Novel Stimuli-Responsive Gastroretentive Systems of Acyclovir for Improved Patient Compliance and Biopharmaceutical Performance","volume":"17","author":[{"family":"Singh","given":"Bhupinder"},{"family":"Kaur","given":"Anterpreet"},{"family":"Dhiman","given":"Shashi"},{"family":"Garg","given":"Babita"},{"family":"Khurana","given":"Rajneet Kaur"},{"family":"Beg","given":"Sarwar"}],"issued":{"date-parts":[["2016",4]]}},"label":"page"},{"id":12174,"uris":["http://zotero.org/users/6216265/items/VW2MMZZC"],"itemData":{"id":12174,"type":"article-journal","abstract":"Effective surveillance of Aedes aegypti (Linnaeus, Diptera: Culicidae) is critical to monitoring the impact of vector control measures when mitigating disease transmission by this species. There are benefits to deploying male-specific traps, particularly when a high level of catch-specificity is desired. Here, the rationale behind the developmental process of an entirely new trap which uses a sound lure to capture male Ae. aegypti, the male Aedes sound trap (MAST), is presented as a target product profile with findings from developmental trials of key trap components and performance. Trial results suggest that the presence of a black base associated with the trap influenced male catches as did variations in size of this base, to a degree. Trap entrance shape didn’t influence catch rates, but entrance size did. No significant differences in catch rates were found when sound lures were set to intermittent or continuous playbacks, at volumes between 63–74 dB or frequencies of 450 Hz compared to 500 Hz. Additionally, adult males aged 3 days post-eclosion, were less responsive to sound lures set to 500 Hz than those 4 or 6 days old. Lastly, almost no males were caught when the MAST directly faced continual winds of 1.5 ms−1, but males were captured at low rates during intermittent winds, or if the trap faced away from the wind. The developmental process to optimising this trap is applicable to the development of alternate mosquito traps beyond Aedes sound traps and provides useful information towards the improved surveillance of these disease vectors.","container-title":"Insects","DOI":"10.3390/insects12050388","ISSN":"2075-4450","issue":"5","journalAbbreviation":"Insects","language":"en","page":"388","source":"DOI.org (Crossref)","title":"Designing Aedes (Diptera: Culicidae) Mosquito Traps: The Evolution of the Male Aedes Sound Trap by Iterative Evaluation","title-short":"Designing Aedes (Diptera","volume":"12","author":[{"family":"Staunton","given":"Kyran M."},{"family":"Liu","given":"Jianyi"},{"family":"Townsend","given":"Michael"},{"family":"Desnoyer","given":"Mark"},{"family":"Howell","given":"Paul"},{"family":"Crawford","given":"Jacob E."},{"family":"Xiang","given":"Wei"},{"family":"Snoad","given":"Nigel"},{"family":"Burkot","given":"Thomas R."},{"family":"Ritchie","given":"Scott A."}],"issued":{"date-parts":[["2021",4,27]]}},"label":"page"},{"id":12176,"uris":["http://zotero.org/users/6216265/items/VKCQZ8EL"],"itemData":{"id":12176,"type":"article-journal","container-title":"The International Journal of Tuberculosis and Lung Disease","DOI":"10.5588/ijtld.17.0486","ISSN":"1027-3719","issue":"2","journalAbbreviation":"int j tuberc lung dis","language":"en","page":"125-132","source":"DOI.org (Crossref)","title":"Long-acting formulations for the treatment of latent tuberculous infection: opportunities and challenges","title-short":"Long-acting formulations for the treatment of latent tuberculous infection","volume":"22","author":[{"family":"Swindells","given":"S."},{"family":"Siccardi","given":"M."},{"family":"Barrett","given":"S. E."},{"family":"Olsen","given":"D. B."},{"family":"Grobler","given":"J. A."},{"family":"Podany","given":"A. T."},{"family":"Nuermberger","given":"E."},{"family":"Kim","given":"P."},{"family":"Barry","given":"C. E."},{"family":"Owen","given":"A."},{"family":"Hazuda","given":"D."},{"family":"Flexner","given":"C."}],"issued":{"date-parts":[["2018",2,1]]}},"label":"page"},{"id":12190,"uris":["http://zotero.org/users/6216265/items/M48MS2XN"],"itemData":{"id":12190,"type":"article-journal","abstract":"Respiratory failure due to SARS-CoV-2 has caused widespread mortality, creating an urgent need for effective treatments and a long-term need for antivirals for future emergent coronaviruses. Pharmacotherapy for respiratory viruses has largely been unsuccessful with the exception of early treatment of influenza viruses, which shortens symptom duration and prevents infection in close contacts. Under the rapidly evolving circumstances of the COVID-19 pandemic, most clinical trials of experimental treatments in the United States have focused on later stages of the disease process. Worldwide, the clinical studies of the most impactful drugs, remdesivir and dexamethasone in ACTT-1, RECOVERY, and Solidarity, have studied hospitalized patients. Less than half of clinical trials in the U.S. have investigated oral agents, and the majority have taken place in hospitals at a disease stage where the viral load is already decreasing. The limited success of treatments for respiratory viruses and the viral dynamics of COVID-19 suggest that an antiviral therapy with the greatest impact against pandemic coronaviruses would be orally administered, well-tolerated, target a highly conserved viral protein or host-coronavirus interaction and could be used effectively throughout the world, including resource-poor settings. We examine the treatment of respiratory viral infections and current clinical trials for COVID-19 to provide a framework for effective antiviral therapy and prevention of future emergent coronaviruses and call attention to the need for continued preclinical drug discovery.","container-title":"Frontiers in Medicine","DOI":"10.3389/fmed.2020.596587","ISSN":"2296-858X","journalAbbreviation":"Front. Med.","page":"596587","source":"DOI.org (Crossref)","title":"The Need for Antiviral Drugs for Pandemic Coronaviruses From a Global Health Perspective","volume":"7","author":[{"family":"Villamagna","given":"Angela Holly"},{"family":"Gore","given":"Sara J."},{"family":"Lewis","given":"James S."},{"family":"Doggett","given":"J. Stone"}],"issued":{"date-parts":[["2020",12,22]]}},"label":"page"},{"id":12192,"uris":["http://zotero.org/users/6216265/items/Q327VGY9"],"itemData":{"id":12192,"type":"article-journal","container-title":"Current Opinion in HIV and AIDS","DOI":"10.1097/COH.0000000000000527","ISSN":"1746-630X","issue":"2","language":"en","page":"143-149","source":"DOI.org (Crossref)","title":"Current and future priorities for the development of optimal HIV drugs","volume":"14","author":[{"family":"Vitoria","given":"Marco"},{"family":"Rangaraj","given":"Ajay"},{"family":"Ford","given":"Nathan"},{"family":"Doherty","given":"Meg"}],"issued":{"date-parts":[["2019",3]]}},"label":"page"},{"id":12194,"uris":["http://zotero.org/users/6216265/items/6X5JL89X"],"itemData":{"id":12194,"type":"article-journal","container-title":"International Journal of Pharmaceutics","DOI":"10.1016/j.ijpharm.2013.07.043","ISSN":"03785173","issue":"1-2","journalAbbreviation":"International Journal of Pharmaceutics","language":"en","page":"169-181","source":"DOI.org (Crossref)","title":"Risk based approach for design and optimization of stomach specific delivery of rifampicin","volume":"455","author":[{"family":"Vora","given":"Chintan"},{"family":"Patadia","given":"Riddhish"},{"family":"Mittal","given":"Karan"},{"family":"Mashru","given":"Rajashree"}],"issued":{"date-parts":[["2013",10]]}},"label":"page"},{"id":12202,"uris":["http://zotero.org/users/6216265/items/FZQPFILQ"],"itemData":{"id":12202,"type":"article-journal","container-title":"Drug Delivery and Translational Research","DOI":"10.1007/s13346-016-0313-z","ISSN":"2190-393X, 2190-3948","issue":"5","journalAbbreviation":"Drug Deliv. and Transl. Res.","language":"en","page":"572-578","source":"DOI.org (Crossref)","title":"Preliminary consultation on preferred product characteristics of benzathine penicillin G for secondary prophylaxis of rheumatic fever","volume":"6","author":[{"family":"Wyber","given":"Rosemary"},{"family":"Boyd","given":"Ben J"},{"family":"Colquhoun","given":"Samantha"},{"family":"Currie","given":"Bart J"},{"family":"Engel","given":"Mark"},{"family":"Kado","given":"Joseph"},{"family":"Karthikeyan","given":"Ganesan"},{"family":"Sullivan","given":"Mark"},{"family":"Saxena","given":"Anita"},{"family":"Sheel","given":"Meru"},{"family":"Steer","given":"Andrew"},{"family":"Mucumbitsi","given":"Joseph"},{"family":"Zühlke","given":"Liesl"},{"family":"Carapetis","given":"Jonathan"}],"issued":{"date-parts":[["2016",10]]}},"label":"page"},{"id":12207,"uris":["http://zotero.org/users/6216265/items/BI8MIJ26"],"itemData":{"id":12207,"type":"paper-conference","container-title":"IEEE Global Humanitarian Technology Conference (GHTC 2014)","DOI":"10.1109/GHTC.2014.6970338","event-place":"San Jose, CA","event-title":"2014 IEEE Global Humanitarian Technology Conference (GHTC)","ISBN":"978-1-4799-7193-0","page":"555-560","publisher":"IEEE","publisher-place":"San Jose, CA","source":"DOI.org (Crossref)","title":"Incorporating user needs into product development for improved infection detection for malaria elimination programs","URL":"http://ieeexplore.ieee.org/document/6970338/","author":[{"family":"Ebels","given":"K. B."},{"family":"Clerk","given":"C."},{"family":"Crudder","given":"C. H."},{"family":"McGray","given":"S."},{"family":"Magnuson","given":"K."},{"family":"Tietje","given":"K."},{"family":"LaBarre","given":"P."}],"accessed":{"date-parts":[["2023",11,2]]},"issued":{"date-parts":[["2014",10]]}},"label":"page"},{"id":12208,"uris":["http://zotero.org/users/6216265/items/YUCZFS4L"],"itemData":{"id":12208,"type":"article-journal","container-title":"PLOS Neglected Tropical Diseases","DOI":"10.1371/journal.pntd.0005269","ISSN":"1935-2735","issue":"2","journalAbbreviation":"PLoS Negl Trop Dis","language":"en","page":"e0005269","source":"DOI.org (Crossref)","title":"Update on Zika Diagnostic Tests and WHO’s Related Activities","volume":"11","author":[{"family":"Chua","given":"Arlene"},{"family":"Prat","given":"Irena"},{"family":"Nuebling","given":"Claudius Micha"},{"family":"Wood","given":"David"},{"family":"Moussy","given":"Francis"}],"editor":[{"family":"De Silva","given":"Aravinda M."}],"issued":{"date-parts":[["2017",2,2]]}},"label":"page"},{"id":12210,"uris":["http://zotero.org/users/6216265/items/XIJQJ62C"],"itemData":{"id":12210,"type":"article-journal","container-title":"The Journal of Infectious Diseases","DOI":"10.1093/infdis/jiu821","ISSN":"0022-1899, 1537-6613","issue":"suppl_2","language":"en","page":"S29-S38","source":"DOI.org (Crossref)","title":"Defining the Needs for Next Generation Assays for Tuberculosis","volume":"211","author":[{"family":"Denkinger","given":"Claudia M."},{"family":"Kik","given":"Sandra V."},{"family":"Cirillo","given":"Daniela Maria"},{"family":"Casenghi","given":"Martina"},{"family":"Shinnick","given":"Thomas"},{"family":"Weyer","given":"Karin"},{"family":"Gilpin","given":"Chris"},{"family":"Boehme","given":"Catharina C."},{"family":"Schito","given":"Marco"},{"family":"Kimerling","given":"Michael"},{"family":"Pai","given":"Madhukar"}],"issued":{"date-parts":[["2015",4]]}},"label":"page"},{"id":12212,"uris":["http://zotero.org/users/6216265/items/9JFPHFWZ"],"itemData":{"id":12212,"type":"article-journal","container-title":"PLOS Neglected Tropical Diseases","DOI":"10.1371/journal.pntd.0005516","ISSN":"1935-2735","issue":"4","journalAbbreviation":"PLoS Negl Trop Dis","language":"en","page":"e0005516","source":"DOI.org (Crossref)","title":"Defining the next generation of Plasmodium vivax diagnostic tests for control and elimination: Target product profiles","title-short":"Defining the next generation of Plasmodium vivax diagnostic tests for control and elimination","volume":"11","author":[{"family":"Ding","given":"Xavier C."},{"family":"Ade","given":"Maria Paz"},{"family":"Baird","given":"J. Kevin"},{"family":"Cheng","given":"Qin"},{"family":"Cunningham","given":"Jane"},{"family":"Dhorda","given":"Mehul"},{"family":"Drakeley","given":"Chris"},{"family":"Felger","given":"Ingrid"},{"family":"Gamboa","given":"Dionicia"},{"family":"Harbers","given":"Matthias"},{"family":"Herrera","given":"Socrates"},{"family":"Lucchi","given":"Naomi"},{"family":"Mayor","given":"Alfredo"},{"family":"Mueller","given":"Ivo"},{"family":"Sattabongkot","given":"Jetsumon"},{"family":"Ratsimbason","given":"Arsène"},{"family":"Richards","given":"Jack"},{"family":"Tanner","given":"Marcel"},{"family":"González","given":"Iveth J."}],"editor":[{"family":"Pimenta","given":"Paulo Filemon"}],"issued":{"date-parts":[["2017",4,3]]}},"label":"page"},{"id":12214,"uris":["http://zotero.org/users/6216265/items/F3AIGXXG"],"itemData":{"id":12214,"type":"article-journal","container-title":"PLOS Neglected Tropical Diseases","DOI":"10.1371/journal.pntd.0005875","ISSN":"1935-2735","issue":"9","journalAbbreviation":"PLoS Negl Trop Dis","language":"en","page":"e0005875","source":"DOI.org (Crossref)","title":"Target product profiles for the diagnosis of Taenia solium taeniasis, neurocysticercosis and porcine cysticercosis","volume":"11","author":[{"family":"Donadeu","given":"Meritxell"},{"family":"Fahrion","given":"Anna S."},{"family":"Olliaro","given":"Piero L."},{"family":"Abela-Ridder","given":"Bernadette"}],"editor":[{"family":"Garcia","given":"Hector H."}],"issued":{"date-parts":[["2017",9,11]]}},"label":"page"},{"id":12216,"uris":["http://zotero.org/users/6216265/items/YHFANQX2"],"itemData":{"id":12216,"type":"article-journal","container-title":"PLOS Neglected Tropical Diseases","DOI":"10.1371/journal.pntd.0006213","ISSN":"1935-2735","issue":"3","journalAbbreviation":"PLoS Negl Trop Dis","language":"en","page":"e0006213","source":"DOI.org (Crossref)","title":"Diagnostic tools for soil-transmitted helminths control and elimination programs: A pathway for diagnostic product development","title-short":"Diagnostic tools for soil-transmitted helminths control and elimination programs","volume":"12","author":[{"family":"Lim","given":"Mark D."},{"family":"Brooker","given":"Simon J."},{"family":"Belizario","given":"Vicente Y."},{"family":"Gay-Andrieu","given":"Françoise"},{"family":"Gilleard","given":"John"},{"family":"Levecke","given":"Bruno"},{"family":"Van Lieshout","given":"Lisette"},{"family":"Medley","given":"Graham F."},{"family":"Mekonnen","given":"Zeleke"},{"family":"Mirams","given":"Greg"},{"family":"Njenga","given":"Sammy M."},{"family":"Odiere","given":"Maurice R."},{"family":"Rudge","given":"James W."},{"family":"Stuyver","given":"Lieven"},{"family":"Vercruysse","given":"Jozef"},{"family":"Vlaminck","given":"Johnny"},{"family":"Walson","given":"Judd L."},{"literal":"the Annecy STH diagnostic experts group"}],"editor":[{"family":"Maruyama","given":"Haruhiko"}],"issued":{"date-parts":[["2018",3,1]]}},"label":"page"},{"id":12218,"uris":["http://zotero.org/users/6216265/items/89U67V5S"],"itemData":{"id":12218,"type":"article-journal","container-title":"Military Medicine","DOI":"10.7205/MILMED-D-15-00231","ISSN":"0026-4075, 1930-613X","issue":"8","journalAbbreviation":"Military Medicine","language":"en","page":"756-766","source":"DOI.org (Crossref)","title":"Assessing the Dengue Diagnosis Capability Gap in the Military Health System","volume":"181","author":[{"family":"Pal","given":"Subhamoy"},{"family":"Jasper","given":"Louis E."},{"family":"Lawrence","given":"Kendra L."},{"family":"Walter","given":"Maureen"},{"family":"Gilliland","given":"Theron"},{"family":"Dauner","given":"Allison L."},{"family":"Palys","given":"Thomas J."},{"family":"Wu","given":"Shuenn-Jue L."}],"issued":{"date-parts":[["2016",8]]}},"label":"page"},{"id":12220,"uris":["http://zotero.org/users/6216265/items/6KMQJESE"],"itemData":{"id":12220,"type":"article-journal","container-title":"PLoS Neglected Tropical Diseases","DOI":"10.1371/journal.pntd.0001746","ISSN":"1935-2735","issue":"7","journalAbbreviation":"PLoS Negl Trop Dis","language":"en","page":"e1746","source":"DOI.org (Crossref)","title":"A Diagnostics Platform for the Integrated Mapping, Monitoring, and Surveillance of Neglected Tropical Diseases: Rationale and Target Product Profiles","title-short":"A Diagnostics Platform for the Integrated Mapping, Monitoring, and Surveillance of Neglected Tropical Diseases","volume":"6","author":[{"family":"Solomon","given":"Anthony W."},{"family":"Engels","given":"Dirk"},{"family":"Bailey","given":"Robin L."},{"family":"Blake","given":"Isobel M."},{"family":"Brooker","given":"Simon"},{"family":"Chen","given":"Jia-Xu"},{"family":"Chen","given":"Jun-Hu"},{"family":"Churcher","given":"Thomas S."},{"family":"Drakeley","given":"Chris J."},{"family":"Edwards","given":"Tansy"},{"family":"Fenwick","given":"Alan"},{"family":"French","given":"Michael"},{"family":"Gabrielli","given":"Albis Francesco"},{"family":"Grassly","given":"Nicholas C."},{"family":"Harding-Esch","given":"Emma M."},{"family":"Holland","given":"Martin J."},{"family":"Koukounari","given":"Artemis"},{"family":"Lammie","given":"Patrick J."},{"family":"Leslie","given":"Jacqueline"},{"family":"Mabey","given":"David C."},{"family":"Rhajaoui","given":"Mohamed"},{"family":"Secor","given":"W. Evan"},{"family":"Stothard","given":"J. Russell"},{"family":"Wei","given":"Hu"},{"family":"Willingham","given":"A. Lee"},{"family":"Zhou","given":"Xiao-Nong"},{"family":"Peeling","given":"Rosanna W."}],"editor":[{"family":"McCarthy","given":"James S."}],"issued":{"date-parts":[["2012",7,31]]}},"label":"page"},{"id":12222,"uris":["http://zotero.org/users/6216265/items/77LMTDQW"],"itemData":{"id":12222,"type":"article-journal","container-title":"Sexually Transmitted Infections","DOI":"10.1136/sextrans-2016-053071","ISSN":"1368-4973, 1472-3263","issue":"S4","journalAbbreviation":"Sex Transm Infect","language":"en","page":"S69-S80","source":"DOI.org (Crossref)","title":"Advancing prevention of sexually transmitted infections through point-of-care testing: target product profiles and landscape analysis","title-short":"Advancing prevention of sexually transmitted infections through point-of-care testing","volume":"93","author":[{"family":"Toskin","given":"Igor"},{"family":"Murtagh","given":"Maurine"},{"family":"Peeling","given":"Rosanna W"},{"family":"Blondeel","given":"Karel"},{"family":"Cordero","given":"Joanna"},{"family":"Kiarie","given":"James"}],"issued":{"date-parts":[["2017",12]]}},"label":"page"},{"id":12224,"uris":["http://zotero.org/users/6216265/items/PPK7BIQD"],"itemData":{"id":12224,"type":"article-journal","container-title":"Clinical Microbiology and Infection","DOI":"10.1016/j.cmi.2015.03.014","ISSN":"1198743X","issue":"6","journalAbbreviation":"Clinical Microbiology and Infection","language":"en","page":"529-542","source":"DOI.org (Crossref)","title":"New diagnostic tools in schistosomiasis","volume":"21","author":[{"family":"Utzinger","given":"J."},{"family":"Becker","given":"S.L."},{"family":"Van Lieshout","given":"L."},{"family":"Van Dam","given":"G.J."},{"family":"Knopp","given":"S."}],"issued":{"date-parts":[["2015",6]]}},"label":"page"}],"schema":"https://github.com/citation-style-language/schema/raw/master/csl-citation.json"} </w:instrText>
            </w:r>
            <w:r>
              <w:fldChar w:fldCharType="separate"/>
            </w:r>
            <w:r w:rsidRPr="0054669B">
              <w:rPr>
                <w:rFonts w:ascii="Calibri" w:hAnsi="Calibri" w:cs="Calibri"/>
                <w:szCs w:val="24"/>
              </w:rPr>
              <w:t>(7–20,23,31,33–35,37,46,48,51,52,54–59,61–63,66,68,69,71,72,76–79,81,83,85–88,90,94,95,101,106,112–114,116,</w:t>
            </w:r>
            <w:r>
              <w:rPr>
                <w:rFonts w:ascii="Calibri" w:hAnsi="Calibri" w:cs="Calibri"/>
                <w:szCs w:val="24"/>
              </w:rPr>
              <w:t xml:space="preserve"> </w:t>
            </w:r>
            <w:r w:rsidRPr="0054669B">
              <w:rPr>
                <w:rFonts w:ascii="Calibri" w:hAnsi="Calibri" w:cs="Calibri"/>
                <w:szCs w:val="24"/>
              </w:rPr>
              <w:t>120,122,123,130,134,135,137,142)</w:t>
            </w:r>
            <w:r>
              <w:fldChar w:fldCharType="end"/>
            </w:r>
          </w:p>
        </w:tc>
      </w:tr>
      <w:tr w:rsidR="009120C6" w14:paraId="044A7BF6" w14:textId="77777777" w:rsidTr="00E666ED">
        <w:tc>
          <w:tcPr>
            <w:tcW w:w="1260" w:type="dxa"/>
            <w:vMerge/>
            <w:vAlign w:val="center"/>
          </w:tcPr>
          <w:p w14:paraId="423CCE08" w14:textId="77777777" w:rsidR="009120C6" w:rsidRDefault="009120C6" w:rsidP="00106C2C">
            <w:pPr>
              <w:spacing w:line="276" w:lineRule="auto"/>
            </w:pPr>
          </w:p>
        </w:tc>
        <w:tc>
          <w:tcPr>
            <w:tcW w:w="2790" w:type="dxa"/>
            <w:vAlign w:val="center"/>
          </w:tcPr>
          <w:p w14:paraId="31B8D4F6" w14:textId="7B3885E4" w:rsidR="009120C6" w:rsidRDefault="009120C6" w:rsidP="00106C2C">
            <w:pPr>
              <w:spacing w:line="276" w:lineRule="auto"/>
            </w:pPr>
            <w:r>
              <w:t>Non-infectious disease</w:t>
            </w:r>
          </w:p>
        </w:tc>
        <w:tc>
          <w:tcPr>
            <w:tcW w:w="5017" w:type="dxa"/>
            <w:vAlign w:val="center"/>
          </w:tcPr>
          <w:p w14:paraId="1ACEA2DB" w14:textId="5621D2D5" w:rsidR="009120C6" w:rsidRDefault="009120C6" w:rsidP="00106C2C">
            <w:pPr>
              <w:spacing w:line="276" w:lineRule="auto"/>
            </w:pPr>
            <w:r>
              <w:fldChar w:fldCharType="begin"/>
            </w:r>
            <w:r w:rsidR="00C94C08">
              <w:instrText xml:space="preserve"> ADDIN ZOTERO_ITEM CSL_CITATION {"citationID":"i9KTrFDo","properties":{"formattedCitation":"(210,211,213\\uc0\\u8211{}217,226,231,234,236,237,240,247,249,250,252,260,265,267,269,273,277,279,284,289,297,299,305,309,310,313,314,317,330)","plainCitation":"(210,211,213–217,226,231,234,236,237,240,247,249,250,252,260,265,267,269,273,277,279,284,289,297,299,305,309,310,313,314,317,330)","noteIndex":0},"citationItems":[{"id":12023,"uris":["http://zotero.org/users/6216265/items/YFYAR9K4"],"itemData":{"id":12023,"type":"article-journal","container-title":"European Journal of Pharmaceutical Sciences","DOI":"10.1016/j.ejps.2016.01.003","ISSN":"09280987","journalAbbreviation":"European Journal of Pharmaceutical Sciences","language":"en","page":"92-102","source":"DOI.org (Crossref)","title":"Quality by design case study 1: Design of 5-fluorouracil loaded lipid nanoparticles by the W/O/W double emulsion — Solvent evaporation method","title-short":"Quality by design case study 1","volume":"84","author":[{"family":"Amasya","given":"Gulin"},{"family":"Badilli","given":"Ulya"},{"family":"Aksu","given":"Buket"},{"family":"Tarimci","given":"Nilufer"}],"issued":{"date-parts":[["2016",3]]}},"label":"page"},{"id":12024,"uris":["http://zotero.org/users/6216265/items/4HCDU9ZC"],"itemData":{"id":12024,"type":"article-journal","container-title":"AAPS PharmSciTech","DOI":"10.1208/s12249-019-1465-1","ISSN":"1530-9932","issue":"6","journalAbbreviation":"AAPS PharmSciTech","language":"en","page":"251","source":"DOI.org (Crossref)","title":"Quality-by-Design Approach for Biological API Encapsulation into Polymersomes Using “Off-the-Shelf” Materials: a Study on L-Asparaginase","title-short":"Quality-by-Design Approach for Biological API Encapsulation into Polymersomes Using “Off-the-Shelf” Materials","volume":"20","author":[{"family":"Apolinário","given":"Alexsandra Conceição"},{"family":"Ferraro","given":"Rafael Bertelli"},{"family":"De Oliveira","given":"Camila Areias"},{"family":"Pessoa Jr","given":"Adalberto"},{"family":"De Oliveira Rangel-Yagui","given":"Carlota"}],"issued":{"date-parts":[["2019",8]]}},"label":"page"},{"id":12026,"uris":["http://zotero.org/users/6216265/items/NPEBDUJM"],"itemData":{"id":12026,"type":"article-journal","container-title":"International Journal of Pharmaceutics","DOI":"10.1016/j.ijpharm.2019.118448","ISSN":"03785173","journalAbbreviation":"International Journal of Pharmaceutics","language":"en","page":"118448","source":"DOI.org (Crossref)","title":"Quality by design driven development of resveratrol loaded ethosomal hydrogel for improved dermatological benefits via enhanced skin permeation and retention","volume":"567","author":[{"family":"Arora","given":"Daisy"},{"family":"Nanda","given":"Sanju"}],"issued":{"date-parts":[["2019",8]]}},"label":"page"},{"id":12027,"uris":["http://zotero.org/users/6216265/items/BRZJXFFJ"],"itemData":{"id":12027,"type":"article-journal","container-title":"International Journal of Pharmaceutics","DOI":"10.1016/j.ijpharm.2016.01.075","ISSN":"03785173","issue":"1-2","journalAbbreviation":"International Journal of Pharmaceutics","language":"en","page":"180-189","source":"DOI.org (Crossref)","title":"Self-assembly PEGylation assists SLN-paclitaxel delivery inducing cancer cell apoptosis upon internalization","volume":"501","author":[{"family":"Arranja","given":"Alexandra"},{"family":"Gouveia","given":"Luís F."},{"family":"Gener","given":"Petra"},{"family":"Rafael","given":"Diana F."},{"family":"Pereira","given":"Carolina"},{"family":"Schwartz","given":"Simó"},{"family":"Videira","given":"Mafalda A."}],"issued":{"date-parts":[["2016",3]]}},"label":"page"},{"id":12028,"uris":["http://zotero.org/users/6216265/items/AG23CAYM"],"itemData":{"id":12028,"type":"article-journal","container-title":"International Journal of Pharmaceutics","DOI":"10.1016/j.ijpharm.2012.08.033","ISSN":"03785173","issue":"1-2","journalAbbreviation":"International Journal of Pharmaceutics","language":"en","page":"167-175","source":"DOI.org (Crossref)","title":"Quality by design: Impact of formulation variables and their interactions on quality attributes of a lyophilized monoclonal antibody","title-short":"Quality by design","volume":"438","author":[{"family":"Awotwe-Otoo","given":"David"},{"family":"Agarabi","given":"Cyrus"},{"family":"Wu","given":"Geoffrey K."},{"family":"Casey","given":"Elizabeth"},{"family":"Read","given":"Erik"},{"family":"Lute","given":"Scott"},{"family":"Brorson","given":"Kurt A."},{"family":"Khan","given":"Mansoor A."},{"family":"Shah","given":"Rakhi B."}],"issued":{"date-parts":[["2012",11]]}},"label":"page"},{"id":12029,"uris":["http://zotero.org/users/6216265/items/STJ6NVD3"],"itemData":{"id":12029,"type":"article-journal","container-title":"Colloids and Surfaces B: Biointerfaces","DOI":"10.1016/j.colsurfb.2017.08.050","ISSN":"09277765","journalAbbreviation":"Colloids and Surfaces B: Biointerfaces","language":"en","page":"869-879","source":"DOI.org (Crossref)","title":"Formulation by design approach for development of ultrafine self-nanoemulsifying systems of rosuvastatin calcium containing long-chain lipophiles for hyperlipidemia management","volume":"159","author":[{"family":"Beg","given":"Sarwar"},{"family":"Katare","given":"O.P."},{"family":"Singh","given":"Bhupinder"}],"issued":{"date-parts":[["2017",11]]}},"label":"page"},{"id":12033,"uris":["http://zotero.org/users/6216265/items/RN2BACGJ"],"itemData":{"id":12033,"type":"article-journal","container-title":"Journal of Investigative Dermatology","DOI":"10.1016/j.jid.2019.07.699","ISSN":"0022202X","issue":"11","journalAbbreviation":"Journal of Investigative Dermatology","language":"en","page":"2252-2257.e1","source":"DOI.org (Crossref)","title":"Research Techniques Made Simple: An Introduction to Drug Discovery for Dermatology","title-short":"Research Techniques Made Simple","volume":"139","author":[{"family":"Bell","given":"Mark"},{"family":"Webster","given":"Lauren"},{"family":"Woodland","given":"Andrew"}],"issued":{"date-parts":[["2019",11]]}},"label":"page"},{"id":12049,"uris":["http://zotero.org/users/6216265/items/JPXF5H3P"],"itemData":{"id":12049,"type":"article-journal","abstract":"Purpose: The purpose of the study was to develop and optimize rosiglitazone maleate mucoadhesive extended-release tablets by quality by design (QbD) approach. Based on QTPP (quality target product profile) CQAs (critical quality attributes) were identified.  Methods: Failure mode and effects analysis (FMEA) method were adopted for risk assessment. Risk analysis by the evaluation of formulation and process parameters showed that the optimizing the levels of polymers could reduce high risk to achieve target profile. Drug-excipient compatibility studies by Fourier transforms infra-red and DSC studies showed that the drug was compatible with the polymers used. Design of experiment (DoE) performed by Sigma tech software, Carbopol 934P and sodium carboxymethyl cellulose (SCMC) were identified as independent variables and hardness, drug release at 12 hours and ex vivo mucoadhesion time were adopted as responses. Contour plots generated from the software were used for identification of design space.  Results: Carbopol 934P and SCMC had positive and negative effects respectively on the selected responses. Higher the concentration of Carbopol 934P and lower the concentration of SCMC mucoadhesive extended release criteria could be achieved. Drug release kinetics followed first order release with Higuchi diffusion and Fickian diffusion. Ex vivo mucoadhesion test on goat stomach mucosa indicated that adhesion time increased at higher concentrations of Carbopol 934P. Optimized formula satisfying all the required parameters was selected and evaluated. The predicted response values were in close agreement with experimental response values, confirmed by calculating standard error.  Conclusion: It has been concluded that the application of QbD in the optimization reduced the number of trials to produce a cost-effective formula.","container-title":"Advanced Pharmaceutical Bulletin","DOI":"10.15171/apb.2019.032","ISSN":"2228-5881, 2251-7308","issue":"2","journalAbbreviation":"Adv Pharm Bull","language":"en","page":"281-288","source":"DOI.org (Crossref)","title":"A Cost Effective (QbD) Approach in the Development and Optimization of Rosiglitazone Maleate Mucoadhesive Extended Release Tablets – In Vitro and Ex Vivo","volume":"9","author":[{"family":"Chappidi","given":"Suryaprakash Reddy"},{"family":"Bhargav","given":"Eranti"},{"family":"Marikunte","given":"Venkataranganna"},{"family":"Chinthaginjala","given":"Haranath"},{"family":"Vijaya Jyothi","given":"Mallela"},{"family":"Pisay","given":"Muralidhar"},{"family":"Jutur","given":"Mounika"},{"family":"Shaik Mahammad","given":"Mujahid"},{"family":"Poura","given":"Mrunalini"},{"family":"Yadav","given":"Sailaja"},{"family":"Syed","given":"Moinuddin"}],"issued":{"date-parts":[["2019",6,1]]}},"label":"page"},{"id":12055,"uris":["http://zotero.org/users/6216265/items/H7PPVU8R"],"itemData":{"id":12055,"type":"article-journal","container-title":"International Journal of Pharmaceutics","DOI":"10.1016/j.ijpharm.2021.120933","ISSN":"03785173","journalAbbreviation":"International Journal of Pharmaceutics","language":"en","page":"120933","source":"DOI.org (Crossref)","title":"Quality by design (QbD) optimization of diazepam-loaded nanostructured lipid carriers (NLC) for nose-to-brain delivery: Toxicological effect of surface charge on human neuronal cells","title-short":"Quality by design (QbD) optimization of diazepam-loaded nanostructured lipid carriers (NLC) for nose-to-brain delivery","volume":"607","author":[{"family":"Costa","given":"C.P."},{"family":"Cunha","given":"S."},{"family":"Moreira","given":"J.N."},{"family":"Silva","given":"R."},{"family":"Gil-Martins","given":"E."},{"family":"Silva","given":"V."},{"family":"Azevedo","given":"L."},{"family":"Peixoto","given":"A.F."},{"family":"Sousa Lobo","given":"J.M."},{"family":"Silva","given":"A.C."}],"issued":{"date-parts":[["2021",9]]}},"label":"page"},{"id":12058,"uris":["http://zotero.org/users/6216265/items/54PQPFSY"],"itemData":{"id":12058,"type":"article-journal","abstract":"Rivastigmine is a drug commonly used in the management of Alzheimer’s disease that shows bioavailability problems. To overcome this, the use of nanosystems, such as nanostructured lipid carriers (NLC), administered through alternative routes seems promising. In this work, we performed a double optimization of a rivastigmine-loaded NLC formulation for direct drug delivery from the nose to the brain using the quality by design (QbD) approach, whereby the quality target product profile (QTPP) was the requisite for nose to brain delivery. The experiments started with the optimization of the formulation variables (or critical material attributes—CMAs) using a central composite design. The rivastigmine-loaded NLC formulations with the best critical quality attributes (CQAs) of particle size, polydispersity index (PDI), zeta potential (ZP), and encapsulation efficiency (EE) were selected for the second optimization, which was related to the production methods (ultrasound technique and high-pressure homogenization). The most suitable instrumental parameters for the production of NLC were analyzed through a Box–Behnken design, with the same CQAs being evaluated for the first optimization. For the second part of the optimization studies, were selected two rivastigmine-loaded NLC formulations: one produced by ultrasound technique and the other by the high-pressure homogenization (HPH) method. Afterwards, the pH and osmolarity of these formulations were adjusted to the physiological nasal mucosa values and in vitro drug release studies were performed. The results of the first part of the optimization showed that the most adequate ratios of lipids and surfactants were 7.49:1.94 and 4.5:0.5 (%, w/w), respectively. From the second part of the optimization, the results for the particle size, PDI, ZP, and EE of the rivastigmine-loaded NLC formulations produced by ultrasound technique and HPH method were, respectively, 114.0 ± 1.9 nm and 109.0 ± 0.9 nm; 0.221 ± 0.003 and 0.196 ± 0.007; −30.6 ± 0.3 mV and −30.5 ± 0.3 mV; 97.0 ± 0.5% and 97.2 ± 0.3%. Herein, the HPH was selected as the most suitable production method, although the ultrasound technique has also shown effectiveness. In addition, no significant changes in CQAs were observed after 90 days of storage of the formulations at different temperatures. In vitro studies showed that the release of rivastigmine followed a non-Fickian mechanism, with an initial fast drug release followed by a prolonged release over 48 h. This study has optimized a rivastigmine-loaded NLC formulation produced by the HPH method for nose-to-brain delivery of rivastigmine. The next step is for in vitro and in vivo experiments to demonstrate preclinical efficacy and safety. QbD was demonstrated to be a useful approach for the optimization of NLC formulations for which specific physicochemical requisites can be identified.","container-title":"Pharmaceutics","DOI":"10.3390/pharmaceutics12070599","ISSN":"1999-4923","issue":"7","journalAbbreviation":"Pharmaceutics","language":"en","page":"599","source":"DOI.org (Crossref)","title":"Double Optimization of Rivastigmine-Loaded Nanostructured Lipid Carriers (NLC) for Nose-to-Brain Delivery Using the Quality by Design (QbD) Approach: Formulation Variables and Instrumental Parameters","title-short":"Double Optimization of Rivastigmine-Loaded Nanostructured Lipid Carriers (NLC) for Nose-to-Brain Delivery Using the Quality by Design (QbD) Approach","volume":"12","author":[{"family":"Cunha","given":"Sara"},{"family":"Costa","given":"Cláudia Pina"},{"family":"Loureiro","given":"Joana A."},{"family":"Alves","given":"Jorge"},{"family":"Peixoto","given":"Andreia F."},{"family":"Forbes","given":"Ben"},{"family":"Sousa Lobo","given":"José Manuel"},{"family":"Silva","given":"Ana Catarina"}],"issued":{"date-parts":[["2020",6,28]]}},"label":"page"},{"id":12063,"uris":["http://zotero.org/users/6216265/items/UA5H37QU"],"itemData":{"id":12063,"type":"article-journal","container-title":"AAPS PharmSciTech","DOI":"10.1208/s12249-021-02132-5","ISSN":"1530-9932","issue":"7","journalAbbreviation":"AAPS PharmSciTech","language":"en","page":"244","source":"DOI.org (Crossref)","title":"Development and Optimization of Asenapine Sublingual Film Using QbD Approach","volume":"22","author":[{"family":"Dalal","given":"Rahil"},{"family":"Shah","given":"Jigar"},{"family":"Gorain","given":"Bapi"},{"family":"Choudhury","given":"Hira"},{"family":"Jacob","given":"Shery"},{"family":"Mehta","given":"Tejal A."},{"family":"Shah","given":"Hiral"},{"family":"Nair","given":"Anroop B."}],"issued":{"date-parts":[["2021",10]]}},"label":"page"},{"id":12064,"uris":["http://zotero.org/users/6216265/items/7YUHUR53"],"itemData":{"id":12064,"type":"article-journal","container-title":"International Journal of Pharmaceutics","DOI":"10.1016/j.ijpharm.2019.118717","ISSN":"03785173","journalAbbreviation":"International Journal of Pharmaceutics","language":"en","page":"118717","source":"DOI.org (Crossref)","title":"Quality by design approach for the preparation of fat-soluble vitamins lipid injectable emulsion","volume":"571","author":[{"family":"Deng","given":"Yanping"},{"family":"Zhong","given":"Guifeng"},{"family":"Wang","given":"Yi"},{"family":"Wang","given":"Ni"},{"family":"Yu","given":"Qing"},{"family":"Yu","given":"Xiangbin"}],"issued":{"date-parts":[["2019",11]]}},"label":"page"},{"id":12069,"uris":["http://zotero.org/users/6216265/items/PEZECKTS"],"itemData":{"id":12069,"type":"article-journal","container-title":"Pharmaceutical Research","DOI":"10.1007/s11095-019-2663-y","ISSN":"0724-8741, 1573-904X","issue":"10","journalAbbreviation":"Pharm Res","language":"en","page":"142","source":"DOI.org (Crossref)","title":"Identification of Factors of Importance for Spray Drying of Small Interfering RNA-Loaded Lipidoid-Polymer Hybrid Nanoparticles for Inhalation","volume":"36","author":[{"family":"Dormenval","given":"Cypriane"},{"family":"Lokras","given":"Abhijeet"},{"family":"Cano-Garcia","given":"Guillermo"},{"family":"Wadhwa","given":"Abishek"},{"family":"Thanki","given":"Kaushik"},{"family":"Rose","given":"Fabrice"},{"family":"Thakur","given":"Aneesh"},{"family":"Franzyk","given":"Henrik"},{"family":"Foged","given":"Camilla"}],"issued":{"date-parts":[["2019",10]]}},"label":"page"},{"id":12080,"uris":["http://zotero.org/users/6216265/items/R5UEG7PJ"],"itemData":{"id":12080,"type":"article-journal","abstract":"Abstract\n            \n              The main objective of the present study was to apply QbD methodology in the development of once-a-day sustained release quetiapine tablets. The quality target product profile (QTPP) was defined after the pharmaceutical properties and kinetic release of the innovator product, Seroquel XR 200 mg. For the D-optimal experimental design, the level and ratio of matrix forming agents and the type of extragranular diluent were chosen as independent inputs, which represented critical formulation factors. The critical quality attributes (CQAs) studied were the cumulative percentages of quetiapine released after certain time intervals. After the analysis of the experimental design, optimal formulas and the design space were defined. Optimal formulas demonstrated zero-order release kinetics and a dissolution profile similar to the innovator product, with f\n              2\n              values of 74.53 and 83.74. It was concluded that the QbD approach allowed fast development of sustained release tablets with similar dissolution behavior as the innovator product.","container-title":"Acta Pharmaceutica","DOI":"10.1515/acph-2017-0009","ISSN":"1846-9558","issue":"1","language":"en","page":"53-70","source":"DOI.org (Crossref)","title":"Formulation and pharmaceutical development of quetiapine fumarate sustained release matrix tablets using a QbD approach","volume":"67","author":[{"family":"Gavan","given":"Alexandru"},{"family":"Porfire","given":"Alina"},{"family":"Marina","given":"Cristina"},{"family":"Tomuta","given":"Ioan"}],"issued":{"date-parts":[["2017",3,1]]}},"label":"page"},{"id":12088,"uris":["http://zotero.org/users/6216265/items/ZYSEVCYB"],"itemData":{"id":12088,"type":"article-journal","container-title":"AAPS PharmSciTech","DOI":"10.1208/s12249-017-0797-y","ISSN":"1530-9932","issue":"8","journalAbbreviation":"AAPS PharmSciTech","language":"en","page":"3129-3139","source":"DOI.org (Crossref)","title":"Implementation of Quality by Design for Formulation of Rebamipide Gastro-retentive Tablet","volume":"18","author":[{"family":"Ha","given":"Jung-Myung"},{"family":"Seo","given":"Jeong-Woong"},{"family":"Kim","given":"Su-Hyeon"},{"family":"Kim","given":"Ju-Young"},{"family":"Park","given":"Chun-Woong"},{"family":"Rhee","given":"Yun-Seok"},{"family":"Park","given":"Eun-Seok"}],"issued":{"date-parts":[["2017",11]]}},"label":"page"},{"id":12089,"uris":["http://zotero.org/users/6216265/items/8GSLRBZA"],"itemData":{"id":12089,"type":"article-journal","container-title":"European Journal of Pharmaceutical Sciences","DOI":"10.1016/j.ejps.2017.01.006","ISSN":"09280987","journalAbbreviation":"European Journal of Pharmaceutical Sciences","language":"en","page":"249-261","source":"DOI.org (Crossref)","title":"A quality by design (QbD) study on enoxaparin sodium loaded polymeric microspheres for colon-specific delivery","volume":"100","author":[{"family":"Hales","given":"Dana"},{"family":"Vlase","given":"Laurian"},{"family":"Porav","given":"Sebastian Alin"},{"family":"Bodoki","given":"Andreea"},{"family":"Barbu-Tudoran","given":"Lucian"},{"family":"Achim","given":"Marcela"},{"family":"Tomuță","given":"Ioan"}],"issued":{"date-parts":[["2017",3]]}},"label":"page"},{"id":12092,"uris":["http://zotero.org/users/6216265/items/IJ9LMEFN"],"itemData":{"id":12092,"type":"article-journal","abstract":"Background:\n              Binge-eating disorder (BED) is a common psychiatric condition with adverse psychological and metabolic consequences. Lisdexamfetamine (LDX) is the only approved BED drug treatment. New drugs to treat BED are urgently needed.\n            \n            \n              Methods:\n              A comprehensive review of published psychopathological, pharmacological and clinical findings.\n            \n            \n              Results:\n              The evidence supports the hypothesis that BED is an impulse control disorder with similarities to ADHD, including responsiveness to catecholaminergic drugs, for example LDX and dasotraline. The target product profile (TPP) of the ideal BED drug combines treating the psychopathological drivers of the disorder with an independent weight-loss effect. Drugs with proven efficacy in BED have a common pharmacology; they potentiate central noradrenergic and dopaminergic neurotransmission. Because of the overlap between pharmacotherapy in attention deficit hyperactivity disorder (ADHD) and BED, drug-candidates from diverse pharmacological classes, which have already failed in ADHD would also be predicted to fail if tested in BED. The failure in BED trials of drugs with diverse pharmacological mechanisms indicates many possible avenues for drug discovery can probably be discounted.\n            \n            \n              Conclusions:\n              (1) The efficacy of drugs for BED is dependent on reducing its core psychopathologies of impulsivity, compulsivity and perseveration and by increasing cognitive control of eating. (2) The analysis revealed a large number of pharmacological mechanisms are unlikely to be productive in the search for effective new BED drugs. (3) The most promising areas for new treatments for BED are drugs, which augment noradrenergic and dopaminergic neurotransmission and/or those which are effective in ADHD.","container-title":"Journal of Psychopharmacology","DOI":"10.1177/02698811211032475","ISSN":"0269-8811, 1461-7285","issue":"6","journalAbbreviation":"J Psychopharmacol","language":"en","page":"680-703","source":"DOI.org (Crossref)","title":"Prospects for new drugs to treat binge-eating disorder: Insights from psychopathology and neuropharmacology","title-short":"Prospects for new drugs to treat binge-eating disorder","volume":"36","author":[{"family":"Heal","given":"David J"},{"family":"Smith","given":"Sharon L"}],"issued":{"date-parts":[["2022",6]]}},"label":"page"},{"id":12100,"uris":["http://zotero.org/users/6216265/items/26BEY4TK"],"itemData":{"id":12100,"type":"article-journal","container-title":"AAPS PharmSciTech","DOI":"10.1208/s12249-018-0951-1","ISSN":"1530-9932","issue":"3","journalAbbreviation":"AAPS PharmSciTech","language":"en","page":"1377-1391","source":"DOI.org (Crossref)","title":"Risk Assessment Integrated QbD Approach for Development of Optimized Bicontinuous Mucoadhesive Limicubes for Oral Delivery of Rosuvastatin","volume":"19","author":[{"family":"Javed","given":"Md Noushad"},{"family":"Kohli","given":"Kanchan"},{"family":"Amin","given":"Saima"}],"issued":{"date-parts":[["2018",4]]}},"label":"page"},{"id":12107,"uris":["http://zotero.org/users/6216265/items/32PGGJI8"],"itemData":{"id":12107,"type":"article-journal","abstract":"The purpose of this study was to develop a resveratrol nanosuspension with enhanced oral bioavailability, based on an understanding of the formulation and process parameters of nanosuspensions and using a quality by design (QbD) approach. Particularly, the antisolvent method, which requires no solvent removal and no heating, is newly applied to prepare resveratrol nanosuspension. To ensure the quality of the resveratrol nanosuspensions, a quality target product profile (QTPP) was defined. The particle size (z-average, d90), zeta potential, and drug content parameters affecting the QTPP were selected as critical quality attributes (CQAs). The optimum composition obtained using a 3-factor, 3-level Box–Behnken design was as follows: polyvinylpyrrolidone vinyl acetate (10 mg/mL), polyvinylpyrrolidone K12 (5 mg/mL), sodium lauryl sulfate (1 mg/mL), and diethylene glycol monoethyl ether (DEGEE, 5% v/v) at a resveratrol concentration of 5 mg/mL. The initial particle size (z-average) was 46.3 nm and the zeta potential was −38.02 mV. The robustness of the antisolvent process using the optimized composition conditions was ensured by a full factorial design. The dissolution rate of the optimized resveratrol nanosuspension was significantly greater than that of the resveratrol raw material. An in vivo pharmacokinetic study in rats showed that the area under the plasma concentration versus time curve (AUC0–12h) and the maximum plasma concentration (Cmax) respectively, than those of the resveratrol raw material. Therefore, the prepara values of the resveratrol nanosuspension were approximately 1.6- and 5.7-fold higher,tion of a resveratrol nanosuspension using the QbD approach may be an effective strategy for the development of a new dosage form of resveratrol, with enhanced oral bioavailability.","container-title":"Pharmaceutics","DOI":"10.3390/pharmaceutics11120688","ISSN":"1999-4923","issue":"12","journalAbbreviation":"Pharmaceutics","language":"en","page":"688","source":"DOI.org (Crossref)","title":"Development of a Resveratrol Nanosuspension Using the Antisolvent Precipitation Method without Solvent Removal, Based on a Quality by Design (QbD) Approach","volume":"11","author":[{"family":"Kuk","given":"Do-Hoon"},{"family":"Ha","given":"Eun-Sol"},{"family":"Ha","given":"Dong-Hyun"},{"family":"Sim","given":"Woo-Yong"},{"family":"Lee","given":"Seon-Kwang"},{"family":"Jeong","given":"Ji-Su"},{"family":"Kim","given":"Jeong-Soo"},{"family":"Baek","given":"In-hwan"},{"family":"Park","given":"Heejun"},{"family":"Choi","given":"Du Hyung"},{"family":"Yoo","given":"Jin-Wook"},{"family":"Jeong","given":"Seong Hoon"},{"family":"Hwang","given":"Sung-Joo"},{"family":"Kim","given":"Min-Soo"}],"issued":{"date-parts":[["2019",12,17]]}},"label":"page"},{"id":12111,"uris":["http://zotero.org/users/6216265/items/2UIYAEJS"],"itemData":{"id":12111,"type":"article-journal","container-title":"International Journal of Pharmaceutics","DOI":"10.1016/j.ijpharm.2017.08.094","ISSN":"03785173","issue":"2","journalAbbreviation":"International Journal of Pharmaceutics","language":"en","page":"740-746","source":"DOI.org (Crossref)","title":"Engineering of budesonide-loaded lipid-polymer hybrid nanoparticles using a quality-by-design approach","volume":"548","author":[{"family":"Leng","given":"Donglei"},{"family":"Thanki","given":"Kaushik"},{"family":"Fattal","given":"Elias"},{"family":"Foged","given":"Camilla"},{"family":"Yang","given":"Mingshi"}],"issued":{"date-parts":[["2018",9]]}},"label":"page"},{"id":12114,"uris":["http://zotero.org/users/6216265/items/DUJADISB"],"itemData":{"id":12114,"type":"article-journal","abstract":"RNA interference (RNAi) has an unprecedented potential as a therapeutic strategy for reversibly silencing the expression of any gene. Therapeutic delivery of the RNAi mediator, i.e., small interfering RNA (siRNA), can be used to address diseases characterized by gene overexpression, for example inflammatory conditions like chronic obstructive pulmonary disease (COPD). Macrophages play a key role in COPD pathogenesis and are recruited to the airways and lung parenchyma, where they release proinflammatory cytokines, e.g., tumor necrosis factor-alpha (TNF-α). Hence, targeting TNF-α with siRNA is a promising therapeutic approach for COPD management. However, a safe and effective delivery system is required for delivery of TNF-α siRNA into the cytosol of hard-to-transfect macrophages. The purpose of this study was to optimize the intracellular delivery of TNF-α siRNA to the lipopolysaccharide-activated murine macrophage cell line RAW 264.7 using lipidoid-polymer hybrid nanoparticles (LPNs) composed of the lipid-like transfection agent lipidoid 5 (L\n              5\n              ) and the biodegradable polymer poly (\n              D,L\n              -lactide-co-glycolide). Applying a quality-by-design approach, the influence of critical formulation variables, i.e., the L\n              5\n              content and the L\n              5\n              :siRNA ratio (w/w), on critical quality attributes (CQAs) was investigated systematically using risk assessment and design of experiments, followed by delineation of an optimal operating space (OOS). The CQAs were identified based on the quality target product profile and included size, polydispersity index, zeta potential, encapsulation efficiency and loading for achieving efficient and safe TNF-α gene silencing in activated RAW 264.7 cells. Formulations inducing efficient gene silencing and low cytotoxicity were identified, and the optimal formulations displayed L\n              5\n              contents of 15 and 20% (w/w), respectively, and an L\n              5\n              :siRNA weight ratio of 15:1. All tested formulations within the OOS mediated efficient and sequence-specific TNF-α gene silencing in RAW 264.7 cells at TNF-α-siRNA concentrations, which were significantly lower than the concentrations required of non-encapsulated TNF-α-siRNA, highlighting the benefit of the delivery system. The results also demonstrate that increasing the loading of siRNA into the delivery system does not necessarily imply enhanced gene silencing. This opens new avenues for further exploitation of LPNs as a robust platform technology for delivering TNF-α siRNA to macrophages, e.g., in the management of COPD.","container-title":"Frontiers in Bioengineering and Biotechnology","DOI":"10.3389/fbioe.2020.601155","ISSN":"2296-4185","journalAbbreviation":"Front. Bioeng. Biotechnol.","page":"601155","source":"DOI.org (Crossref)","title":"Optimizing the Intracellular Delivery of Therapeutic Anti-inflammatory TNF-α siRNA to Activated Macrophages Using Lipidoid-Polymer Hybrid Nanoparticles","volume":"8","author":[{"family":"Lokras","given":"Abhijeet"},{"family":"Thakur","given":"Aneesh"},{"family":"Wadhwa","given":"Abishek"},{"family":"Thanki","given":"Kaushik"},{"family":"Franzyk","given":"Henrik"},{"family":"Foged","given":"Camilla"}],"issued":{"date-parts":[["2021",1,14]]}},"label":"page"},{"id":12124,"uris":["http://zotero.org/users/6216265/items/7ISI2KU2"],"itemData":{"id":12124,"type":"article-journal","abstract":"The use of morphine applied topically to painful wounds has potential advantages, such as dose reduction, fewer side effects and compound formulations, have been proposed for this purpose. Given the potential high impact of drug product quality on a patient’s health, the aim of the present study was to develop two stable sterile hydrogels containing morphine hydrochloride, intended for topical application on painful wounds. Two carboxymethylcellulose sodium-based hydrogels were prepared containing 0.125% w/w (F1-MH semi-solid formulation) and 1.0% w/w (F2-MH fluid formulation) morphine hydrochloride (MH), respectively. Studies included a risk assessment approach for definition of the quality target product profile (QTPP) and assessment of critical quality attributes (CQA) of the hydrogels to support product quality and safety. Safe, odourless, yellowish, translucent and homogeneous gels were obtained, with suitable microbiological and pharmaceutical characteristics. The active substance concentration was adapted according to the characteristics of the dose-metering device. Release profiles were investigated using Franz diffusion cells, and characterised by different kinetic models. Increasing gel viscosity prolonged drug release, with rates of 17.9 ± 2.2 μg·cm−2·h−1 (F1-MH) and 258.0 ± 30.4 μg·cm−2·h−1 (F2-MH), allowing for the reduction of the number of applications and improving patient compliance. The gels proved to be stable for up to 60 days at room temperature. The semi-solid and fluid MH-containing hydrogel formulations are safe, stable and suitable for use in hospital settings, which is rather important for wound-related pain management in cancer palliative care or burn patients.","container-title":"Pharmaceutics","DOI":"10.3390/pharmaceutics11020076","ISSN":"1999-4923","issue":"2","journalAbbreviation":"Pharmaceutics","language":"en","page":"76","source":"DOI.org (Crossref)","title":"Improved Morphine-Loaded Hydrogels for Wound-Related Pain Relief","volume":"11","author":[{"family":"Mateus","given":"Dinis"},{"family":"Marto","given":"Joana"},{"family":"Trindade","given":"Patrícia"},{"family":"Gonçalves","given":"Humberto"},{"family":"Salgado","given":"Ana"},{"family":"Machado","given":"Paula"},{"family":"Melo-Gouveia","given":"António"},{"family":"Ribeiro","given":"Helena M."},{"family":"Almeida","given":"António J."}],"issued":{"date-parts":[["2019",2,12]]}},"label":"page"},{"id":12130,"uris":["http://zotero.org/users/6216265/items/SPBA58QC"],"itemData":{"id":12130,"type":"article-journal","container-title":"Pharmaceutical Development and Technology","DOI":"10.1080/10837450.2016.1199566","ISSN":"1083-7450, 1097-9867","issue":"7","journalAbbreviation":"Pharmaceutical Development and Technology","language":"en","page":"889-903","source":"DOI.org (Crossref)","title":"An integrated, quality by design (QbD) approach for design, development and optimization of orally disintegrating tablet formulation of carbamazepine","volume":"22","author":[{"family":"Mishra","given":"Saurabh M."},{"family":"Rohera","given":"Bhagwan D."}],"issued":{"date-parts":[["2017",10,3]]}},"label":"page"},{"id":12133,"uris":["http://zotero.org/users/6216265/items/YBBY2S55"],"itemData":{"id":12133,"type":"article-journal","container-title":"AAPS PharmSciTech","DOI":"10.1208/s12249-020-01678-0","ISSN":"1530-9932","issue":"4","journalAbbreviation":"AAPS PharmSciTech","language":"en","page":"127","source":"DOI.org (Crossref)","title":"Quality Risk Management and Quality by Design for the Development of Diclofenac Sodium Intra-articular Gelatin Microspheres","volume":"21","author":[{"family":"Nakas","given":"Alexandros"},{"family":"Dalatsi","given":"Athanasia M."},{"family":"Kapourani","given":"Afroditi"},{"family":"Kontogiannopoulos","given":"Konstantinos N."},{"family":"Assimopoulou","given":"Andreana N."},{"family":"Barmpalexis","given":"Panagiotis"}],"issued":{"date-parts":[["2020",5]]}},"label":"page"},{"id":12139,"uris":["http://zotero.org/users/6216265/items/MHGEWWPD"],"itemData":{"id":12139,"type":"article-journal","container-title":"Journal of Medical Engineering &amp; Technology","DOI":"10.1080/03091902.2021.1946181","ISSN":"0309-1902, 1464-522X","issue":"8","journalAbbreviation":"Journal of Medical Engineering &amp; Technology","language":"en","page":"642-655","source":"DOI.org (Crossref)","title":"Review of recent innovations in portable child growth measurement devices for use in low- and middle-income countries","volume":"45","author":[{"family":"Neale","given":"Geoffrey"},{"family":"Gaihre","given":"Santosh"},{"family":"O’Gorman","given":"Pearse"},{"family":"Price","given":"Ruth K."},{"family":"Balzategi","given":"Ane Galdos"},{"family":"Barrientos","given":"Catalina Herrera"},{"family":"Rawal","given":"Shweta"},{"family":"Morgan","given":"Margaret"},{"family":"McNulty","given":"Helene"}],"issued":{"date-parts":[["2021",11,17]]}},"label":"page"},{"id":12145,"uris":["http://zotero.org/users/6216265/items/2E5LC9UZ"],"itemData":{"id":12145,"type":"article-journal","container-title":"Drug Development and Industrial Pharmacy","DOI":"10.1080/03639045.2017.1414233","ISSN":"0363-9045, 1520-5762","issue":"5","journalAbbreviation":"Drug Development and Industrial Pharmacy","language":"en","page":"837-848","source":"DOI.org (Crossref)","title":"Quality-by-design approach for the development of telmisartan potassium tablets","volume":"44","author":[{"family":"Oh","given":"Ga-Hui"},{"family":"Park","given":"Jin-Hyun"},{"family":"Shin","given":"Hye-Won"},{"family":"Kim","given":"Joo-Eun"},{"family":"Park","given":"Young-Joon"}],"issued":{"date-parts":[["2018",5,4]]}},"label":"page"},{"id":12151,"uris":["http://zotero.org/users/6216265/items/C26MV2TU"],"itemData":{"id":12151,"type":"article-journal","container-title":"International Journal of Pharmaceutics","DOI":"10.1016/j.ijpharm.2021.120474","ISSN":"03785173","journalAbbreviation":"International Journal of Pharmaceutics","language":"en","page":"120474","source":"DOI.org (Crossref)","title":"Nose to brain delivery of tailored clozapine nanosuspension stabilized using (+)-alpha-tocopherol polyethylene glycol 1000 succinate: Optimization and in vivo pharmacokinetic studies","title-short":"Nose to brain delivery of tailored clozapine nanosuspension stabilized using (+)-alpha-tocopherol polyethylene glycol 1000 succinate","volume":"600","author":[{"family":"Patel","given":"Hetal P."},{"family":"Chaudhari","given":"Priyanka S."},{"family":"Gandhi","given":"Priyanshi A."},{"family":"Desai","given":"Bhargavi V."},{"family":"Desai","given":"Ditixa T."},{"family":"Dedhiya","given":"Praful P."},{"family":"Vyas","given":"Bhavin A."},{"family":"Maulvi","given":"Furqan A."}],"issued":{"date-parts":[["2021",5]]}},"label":"page"},{"id":12165,"uris":["http://zotero.org/users/6216265/items/U9NFSWUE"],"itemData":{"id":12165,"type":"article-journal","container-title":"Pharmaceutical Development and Technology","DOI":"10.1080/10837450.2020.1839496","ISSN":"1083-7450, 1097-9867","issue":"1","journalAbbreviation":"Pharmaceutical Development and Technology","language":"en","page":"101-109","source":"DOI.org (Crossref)","title":"Profiling gene expression dynamics underpinning conventional testing approaches to better inform pre-clinical evaluation of an age appropriate spironolactone formulation","volume":"26","author":[{"family":"Russell","given":"Craig"},{"family":"Hussain","given":"Majad"},{"family":"Huen","given":"David"},{"family":"Rahman","given":"Ayesha S."},{"family":"Mohammed","given":"Afzal R."}],"issued":{"date-parts":[["2021",1,2]]}},"label":"page"},{"id":12168,"uris":["http://zotero.org/users/6216265/items/NSQABGG6"],"itemData":{"id":12168,"type":"article-journal","container-title":"Drug Development and Industrial Pharmacy","DOI":"10.1080/03639045.2018.1496450","ISSN":"0363-9045, 1520-5762","issue":"12","journalAbbreviation":"Drug Development and Industrial Pharmacy","language":"en","page":"1905-1917","source":"DOI.org (Crossref)","title":"Development and &lt;i&gt;in vitro&lt;/i&gt; evaluation of pH-independent release matrix tablet of weakly acidic drug valsartan using quality by design tools","volume":"44","author":[{"family":"Saydam","given":"Mehtap"},{"family":"Takka","given":"Sevgi"}],"issued":{"date-parts":[["2018",12,2]]}},"label":"page"},{"id":12178,"uris":["http://zotero.org/users/6216265/items/CJUXD2YZ"],"itemData":{"id":12178,"type":"article-journal","container-title":"Journal of Pharmaceutical and Biomedical Analysis","DOI":"10.1016/j.jpba.2018.06.018","ISSN":"07317085","journalAbbreviation":"Journal of Pharmaceutical and Biomedical Analysis","language":"en","page":"395-404","source":"DOI.org (Crossref)","title":"A Quality by Design (QbD) approach to the development of a gradient high-performance liquid chromatography for the simultaneous assay of curcuminoids and doxorubicin from long-circulating liposomes","volume":"158","author":[{"family":"Sylvester","given":"Bianca"},{"family":"Tefas","given":"Lucia"},{"family":"Vlase","given":"Laurian"},{"family":"Tomuţă","given":"Ioan"},{"family":"Porfire","given":"Alina"}],"issued":{"date-parts":[["2018",9]]}},"label":"page"},{"id":12182,"uris":["http://zotero.org/users/6216265/items/WZVWGRQZ"],"itemData":{"id":12182,"type":"article-journal","container-title":"Pharmaceutical Research","DOI":"10.1007/s11095-018-2566-3","ISSN":"0724-8741, 1573-904X","issue":"3","journalAbbreviation":"Pharm Res","language":"en","page":"37","source":"DOI.org (Crossref)","title":"Application of a Quality-By-Design Approach to Optimise Lipid-Polymer Hybrid Nanoparticles Loaded with a Splice-Correction Antisense Oligonucleotide: Maximising Loading and Intracellular Delivery","title-short":"Application of a Quality-By-Design Approach to Optimise Lipid-Polymer Hybrid Nanoparticles Loaded with a Splice-Correction Antisense Oligonucleotide","volume":"36","author":[{"family":"Thanki","given":"Kaushik"},{"family":"Papai","given":"Simon"},{"family":"Lokras","given":"Abhijeet"},{"family":"Rose","given":"Fabrice"},{"family":"Falkenberg","given":"Emily"},{"family":"Franzyk","given":"Henrik"},{"family":"Foged","given":"Camilla"}],"issued":{"date-parts":[["2019",3]]}}},{"id":12183,"uris":["http://zotero.org/users/6216265/items/RH7A282D"],"itemData":{"id":12183,"type":"article-journal","container-title":"European Journal of Pharmaceutics and Biopharmaceutics","DOI":"10.1016/j.ejpb.2017.07.014","ISSN":"09396411","journalAbbreviation":"European Journal of Pharmaceutics and Biopharmaceutics","language":"en","page":"22-33","source":"DOI.org (Crossref)","title":"Engineering of small interfering RNA-loaded lipidoid-poly( DL -lactic-co-glycolic acid) hybrid nanoparticles for highly efficient and safe gene silencing: A quality by design-based approach","title-short":"Engineering of small interfering RNA-loaded lipidoid-poly( DL -lactic-co-glycolic acid) hybrid nanoparticles for highly efficient and safe gene silencing","volume":"120","author":[{"family":"Thanki","given":"Kaushik"},{"family":"Zeng","given":"Xianghui"},{"family":"Justesen","given":"Sarah"},{"family":"Tejlmann","given":"Sarah"},{"family":"Falkenberg","given":"Emily"},{"family":"Van Driessche","given":"Elize"},{"family":"Mørck Nielsen","given":"Hanne"},{"family":"Franzyk","given":"Henrik"},{"family":"Foged","given":"Camilla"}],"issued":{"date-parts":[["2017",11]]}},"label":"page"},{"id":12185,"uris":["http://zotero.org/users/6216265/items/P7NUXAN8"],"itemData":{"id":12185,"type":"article-journal","container-title":"Drug Development and Industrial Pharmacy","DOI":"10.1080/03639045.2020.1717515","ISSN":"0363-9045, 1520-5762","issue":"2","journalAbbreviation":"Drug Development and Industrial Pharmacy","language":"en","page":"296-308","source":"DOI.org (Crossref)","title":"Development of an emulgel for the treatment of rosacea using quality by design approach","volume":"46","author":[{"family":"Torregrosa","given":"Annibal"},{"family":"Ochoa-Andrade","given":"Ana Teresa"},{"family":"Parente","given":"María Emma"},{"family":"Vidarte","given":"Ana"},{"family":"Guarinoni","given":"Giovanna"},{"family":"Savio","given":"Eduardo"}],"issued":{"date-parts":[["2020",2,1]]}},"label":"page"},{"id":12188,"uris":["http://zotero.org/users/6216265/items/KBAXCF2E"],"itemData":{"id":12188,"type":"article-journal","abstract":"Abstract\n            \n              Introduction\n              Multi-parameter diagnostic devices can simplify cardiometabolic disease diagnosis. However, existing devices may not be suitable for use in low-resource settings, where the burden of non-communicable diseases is high. Here we describe the development of a target product profile (TPP) for a point-of-care multi-parameter device for detection of biomarkers for cardiovascular disease and metabolic disorders, including diabetes, in primary care settings in low- and middle-income countries (LMICs).\n            \n            \n              Methods\n              A draft TPP developed by an expert group was reviewed through an online survey and semi-structured expert interviews to identify device characteristics requiring refinement. The draft TPP included 41 characteristics with minimal and optimal requirements; characteristics with an agreement level for either requirement of ≤ 85% in either the survey or among interviewees were further discussed by the expert group and amended as appropriate.\n            \n            \n              Results\n              Twenty people responded to the online survey and 18 experts participated in the interviews. Twenty-two characteristics had an agreement level of ≤ 85% in either the online survey or interviews. The final TPP defines the device as intended to be used for basic diagnosis and management of cardiometabolic disorders (lipids, glucose, HbA1c, and creatinine) as minimal requirement, and offering an expanded test menu for wider cardiometabolic disease management as optimal requirement. To be suitable, the device should be intended for level 1 healthcare settings or lower, used by minimally trained healthcare workers and allow testing using self-contained cartridges or strips without the need for additional reagents. Throughput should be one sample at a time in a single or multi-analyte cartridge, or optimally enable testing of several samples and analytes in parallel with random access.\n            \n            \n              Conclusion\n              This TPP will inform developers of cardiometabolic multi-parameter devices for LMIC settings, and will support decision makers in the evaluation of existing and future devices.","container-title":"BMC Cardiovascular Disorders","DOI":"10.1186/s12872-021-02298-7","ISSN":"1471-2261","issue":"1","journalAbbreviation":"BMC Cardiovasc Disord","language":"en","page":"486","source":"DOI.org (Crossref)","title":"Development of a target product profile for a point-of-care cardiometabolic device","volume":"21","author":[{"family":"Vetter","given":"Beatrice"},{"family":"Beran","given":"David"},{"family":"Boulle","given":"Philippa"},{"family":"Chua","given":"Arlene"},{"family":"De La Tour","given":"Roberto"},{"family":"Hattingh","given":"Lucy"},{"family":"Perel","given":"Pablo"},{"family":"Roglic","given":"Gojka"},{"family":"Sampath","given":"Rangarajan"},{"family":"Woodman","given":"Michael"},{"family":"Perone","given":"Sigiriya Aebischer"}],"issued":{"date-parts":[["2021",12]]}},"label":"page"},{"id":12193,"uris":["http://zotero.org/users/6216265/items/5GMM8YEM"],"itemData":{"id":12193,"type":"article-journal","abstract":"Paracetamol (acetaminophen) overdose is one of the most common causes of acute liver injury in the Western world. To improve patient care and reduce pressure on already stretched health care providers new biomarkers are needed that identify or exclude liver injury soon after an overdose of paracetamol is ingested. This review highlights the current state of paracetamol poisoning management and how novel biomarkers could improve patient care and save healthcare providers money. Based on the widely used concept of defining a target product profile, a target biomarker profile is proposed that identifies\n              desirable\n              and\n              acceptable\n              key properties for a biomarker in development to enable the improved treatment of this patient population. The current biomarker candidates, with improved hepatic specificity and based on the fundamental mechanistic basis of paracetamol‐induced liver injury, are reviewed and their performance compared with our target profile.","container-title":"British Journal of Clinical Pharmacology","DOI":"10.1111/bcp.12699","ISSN":"0306-5251, 1365-2125","issue":"3","journalAbbreviation":"Brit J Clinical Pharma","language":"en","page":"351-362","source":"DOI.org (Crossref)","title":"Target biomarker profile for the clinical management of paracetamol overdose","volume":"80","author":[{"family":"Vliegenthart","given":"A. D. Bastiaan"},{"family":"Antoine","given":"Daniel J."},{"family":"Dear","given":"James W."}],"issued":{"date-parts":[["2015",9]]}},"label":"page"}],"schema":"https://github.com/citation-style-language/schema/raw/master/csl-citation.json"} </w:instrText>
            </w:r>
            <w:r>
              <w:fldChar w:fldCharType="separate"/>
            </w:r>
            <w:r w:rsidR="00C94C08" w:rsidRPr="00C94C08">
              <w:rPr>
                <w:rFonts w:ascii="Calibri" w:hAnsi="Calibri" w:cs="Calibri"/>
                <w:szCs w:val="24"/>
              </w:rPr>
              <w:t>(210,211,213–217,226,231,234,236,237,240,247,249,250,252,260,265,267,269,273,277,279,284,289,297,299,305,309,310,313,314,317,330)</w:t>
            </w:r>
            <w:r>
              <w:fldChar w:fldCharType="end"/>
            </w:r>
          </w:p>
        </w:tc>
      </w:tr>
      <w:tr w:rsidR="009120C6" w14:paraId="1BF62490" w14:textId="77777777" w:rsidTr="00E666ED">
        <w:tc>
          <w:tcPr>
            <w:tcW w:w="1260" w:type="dxa"/>
            <w:vMerge/>
            <w:vAlign w:val="center"/>
          </w:tcPr>
          <w:p w14:paraId="3E777EA8" w14:textId="77777777" w:rsidR="009120C6" w:rsidRDefault="009120C6" w:rsidP="00106C2C">
            <w:pPr>
              <w:spacing w:line="276" w:lineRule="auto"/>
            </w:pPr>
          </w:p>
        </w:tc>
        <w:tc>
          <w:tcPr>
            <w:tcW w:w="2790" w:type="dxa"/>
            <w:vAlign w:val="center"/>
          </w:tcPr>
          <w:p w14:paraId="0942CE86" w14:textId="73423554" w:rsidR="009120C6" w:rsidRDefault="00D068A5" w:rsidP="00106C2C">
            <w:pPr>
              <w:spacing w:line="276" w:lineRule="auto"/>
            </w:pPr>
            <w:r>
              <w:t>Disease category n</w:t>
            </w:r>
            <w:r w:rsidR="009120C6">
              <w:t>ot specified</w:t>
            </w:r>
          </w:p>
        </w:tc>
        <w:tc>
          <w:tcPr>
            <w:tcW w:w="5017" w:type="dxa"/>
            <w:vAlign w:val="center"/>
          </w:tcPr>
          <w:p w14:paraId="62F995D6" w14:textId="08D8ECCD" w:rsidR="009120C6" w:rsidRDefault="009120C6" w:rsidP="00106C2C">
            <w:pPr>
              <w:spacing w:line="276" w:lineRule="auto"/>
            </w:pPr>
            <w:r>
              <w:fldChar w:fldCharType="begin"/>
            </w:r>
            <w:r w:rsidR="00C94C08">
              <w:instrText xml:space="preserve"> ADDIN ZOTERO_ITEM CSL_CITATION {"citationID":"Vnth3s19","properties":{"formattedCitation":"(219,223,225,227\\uc0\\u8211{}230,232,255,258,259,275,276,280\\uc0\\u8211{}282,285\\uc0\\u8211{}287,291\\uc0\\u8211{}293,300,301,306\\uc0\\u8211{}308,312,319\\uc0\\u8211{}322,324,325,332,335,336)","plainCitation":"(219,223,225,227–230,232,255,258,259,275,276,280–282,285–287,291–293,300,301,306–308,312,319–322,324,325,332,335,336)","noteIndex":0},"citationItems":[{"id":12030,"uris":["http://zotero.org/users/6216265/items/CK8YSWR6"],"itemData":{"id":12030,"type":"article-journal","container-title":"Drug Development and Industrial Pharmacy","DOI":"10.1080/03639045.2017.1395459","ISSN":"0363-9045, 1520-5762","issue":"3","journalAbbreviation":"Drug Development and Industrial Pharmacy","language":"en","page":"407-420","source":"DOI.org (Crossref)","title":"QbD-driven development and evaluation of nanostructured lipid carriers (NLCs) of Olmesartan medoxomil employing multivariate statistical techniques","volume":"44","author":[{"family":"Beg","given":"Sarwar"},{"family":"Saini","given":"Sumant"},{"family":"Bandopadhyay","given":"Shantanu"},{"family":"Katare","given":"O. P."},{"family":"Singh","given":"Bhupinder"}],"issued":{"date-parts":[["2018",3,4]]}},"label":"page"},{"id":12032,"uris":["http://zotero.org/users/6216265/items/2D395RHX"],"itemData":{"id":12032,"type":"article-journal","container-title":"Drug Delivery","DOI":"10.3109/10717544.2014.900154","ISSN":"1071-7544, 1521-0464","issue":"6","journalAbbreviation":"Drug Delivery","language":"en","page":"765-784","source":"DOI.org (Crossref)","title":"QbD-based systematic development of novel optimized solid self-nanoemulsifying drug delivery systems (SNEDDS) of lovastatin with enhanced biopharmaceutical performance","volume":"22","author":[{"family":"Beg","given":"Sarwar"},{"family":"Sandhu","given":"Premjeet Singh"},{"family":"Batra","given":"Rattandeep Singh"},{"family":"Khurana","given":"Rajneet Kaur"},{"family":"Singh","given":"Bhupinder"}],"issued":{"date-parts":[["2015",8,18]]}},"label":"page"},{"id":12037,"uris":["http://zotero.org/users/6216265/items/Z23XTCGG"],"itemData":{"id":12037,"type":"article-journal","container-title":"Drug Discovery Today","DOI":"10.1016/j.drudis.2019.03.026","ISSN":"13596446","issue":"6","journalAbbreviation":"Drug Discovery Today","language":"en","page":"1237-1241","source":"DOI.org (Crossref)","title":"Accelerated drug discovery by rapid candidate drug identification","volume":"24","author":[{"family":"Bergström","given":"Fredrik"},{"family":"Lindmark","given":"Bo"}],"issued":{"date-parts":[["2019",6]]}},"label":"page"},{"id":12043,"uris":["http://zotero.org/users/6216265/items/5WRCBSSE"],"itemData":{"id":12043,"type":"article-journal","abstract":"Abstract\n            \n              \n              The development of robust and well-characterized methods of production of cell therapies has become increasingly important as therapies advance through clinical trials toward approval. A successful cell therapy will be a consistent, safe, and effective cell product, regardless of the cell type or application. Process development strategies can be developed to gain efficiency while maintaining or improving safety and quality profiles. This review presents an introduction to the process development challenges of cell therapies and describes some of the tools available to address production issues. This article will provide a summary of what should be considered to efficiently advance a cellular therapy from the research stage through clinical trials and finally toward commercialization. The identification of the basic questions that affect process development is summarized in the target product profile, and considerations for process optimization are discussed. The goal is to identify potential manufacturing concerns early in the process so they may be addressed effectively and thus increase the probability that a therapy will be successful.\n            \n            \n              Significance\n              The present study contributes to the field of cell therapy by providing a resource for those transitioning a potential therapy from the research stage to clinical and commercial applications. It provides the necessary steps that, when followed, can result in successful therapies from both a clinical and commercial perspective.","container-title":"Stem Cells Translational Medicine","DOI":"10.5966/sctm.2014-0294","ISSN":"2157-6564, 2157-6580","issue":"10","language":"en","page":"1155-1163","source":"DOI.org (Crossref)","title":"Concise Review: Process Development Considerations for Cell Therapy","title-short":"Concise Review","volume":"4","author":[{"family":"Campbell","given":"Andrew"},{"family":"Brieva","given":"Thomas"},{"family":"Raviv","given":"Lior"},{"family":"Rowley","given":"Jon"},{"family":"Niss","given":"Knut"},{"family":"Brandwein","given":"Harvey"},{"family":"Oh","given":"Steve"},{"family":"Karnieli","given":"Ohad"}],"issued":{"date-parts":[["2015",10,1]]}},"label":"page"},{"id":12047,"uris":["http://zotero.org/users/6216265/items/CV3FADJV"],"itemData":{"id":12047,"type":"article-journal","container-title":"The AAPS Journal","DOI":"10.1208/s12248-013-9472-8","ISSN":"1550-7416","issue":"3","journalAbbreviation":"AAPS J","language":"en","page":"674-683","source":"DOI.org (Crossref)","title":"Generic Development of Topical Dermatologic Products, Part II: Quality by Design for Topical Semisolid Products","title-short":"Generic Development of Topical Dermatologic Products, Part II","volume":"15","author":[{"family":"Chang","given":"Rong-Kun"},{"family":"Raw","given":"Andre"},{"family":"Lionberger","given":"Robert"},{"family":"Yu","given":"Lawrence"}],"issued":{"date-parts":[["2013",7]]}},"label":"page"},{"id":12051,"uris":["http://zotero.org/users/6216265/items/SVYHIHN7"],"itemData":{"id":12051,"type":"article-journal","container-title":"International Journal of Pharmaceutics","DOI":"10.1016/j.ijpharm.2011.12.024","ISSN":"03785173","issue":"2","journalAbbreviation":"International Journal of Pharmaceutics","language":"en","page":"167-178","source":"DOI.org (Crossref)","title":"Quality by design approach for formulation development: A case study of dispersible tablets","title-short":"Quality by design approach for formulation development","volume":"423","author":[{"family":"Charoo","given":"Naseem A."},{"family":"Shamsher","given":"Areeg A.A."},{"family":"Zidan","given":"Ahmed S."},{"family":"Rahman","given":"Ziyaur"}],"issued":{"date-parts":[["2012",2]]}},"label":"page"},{"id":12052,"uris":["http://zotero.org/users/6216265/items/3XKN2KVA"],"itemData":{"id":12052,"type":"article-journal","container-title":"Drug Development and Industrial Pharmacy","DOI":"10.3109/03639045.2016.1160108","ISSN":"0363-9045, 1520-5762","issue":"10","journalAbbreviation":"Drug Development and Industrial Pharmacy","language":"en","page":"1643-1652","source":"DOI.org (Crossref)","title":"Quality by design approach for development of suspension nasal spray products: a case study on budesonide nasal suspension","title-short":"Quality by design approach for development of suspension nasal spray products","volume":"42","author":[{"family":"Chudiwal","given":"Swapnil Sharadkumar"},{"family":"Dehghan","given":"Mohamed Hassan G."}],"issued":{"date-parts":[["2016",10,2]]}}},{"id":12053,"uris":["http://zotero.org/users/6216265/items/JVW5DS2L"],"itemData":{"id":12053,"type":"article-journal","container-title":"Pharmaceutical Development and Technology","DOI":"10.1080/10837450.2016.1236130","ISSN":"1083-7450, 1097-9867","issue":"10","journalAbbreviation":"Pharmaceutical Development and Technology","language":"en","page":"1077-1087","source":"DOI.org (Crossref)","title":"Quality by design (QbD) approach for design and development of drug-device combination products: a case study on flunisolide nasal spray","title-short":"Quality by design (QbD) approach for design and development of drug-device combination products","volume":"23","author":[{"family":"Chudiwal","given":"Swapnil Sharadkumar"},{"family":"Dehghan","given":"Mohamed Hassan G."}],"issued":{"date-parts":[["2018",11,26]]}}},{"id":12054,"uris":["http://zotero.org/users/6216265/items/ZGQI4SFC"],"itemData":{"id":12054,"type":"article-journal","container-title":"Drug Development and Industrial Pharmacy","DOI":"10.1080/03639045.2017.1413111","ISSN":"0363-9045, 1520-5762","issue":"5","journalAbbreviation":"Drug Development and Industrial Pharmacy","language":"en","page":"787-799","source":"DOI.org (Crossref)","title":"Development of sustained release gastro-retentive tablet formulation of nicardipine hydrochloride using quality by design (QbD) approach","volume":"44","author":[{"family":"Chudiwal","given":"Vijay S."},{"family":"Shahi","given":"Sadhana"},{"family":"Chudiwal","given":"Swapnil"}],"issued":{"date-parts":[["2018",5,4]]}},"label":"page"},{"id":12056,"uris":["http://zotero.org/users/6216265/items/8KBTRW8U"],"itemData":{"id":12056,"type":"article-journal","container-title":"International Journal of Pharmaceutics","DOI":"10.1016/j.ijpharm.2015.04.038","ISSN":"03785173","issue":"1-2","journalAbbreviation":"International Journal of Pharmaceutics","language":"en","page":"58-72","source":"DOI.org (Crossref)","title":"Implementation of quality by design principles in the development of microsponges as drug delivery carriers: Identification and optimization of critical factors using multivariate statistical analyses and design of experiments studies","title-short":"Implementation of quality by design principles in the development of microsponges as drug delivery carriers","volume":"489","author":[{"family":"Crcarevska","given":"Maja"},{"family":"Dimitrovska","given":"Aneta"},{"family":"Sibinovska","given":"Nadica"},{"family":"Mladenovska","given":"Kristina"},{"family":"Slavevska Raicki","given":"Renata"},{"family":"Glavas Dodov","given":"Marija"}],"issued":{"date-parts":[["2015",7]]}},"label":"page"},{"id":12096,"uris":["http://zotero.org/users/6216265/items/RUU3J8PP"],"itemData":{"id":12096,"type":"article-journal","container-title":"European Journal of Pharmaceutical Sciences","DOI":"10.1016/j.ejps.2020.105588","ISSN":"09280987","journalAbbreviation":"European Journal of Pharmaceutical Sciences","language":"en","page":"105588","source":"DOI.org (Crossref)","title":"Development of solid lipid microparticles by melt-emulsification/spray-drying processes as carriers for pulmonary drug delivery","volume":"156","author":[{"family":"Ignjatović","given":"Jelisaveta"},{"family":"Đuriš","given":"Jelena"},{"family":"Cvijić","given":"Sandra"},{"family":"Dobričić","given":"Vladimir"},{"family":"Montepietra","given":"Agnese"},{"family":"Lombardi","given":"Chiara"},{"family":"Ibrić","given":"Svetlana"},{"family":"Rossi","given":"Alessandra"}],"issued":{"date-parts":[["2021",1]]}},"label":"page"},{"id":12099,"uris":["http://zotero.org/users/6216265/items/SIJK4SZD"],"itemData":{"id":12099,"type":"article-journal","container-title":"European Journal of Pharmaceutical Sciences","DOI":"10.1016/j.ejps.2022.106171","ISSN":"09280987","journalAbbreviation":"European Journal of Pharmaceutical Sciences","language":"en","page":"106171","source":"DOI.org (Crossref)","title":"QbD-guided pharmaceutical development of Pembrolizumab biosimilar candidate PSG-024 propelled to industry meeting primary requirements of comparability to Keytruda®","volume":"173","author":[{"family":"Jaffar-Aghaei","given":"Morteza"},{"family":"Khanipour","given":"Farzad"},{"family":"Maghsoudi","given":"Amir"},{"family":"Sarvestani","given":"Rahim"},{"family":"Mohammadian","given":"Mahdi"},{"family":"Maleki","given":"Maryam"},{"family":"Havasi","given":"Forugh"},{"family":"Rahmani","given":"Hossein"},{"family":"Karagah","given":"Amir-Hossein"},{"family":"Kazemali","given":"Mohammad-Reza"}],"issued":{"date-parts":[["2022",6]]}},"label":"page"},{"id":12098,"uris":["http://zotero.org/users/6216265/items/N9AXDNH6"],"itemData":{"id":12098,"type":"article-journal","abstract":"This article highlights the importance of building a marketing led cross-functional team that integrates the R&amp;D, and commercialization process in an early stage Biopharma and MedTech company. Marketing should play a prominent role in the cross-functional team at the earliest stages of company formation and product development to identify unmet need, design the development plan, shape the product life cycle, position the product in the competitive set, and understand all market drivers and competitive factors that are essential to ensure commercial success. In particular, in this paper, the focus is on the importance of creating an appealing target product profile (TPP) and describe the rational and methodology for creating the TPP. Drug development is a high risk, high cost, high reward undertaking, and the TPP provides a market-guided approach to development of drugs more quickly, inexpensively, and with a higher rate of success.","container-title":"Journal of Commercial Biotechnology","DOI":"10.5912/jcb924","ISSN":"1478-565X, 1462-8732","issue":"4","journalAbbreviation":"JCB","source":"DOI.org (Crossref)","title":"The R&amp;D Marketing Interface in Biopharma and MedTech","URL":"https://www.commercialbiotechnology.com/index.php/jcb/article/view/924","volume":"24","author":[{"family":"Jambulingam","given":"Thani"}],"accessed":{"date-parts":[["2023",11,2]]},"issued":{"date-parts":[["2019",9,7]]}},"label":"page"},{"id":12128,"uris":["http://zotero.org/users/6216265/items/TIL2DIZ4"],"itemData":{"id":12128,"type":"article-journal","container-title":"Current Drug Delivery","DOI":"10.2174/1567201813666160325131831","ISSN":"15672018","issue":"8","journalAbbreviation":"CDD","language":"en","page":"1247-1260","source":"DOI.org (Crossref)","title":"Quality by Design Applied to Ocular Solid Lipid Nanoparticles Containing a Hydrophilic Peptide Prepared via Hot High Pressure Homogeniser","volume":"13","author":[{"family":"Mercuri","given":"Annalisa Mercuri"}],"issued":{"date-parts":[["2016",11,8]]}},"label":"page"},{"id":12129,"uris":["http://zotero.org/users/6216265/items/XBGYP2J5"],"itemData":{"id":12129,"type":"article-journal","container-title":"Drug Delivery and Translational Research","DOI":"10.1007/s13346-016-0315-x","ISSN":"2190-393X, 2190-3948","issue":"5","journalAbbreviation":"Drug Deliv. and Transl. Res.","language":"en","page":"579-596","source":"DOI.org (Crossref)","title":"Risk-based approach for systematic development of gastroretentive drug delivery system","volume":"6","author":[{"family":"Mirani","given":"A. G."},{"family":"Patankar","given":"S. P."},{"family":"Kadam","given":"V. J."}],"issued":{"date-parts":[["2016",10]]}},"label":"page"},{"id":12135,"uris":["http://zotero.org/users/6216265/items/PWR85PMU"],"itemData":{"id":12135,"type":"article-journal","abstract":"In recent years, the “quality by design” (QbD) approach has been used for developing pharmaceutical formulations. This is particularly important for complex dosage forms such as topical semisolid products. The first step for developing a product using this efficient approach is defining the quality target product profile (QTPP), a list of quality attributes (QAs) that are required to be present in the final product. These quality attributes are affected by the ingredients used as well as manufacturing procedure parameters. Hence, critical material attributes (CMAs) and critical process parameters (CPPs) need to be specified. Possible failure modes of a topical semisolid product can be determined based on the physiochemical properties of ingredients and manufacturing procedures. In this review, we have defined and specified QTPP, QAs, CMAs and CPPs that are required for developing a topical semisolid product based on the QbD approach.","container-title":"Pharmaceutics","DOI":"10.3390/pharmaceutics12030287","ISSN":"1999-4923","issue":"3","journalAbbreviation":"Pharmaceutics","language":"en","page":"287","source":"DOI.org (Crossref)","title":"Quality by Design: Development of the Quality Target Product Profile (QTPP) for Semisolid Topical Products","title-short":"Quality by Design","volume":"12","author":[{"family":"Namjoshi","given":"Sarika"},{"family":"Dabbaghi","given":"Maryam"},{"family":"Roberts","given":"Michael S."},{"family":"Grice","given":"Jeffrey E."},{"family":"Mohammed","given":"Yousuf"}],"issued":{"date-parts":[["2020",3,23]]}},"label":"page"},{"id":12137,"uris":["http://zotero.org/users/6216265/items/MM5WP88P"],"itemData":{"id":12137,"type":"article-journal","abstract":"The purpose of this study was to apply the Quality by Design (QbD) approach to the electrospinning of fibres loaded with the nonsteroidal anti-inflammatory drugs (NSAIDs) indomethacin (INDO) and diclofenac sodium (DICLO). A Quality Target Product Profile (QTPP) was made, and risk assessments (preliminary hazard analysis) were conducted to identify the impact of material attributes and process parameters on the critical quality attributes (CQAs) of the fibres. A full factorial design of experiments (DoE) of 20 runs was built, which was used to carry out experiments. The following factors were assessed: Drugs, voltage, flow rate, and the distance between the processing needle and collector. Release studies exhibited INDO fibres had greater total release of active drug compared to DICLO fibres. Voltage and distance were found to be the most significant factors of the experiment. Multivariate statistical analytical software helped to build six feasible design spaces and two flexible, universal design spaces for both drugs, at distances of 5 cm and 12.5 cm, along with a flexible control strategy. The current findings and their analysis confirm that QbD is a viable and invaluable tool to enhance product and process understanding of electrospinning for the assurance of high-quality fibres.","container-title":"Pharmaceutics","DOI":"10.3390/pharmaceutics12010002","ISSN":"1999-4923","issue":"1","journalAbbreviation":"Pharmaceutics","language":"en","page":"2","source":"DOI.org (Crossref)","title":"Quality by Design Micro-Engineering Optimisation of NSAID-Loaded Electrospun Fibrous Patches","volume":"12","author":[{"family":"Nazari","given":"Kazem"},{"family":"Mehta","given":"Prina"},{"family":"Arshad","given":"Muhammad Sohail"},{"family":"Ahmed","given":"Shahabuddin"},{"family":"Andriotis","given":"Eleftherios G."},{"family":"Singh","given":"Neenu"},{"family":"Qutachi","given":"Omar"},{"family":"Chang","given":"Ming-Wei"},{"family":"Fatouros","given":"Dimitrios G."},{"family":"Ahmad","given":"Zeeshan"}],"issued":{"date-parts":[["2019",12,18]]}},"label":"page"},{"id":12140,"uris":["http://zotero.org/users/6216265/items/P6TTWYTG"],"itemData":{"id":12140,"type":"article-journal","abstract":"The requirements of a liposomal formulation vary depending on the pharmaceutical indication, the target patient population, and the corresponding route of administration. Different preparation methods require various material attributes (MAs) (properties and characteristics of the components) and process parameters (PPs) (settings of the preparation method). The identification of the quality target product profile for a liposome-based formulation, the critical quality attributes of the liposomes, and the possible MAs and PPs that may influence the key characteristics of the vesicles facilitates pharmaceutical research. Researchers can systematise their knowledge by using the quality by design (QbD) approach. The potential factors that influence the quality of the product can be collected and studied through a risk assessment process. In this paper, the requirements of a liposome formulation prepared via the thin-film hydration preparation technique are presented; furthermore, the possible factors that have an impact on the quality of the final product and have to be considered and specified during the development of a liposomal formulation are herein identified and collected. The understanding and the application of these elements of QbD in the pharmaceutical developments help to influence the quality, the achievements, and the success of the formulated product.","container-title":"Pharmaceutics","DOI":"10.3390/pharmaceutics12121164","ISSN":"1999-4923","issue":"12","journalAbbreviation":"Pharmaceutics","language":"en","page":"1164","source":"DOI.org (Crossref)","title":"A Proposed Methodology for a Risk Assessment-Based Liposome Development Process","volume":"12","author":[{"family":"Németh","given":"Zsófia"},{"family":"Pallagi","given":"Edina"},{"family":"Dobó","given":"Dorina Gabriella"},{"family":"Csóka","given":"Ildikó"}],"issued":{"date-parts":[["2020",11,29]]}},"label":"page"},{"id":12146,"uris":["http://zotero.org/users/6216265/items/Q8KJXY2D"],"itemData":{"id":12146,"type":"article-journal","container-title":"International Journal of Pharmaceutics","DOI":"10.1016/j.ijpharm.2015.06.018","ISSN":"03785173","issue":"1-2","journalAbbreviation":"International Journal of Pharmaceutics","language":"en","page":"384-392","source":"DOI.org (Crossref)","title":"Adaptation of the quality by design concept in early pharmaceutical development of an intranasal nanosized formulation","volume":"491","author":[{"family":"Pallagi","given":"Edina"},{"family":"Ambrus","given":"Rita"},{"family":"Szabó-Révész","given":"Piroska"},{"family":"Csóka","given":"Ildikó"}],"issued":{"date-parts":[["2015",8]]}}},{"id":12147,"uris":["http://zotero.org/users/6216265/items/VDE4I2FT"],"itemData":{"id":12147,"type":"article-journal","container-title":"International Journal of Pharmaceutics","DOI":"10.1016/j.ijpharm.2019.03.021","ISSN":"03785173","journalAbbreviation":"International Journal of Pharmaceutics","language":"en","page":"11-22","source":"DOI.org (Crossref)","title":"Application of the QbD-based approach in the early development of liposomes for nasal administration","volume":"562","author":[{"family":"Pallagi","given":"Edina"},{"family":"Jójárt-Laczkovich","given":"Orsolya"},{"family":"Németh","given":"Zsófia"},{"family":"Szabó-Révész","given":"Piroska"},{"family":"Csóka","given":"Ildikó"}],"issued":{"date-parts":[["2019",5]]}}},{"id":12149,"uris":["http://zotero.org/users/6216265/items/QCK4CS2L"],"itemData":{"id":12149,"type":"article-journal","container-title":"AAPS PharmSciTech","DOI":"10.1208/s12249-016-0590-3","ISSN":"1530-9932","issue":"4","journalAbbreviation":"AAPS PharmSciTech","language":"en","page":"1213-1227","source":"DOI.org (Crossref)","title":"Quality by Design Empowered Development and Optimisation of Time-Controlled Pulsatile Release Platform Formulation Employing Compression Coating Technology","volume":"18","author":[{"family":"Patadia","given":"Riddhish"},{"family":"Vora","given":"Chintan"},{"family":"Mittal","given":"Karan"},{"family":"Mashru","given":"Rajashree C."}],"issued":{"date-parts":[["2017",5]]}},"label":"page"},{"id":12153,"uris":["http://zotero.org/users/6216265/items/4ZVJE4YB"],"itemData":{"id":12153,"type":"article-journal","abstract":"Health workers in low-resource settings often lack the support and tools to follow evidence-based clinical recommendations for diagnosing, treating and managing sick patients. Digital technologies, by combining patient health information and point-of-care diagnostics with evidence-based clinical protocols, can help improve the quality of care and the rational use of resources, and save patient lives. A growing number of electronic clinical decision support algorithms (CDSAs) on mobile devices are being developed and piloted without evidence of safety or impact. Here, we present a target product profile (TPP) for CDSAs aimed at guiding preventive or curative consultations in low-resource settings. This document will help align developer and implementer processes and product specifications with the needs of end users, in terms of quality, safety, performance and operational functionality. To identify the characteristics of CDSAs, a multidisciplinary group of experts (academia, industry and policy makers) with expertise in diagnostic and CDSA development and implementation in low-income and middle-income countries were convened to discuss a draft TPP. The TPP was finalised through a Delphi process to facilitate consensus building. An agreement greater than 75% was reached for all 40 TPP characteristics. In general, experts were in overwhelming agreement that, given that CDSAs provide patient management recommendations, the underlying clinical algorithms should be human-interpretable and evidence-based. Whenever possible, the algorithm’s patient management output should take into account pretest disease probabilities and likelihood ratios of clinical and diagnostic predictors. In addition, validation processes should at a minimum show that CDSAs are implementing faithfully the evidence they are based on, and ideally the impact on patient health outcomes. In terms of operational needs, CDSAs should be designed to fit within clinic workflows and function in connectivity-challenged and high-volume settings. Data collected through the tool should conform to local patient privacy regulations and international data standards.","container-title":"BMJ Global Health","DOI":"10.1136/bmjgh-2019-002067","ISSN":"2059-7908","issue":"2","journalAbbreviation":"BMJ Glob Health","language":"en","page":"e002067","source":"DOI.org (Crossref)","title":"Electronic clinical decision support algorithms incorporating point-of-care diagnostic tests in low-resource settings: a target product profile","title-short":"Electronic clinical decision support algorithms incorporating point-of-care diagnostic tests in low-resource settings","volume":"5","author":[{"family":"Pellé","given":"Karell G"},{"family":"Rambaud-Althaus","given":"Clotilde"},{"family":"D'Acremont","given":"Valérie"},{"family":"Moran","given":"Gretchen"},{"family":"Sampath","given":"Rangarajan"},{"family":"Katz","given":"Zachary"},{"family":"Moussy","given":"Francis G"},{"family":"Mehl","given":"Garrett Livingston"},{"family":"Dittrich","given":"Sabine"}],"issued":{"date-parts":[["2020",2]]}},"label":"page"},{"id":12155,"uris":["http://zotero.org/users/6216265/items/JAGNYWSA"],"itemData":{"id":12155,"type":"article-journal","container-title":"Indian Journal of Pharmaceutical Sciences","DOI":"10.4103/0250-474X.174971","ISSN":"0250-474X","issue":"6","journalAbbreviation":"Indian J Pharm Sci","language":"en","page":"751","source":"DOI.org (Crossref)","title":"Analytical quality by design approach in RP-HPLC method development for the assay of etofenamate in dosage forms","volume":"77","author":[{"family":"Peraman","given":"R"},{"family":"Bhadraya","given":"K"},{"family":"Reddy","given":"YPadmanabha"},{"family":"Reddy","given":"CSurayaprakash"},{"family":"Lokesh","given":"T"}],"issued":{"date-parts":[["2015"]]}},"label":"page"},{"id":12157,"uris":["http://zotero.org/users/6216265/items/3CXSQ86T"],"itemData":{"id":12157,"type":"article-journal","container-title":"European Journal of Pharmaceutical Sciences","DOI":"10.1016/j.ejps.2022.106275","ISSN":"09280987","journalAbbreviation":"European Journal of Pharmaceutical Sciences","language":"en","page":"106275","source":"DOI.org (Crossref)","title":"A quality by design approach for the qualification of automating compounding device for parenteral nutrition","volume":"179","author":[{"family":"Perrier","given":"Quentin"},{"family":"Piquemal","given":"Marie"},{"family":"Leenhardt","given":"Julien"},{"family":"Choisnard","given":"Luc"},{"family":"Mazet","given":"Roseline"},{"family":"Desruet","given":"Marie-Dominique"},{"family":"Durand","given":"Marjorie"},{"family":"Bedouch","given":"Pierrick"}],"issued":{"date-parts":[["2022",12]]}},"label":"page"},{"id":12169,"uris":["http://zotero.org/users/6216265/items/IED5CQAX"],"itemData":{"id":12169,"type":"article-journal","container-title":"International Journal of Pharmaceutics","DOI":"10.1016/j.ijpharm.2018.06.052","ISSN":"03785173","issue":"1","journalAbbreviation":"International Journal of Pharmaceutics","language":"en","page":"385-399","source":"DOI.org (Crossref)","title":"A practical framework for implementing Quality by Design to the development of topical drug products: Nanosystem-based dosage forms","title-short":"A practical framework for implementing Quality by Design to the development of topical drug products","volume":"548","author":[{"family":"Simões","given":"Ana"},{"family":"Veiga","given":"Francisco"},{"family":"Figueiras","given":"Ana"},{"family":"Vitorino","given":"Carla"}],"issued":{"date-parts":[["2018",9]]}}},{"id":12170,"uris":["http://zotero.org/users/6216265/items/6XQRLC3S"],"itemData":{"id":12170,"type":"article-journal","container-title":"Journal of Pharmaceutical Sciences","DOI":"10.1016/j.xphs.2018.06.010","ISSN":"00223549","issue":"10","journalAbbreviation":"Journal of Pharmaceutical Sciences","language":"en","page":"2653-2662","source":"DOI.org (Crossref)","title":"A Tutorial for Developing a Topical Cream Formulation Based on the Quality by Design Approach","volume":"107","author":[{"family":"Simões","given":"Ana"},{"family":"Veiga","given":"Francisco"},{"family":"Vitorino","given":"Carla"},{"family":"Figueiras","given":"Ana"}],"issued":{"date-parts":[["2018",10]]}},"label":"page"},{"id":12173,"uris":["http://zotero.org/users/6216265/items/XZYY4ZIT"],"itemData":{"id":12173,"type":"chapter","container-title":"Pharmaceutical Medicine and Translational Clinical Research","ISBN":"978-0-12-802103-3","language":"en","note":"DOI: 10.1016/B978-0-12-802103-3.00005-5","page":"65-80","publisher":"Elsevier","source":"DOI.org (Crossref)","title":"Target Product Profile and Clinical Development Plan","URL":"https://linkinghub.elsevier.com/retrieve/pii/B9780128021033000055","author":[{"family":"Singh","given":"Gursharan"}],"accessed":{"date-parts":[["2023",11,2]]},"issued":{"date-parts":[["2018"]]}},"label":"page"},{"id":12179,"uris":["http://zotero.org/users/6216265/items/X4ZQEQ5K"],"itemData":{"id":12179,"type":"article-journal","container-title":"European Journal of Pharmaceutical Sciences","DOI":"10.1016/j.ejps.2017.12.021","ISSN":"09280987","journalAbbreviation":"European Journal of Pharmaceutical Sciences","language":"en","page":"1-10","source":"DOI.org (Crossref)","title":"Lubricant based determination of design space for continuously manufactured high dose paracetamol tablets","volume":"115","author":[{"family":"Taipale-Kovalainen","given":"Krista"},{"family":"Karttunen","given":"Anssi-Pekka"},{"family":"Ketolainen","given":"Jarkko"},{"family":"Korhonen","given":"Ossi"}],"issued":{"date-parts":[["2018",3]]}},"label":"page"},{"id":12180,"uris":["http://zotero.org/users/6216265/items/4JTF3B2A"],"itemData":{"id":12180,"type":"article-journal","container-title":"European Journal of Pharmaceutics and Biopharmaceutics","DOI":"10.1016/j.ejpb.2020.08.002","ISSN":"09396411","journalAbbreviation":"European Journal of Pharmaceutics and Biopharmaceutics","language":"en","page":"88-102","source":"DOI.org (Crossref)","title":"Optimization of the quality by design approach for gene therapy products: A case study for adeno-associated viral vectors","title-short":"Optimization of the quality by design approach for gene therapy products","volume":"155","author":[{"family":"Tanaka","given":"Toshimitsu"},{"family":"Hanaoka","given":"Hideki"},{"family":"Sakurai","given":"Shingo"}],"issued":{"date-parts":[["2020",10]]}},"label":"page"},{"id":12181,"uris":["http://zotero.org/users/6216265/items/ERBMFXH2"],"itemData":{"id":12181,"type":"article-journal","container-title":"AAPS PharmSciTech","DOI":"10.1208/s12249-020-01738-5","ISSN":"1530-9932","issue":"5","journalAbbreviation":"AAPS PharmSciTech","language":"en","page":"200","source":"DOI.org (Crossref)","title":"A Comparison Between Lab-Scale and Hot-Melt-Extruder-Based Anti-inflammatory Ointment Manufacturing","volume":"21","author":[{"family":"Thakkar","given":"Rishi"},{"family":"Ashour","given":"Eman A."},{"family":"Shukla","given":"Ashay"},{"family":"Wang","given":"Rui"},{"family":"Chambliss","given":"Walter G."},{"family":"Bandari","given":"Suresh"},{"family":"Murthy","given":"Narasimha"},{"family":"Repka","given":"Michael A."}],"issued":{"date-parts":[["2020",7]]}},"label":"page"},{"id":12184,"uris":["http://zotero.org/users/6216265/items/ZBYACQW8"],"itemData":{"id":12184,"type":"article-journal","abstract":"In the past, drug developers in industry chose approaches mainly focusing on the drug product's efficacy, safety and quality according to the level required by regulatory expectations stipulated in guidelines, pharmacopoeia and other regulatory provisions. By putting more focus on the patient perspective, regulatory authorities are currently raising their requirements regarding successful product submissions. The increasing involvement of patients in the product development process (e.g. conduction of human factor use tests, integration of feedback from patient and patient advisory groups into clinical programmes) requires adaptations to the existing and established industrial drug development processes without compromising fast patient access to innovative therapies. This review provides an expert opinion on the emerging challenges and opportunities to implement a patient‐centric approach into new drug development programmes. The aim is to better understand the challenge of finding the right balance between bringing innovative drugs fast to the patients and to develop these in parallel in a patient‐centric product form as well as why this is an opportunity and how stakeholder parties (e.g. patients, clinicians, pharmacists, caregivers, regulators) can provide support to achieve desired outcomes.","container-title":"British Journal of Clinical Pharmacology","DOI":"10.1111/bcp.14388","ISSN":"0306-5251, 1365-2125","issue":"10","journalAbbreviation":"Brit J Clinical Pharma","language":"en","page":"2020-2027","source":"DOI.org (Crossref)","title":"Challenges and opportunities to include patient‐centric product design in industrial medicines development to improve therapeutic goals","volume":"86","author":[{"family":"Timpe","given":"Carsten"},{"family":"Stegemann","given":"Sven"},{"family":"Barrett","given":"Andrew"},{"family":"Mujumdar","given":"Siddharthya"}],"issued":{"date-parts":[["2020",10]]}},"label":"page"},{"id":12196,"uris":["http://zotero.org/users/6216265/items/S5N49CR8"],"itemData":{"id":12196,"type":"article-journal","container-title":"Biomedicine &amp; Pharmacotherapy","DOI":"10.1016/j.biopha.2021.111940","ISSN":"07533322","journalAbbreviation":"Biomedicine &amp; Pharmacotherapy","language":"en","page":"111940","source":"DOI.org (Crossref)","title":"Quality by design (QbD) in the formulation and optimization of liquid crystalline nanoparticles (LCNPs): A risk based industrial approach","title-short":"Quality by design (QbD) in the formulation and optimization of liquid crystalline nanoparticles (LCNPs)","volume":"141","author":[{"family":"Waghule","given":"Tejashree"},{"family":"Dabholkar","given":"Neha"},{"family":"Gorantla","given":"Srividya"},{"family":"Rapalli","given":"Vamshi Krishna"},{"family":"Saha","given":"Ranendra Narayan"},{"family":"Singhvi","given":"Gautam"}],"issued":{"date-parts":[["2021",9]]}},"label":"page"},{"id":12197,"uris":["http://zotero.org/users/6216265/items/MJL4TELB"],"itemData":{"id":12197,"type":"article-journal","abstract":"The World Health Organization’s Model List of Essential Medicines for Children (EMLc) presents a list of the most efficacious, safe, and cost-effective medicines for priority conditions, intended for use in children up to 12 years of age. However, gaps in global availability and use of age-appropriate formulations of medicines for children still exist. To address these shortcomings, a comprehensive analysis of the appropriateness of formulations of essential medicines for children is being undertaken through the Global Accelerator for Paediatric Formulations (GAP-f) network, a WHO network launched in 2020 to respond to the paediatric treatment gap. This article describes the development and application of a paediatric Quality Target Product Profile (pQTPP) tool by WHO, to retrospectively evaluate the paediatric age-appropriateness of formulations on the EMLc and identify potential formulation gaps, to inform the review of the EMLc in 2023. A combination of paediatric-centric and global health-focused attributes and targets were defined, taking into consideration regulatory agency paediatric development guidelines and literature sources, and a qualitative scoring system was developed and tested. Example evaluations of paracetamol and clofazimine are provided, illustrating the tool’s use. The assessment of EMLc formulations is ongoing and shortcomings and gaps in EMLc formulations have already been identified. The pQTTP tool may also be applied to national lists and prospectively when designing new paediatric formulations.","container-title":"Pharmaceutics","DOI":"10.3390/pharmaceutics14030473","ISSN":"1999-4923","issue":"3","journalAbbreviation":"Pharmaceutics","language":"en","page":"473","source":"DOI.org (Crossref)","title":"Assessing the Appropriateness of Formulations on the WHO Model List of Essential Medicines for Children: Development of a Paediatric Quality Target Product Profile Tool","title-short":"Assessing the Appropriateness of Formulations on the WHO Model List of Essential Medicines for Children","volume":"14","author":[{"family":"Walsh","given":"Jennifer"},{"family":"Masini","given":"Tiziana"},{"family":"Huttner","given":"Benedikt"},{"family":"Moja","given":"Lorenzo"},{"family":"Penazzato","given":"Martina"},{"family":"Cappello","given":"Bernadette"}],"issued":{"date-parts":[["2022",2,22]]}}},{"id":12199,"uris":["http://zotero.org/users/6216265/items/SBAHENPM"],"itemData":{"id":12199,"type":"article-journal","abstract":"Improved global access to novel age‐appropriate formulations for paediatric subsets, either of new chemical entities or existing drugs, is a priority to ensure that medicines meet the needs of these patients. However, despite regulatory incentives, the introduction to the market of paediatric formulations still lags behind adult products. This is mainly caused by additional complexities associated with the development of acceptable age‐appropriate paediatric medicines. This position paper recommends the use of a paediatric Quality Target Product Profile as an efficient tool to facilitate early planning and decision making across all teams involved in paediatric formulation development during the children‐centric formulation design for new chemical entities, or to repurpose/reformulate off‐patent drugs. Essential key attributes of a paediatric formulation are suggested and described. Moreover, greater collaboration between formulation experts and clinical colleagues, including healthcare professionals, is advocated to lead to safe and effective, age‐appropriate medicinal products. Acceptability testing should be a secondary endpoint in paediatric clinical trials to ensure postmarketing adherence is not compromised by a lack of acceptability. Not knowing the indications and the related age groups and potential dosing regimens early enough is still a major hurdle for efficient paediatric formulation development; however, the proposed paediatric Quality Target Product Profile could be a valuable collaborative tool for planning and decision making to expedite paediatric product development, particularly for those with limited experience in developing a paediatric product.","container-title":"British Journal of Clinical Pharmacology","DOI":"10.1111/bcp.14989","ISSN":"0306-5251, 1365-2125","issue":"12","journalAbbreviation":"Brit J Clinical Pharma","language":"en","page":"5034-5051","source":"DOI.org (Crossref)","title":"Path towards efficient paediatric formulation development based on partnering with clinical pharmacologists and clinicians, a conect4children expert group white paper","volume":"88","author":[{"family":"Walsh","given":"Jennifer"},{"family":"Schaufelberger","given":"Daniel"},{"family":"Iurian","given":"Sonia"},{"family":"Klein","given":"Sandra"},{"family":"Batchelor","given":"Hannah"},{"family":"Turner","given":"Roy"},{"family":"Gizurarson","given":"Sveinbjörn"},{"family":"Boltri","given":"Luigi"},{"family":"Alessandrini","given":"Elisa"},{"family":"Tuleu","given":"Catherine"}],"issued":{"date-parts":[["2022",12]]}},"label":"page"},{"id":12200,"uris":["http://zotero.org/users/6216265/items/IHCSNCX5"],"itemData":{"id":12200,"type":"article-journal","container-title":"European Journal of Pharmaceutical Sciences","DOI":"10.1016/j.ejps.2022.106280","ISSN":"09280987","journalAbbreviation":"European Journal of Pharmaceutical Sciences","language":"en","page":"106280","source":"DOI.org (Crossref)","title":"Structured approach for designing drug-loaded solid products by binder jetting 3D printing","volume":"178","author":[{"family":"Wang","given":"Yingya"},{"family":"Müllertz","given":"Anette"},{"family":"Rantanen","given":"Jukka"}],"issued":{"date-parts":[["2022",11]]}},"label":"page"},{"id":12203,"uris":["http://zotero.org/users/6216265/items/5R76JEW2"],"itemData":{"id":12203,"type":"article-journal","abstract":"Abstract\n            Quality by design (QbD) is an efficient but challenging approach for the development of biosimilar due to the complex relationship among process, quality, and efficacy. Here, the analytical similarity of adalimumab biosimilar HLX03 to Humira® was successfully established following a QbD quality study. Quality target product profile (QTPP) of HLX03 was first generated according to the public available information and initial characterization of 3 batches of Humira®. The critical quality attributes (CQAs) were then identified through risk assessment according to impact of each quality attribute on efficacy and safety. The anticipated range for each CQA was derived from similarity acceptance range and/or the corresponding regulatory guidelines. Finally, a panel of advanced and orthogonal physicochemical and functional tests and comparison of 6 batches of HLX03 and 10 batches of the reference standard demonstrated high similarity of HLX03 to Humira®, except for slightly lower percentage of high mannosylated glycans (%HM) in HLX03 which had no effect on FcγRIII binding and antibody-dependent cell-mediated cytotoxicity (ADCC) activity in human peripheral blood mononuclear cell (PBMC). All above demonstrated the feasibility and efficiency of QbD-based similarity assessment of a biosimilar monoclonal antibody (mAb).","container-title":"The AAPS Journal","DOI":"10.1208/s12248-020-00454-z","ISSN":"1550-7416","issue":"3","journalAbbreviation":"AAPS J","language":"en","page":"69","source":"DOI.org (Crossref)","title":"Quality by Design–Based Assessment for Analytical Similarity of Adalimumab Biosimilar HLX03 to Humira®","volume":"22","author":[{"family":"Zhang","given":"Erhui"},{"family":"Xie","given":"Liqi"},{"family":"Qin","given":"Peilan"},{"family":"Lu","given":"Lihong"},{"family":"Xu","given":"Yanpeng"},{"family":"Gao","given":"Wenyuan"},{"family":"Wang","given":"Linlin"},{"family":"Xie","given":"Michael Hongwei"},{"family":"Jiang","given":"Weidong"},{"family":"Liu","given":"Scott"}],"issued":{"date-parts":[["2020",5]]}},"label":"page"},{"id":12205,"uris":["http://zotero.org/users/6216265/items/FITMSFXY"],"itemData":{"id":12205,"type":"article-journal","container-title":"International Journal of Nanomedicine","DOI":"10.2147/IJN.S102945","ISSN":"1178-2013","journalAbbreviation":"IJN","language":"en","page":"1501","source":"DOI.org (Crossref)","title":"Nicotinamide polymeric nanoemulsified systems: a quality-by-design case study for a sustained antimicrobial activity","title-short":"Nicotinamide polymeric nanoemulsified systems","author":[{"family":"Zidan","given":"Ahmed"},{"family":"Ahmed","given":"Osama"},{"family":"Aljaeid","given":"Bader"}],"issued":{"date-parts":[["2016",4]]}},"label":"page"}],"schema":"https://github.com/citation-style-language/schema/raw/master/csl-citation.json"} </w:instrText>
            </w:r>
            <w:r>
              <w:fldChar w:fldCharType="separate"/>
            </w:r>
            <w:r w:rsidR="00C94C08" w:rsidRPr="00C94C08">
              <w:rPr>
                <w:rFonts w:ascii="Calibri" w:hAnsi="Calibri" w:cs="Calibri"/>
                <w:szCs w:val="24"/>
              </w:rPr>
              <w:t>(219,223,225,227–230,232,255,258,259,275,276,280–282,285–287,291–293,300,301,306–308,312,319–322,324,325,332,335,336)</w:t>
            </w:r>
            <w:r>
              <w:fldChar w:fldCharType="end"/>
            </w:r>
          </w:p>
        </w:tc>
      </w:tr>
      <w:tr w:rsidR="00143B06" w14:paraId="33A11A57" w14:textId="77777777" w:rsidTr="00E666ED">
        <w:tc>
          <w:tcPr>
            <w:tcW w:w="1260" w:type="dxa"/>
            <w:vMerge w:val="restart"/>
            <w:vAlign w:val="center"/>
          </w:tcPr>
          <w:p w14:paraId="6804B90D" w14:textId="31AE8BA7" w:rsidR="00143B06" w:rsidRPr="00143B06" w:rsidRDefault="00143B06" w:rsidP="00106C2C">
            <w:pPr>
              <w:spacing w:line="276" w:lineRule="auto"/>
              <w:rPr>
                <w:b/>
                <w:bCs/>
              </w:rPr>
            </w:pPr>
            <w:r w:rsidRPr="00143B06">
              <w:rPr>
                <w:b/>
                <w:bCs/>
              </w:rPr>
              <w:t>Affiliation</w:t>
            </w:r>
          </w:p>
        </w:tc>
        <w:tc>
          <w:tcPr>
            <w:tcW w:w="2790" w:type="dxa"/>
            <w:vAlign w:val="center"/>
          </w:tcPr>
          <w:p w14:paraId="183C1C04" w14:textId="5FB4D0CB" w:rsidR="00143B06" w:rsidRDefault="00143B06" w:rsidP="00106C2C">
            <w:pPr>
              <w:spacing w:line="276" w:lineRule="auto"/>
            </w:pPr>
            <w:r>
              <w:t>Academia</w:t>
            </w:r>
          </w:p>
        </w:tc>
        <w:tc>
          <w:tcPr>
            <w:tcW w:w="5017" w:type="dxa"/>
            <w:vAlign w:val="center"/>
          </w:tcPr>
          <w:p w14:paraId="550B7555" w14:textId="7172B281" w:rsidR="00143B06" w:rsidRDefault="00143B06" w:rsidP="00106C2C">
            <w:pPr>
              <w:spacing w:line="276" w:lineRule="auto"/>
            </w:pPr>
            <w:r>
              <w:fldChar w:fldCharType="begin"/>
            </w:r>
            <w:r w:rsidR="00C94C08">
              <w:instrText xml:space="preserve"> ADDIN ZOTERO_ITEM CSL_CITATION {"citationID":"87uMKrQg","properties":{"formattedCitation":"(208\\uc0\\u8211{}218,220,224\\uc0\\u8211{}226,228\\uc0\\u8211{}232,236,237,240,241,243,245,247\\uc0\\u8211{}251,255,256,259\\uc0\\u8211{}261,263\\uc0\\u8211{}265,267,269,273,276,277,279\\uc0\\u8211{}282,284\\uc0\\u8211{}290,293,299\\uc0\\u8211{}302,305,306,308\\uc0\\u8211{}310,315,317\\uc0\\u8211{}319,323,325,327,328,331,332,334,336)","plainCitation":"(208–218,220,224–226,228–232,236,237,240,241,243,245,247–251,255,256,259–261,263–265,267,269,273,276,277,279–282,284–290,293,299–302,305,306,308–310,315,317–319,323,325,327,328,331,332,334,336)","noteIndex":0},"citationItems":[{"id":12224,"uris":["http://zotero.org/users/6216265/items/PPK7BIQD"],"itemData":{"id":12224,"type":"article-journal","container-title":"Clinical Microbiology and Infection","DOI":"10.1016/j.cmi.2015.03.014","ISSN":"1198743X","issue":"6","journalAbbreviation":"Clinical Microbiology and Infection","language":"en","page":"529-542","source":"DOI.org (Crossref)","title":"New diagnostic tools in schistosomiasis","volume":"21","author":[{"family":"Utzinger","given":"J."},{"family":"Becker","given":"S.L."},{"family":"Van Lieshout","given":"L."},{"family":"Van Dam","given":"G.J."},{"family":"Knopp","given":"S."}],"issued":{"date-parts":[["2015",6]]}},"label":"page"},{"id":12018,"uris":["http://zotero.org/users/6216265/items/5MXTTJIV"],"itemData":{"id":12018,"type":"article-journal","container-title":"The International Journal of Tuberculosis and Lung Disease","DOI":"10.5588/ijtld.17.0312","ISSN":"1027-3719","issue":"4","journalAbbreviation":"int j tuberc lung dis","language":"en","page":"425-428","source":"DOI.org (Crossref)","title":"Which attributes within target product profiles for tuberculosis diagnostics are the most important to focus on?","volume":"22","author":[{"family":"Adepoyibi","given":"T."},{"family":"Lilis","given":"L."},{"family":"Greb","given":"H."},{"family":"Boyle","given":"D."}],"issued":{"date-parts":[["2018",4,1]]}}},{"id":12019,"uris":["http://zotero.org/users/6216265/items/HP2FGHA5"],"itemData":{"id":12019,"type":"article-journal","container-title":"ACS Nano","DOI":"10.1021/acsnano.2c01697","ISSN":"1936-0851, 1936-086X","issue":"8","journalAbbreviation":"ACS Nano","language":"en","page":"11545-11576","source":"DOI.org (Crossref)","title":"Diagnostic Approaches For COVID-19: Lessons Learned and the Path Forward","title-short":"Diagnostic Approaches For COVID-19","volume":"16","author":[{"family":"Alafeef","given":"Maha"},{"family":"Pan","given":"Dipanjan"}],"issued":{"date-parts":[["2022",8,23]]}}},{"id":12021,"uris":["http://zotero.org/users/6216265/items/62V73I6Q"],"itemData":{"id":12021,"type":"article-journal","container-title":"PLOS Neglected Tropical Diseases","DOI":"10.1371/journal.pntd.0008035","ISSN":"1935-2735","issue":"4","journalAbbreviation":"PLoS Negl Trop Dis","language":"en","page":"e0008035","source":"DOI.org (Crossref)","title":"Target product profile for a test for the early assessment of treatment efficacy in Chagas disease patients: An expert consensus","title-short":"Target product profile for a test for the early assessment of treatment efficacy in Chagas disease patients","volume":"14","author":[{"family":"Alonso-Padilla","given":"Julio"},{"family":"Abril","given":"Marcelo"},{"family":"Alarcón De Noya","given":"Belkisyolé"},{"family":"Almeida","given":"Igor C."},{"family":"Angheben","given":"Andrea"},{"family":"Araujo Jorge","given":"Tania"},{"family":"Chatelain","given":"Eric"},{"family":"Esteva","given":"Monica"},{"family":"Gascón","given":"Joaquim"},{"family":"Grijalva","given":"Mario J."},{"family":"Guhl","given":"Felipe"},{"family":"Hasslocher-Moreno","given":"Alejandro Marcel"},{"family":"López","given":"Manuel Carlos"},{"family":"Luquetti","given":"Alejandro"},{"family":"Noya","given":"Oscar"},{"family":"Pinazo","given":"María Jesús"},{"family":"Ramsey","given":"Janine M."},{"family":"Ribeiro","given":"Isabela"},{"family":"Ruiz","given":"Andres Mariano"},{"family":"Schijman","given":"Alejandro G."},{"family":"Sosa-Estani","given":"Sergio"},{"family":"Thomas","given":"M. Carmen"},{"family":"Torrico","given":"Faustino"},{"family":"Zrein","given":"Maan"},{"family":"Picado","given":"Albert"}],"editor":[{"family":"Santiago","given":"Helton Da Costa"}],"issued":{"date-parts":[["2020",4,23]]}}},{"id":12023,"uris":["http://zotero.org/users/6216265/items/YFYAR9K4"],"itemData":{"id":12023,"type":"article-journal","container-title":"European Journal of Pharmaceutical Sciences","DOI":"10.1016/j.ejps.2016.01.003","ISSN":"09280987","journalAbbreviation":"European Journal of Pharmaceutical Sciences","language":"en","page":"92-102","source":"DOI.org (Crossref)","title":"Quality by design case study 1: Design of 5-fluorouracil loaded lipid nanoparticles by the W/O/W double emulsion — Solvent evaporation method","title-short":"Quality by design case study 1","volume":"84","author":[{"family":"Amasya","given":"Gulin"},{"family":"Badilli","given":"Ulya"},{"family":"Aksu","given":"Buket"},{"family":"Tarimci","given":"Nilufer"}],"issued":{"date-parts":[["2016",3]]}}},{"id":12024,"uris":["http://zotero.org/users/6216265/items/4HCDU9ZC"],"itemData":{"id":12024,"type":"article-journal","container-title":"AAPS PharmSciTech","DOI":"10.1208/s12249-019-1465-1","ISSN":"1530-9932","issue":"6","journalAbbreviation":"AAPS PharmSciTech","language":"en","page":"251","source":"DOI.org (Crossref)","title":"Quality-by-Design Approach for Biological API Encapsulation into Polymersomes Using “Off-the-Shelf” Materials: a Study on L-Asparaginase","title-short":"Quality-by-Design Approach for Biological API Encapsulation into Polymersomes Using “Off-the-Shelf” Materials","volume":"20","author":[{"family":"Apolinário","given":"Alexsandra Conceição"},{"family":"Ferraro","given":"Rafael Bertelli"},{"family":"De Oliveira","given":"Camila Areias"},{"family":"Pessoa Jr","given":"Adalberto"},{"family":"De Oliveira Rangel-Yagui","given":"Carlota"}],"issued":{"date-parts":[["2019",8]]}}},{"id":12025,"uris":["http://zotero.org/users/6216265/items/5VY6YHAC"],"itemData":{"id":12025,"type":"article-journal","container-title":"ACS Infectious Diseases","DOI":"10.1021/acsinfecdis.0c00889","ISSN":"2373-8227, 2373-8227","issue":"5","journalAbbreviation":"ACS Infect. Dis.","language":"en","page":"948-958","source":"DOI.org (Crossref)","title":"Target Product Profile and Development Path for Shigellosis Treatment with Antibacterials","volume":"7","author":[{"family":"Arnold","given":"Samuel L. M."}],"issued":{"date-parts":[["2021",5,14]]}}},{"id":12026,"uris":["http://zotero.org/users/6216265/items/NPEBDUJM"],"itemData":{"id":12026,"type":"article-journal","container-title":"International Journal of Pharmaceutics","DOI":"10.1016/j.ijpharm.2019.118448","ISSN":"03785173","journalAbbreviation":"International Journal of Pharmaceutics","language":"en","page":"118448","source":"DOI.org (Crossref)","title":"Quality by design driven development of resveratrol loaded ethosomal hydrogel for improved dermatological benefits via enhanced skin permeation and retention","volume":"567","author":[{"family":"Arora","given":"Daisy"},{"family":"Nanda","given":"Sanju"}],"issued":{"date-parts":[["2019",8]]}}},{"id":12027,"uris":["http://zotero.org/users/6216265/items/BRZJXFFJ"],"itemData":{"id":12027,"type":"article-journal","container-title":"International Journal of Pharmaceutics","DOI":"10.1016/j.ijpharm.2016.01.075","ISSN":"03785173","issue":"1-2","journalAbbreviation":"International Journal of Pharmaceutics","language":"en","page":"180-189","source":"DOI.org (Crossref)","title":"Self-assembly PEGylation assists SLN-paclitaxel delivery inducing cancer cell apoptosis upon internalization","volume":"501","author":[{"family":"Arranja","given":"Alexandra"},{"family":"Gouveia","given":"Luís F."},{"family":"Gener","given":"Petra"},{"family":"Rafael","given":"Diana F."},{"family":"Pereira","given":"Carolina"},{"family":"Schwartz","given":"Simó"},{"family":"Videira","given":"Mafalda A."}],"issued":{"date-parts":[["2016",3]]}}},{"id":12028,"uris":["http://zotero.org/users/6216265/items/AG23CAYM"],"itemData":{"id":12028,"type":"article-journal","container-title":"International Journal of Pharmaceutics","DOI":"10.1016/j.ijpharm.2012.08.033","ISSN":"03785173","issue":"1-2","journalAbbreviation":"International Journal of Pharmaceutics","language":"en","page":"167-175","source":"DOI.org (Crossref)","title":"Quality by design: Impact of formulation variables and their interactions on quality attributes of a lyophilized monoclonal antibody","title-short":"Quality by design","volume":"438","author":[{"family":"Awotwe-Otoo","given":"David"},{"family":"Agarabi","given":"Cyrus"},{"family":"Wu","given":"Geoffrey K."},{"family":"Casey","given":"Elizabeth"},{"family":"Read","given":"Erik"},{"family":"Lute","given":"Scott"},{"family":"Brorson","given":"Kurt A."},{"family":"Khan","given":"Mansoor A."},{"family":"Shah","given":"Rakhi B."}],"issued":{"date-parts":[["2012",11]]}}},{"id":12029,"uris":["http://zotero.org/users/6216265/items/STJ6NVD3"],"itemData":{"id":12029,"type":"article-journal","container-title":"Colloids and Surfaces B: Biointerfaces","DOI":"10.1016/j.colsurfb.2017.08.050","ISSN":"09277765","journalAbbreviation":"Colloids and Surfaces B: Biointerfaces","language":"en","page":"869-879","source":"DOI.org (Crossref)","title":"Formulation by design approach for development of ultrafine self-nanoemulsifying systems of rosuvastatin calcium containing long-chain lipophiles for hyperlipidemia management","volume":"159","author":[{"family":"Beg","given":"Sarwar"},{"family":"Katare","given":"O.P."},{"family":"Singh","given":"Bhupinder"}],"issued":{"date-parts":[["2017",11]]}}},{"id":12030,"uris":["http://zotero.org/users/6216265/items/CK8YSWR6"],"itemData":{"id":12030,"type":"article-journal","container-title":"Drug Development and Industrial Pharmacy","DOI":"10.1080/03639045.2017.1395459","ISSN":"0363-9045, 1520-5762","issue":"3","journalAbbreviation":"Drug Development and Industrial Pharmacy","language":"en","page":"407-420","source":"DOI.org (Crossref)","title":"QbD-driven development and evaluation of nanostructured lipid carriers (NLCs) of Olmesartan medoxomil employing multivariate statistical techniques","volume":"44","author":[{"family":"Beg","given":"Sarwar"},{"family":"Saini","given":"Sumant"},{"family":"Bandopadhyay","given":"Shantanu"},{"family":"Katare","given":"O. P."},{"family":"Singh","given":"Bhupinder"}],"issued":{"date-parts":[["2018",3,4]]}}},{"id":12032,"uris":["http://zotero.org/users/6216265/items/2D395RHX"],"itemData":{"id":12032,"type":"article-journal","container-title":"Drug Delivery","DOI":"10.3109/10717544.2014.900154","ISSN":"1071-7544, 1521-0464","issue":"6","journalAbbreviation":"Drug Delivery","language":"en","page":"765-784","source":"DOI.org (Crossref)","title":"QbD-based systematic development of novel optimized solid self-nanoemulsifying drug delivery systems (SNEDDS) of lovastatin with enhanced biopharmaceutical performance","volume":"22","author":[{"family":"Beg","given":"Sarwar"},{"family":"Sandhu","given":"Premjeet Singh"},{"family":"Batra","given":"Rattandeep Singh"},{"family":"Khurana","given":"Rajneet Kaur"},{"family":"Singh","given":"Bhupinder"}],"issued":{"date-parts":[["2015",8,18]]}}},{"id":12033,"uris":["http://zotero.org/users/6216265/items/RN2BACGJ"],"itemData":{"id":12033,"type":"article-journal","container-title":"Journal of Investigative Dermatology","DOI":"10.1016/j.jid.2019.07.699","ISSN":"0022202X","issue":"11","journalAbbreviation":"Journal of Investigative Dermatology","language":"en","page":"2252-2257.e1","source":"DOI.org (Crossref)","title":"Research Techniques Made Simple: An Introduction to Drug Discovery for Dermatology","title-short":"Research Techniques Made Simple","volume":"139","author":[{"family":"Bell","given":"Mark"},{"family":"Webster","given":"Lauren"},{"family":"Woodland","given":"Andrew"}],"issued":{"date-parts":[["2019",11]]}}},{"id":12034,"uris":["http://zotero.org/users/6216265/items/PVHKZWP8"],"itemData":{"id":12034,"type":"article-journal","container-title":"Global Health: Science and Practice","DOI":"10.9745/GHSP-D-20-00028","ISSN":"2169-575X","issue":"3","journalAbbreviation":"Glob Health Sci Pract","language":"en","page":"549-565","source":"DOI.org (Crossref)","title":"Matching Development of Point-of-Care Diagnostic Tests to the Local Context: A Case Study of Visceral Leishmaniasis in Kenya and Uganda","title-short":"Matching Development of Point-of-Care Diagnostic Tests to the Local Context","volume":"8","author":[{"family":"Bengtson","given":"Michel"},{"family":"Bharadwaj","given":"Mitasha"},{"family":"Bosch","given":"Astrid Ten"},{"family":"Nyakundi","given":"Hellen"},{"family":"Matoke-Muhia","given":"Damaris"},{"family":"Dekker","given":"Cees"},{"family":"Diehl","given":"Jan-Carel"}],"issued":{"date-parts":[["2020",9,30]]}}},{"id":12038,"uris":["http://zotero.org/users/6216265/items/9RQC88RQ"],"itemData":{"id":12038,"type":"article-journal","container-title":"Journal of Medicinal Chemistry","DOI":"10.1021/acs.jmedchem.9b00775","ISSN":"0022-2623, 1520-4804","issue":"2","journalAbbreviation":"J. Med. Chem.","language":"en","page":"470-489","source":"DOI.org (Crossref)","title":"Drugs for the Treatment of Zika Virus Infection","volume":"63","author":[{"family":"Bernatchez","given":"Jean A."},{"family":"Tran","given":"Lana T."},{"family":"Li","given":"Jerry"},{"family":"Luan","given":"Yepeng"},{"family":"Siqueira-Neto","given":"Jair L."},{"family":"Li","given":"Rongshi"}],"issued":{"date-parts":[["2020",1,23]]}},"label":"page"},{"id":12045,"uris":["http://zotero.org/users/6216265/items/HWKPZCV2"],"itemData":{"id":12045,"type":"article-journal","abstract":"Significance\n            \n              Genetic systems for controlling transmission of vector-borne diseases are moving from discovery-stage demonstrations of proofs-of-principle to the next phases of development. A successful transition requires meeting safety and efficacy criteria defined in target product profiles. We show here that the Cas9/guide RNA-based gene-drive components of a genetically-engineered malaria mosquito vector,\n              Anopheles gambiae\n              , achieve key target product profile requirements for efficacy and performance. This system is designed to achieve mosquito population modification when coupled with genes encoding antiparasite effector molecules and result in stable and sustainable blocking of malaria parasite transmission.\n            \n          , \n            \n              A Cas9/guide RNA-based gene drive strain, AgNosCd-1, was developed to deliver antiparasite effector molecules to the malaria vector mosquito,\n              Anopheles gambiae\n              . The drive system targets the\n              cardinal\n              gene ortholog producing a red-eye phenotype. Drive can achieve 98 to 100% in both sexes and full introduction was observed in small cage trials within 6 to 10 generations following a single release of gene-drive males. No genetic load resulting from the integrated transgenes impaired drive performance in the trials. Potential drive-resistant target-site alleles arise at a frequency &lt;0.1, and five of the most prevalent polymorphisms in the guide RNA target site in collections of colonized and wild-derived African mosquitoes do not prevent cleavage in vitro by the Cas9/guide RNA complex. Only one predicted off-target site is cleavable in vitro, with negligible deletions observed in vivo. AgNosCd-1 meets key performance criteria of a target product profile and can be a valuable component of a field-ready strain for mosquito population modification to control malaria transmission.","container-title":"Proceedings of the National Academy of Sciences","DOI":"10.1073/pnas.2010214117","ISSN":"0027-8424, 1091-6490","issue":"37","journalAbbreviation":"Proc. Natl. Acad. Sci. U.S.A.","language":"en","page":"22805-22814","source":"DOI.org (Crossref)","title":"Next-generation gene drive for population modification of the malaria vector mosquito, &lt;i&gt;Anopheles gambiae&lt;/i&gt;","volume":"117","author":[{"family":"Carballar-Lejarazú","given":"Rebeca"},{"family":"Ogaugwu","given":"Christian"},{"family":"Tushar","given":"Taylor"},{"family":"Kelsey","given":"Adam"},{"family":"Pham","given":"Thai Binh"},{"family":"Murphy","given":"Jazmin"},{"family":"Schmidt","given":"Hanno"},{"family":"Lee","given":"Yoosook"},{"family":"Lanzaro","given":"Gregory C."},{"family":"James","given":"Anthony A."}],"issued":{"date-parts":[["2020",9,15]]}}},{"id":12047,"uris":["http://zotero.org/users/6216265/items/CV3FADJV"],"itemData":{"id":12047,"type":"article-journal","container-title":"The AAPS Journal","DOI":"10.1208/s12248-013-9472-8","ISSN":"1550-7416","issue":"3","journalAbbreviation":"AAPS J","language":"en","page":"674-683","source":"DOI.org (Crossref)","title":"Generic Development of Topical Dermatologic Products, Part II: Quality by Design for Topical Semisolid Products","title-short":"Generic Development of Topical Dermatologic Products, Part II","volume":"15","author":[{"family":"Chang","given":"Rong-Kun"},{"family":"Raw","given":"Andre"},{"family":"Lionberger","given":"Robert"},{"family":"Yu","given":"Lawrence"}],"issued":{"date-parts":[["2013",7]]}}},{"id":12049,"uris":["http://zotero.org/users/6216265/items/JPXF5H3P"],"itemData":{"id":12049,"type":"article-journal","abstract":"Purpose: The purpose of the study was to develop and optimize rosiglitazone maleate mucoadhesive extended-release tablets by quality by design (QbD) approach. Based on QTPP (quality target product profile) CQAs (critical quality attributes) were identified.  Methods: Failure mode and effects analysis (FMEA) method were adopted for risk assessment. Risk analysis by the evaluation of formulation and process parameters showed that the optimizing the levels of polymers could reduce high risk to achieve target profile. Drug-excipient compatibility studies by Fourier transforms infra-red and DSC studies showed that the drug was compatible with the polymers used. Design of experiment (DoE) performed by Sigma tech software, Carbopol 934P and sodium carboxymethyl cellulose (SCMC) were identified as independent variables and hardness, drug release at 12 hours and ex vivo mucoadhesion time were adopted as responses. Contour plots generated from the software were used for identification of design space.  Results: Carbopol 934P and SCMC had positive and negative effects respectively on the selected responses. Higher the concentration of Carbopol 934P and lower the concentration of SCMC mucoadhesive extended release criteria could be achieved. Drug release kinetics followed first order release with Higuchi diffusion and Fickian diffusion. Ex vivo mucoadhesion test on goat stomach mucosa indicated that adhesion time increased at higher concentrations of Carbopol 934P. Optimized formula satisfying all the required parameters was selected and evaluated. The predicted response values were in close agreement with experimental response values, confirmed by calculating standard error.  Conclusion: It has been concluded that the application of QbD in the optimization reduced the number of trials to produce a cost-effective formula.","container-title":"Advanced Pharmaceutical Bulletin","DOI":"10.15171/apb.2019.032","ISSN":"2228-5881, 2251-7308","issue":"2","journalAbbreviation":"Adv Pharm Bull","language":"en","page":"281-288","source":"DOI.org (Crossref)","title":"A Cost Effective (QbD) Approach in the Development and Optimization of Rosiglitazone Maleate Mucoadhesive Extended Release Tablets – In Vitro and Ex Vivo","volume":"9","author":[{"family":"Chappidi","given":"Suryaprakash Reddy"},{"family":"Bhargav","given":"Eranti"},{"family":"Marikunte","given":"Venkataranganna"},{"family":"Chinthaginjala","given":"Haranath"},{"family":"Vijaya Jyothi","given":"Mallela"},{"family":"Pisay","given":"Muralidhar"},{"family":"Jutur","given":"Mounika"},{"family":"Shaik Mahammad","given":"Mujahid"},{"family":"Poura","given":"Mrunalini"},{"family":"Yadav","given":"Sailaja"},{"family":"Syed","given":"Moinuddin"}],"issued":{"date-parts":[["2019",6,1]]}}},{"id":12052,"uris":["http://zotero.org/users/6216265/items/3XKN2KVA"],"itemData":{"id":12052,"type":"article-journal","container-title":"Drug Development and Industrial Pharmacy","DOI":"10.3109/03639045.2016.1160108","ISSN":"0363-9045, 1520-5762","issue":"10","journalAbbreviation":"Drug Development and Industrial Pharmacy","language":"en","page":"1643-1652","source":"DOI.org (Crossref)","title":"Quality by design approach for development of suspension nasal spray products: a case study on budesonide nasal suspension","title-short":"Quality by design approach for development of suspension nasal spray products","volume":"42","author":[{"family":"Chudiwal","given":"Swapnil Sharadkumar"},{"family":"Dehghan","given":"Mohamed Hassan G."}],"issued":{"date-parts":[["2016",10,2]]}}},{"id":12053,"uris":["http://zotero.org/users/6216265/items/JVW5DS2L"],"itemData":{"id":12053,"type":"article-journal","container-title":"Pharmaceutical Development and Technology","DOI":"10.1080/10837450.2016.1236130","ISSN":"1083-7450, 1097-9867","issue":"10","journalAbbreviation":"Pharmaceutical Development and Technology","language":"en","page":"1077-1087","source":"DOI.org (Crossref)","title":"Quality by design (QbD) approach for design and development of drug-device combination products: a case study on flunisolide nasal spray","title-short":"Quality by design (QbD) approach for design and development of drug-device combination products","volume":"23","author":[{"family":"Chudiwal","given":"Swapnil Sharadkumar"},{"family":"Dehghan","given":"Mohamed Hassan G."}],"issued":{"date-parts":[["2018",11,26]]}}},{"id":12054,"uris":["http://zotero.org/users/6216265/items/ZGQI4SFC"],"itemData":{"id":12054,"type":"article-journal","container-title":"Drug Development and Industrial Pharmacy","DOI":"10.1080/03639045.2017.1413111","ISSN":"0363-9045, 1520-5762","issue":"5","journalAbbreviation":"Drug Development and Industrial Pharmacy","language":"en","page":"787-799","source":"DOI.org (Crossref)","title":"Development of sustained release gastro-retentive tablet formulation of nicardipine hydrochloride using quality by design (QbD) approach","volume":"44","author":[{"family":"Chudiwal","given":"Vijay S."},{"family":"Shahi","given":"Sadhana"},{"family":"Chudiwal","given":"Swapnil"}],"issued":{"date-parts":[["2018",5,4]]}}},{"id":12055,"uris":["http://zotero.org/users/6216265/items/H7PPVU8R"],"itemData":{"id":12055,"type":"article-journal","container-title":"International Journal of Pharmaceutics","DOI":"10.1016/j.ijpharm.2021.120933","ISSN":"03785173","journalAbbreviation":"International Journal of Pharmaceutics","language":"en","page":"120933","source":"DOI.org (Crossref)","title":"Quality by design (QbD) optimization of diazepam-loaded nanostructured lipid carriers (NLC) for nose-to-brain delivery: Toxicological effect of surface charge on human neuronal cells","title-short":"Quality by design (QbD) optimization of diazepam-loaded nanostructured lipid carriers (NLC) for nose-to-brain delivery","volume":"607","author":[{"family":"Costa","given":"C.P."},{"family":"Cunha","given":"S."},{"family":"Moreira","given":"J.N."},{"family":"Silva","given":"R."},{"family":"Gil-Martins","given":"E."},{"family":"Silva","given":"V."},{"family":"Azevedo","given":"L."},{"family":"Peixoto","given":"A.F."},{"family":"Sousa Lobo","given":"J.M."},{"family":"Silva","given":"A.C."}],"issued":{"date-parts":[["2021",9]]}}},{"id":12056,"uris":["http://zotero.org/users/6216265/items/8KBTRW8U"],"itemData":{"id":12056,"type":"article-journal","container-title":"International Journal of Pharmaceutics","DOI":"10.1016/j.ijpharm.2015.04.038","ISSN":"03785173","issue":"1-2","journalAbbreviation":"International Journal of Pharmaceutics","language":"en","page":"58-72","source":"DOI.org (Crossref)","title":"Implementation of quality by design principles in the development of microsponges as drug delivery carriers: Identification and optimization of critical factors using multivariate statistical analyses and design of experiments studies","title-short":"Implementation of quality by design principles in the development of microsponges as drug delivery carriers","volume":"489","author":[{"family":"Crcarevska","given":"Maja"},{"family":"Dimitrovska","given":"Aneta"},{"family":"Sibinovska","given":"Nadica"},{"family":"Mladenovska","given":"Kristina"},{"family":"Slavevska Raicki","given":"Renata"},{"family":"Glavas Dodov","given":"Marija"}],"issued":{"date-parts":[["2015",7]]}},"label":"page"},{"id":12063,"uris":["http://zotero.org/users/6216265/items/UA5H37QU"],"itemData":{"id":12063,"type":"article-journal","container-title":"AAPS PharmSciTech","DOI":"10.1208/s12249-021-02132-5","ISSN":"1530-9932","issue":"7","journalAbbreviation":"AAPS PharmSciTech","language":"en","page":"244","source":"DOI.org (Crossref)","title":"Development and Optimization of Asenapine Sublingual Film Using QbD Approach","volume":"22","author":[{"family":"Dalal","given":"Rahil"},{"family":"Shah","given":"Jigar"},{"family":"Gorain","given":"Bapi"},{"family":"Choudhury","given":"Hira"},{"family":"Jacob","given":"Shery"},{"family":"Mehta","given":"Tejal A."},{"family":"Shah","given":"Hiral"},{"family":"Nair","given":"Anroop B."}],"issued":{"date-parts":[["2021",10]]}}},{"id":12064,"uris":["http://zotero.org/users/6216265/items/7YUHUR53"],"itemData":{"id":12064,"type":"article-journal","container-title":"International Journal of Pharmaceutics","DOI":"10.1016/j.ijpharm.2019.118717","ISSN":"03785173","journalAbbreviation":"International Journal of Pharmaceutics","language":"en","page":"118717","source":"DOI.org (Crossref)","title":"Quality by design approach for the preparation of fat-soluble vitamins lipid injectable emulsion","volume":"571","author":[{"family":"Deng","given":"Yanping"},{"family":"Zhong","given":"Guifeng"},{"family":"Wang","given":"Yi"},{"family":"Wang","given":"Ni"},{"family":"Yu","given":"Qing"},{"family":"Yu","given":"Xiangbin"}],"issued":{"date-parts":[["2019",11]]}},"label":"page"},{"id":12069,"uris":["http://zotero.org/users/6216265/items/PEZECKTS"],"itemData":{"id":12069,"type":"article-journal","container-title":"Pharmaceutical Research","DOI":"10.1007/s11095-019-2663-y","ISSN":"0724-8741, 1573-904X","issue":"10","journalAbbreviation":"Pharm Res","language":"en","page":"142","source":"DOI.org (Crossref)","title":"Identification of Factors of Importance for Spray Drying of Small Interfering RNA-Loaded Lipidoid-Polymer Hybrid Nanoparticles for Inhalation","volume":"36","author":[{"family":"Dormenval","given":"Cypriane"},{"family":"Lokras","given":"Abhijeet"},{"family":"Cano-Garcia","given":"Guillermo"},{"family":"Wadhwa","given":"Abishek"},{"family":"Thanki","given":"Kaushik"},{"family":"Rose","given":"Fabrice"},{"family":"Thakur","given":"Aneesh"},{"family":"Franzyk","given":"Henrik"},{"family":"Foged","given":"Camilla"}],"issued":{"date-parts":[["2019",10]]}},"label":"page"},{"id":12070,"uris":["http://zotero.org/users/6216265/items/MER6KMER"],"itemData":{"id":12070,"type":"article-journal","abstract":"With increasing geographic spread, frequency, and magnitude of outbreaks, dengue continues to pose a major public health threat worldwide. Dengvaxia, a dengue live-attenuated tetravalent vaccine, was licensed in 2015, but post hoc analyses of long-term data showed serostatus-dependent vaccine performance with an excess risk of hospitalized and severe dengue in seronegative vaccine recipients. The World Health Organization (WHO) recommended that only persons with evidence of past dengue infection should receive the vaccine. A test for pre-vaccination screening for dengue serostatus is needed. To develop the target product profile (TPP) for a dengue pre-vaccination screening test, face-to-face consultative meetings were organized with follow-up regional consultations. A technical working group was formed to develop consensus on a reference test against which candidate pre-vaccination screening tests could be compared. The group also reviewed current diagnostic landscape and the need to accelerate the evaluation, regulatory approval, and policy development of tests that can identify seropositive individuals and maximize public health impact of vaccination while avoiding the risk of hospitalization in dengue-naive individuals. Pre-vaccination screening strategies will benefit from rapid diagnostic tests (RDTs) that are affordable, sensitive, and specific and can be used at the point of care (POC). The TPP described the minimum and ideal characteristics of a dengue pre-vaccination screening RDT with an emphasis on high specificity. The group also made suggestions for accelerating access to these RDTs through streamlining regulatory approval and policy development. Risk and benefit based on what can be achieved with RDTs meeting minimal and optimal characteristics in the TPP across a range of seroprevalences were defined. The final choice of RDTs in each country will depend on the performance of the RDT, dengue seroprevalence in the target population, tolerance of risk, and cost-effectiveness.","container-title":"PLOS Neglected Tropical Diseases","DOI":"10.1371/journal.pntd.0009557","ISSN":"1935-2735","issue":"7","journalAbbreviation":"PLoS Negl Trop Dis","language":"en","page":"e0009557","source":"DOI.org (Crossref)","title":"Target product profile for a dengue pre-vaccination screening test","volume":"15","author":[{"family":"Fongwen","given":"Noah"},{"family":"Wilder-Smith","given":"Annelise"},{"family":"Gubler","given":"Duane J."},{"family":"Ooi","given":"Eng Eong"},{"family":"T. Salvana","given":"Edsel Maurice"},{"family":"De Lamballerie","given":"Xavier"},{"family":"Olliaro","given":"Piero L."},{"family":"Peeling","given":"Rosanna W."}],"editor":[{"family":"Gawarammana","given":"Indika"}],"issued":{"date-parts":[["2021",7,29]]}},"label":"page"},{"id":12074,"uris":["http://zotero.org/users/6216265/items/HAXEQ5CJ"],"itemData":{"id":12074,"type":"article-journal","container-title":"PLOS ONE","DOI":"10.1371/journal.pone.0200531","ISSN":"1932-6203","issue":"8","journalAbbreviation":"PLoS ONE","language":"en","page":"e0200531","source":"DOI.org (Crossref)","title":"Matching diagnostics development to clinical need: Target product profile development for a point of care test for community-acquired lower respiratory tract infection","title-short":"Matching diagnostics development to clinical need","volume":"13","author":[{"family":"Gal","given":"Micaela"},{"family":"Francis","given":"Nicholas A."},{"family":"Hood","given":"Kerenza"},{"family":"Villacian","given":"Jorge"},{"family":"Goossens","given":"Herman"},{"family":"Watkins","given":"Angela"},{"family":"Butler","given":"Christopher C."},{"literal":"the RAPP-ID consortium"}],"editor":[{"family":"Gupta","given":"Vineet"}],"issued":{"date-parts":[["2018",8,1]]}},"label":"page"},{"id":12078,"uris":["http://zotero.org/users/6216265/items/CQ3LBGY7"],"itemData":{"id":12078,"type":"article-journal","container-title":"Colloids and Surfaces B: Biointerfaces","DOI":"10.1016/j.colsurfb.2016.02.012","ISSN":"09277765","journalAbbreviation":"Colloids and Surfaces B: Biointerfaces","language":"en","page":"611-622","source":"DOI.org (Crossref)","title":"Systematic development of solid self-nanoemulsifying oily formulations (S-SNEOFs) for enhancing the oral bioavailability and intestinal lymphatic uptake of lopinavir","volume":"141","author":[{"family":"Garg","given":"Babita"},{"family":"Katare","given":"O.P."},{"family":"Beg","given":"Sarwar"},{"family":"Lohan","given":"Shikha"},{"family":"Singh","given":"Bhupinder"}],"issued":{"date-parts":[["2016",5]]}},"label":"page"},{"id":12080,"uris":["http://zotero.org/users/6216265/items/R5UEG7PJ"],"itemData":{"id":12080,"type":"article-journal","abstract":"Abstract\n            \n              The main objective of the present study was to apply QbD methodology in the development of once-a-day sustained release quetiapine tablets. The quality target product profile (QTPP) was defined after the pharmaceutical properties and kinetic release of the innovator product, Seroquel XR 200 mg. For the D-optimal experimental design, the level and ratio of matrix forming agents and the type of extragranular diluent were chosen as independent inputs, which represented critical formulation factors. The critical quality attributes (CQAs) studied were the cumulative percentages of quetiapine released after certain time intervals. After the analysis of the experimental design, optimal formulas and the design space were defined. Optimal formulas demonstrated zero-order release kinetics and a dissolution profile similar to the innovator product, with f\n              2\n              values of 74.53 and 83.74. It was concluded that the QbD approach allowed fast development of sustained release tablets with similar dissolution behavior as the innovator product.","container-title":"Acta Pharmaceutica","DOI":"10.1515/acph-2017-0009","ISSN":"1846-9558","issue":"1","language":"en","page":"53-70","source":"DOI.org (Crossref)","title":"Formulation and pharmaceutical development of quetiapine fumarate sustained release matrix tablets using a QbD approach","volume":"67","author":[{"family":"Gavan","given":"Alexandru"},{"family":"Porfire","given":"Alina"},{"family":"Marina","given":"Cristina"},{"family":"Tomuta","given":"Ioan"}],"issued":{"date-parts":[["2017",3,1]]}},"label":"page"},{"id":12084,"uris":["http://zotero.org/users/6216265/items/7YXYKTJ4"],"itemData":{"id":12084,"type":"article-journal","container-title":"Drug Delivery and Translational Research","DOI":"10.1007/s13346-021-01014-4","ISSN":"2190-393X, 2190-3948","issue":"5","journalAbbreviation":"Drug Deliv. and Transl. Res.","language":"en","page":"1230-1252","source":"DOI.org (Crossref)","title":"Quality by design (QbD)–based fabrication of atazanavir-loaded nanostructured lipid carriers for lymph targeting: bioavailability enhancement using chylomicron flow block model and toxicity studies","title-short":"Quality by design (QbD)–based fabrication of atazanavir-loaded nanostructured lipid carriers for lymph targeting","volume":"12","author":[{"family":"Gurumukhi","given":"Vishal C."},{"family":"Bari","given":"Sanjaykumar B."}],"issued":{"date-parts":[["2022",5]]}}},{"id":12086,"uris":["http://zotero.org/users/6216265/items/GQ25699G"],"itemData":{"id":12086,"type":"article-journal","container-title":"Drug Delivery and Translational Research","DOI":"10.1007/s13346-021-01083-5","ISSN":"2190-393X, 2190-3948","issue":"7","journalAbbreviation":"Drug Deliv. and Transl. Res.","language":"en","page":"1753-1773","source":"DOI.org (Crossref)","title":"Development of ritonavir-loaded nanostructured lipid carriers employing quality by design (QbD) as a tool: characterizations, permeability, and bioavailability studies","title-short":"Development of ritonavir-loaded nanostructured lipid carriers employing quality by design (QbD) as a tool","volume":"12","author":[{"family":"Gurumukhi","given":"Vishal C."},{"family":"Bari","given":"Sanjaykumar B."}],"issued":{"date-parts":[["2022",7]]}},"label":"page"},{"id":12088,"uris":["http://zotero.org/users/6216265/items/ZYSEVCYB"],"itemData":{"id":12088,"type":"article-journal","container-title":"AAPS PharmSciTech","DOI":"10.1208/s12249-017-0797-y","ISSN":"1530-9932","issue":"8","journalAbbreviation":"AAPS PharmSciTech","language":"en","page":"3129-3139","source":"DOI.org (Crossref)","title":"Implementation of Quality by Design for Formulation of Rebamipide Gastro-retentive Tablet","volume":"18","author":[{"family":"Ha","given":"Jung-Myung"},{"family":"Seo","given":"Jeong-Woong"},{"family":"Kim","given":"Su-Hyeon"},{"family":"Kim","given":"Ju-Young"},{"family":"Park","given":"Chun-Woong"},{"family":"Rhee","given":"Yun-Seok"},{"family":"Park","given":"Eun-Seok"}],"issued":{"date-parts":[["2017",11]]}}},{"id":12089,"uris":["http://zotero.org/users/6216265/items/8GSLRBZA"],"itemData":{"id":12089,"type":"article-journal","container-title":"European Journal of Pharmaceutical Sciences","DOI":"10.1016/j.ejps.2017.01.006","ISSN":"09280987","journalAbbreviation":"European Journal of Pharmaceutical Sciences","language":"en","page":"249-261","source":"DOI.org (Crossref)","title":"A quality by design (QbD) study on enoxaparin sodium loaded polymeric microspheres for colon-specific delivery","volume":"100","author":[{"family":"Hales","given":"Dana"},{"family":"Vlase","given":"Laurian"},{"family":"Porav","given":"Sebastian Alin"},{"family":"Bodoki","given":"Andreea"},{"family":"Barbu-Tudoran","given":"Lucian"},{"family":"Achim","given":"Marcela"},{"family":"Tomuță","given":"Ioan"}],"issued":{"date-parts":[["2017",3]]}}},{"id":12090,"uris":["http://zotero.org/users/6216265/items/BDX2EI6T"],"itemData":{"id":12090,"type":"article-journal","container-title":"Malaria Journal","DOI":"10.1186/1475-2875-13-62","ISSN":"1475-2875","issue":"1","journalAbbreviation":"Malar J","language":"en","page":"62","source":"DOI.org (Crossref)","title":"Pharmacological considerations in the design of anti-malarial drug combination therapies – is matching half-lives enough?","volume":"13","author":[{"family":"Hastings","given":"Ian M"},{"family":"Hodel","given":"Eva Maria"}],"issued":{"date-parts":[["2014",12]]}},"label":"page"},{"id":12096,"uris":["http://zotero.org/users/6216265/items/RUU3J8PP"],"itemData":{"id":12096,"type":"article-journal","container-title":"European Journal of Pharmaceutical Sciences","DOI":"10.1016/j.ejps.2020.105588","ISSN":"09280987","journalAbbreviation":"European Journal of Pharmaceutical Sciences","language":"en","page":"105588","source":"DOI.org (Crossref)","title":"Development of solid lipid microparticles by melt-emulsification/spray-drying processes as carriers for pulmonary drug delivery","volume":"156","author":[{"family":"Ignjatović","given":"Jelisaveta"},{"family":"Đuriš","given":"Jelena"},{"family":"Cvijić","given":"Sandra"},{"family":"Dobričić","given":"Vladimir"},{"family":"Montepietra","given":"Agnese"},{"family":"Lombardi","given":"Chiara"},{"family":"Ibrić","given":"Svetlana"},{"family":"Rossi","given":"Alessandra"}],"issued":{"date-parts":[["2021",1]]}}},{"id":12097,"uris":["http://zotero.org/users/6216265/items/26EN5NPI"],"itemData":{"id":12097,"type":"article-journal","container-title":"Pharmaceutical Research","DOI":"10.1007/s11095-013-1096-2","ISSN":"0724-8741, 1573-904X","issue":"11","journalAbbreviation":"Pharm Res","language":"en","page":"2772-2784","source":"DOI.org (Crossref)","title":"Engineering of an Inhalable DDA/TDB Liposomal Adjuvant: A Quality-by-Design Approach Towards Optimization of the Spray Drying Process","title-short":"Engineering of an Inhalable DDA/TDB Liposomal Adjuvant","volume":"30","author":[{"family":"Ingvarsson","given":"Pall Thor"},{"family":"Yang","given":"Mingshi"},{"family":"Mulvad","given":"Helle"},{"family":"Nielsen","given":"Hanne Mørck"},{"family":"Rantanen","given":"Jukka"},{"family":"Foged","given":"Camilla"}],"issued":{"date-parts":[["2013",11]]}},"label":"page"},{"id":12098,"uris":["http://zotero.org/users/6216265/items/N9AXDNH6"],"itemData":{"id":12098,"type":"article-journal","abstract":"This article highlights the importance of building a marketing led cross-functional team that integrates the R&amp;D, and commercialization process in an early stage Biopharma and MedTech company. Marketing should play a prominent role in the cross-functional team at the earliest stages of company formation and product development to identify unmet need, design the development plan, shape the product life cycle, position the product in the competitive set, and understand all market drivers and competitive factors that are essential to ensure commercial success. In particular, in this paper, the focus is on the importance of creating an appealing target product profile (TPP) and describe the rational and methodology for creating the TPP. Drug development is a high risk, high cost, high reward undertaking, and the TPP provides a market-guided approach to development of drugs more quickly, inexpensively, and with a higher rate of success.","container-title":"Journal of Commercial Biotechnology","DOI":"10.5912/jcb924","ISSN":"1478-565X, 1462-8732","issue":"4","journalAbbreviation":"JCB","source":"DOI.org (Crossref)","title":"The R&amp;D Marketing Interface in Biopharma and MedTech","URL":"https://www.commercialbiotechnology.com/index.php/jcb/article/view/924","volume":"24","author":[{"family":"Jambulingam","given":"Thani"}],"accessed":{"date-parts":[["2023",11,2]]},"issued":{"date-parts":[["2019",9,7]]}}},{"id":12100,"uris":["http://zotero.org/users/6216265/items/26BEY4TK"],"itemData":{"id":12100,"type":"article-journal","container-title":"AAPS PharmSciTech","DOI":"10.1208/s12249-018-0951-1","ISSN":"1530-9932","issue":"3","journalAbbreviation":"AAPS PharmSciTech","language":"en","page":"1377-1391","source":"DOI.org (Crossref)","title":"Risk Assessment Integrated QbD Approach for Development of Optimized Bicontinuous Mucoadhesive Limicubes for Oral Delivery of Rosuvastatin","volume":"19","author":[{"family":"Javed","given":"Md Noushad"},{"family":"Kohli","given":"Kanchan"},{"family":"Amin","given":"Saima"}],"issued":{"date-parts":[["2018",4]]}}},{"id":12101,"uris":["http://zotero.org/users/6216265/items/BTDD4883"],"itemData":{"id":12101,"type":"article-journal","abstract":"Background:\n              This study is focused on preparing rifampicin-loaded bovine serum albumin nanoparticles\n(RIF BSA NPs) suitable for intravenous application using systematic quality by design\n(QbD) approach.\n            \n            \n              Aim:\n              Rifampicin is one of the first-line drugs used for tuberculosis therapy. The therapy\nlasts for a long time. Thus, there is a need to develop a sustained release formulation of rifampicin\nfor intravenous application.\n            \n            \n              Objectives:\n              The main objective of this study is optimizing particle size and entrapment efficiency\nof rifampicin-loaded bovine serum albumin nanoparticles (RIF BSA NPs) and making them suitable\nfor intravenous application using QbD approach.\n            \n            \n              Methods:\n              Quality target product profile was defined along with critical quality attributes (CQAs)\nfor the formulation. 32 factorial design was used for achieving the predetermined values of CQAs,\ni.e., mean particle size &lt;200 nm and percent entrapment efficiency&gt;50%. Incubation time of drug\nwith colloidal albumin solution and ratio of rifampicin to albumin, were selected as independent\nvariables. Checkpoint analysis was performed to confirm the suitability of the regression model for\noptimization.\n            \n            \n              Results: :\n              The optimized RIF BSA NPs were characterized by FTIR, DSC, 1H NMR techniques. The\nNPs observed by transmission electron microscopy were spherical in shape. The rifampicin release\ncould be sustained for 72 hours from BSA NPs matrix. RIF BSA NPs dispersion was stable at 5 ±\n3°C for 72 hours. Non-toxicity of nanoparticles to RAW 264.7 cell line was proved by MTT assay.\n            \n            \n              Conclusion:\n              Development of RIF BSA NPs with desired quality attributes was possible by implementing\nthe QbD approach. The optimized formulation suitable for intravenous application can potentially\nimprove the therapeutic benefits of rifampicin.","container-title":"Current Drug Delivery","DOI":"10.2174/1567201818666210212090451","ISSN":"15672018","issue":"9","journalAbbreviation":"CDD","language":"en","page":"1338-1351","source":"DOI.org (Crossref)","title":"Quality by Design Approach for Development and Optimization of Rifampicin Loaded Bovine Serum Albumin Nanoparticles and Characterization","volume":"18","author":[{"family":"Joshi","given":"Monica"},{"family":"Yadav","given":"Khushwant S."},{"family":"Prabhakar","given":"Bala"}],"issued":{"date-parts":[["2021",12,30]]}}},{"id":12104,"uris":["http://zotero.org/users/6216265/items/L5N6G2Q5"],"itemData":{"id":12104,"type":"article-journal","abstract":"Objective:\n              The present study reports the use of MicrofluidizerTM technology to form a stable\nnanosuspension of atovaquone (ATQ) using quality by design (QbD) approach.\n            \n            \n              Methods:\n              The patient-centric quality target product profile and critical quality attributes (CQAs) were\nidentified. A Box-Behnken design was employed for the optimization of dependent variables, while\nCQAs like particle size and PDI were evaluated as response variables. Effective optimization of ATQ\nnanosuspension preparation using Microfluidizer processor as a novel green technology was achieved\nusing QbD approach.\n            \n            \n              Result:\n              The prepared nanosuspension had a mean particle size of 865 nm ± 5%, PDI of 0.261 ± 3%, and\nzeta potential of -1.79 ± 5 mV. The characterization of the prepared nanosuspension by SEM, DSC, and\nXRD revealed its nano-crystalline nature whereas FTIR spectroscopic analysis confirmed the absence\nof any physicochemical interaction because of process parameters between the drug and excipients.\n            \n            \n              Conclusion:\n              In vitro dissolution studies of the nanosuspension using USP-IV exhibited a 100% cumulative\ndrug release over 90 minutes, which is significantly better than that of ATQ pure API. In vivo\npharmacokinetic studies revealed bioequivalence of ATQ nanosuspensions by Microfluidizer homogenization\nprocess to the marketed formulation1.","container-title":"Current Drug Delivery","DOI":"10.2174/1567201817666191227095019","ISSN":"15672018","issue":"2","journalAbbreviation":"CDD","language":"en","page":"112-125","source":"DOI.org (Crossref)","title":"Development of Atovaquone Nanosuspension: Quality by Design Approach","title-short":"Development of Atovaquone Nanosuspension","volume":"17","author":[{"family":"Kakade","given":"Pratik"},{"family":"Gite","given":"Sandip"},{"family":"Patravale","given":"Vandana"}],"issued":{"date-parts":[["2020",3,12]]}}},{"id":12105,"uris":["http://zotero.org/users/6216265/items/V8UCA6A2"],"itemData":{"id":12105,"type":"article-journal","container-title":"Expert Review of Vaccines","DOI":"10.1586/14760584.2016.1158650","ISSN":"1476-0584, 1744-8395","issue":"8","journalAbbreviation":"Expert Review of Vaccines","language":"en","page":"1029-1040","source":"DOI.org (Crossref)","title":"Alternative administration routes and delivery technologies for polio vaccines","volume":"15","author":[{"family":"Kraan","given":"Heleen"},{"family":"Van Der Stel","given":"Wanda"},{"family":"Kersten","given":"Gideon"},{"family":"Amorij","given":"Jean-Pierre"}],"issued":{"date-parts":[["2016",8,2]]}}},{"id":12107,"uris":["http://zotero.org/users/6216265/items/32PGGJI8"],"itemData":{"id":12107,"type":"article-journal","abstract":"The purpose of this study was to develop a resveratrol nanosuspension with enhanced oral bioavailability, based on an understanding of the formulation and process parameters of nanosuspensions and using a quality by design (QbD) approach. Particularly, the antisolvent method, which requires no solvent removal and no heating, is newly applied to prepare resveratrol nanosuspension. To ensure the quality of the resveratrol nanosuspensions, a quality target product profile (QTPP) was defined. The particle size (z-average, d90), zeta potential, and drug content parameters affecting the QTPP were selected as critical quality attributes (CQAs). The optimum composition obtained using a 3-factor, 3-level Box–Behnken design was as follows: polyvinylpyrrolidone vinyl acetate (10 mg/mL), polyvinylpyrrolidone K12 (5 mg/mL), sodium lauryl sulfate (1 mg/mL), and diethylene glycol monoethyl ether (DEGEE, 5% v/v) at a resveratrol concentration of 5 mg/mL. The initial particle size (z-average) was 46.3 nm and the zeta potential was −38.02 mV. The robustness of the antisolvent process using the optimized composition conditions was ensured by a full factorial design. The dissolution rate of the optimized resveratrol nanosuspension was significantly greater than that of the resveratrol raw material. An in vivo pharmacokinetic study in rats showed that the area under the plasma concentration versus time curve (AUC0–12h) and the maximum plasma concentration (Cmax) respectively, than those of the resveratrol raw material. Therefore, the prepara values of the resveratrol nanosuspension were approximately 1.6- and 5.7-fold higher,tion of a resveratrol nanosuspension using the QbD approach may be an effective strategy for the development of a new dosage form of resveratrol, with enhanced oral bioavailability.","container-title":"Pharmaceutics","DOI":"10.3390/pharmaceutics11120688","ISSN":"1999-4923","issue":"12","journalAbbreviation":"Pharmaceutics","language":"en","page":"688","source":"DOI.org (Crossref)","title":"Development of a Resveratrol Nanosuspension Using the Antisolvent Precipitation Method without Solvent Removal, Based on a Quality by Design (QbD) Approach","volume":"11","author":[{"family":"Kuk","given":"Do-Hoon"},{"family":"Ha","given":"Eun-Sol"},{"family":"Ha","given":"Dong-Hyun"},{"family":"Sim","given":"Woo-Yong"},{"family":"Lee","given":"Seon-Kwang"},{"family":"Jeong","given":"Ji-Su"},{"family":"Kim","given":"Jeong-Soo"},{"family":"Baek","given":"In-hwan"},{"family":"Park","given":"Heejun"},{"family":"Choi","given":"Du Hyung"},{"family":"Yoo","given":"Jin-Wook"},{"family":"Jeong","given":"Seong Hoon"},{"family":"Hwang","given":"Sung-Joo"},{"family":"Kim","given":"Min-Soo"}],"issued":{"date-parts":[["2019",12,17]]}},"label":"page"},{"id":12111,"uris":["http://zotero.org/users/6216265/items/2UIYAEJS"],"itemData":{"id":12111,"type":"article-journal","container-title":"International Journal of Pharmaceutics","DOI":"10.1016/j.ijpharm.2017.08.094","ISSN":"03785173","issue":"2","journalAbbreviation":"International Journal of Pharmaceutics","language":"en","page":"740-746","source":"DOI.org (Crossref)","title":"Engineering of budesonide-loaded lipid-polymer hybrid nanoparticles using a quality-by-design approach","volume":"548","author":[{"family":"Leng","given":"Donglei"},{"family":"Thanki","given":"Kaushik"},{"family":"Fattal","given":"Elias"},{"family":"Foged","given":"Camilla"},{"family":"Yang","given":"Mingshi"}],"issued":{"date-parts":[["2018",9]]}}},{"id":12114,"uris":["http://zotero.org/users/6216265/items/DUJADISB"],"itemData":{"id":12114,"type":"article-journal","abstract":"RNA interference (RNAi) has an unprecedented potential as a therapeutic strategy for reversibly silencing the expression of any gene. Therapeutic delivery of the RNAi mediator, i.e., small interfering RNA (siRNA), can be used to address diseases characterized by gene overexpression, for example inflammatory conditions like chronic obstructive pulmonary disease (COPD). Macrophages play a key role in COPD pathogenesis and are recruited to the airways and lung parenchyma, where they release proinflammatory cytokines, e.g., tumor necrosis factor-alpha (TNF-α). Hence, targeting TNF-α with siRNA is a promising therapeutic approach for COPD management. However, a safe and effective delivery system is required for delivery of TNF-α siRNA into the cytosol of hard-to-transfect macrophages. The purpose of this study was to optimize the intracellular delivery of TNF-α siRNA to the lipopolysaccharide-activated murine macrophage cell line RAW 264.7 using lipidoid-polymer hybrid nanoparticles (LPNs) composed of the lipid-like transfection agent lipidoid 5 (L\n              5\n              ) and the biodegradable polymer poly (\n              D,L\n              -lactide-co-glycolide). Applying a quality-by-design approach, the influence of critical formulation variables, i.e., the L\n              5\n              content and the L\n              5\n              :siRNA ratio (w/w), on critical quality attributes (CQAs) was investigated systematically using risk assessment and design of experiments, followed by delineation of an optimal operating space (OOS). The CQAs were identified based on the quality target product profile and included size, polydispersity index, zeta potential, encapsulation efficiency and loading for achieving efficient and safe TNF-α gene silencing in activated RAW 264.7 cells. Formulations inducing efficient gene silencing and low cytotoxicity were identified, and the optimal formulations displayed L\n              5\n              contents of 15 and 20% (w/w), respectively, and an L\n              5\n              :siRNA weight ratio of 15:1. All tested formulations within the OOS mediated efficient and sequence-specific TNF-α gene silencing in RAW 264.7 cells at TNF-α-siRNA concentrations, which were significantly lower than the concentrations required of non-encapsulated TNF-α-siRNA, highlighting the benefit of the delivery system. The results also demonstrate that increasing the loading of siRNA into the delivery system does not necessarily imply enhanced gene silencing. This opens new avenues for further exploitation of LPNs as a robust platform technology for delivering TNF-α siRNA to macrophages, e.g., in the management of COPD.","container-title":"Frontiers in Bioengineering and Biotechnology","DOI":"10.3389/fbioe.2020.601155","ISSN":"2296-4185","journalAbbreviation":"Front. Bioeng. Biotechnol.","page":"601155","source":"DOI.org (Crossref)","title":"Optimizing the Intracellular Delivery of Therapeutic Anti-inflammatory TNF-α siRNA to Activated Macrophages Using Lipidoid-Polymer Hybrid Nanoparticles","volume":"8","author":[{"family":"Lokras","given":"Abhijeet"},{"family":"Thakur","given":"Aneesh"},{"family":"Wadhwa","given":"Abishek"},{"family":"Thanki","given":"Kaushik"},{"family":"Franzyk","given":"Henrik"},{"family":"Foged","given":"Camilla"}],"issued":{"date-parts":[["2021",1,14]]}},"label":"page"},{"id":12123,"uris":["http://zotero.org/users/6216265/items/F9JDW4KQ"],"itemData":{"id":12123,"type":"article-journal","container-title":"ACS Infectious Diseases","DOI":"10.1021/acsinfecdis.0c00353","ISSN":"2373-8227, 2373-8227","issue":"11","journalAbbreviation":"ACS Infect. Dis.","language":"en","page":"2830-2843","source":"DOI.org (Crossref)","title":"Chagas Disease: Current View of an Ancient and Global Chemotherapy Challenge","title-short":"Chagas Disease","volume":"6","author":[{"family":"Martín-Escolano","given":"Javier"},{"family":"Medina-Carmona","given":"Encarnación"},{"family":"Martín-Escolano","given":"Rubén"}],"issued":{"date-parts":[["2020",11,13]]}}},{"id":12124,"uris":["http://zotero.org/users/6216265/items/7ISI2KU2"],"itemData":{"id":12124,"type":"article-journal","abstract":"The use of morphine applied topically to painful wounds has potential advantages, such as dose reduction, fewer side effects and compound formulations, have been proposed for this purpose. Given the potential high impact of drug product quality on a patient’s health, the aim of the present study was to develop two stable sterile hydrogels containing morphine hydrochloride, intended for topical application on painful wounds. Two carboxymethylcellulose sodium-based hydrogels were prepared containing 0.125% w/w (F1-MH semi-solid formulation) and 1.0% w/w (F2-MH fluid formulation) morphine hydrochloride (MH), respectively. Studies included a risk assessment approach for definition of the quality target product profile (QTPP) and assessment of critical quality attributes (CQA) of the hydrogels to support product quality and safety. Safe, odourless, yellowish, translucent and homogeneous gels were obtained, with suitable microbiological and pharmaceutical characteristics. The active substance concentration was adapted according to the characteristics of the dose-metering device. Release profiles were investigated using Franz diffusion cells, and characterised by different kinetic models. Increasing gel viscosity prolonged drug release, with rates of 17.9 ± 2.2 μg·cm−2·h−1 (F1-MH) and 258.0 ± 30.4 μg·cm−2·h−1 (F2-MH), allowing for the reduction of the number of applications and improving patient compliance. The gels proved to be stable for up to 60 days at room temperature. The semi-solid and fluid MH-containing hydrogel formulations are safe, stable and suitable for use in hospital settings, which is rather important for wound-related pain management in cancer palliative care or burn patients.","container-title":"Pharmaceutics","DOI":"10.3390/pharmaceutics11020076","ISSN":"1999-4923","issue":"2","journalAbbreviation":"Pharmaceutics","language":"en","page":"76","source":"DOI.org (Crossref)","title":"Improved Morphine-Loaded Hydrogels for Wound-Related Pain Relief","volume":"11","author":[{"family":"Mateus","given":"Dinis"},{"family":"Marto","given":"Joana"},{"family":"Trindade","given":"Patrícia"},{"family":"Gonçalves","given":"Humberto"},{"family":"Salgado","given":"Ana"},{"family":"Machado","given":"Paula"},{"family":"Melo-Gouveia","given":"António"},{"family":"Ribeiro","given":"Helena M."},{"family":"Almeida","given":"António J."}],"issued":{"date-parts":[["2019",2,12]]}}},{"id":12129,"uris":["http://zotero.org/users/6216265/items/XBGYP2J5"],"itemData":{"id":12129,"type":"article-journal","container-title":"Drug Delivery and Translational Research","DOI":"10.1007/s13346-016-0315-x","ISSN":"2190-393X, 2190-3948","issue":"5","journalAbbreviation":"Drug Deliv. and Transl. Res.","language":"en","page":"579-596","source":"DOI.org (Crossref)","title":"Risk-based approach for systematic development of gastroretentive drug delivery system","volume":"6","author":[{"family":"Mirani","given":"A. G."},{"family":"Patankar","given":"S. P."},{"family":"Kadam","given":"V. J."}],"issued":{"date-parts":[["2016",10]]}}},{"id":12130,"uris":["http://zotero.org/users/6216265/items/SPBA58QC"],"itemData":{"id":12130,"type":"article-journal","container-title":"Pharmaceutical Development and Technology","DOI":"10.1080/10837450.2016.1199566","ISSN":"1083-7450, 1097-9867","issue":"7","journalAbbreviation":"Pharmaceutical Development and Technology","language":"en","page":"889-903","source":"DOI.org (Crossref)","title":"An integrated, quality by design (QbD) approach for design, development and optimization of orally disintegrating tablet formulation of carbamazepine","volume":"22","author":[{"family":"Mishra","given":"Saurabh M."},{"family":"Rohera","given":"Bhagwan D."}],"issued":{"date-parts":[["2017",10,3]]}},"label":"page"},{"id":12133,"uris":["http://zotero.org/users/6216265/items/YBBY2S55"],"itemData":{"id":12133,"type":"article-journal","container-title":"AAPS PharmSciTech","DOI":"10.1208/s12249-020-01678-0","ISSN":"1530-9932","issue":"4","journalAbbreviation":"AAPS PharmSciTech","language":"en","page":"127","source":"DOI.org (Crossref)","title":"Quality Risk Management and Quality by Design for the Development of Diclofenac Sodium Intra-articular Gelatin Microspheres","volume":"21","author":[{"family":"Nakas","given":"Alexandros"},{"family":"Dalatsi","given":"Athanasia M."},{"family":"Kapourani","given":"Afroditi"},{"family":"Kontogiannopoulos","given":"Konstantinos N."},{"family":"Assimopoulou","given":"Andreana N."},{"family":"Barmpalexis","given":"Panagiotis"}],"issued":{"date-parts":[["2020",5]]}}},{"id":12135,"uris":["http://zotero.org/users/6216265/items/PWR85PMU"],"itemData":{"id":12135,"type":"article-journal","abstract":"In recent years, the “quality by design” (QbD) approach has been used for developing pharmaceutical formulations. This is particularly important for complex dosage forms such as topical semisolid products. The first step for developing a product using this efficient approach is defining the quality target product profile (QTPP), a list of quality attributes (QAs) that are required to be present in the final product. These quality attributes are affected by the ingredients used as well as manufacturing procedure parameters. Hence, critical material attributes (CMAs) and critical process parameters (CPPs) need to be specified. Possible failure modes of a topical semisolid product can be determined based on the physiochemical properties of ingredients and manufacturing procedures. In this review, we have defined and specified QTPP, QAs, CMAs and CPPs that are required for developing a topical semisolid product based on the QbD approach.","container-title":"Pharmaceutics","DOI":"10.3390/pharmaceutics12030287","ISSN":"1999-4923","issue":"3","journalAbbreviation":"Pharmaceutics","language":"en","page":"287","source":"DOI.org (Crossref)","title":"Quality by Design: Development of the Quality Target Product Profile (QTPP) for Semisolid Topical Products","title-short":"Quality by Design","volume":"12","author":[{"family":"Namjoshi","given":"Sarika"},{"family":"Dabbaghi","given":"Maryam"},{"family":"Roberts","given":"Michael S."},{"family":"Grice","given":"Jeffrey E."},{"family":"Mohammed","given":"Yousuf"}],"issued":{"date-parts":[["2020",3,23]]}}},{"id":12137,"uris":["http://zotero.org/users/6216265/items/MM5WP88P"],"itemData":{"id":12137,"type":"article-journal","abstract":"The purpose of this study was to apply the Quality by Design (QbD) approach to the electrospinning of fibres loaded with the nonsteroidal anti-inflammatory drugs (NSAIDs) indomethacin (INDO) and diclofenac sodium (DICLO). A Quality Target Product Profile (QTPP) was made, and risk assessments (preliminary hazard analysis) were conducted to identify the impact of material attributes and process parameters on the critical quality attributes (CQAs) of the fibres. A full factorial design of experiments (DoE) of 20 runs was built, which was used to carry out experiments. The following factors were assessed: Drugs, voltage, flow rate, and the distance between the processing needle and collector. Release studies exhibited INDO fibres had greater total release of active drug compared to DICLO fibres. Voltage and distance were found to be the most significant factors of the experiment. Multivariate statistical analytical software helped to build six feasible design spaces and two flexible, universal design spaces for both drugs, at distances of 5 cm and 12.5 cm, along with a flexible control strategy. The current findings and their analysis confirm that QbD is a viable and invaluable tool to enhance product and process understanding of electrospinning for the assurance of high-quality fibres.","container-title":"Pharmaceutics","DOI":"10.3390/pharmaceutics12010002","ISSN":"1999-4923","issue":"1","journalAbbreviation":"Pharmaceutics","language":"en","page":"2","source":"DOI.org (Crossref)","title":"Quality by Design Micro-Engineering Optimisation of NSAID-Loaded Electrospun Fibrous Patches","volume":"12","author":[{"family":"Nazari","given":"Kazem"},{"family":"Mehta","given":"Prina"},{"family":"Arshad","given":"Muhammad Sohail"},{"family":"Ahmed","given":"Shahabuddin"},{"family":"Andriotis","given":"Eleftherios G."},{"family":"Singh","given":"Neenu"},{"family":"Qutachi","given":"Omar"},{"family":"Chang","given":"Ming-Wei"},{"family":"Fatouros","given":"Dimitrios G."},{"family":"Ahmad","given":"Zeeshan"}],"issued":{"date-parts":[["2019",12,18]]}}},{"id":12140,"uris":["http://zotero.org/users/6216265/items/P6TTWYTG"],"itemData":{"id":12140,"type":"article-journal","abstract":"The requirements of a liposomal formulation vary depending on the pharmaceutical indication, the target patient population, and the corresponding route of administration. Different preparation methods require various material attributes (MAs) (properties and characteristics of the components) and process parameters (PPs) (settings of the preparation method). The identification of the quality target product profile for a liposome-based formulation, the critical quality attributes of the liposomes, and the possible MAs and PPs that may influence the key characteristics of the vesicles facilitates pharmaceutical research. Researchers can systematise their knowledge by using the quality by design (QbD) approach. The potential factors that influence the quality of the product can be collected and studied through a risk assessment process. In this paper, the requirements of a liposome formulation prepared via the thin-film hydration preparation technique are presented; furthermore, the possible factors that have an impact on the quality of the final product and have to be considered and specified during the development of a liposomal formulation are herein identified and collected. The understanding and the application of these elements of QbD in the pharmaceutical developments help to influence the quality, the achievements, and the success of the formulated product.","container-title":"Pharmaceutics","DOI":"10.3390/pharmaceutics12121164","ISSN":"1999-4923","issue":"12","journalAbbreviation":"Pharmaceutics","language":"en","page":"1164","source":"DOI.org (Crossref)","title":"A Proposed Methodology for a Risk Assessment-Based Liposome Development Process","volume":"12","author":[{"family":"Németh","given":"Zsófia"},{"family":"Pallagi","given":"Edina"},{"family":"Dobó","given":"Dorina Gabriella"},{"family":"Csóka","given":"Ildikó"}],"issued":{"date-parts":[["2020",11,29]]}},"label":"page"},{"id":12145,"uris":["http://zotero.org/users/6216265/items/2E5LC9UZ"],"itemData":{"id":12145,"type":"article-journal","container-title":"Drug Development and Industrial Pharmacy","DOI":"10.1080/03639045.2017.1414233","ISSN":"0363-9045, 1520-5762","issue":"5","journalAbbreviation":"Drug Development and Industrial Pharmacy","language":"en","page":"837-848","source":"DOI.org (Crossref)","title":"Quality-by-design approach for the development of telmisartan potassium tablets","volume":"44","author":[{"family":"Oh","given":"Ga-Hui"},{"family":"Park","given":"Jin-Hyun"},{"family":"Shin","given":"Hye-Won"},{"family":"Kim","given":"Joo-Eun"},{"family":"Park","given":"Young-Joon"}],"issued":{"date-parts":[["2018",5,4]]}},"label":"page"},{"id":12146,"uris":["http://zotero.org/users/6216265/items/Q8KJXY2D"],"itemData":{"id":12146,"type":"article-journal","container-title":"International Journal of Pharmaceutics","DOI":"10.1016/j.ijpharm.2015.06.018","ISSN":"03785173","issue":"1-2","journalAbbreviation":"International Journal of Pharmaceutics","language":"en","page":"384-392","source":"DOI.org (Crossref)","title":"Adaptation of the quality by design concept in early pharmaceutical development of an intranasal nanosized formulation","volume":"491","author":[{"family":"Pallagi","given":"Edina"},{"family":"Ambrus","given":"Rita"},{"family":"Szabó-Révész","given":"Piroska"},{"family":"Csóka","given":"Ildikó"}],"issued":{"date-parts":[["2015",8]]}}},{"id":12147,"uris":["http://zotero.org/users/6216265/items/VDE4I2FT"],"itemData":{"id":12147,"type":"article-journal","container-title":"International Journal of Pharmaceutics","DOI":"10.1016/j.ijpharm.2019.03.021","ISSN":"03785173","journalAbbreviation":"International Journal of Pharmaceutics","language":"en","page":"11-22","source":"DOI.org (Crossref)","title":"Application of the QbD-based approach in the early development of liposomes for nasal administration","volume":"562","author":[{"family":"Pallagi","given":"Edina"},{"family":"Jójárt-Laczkovich","given":"Orsolya"},{"family":"Németh","given":"Zsófia"},{"family":"Szabó-Révész","given":"Piroska"},{"family":"Csóka","given":"Ildikó"}],"issued":{"date-parts":[["2019",5]]}}},{"id":12149,"uris":["http://zotero.org/users/6216265/items/QCK4CS2L"],"itemData":{"id":12149,"type":"article-journal","container-title":"AAPS PharmSciTech","DOI":"10.1208/s12249-016-0590-3","ISSN":"1530-9932","issue":"4","journalAbbreviation":"AAPS PharmSciTech","language":"en","page":"1213-1227","source":"DOI.org (Crossref)","title":"Quality by Design Empowered Development and Optimisation of Time-Controlled Pulsatile Release Platform Formulation Employing Compression Coating Technology","volume":"18","author":[{"family":"Patadia","given":"Riddhish"},{"family":"Vora","given":"Chintan"},{"family":"Mittal","given":"Karan"},{"family":"Mashru","given":"Rajashree C."}],"issued":{"date-parts":[["2017",5]]}}},{"id":12150,"uris":["http://zotero.org/users/6216265/items/SK7JLVQR"],"itemData":{"id":12150,"type":"article-journal","container-title":"European Journal of Pharmaceutical Sciences","DOI":"10.1016/j.ejps.2016.08.057","ISSN":"09280987","journalAbbreviation":"European Journal of Pharmaceutical Sciences","language":"en","page":"50-61","source":"DOI.org (Crossref)","title":"QbD based development of proliposome of lopinavir for improved oral bioavailability","volume":"108","author":[{"family":"Patel","given":"Grishma M."},{"family":"Shelat","given":"Pragna K."},{"family":"Lalwani","given":"Anita N."}],"issued":{"date-parts":[["2017",10]]}}},{"id":12151,"uris":["http://zotero.org/users/6216265/items/C26MV2TU"],"itemData":{"id":12151,"type":"article-journal","container-title":"International Journal of Pharmaceutics","DOI":"10.1016/j.ijpharm.2021.120474","ISSN":"03785173","journalAbbreviation":"International Journal of Pharmaceutics","language":"en","page":"120474","source":"DOI.org (Crossref)","title":"Nose to brain delivery of tailored clozapine nanosuspension stabilized using (+)-alpha-tocopherol polyethylene glycol 1000 succinate: Optimization and in vivo pharmacokinetic studies","title-short":"Nose to brain delivery of tailored clozapine nanosuspension stabilized using (+)-alpha-tocopherol polyethylene glycol 1000 succinate","volume":"600","author":[{"family":"Patel","given":"Hetal P."},{"family":"Chaudhari","given":"Priyanka S."},{"family":"Gandhi","given":"Priyanshi A."},{"family":"Desai","given":"Bhargavi V."},{"family":"Desai","given":"Ditixa T."},{"family":"Dedhiya","given":"Praful P."},{"family":"Vyas","given":"Bhavin A."},{"family":"Maulvi","given":"Furqan A."}],"issued":{"date-parts":[["2021",5]]}}},{"id":12152,"uris":["http://zotero.org/users/6216265/items/Y3289IFT"],"itemData":{"id":12152,"type":"article-journal","container-title":"Recent Patents on Drug Delivery &amp; Formulation","DOI":"10.2174/1872211310666160709193540","ISSN":"18722113","issue":"3","journalAbbreviation":"DDF","language":"en","page":"192-206","source":"DOI.org (Crossref)","title":"Quality by Design (QbD) Approach for Development of Co-Processed Excipient Pellets (MOMLETS) By Extrusion-Spheronization Technique","volume":"10","author":[{"family":"Patel","given":"Hetal"},{"family":"Patel","given":"Kishan"},{"family":"Tiwari","given":"Sanjay"},{"family":"Pandey","given":"Sonia"},{"family":"Shah","given":"Shailesh"},{"family":"Gohel","given":"Mukesh"}],"issued":{"date-parts":[["2016",12,7]]}}},{"id":12157,"uris":["http://zotero.org/users/6216265/items/3CXSQ86T"],"itemData":{"id":12157,"type":"article-journal","container-title":"European Journal of Pharmaceutical Sciences","DOI":"10.1016/j.ejps.2022.106275","ISSN":"09280987","journalAbbreviation":"European Journal of Pharmaceutical Sciences","language":"en","page":"106275","source":"DOI.org (Crossref)","title":"A quality by design approach for the qualification of automating compounding device for parenteral nutrition","volume":"179","author":[{"family":"Perrier","given":"Quentin"},{"family":"Piquemal","given":"Marie"},{"family":"Leenhardt","given":"Julien"},{"family":"Choisnard","given":"Luc"},{"family":"Mazet","given":"Roseline"},{"family":"Desruet","given":"Marie-Dominique"},{"family":"Durand","given":"Marjorie"},{"family":"Bedouch","given":"Pierrick"}],"issued":{"date-parts":[["2022",12]]}},"label":"page"},{"id":12168,"uris":["http://zotero.org/users/6216265/items/NSQABGG6"],"itemData":{"id":12168,"type":"article-journal","container-title":"Drug Development and Industrial Pharmacy","DOI":"10.1080/03639045.2018.1496450","ISSN":"0363-9045, 1520-5762","issue":"12","journalAbbreviation":"Drug Development and Industrial Pharmacy","language":"en","page":"1905-1917","source":"DOI.org (Crossref)","title":"Development and &lt;i&gt;in vitro&lt;/i&gt; evaluation of pH-independent release matrix tablet of weakly acidic drug valsartan using quality by design tools","volume":"44","author":[{"family":"Saydam","given":"Mehtap"},{"family":"Takka","given":"Sevgi"}],"issued":{"date-parts":[["2018",12,2]]}}},{"id":12169,"uris":["http://zotero.org/users/6216265/items/IED5CQAX"],"itemData":{"id":12169,"type":"article-journal","container-title":"International Journal of Pharmaceutics","DOI":"10.1016/j.ijpharm.2018.06.052","ISSN":"03785173","issue":"1","journalAbbreviation":"International Journal of Pharmaceutics","language":"en","page":"385-399","source":"DOI.org (Crossref)","title":"A practical framework for implementing Quality by Design to the development of topical drug products: Nanosystem-based dosage forms","title-short":"A practical framework for implementing Quality by Design to the development of topical drug products","volume":"548","author":[{"family":"Simões","given":"Ana"},{"family":"Veiga","given":"Francisco"},{"family":"Figueiras","given":"Ana"},{"family":"Vitorino","given":"Carla"}],"issued":{"date-parts":[["2018",9]]}}},{"id":12170,"uris":["http://zotero.org/users/6216265/items/6XQRLC3S"],"itemData":{"id":12170,"type":"article-journal","container-title":"Journal of Pharmaceutical Sciences","DOI":"10.1016/j.xphs.2018.06.010","ISSN":"00223549","issue":"10","journalAbbreviation":"Journal of Pharmaceutical Sciences","language":"en","page":"2653-2662","source":"DOI.org (Crossref)","title":"A Tutorial for Developing a Topical Cream Formulation Based on the Quality by Design Approach","volume":"107","author":[{"family":"Simões","given":"Ana"},{"family":"Veiga","given":"Francisco"},{"family":"Vitorino","given":"Carla"},{"family":"Figueiras","given":"Ana"}],"issued":{"date-parts":[["2018",10]]}}},{"id":12171,"uris":["http://zotero.org/users/6216265/items/6DMVZ944"],"itemData":{"id":12171,"type":"article-journal","container-title":"AAPS PharmSciTech","DOI":"10.1208/s12249-015-0367-0","ISSN":"1530-9932","issue":"2","journalAbbreviation":"AAPS PharmSciTech","language":"en","page":"454-465","source":"DOI.org (Crossref)","title":"QbD-Enabled Development of Novel Stimuli-Responsive Gastroretentive Systems of Acyclovir for Improved Patient Compliance and Biopharmaceutical Performance","volume":"17","author":[{"family":"Singh","given":"Bhupinder"},{"family":"Kaur","given":"Anterpreet"},{"family":"Dhiman","given":"Shashi"},{"family":"Garg","given":"Babita"},{"family":"Khurana","given":"Rajneet Kaur"},{"family":"Beg","given":"Sarwar"}],"issued":{"date-parts":[["2016",4]]}}},{"id":12178,"uris":["http://zotero.org/users/6216265/items/CJUXD2YZ"],"itemData":{"id":12178,"type":"article-journal","container-title":"Journal of Pharmaceutical and Biomedical Analysis","DOI":"10.1016/j.jpba.2018.06.018","ISSN":"07317085","journalAbbreviation":"Journal of Pharmaceutical and Biomedical Analysis","language":"en","page":"395-404","source":"DOI.org (Crossref)","title":"A Quality by Design (QbD) approach to the development of a gradient high-performance liquid chromatography for the simultaneous assay of curcuminoids and doxorubicin from long-circulating liposomes","volume":"158","author":[{"family":"Sylvester","given":"Bianca"},{"family":"Tefas","given":"Lucia"},{"family":"Vlase","given":"Laurian"},{"family":"Tomuţă","given":"Ioan"},{"family":"Porfire","given":"Alina"}],"issued":{"date-parts":[["2018",9]]}},"label":"page"},{"id":12179,"uris":["http://zotero.org/users/6216265/items/X4ZQEQ5K"],"itemData":{"id":12179,"type":"article-journal","container-title":"European Journal of Pharmaceutical Sciences","DOI":"10.1016/j.ejps.2017.12.021","ISSN":"09280987","journalAbbreviation":"European Journal of Pharmaceutical Sciences","language":"en","page":"1-10","source":"DOI.org (Crossref)","title":"Lubricant based determination of design space for continuously manufactured high dose paracetamol tablets","volume":"115","author":[{"family":"Taipale-Kovalainen","given":"Krista"},{"family":"Karttunen","given":"Anssi-Pekka"},{"family":"Ketolainen","given":"Jarkko"},{"family":"Korhonen","given":"Ossi"}],"issued":{"date-parts":[["2018",3]]}}},{"id":12181,"uris":["http://zotero.org/users/6216265/items/ERBMFXH2"],"itemData":{"id":12181,"type":"article-journal","container-title":"AAPS PharmSciTech","DOI":"10.1208/s12249-020-01738-5","ISSN":"1530-9932","issue":"5","journalAbbreviation":"AAPS PharmSciTech","language":"en","page":"200","source":"DOI.org (Crossref)","title":"A Comparison Between Lab-Scale and Hot-Melt-Extruder-Based Anti-inflammatory Ointment Manufacturing","volume":"21","author":[{"family":"Thakkar","given":"Rishi"},{"family":"Ashour","given":"Eman A."},{"family":"Shukla","given":"Ashay"},{"family":"Wang","given":"Rui"},{"family":"Chambliss","given":"Walter G."},{"family":"Bandari","given":"Suresh"},{"family":"Murthy","given":"Narasimha"},{"family":"Repka","given":"Michael A."}],"issued":{"date-parts":[["2020",7]]}}},{"id":12182,"uris":["http://zotero.org/users/6216265/items/WZVWGRQZ"],"itemData":{"id":12182,"type":"article-journal","container-title":"Pharmaceutical Research","DOI":"10.1007/s11095-018-2566-3","ISSN":"0724-8741, 1573-904X","issue":"3","journalAbbreviation":"Pharm Res","language":"en","page":"37","source":"DOI.org (Crossref)","title":"Application of a Quality-By-Design Approach to Optimise Lipid-Polymer Hybrid Nanoparticles Loaded with a Splice-Correction Antisense Oligonucleotide: Maximising Loading and Intracellular Delivery","title-short":"Application of a Quality-By-Design Approach to Optimise Lipid-Polymer Hybrid Nanoparticles Loaded with a Splice-Correction Antisense Oligonucleotide","volume":"36","author":[{"family":"Thanki","given":"Kaushik"},{"family":"Papai","given":"Simon"},{"family":"Lokras","given":"Abhijeet"},{"family":"Rose","given":"Fabrice"},{"family":"Falkenberg","given":"Emily"},{"family":"Franzyk","given":"Henrik"},{"family":"Foged","given":"Camilla"}],"issued":{"date-parts":[["2019",3]]}}},{"id":12183,"uris":["http://zotero.org/users/6216265/items/RH7A282D"],"itemData":{"id":12183,"type":"article-journal","container-title":"European Journal of Pharmaceutics and Biopharmaceutics","DOI":"10.1016/j.ejpb.2017.07.014","ISSN":"09396411","journalAbbreviation":"European Journal of Pharmaceutics and Biopharmaceutics","language":"en","page":"22-33","source":"DOI.org (Crossref)","title":"Engineering of small interfering RNA-loaded lipidoid-poly( DL -lactic-co-glycolic acid) hybrid nanoparticles for highly efficient and safe gene silencing: A quality by design-based approach","title-short":"Engineering of small interfering RNA-loaded lipidoid-poly( DL -lactic-co-glycolic acid) hybrid nanoparticles for highly efficient and safe gene silencing","volume":"120","author":[{"family":"Thanki","given":"Kaushik"},{"family":"Zeng","given":"Xianghui"},{"family":"Justesen","given":"Sarah"},{"family":"Tejlmann","given":"Sarah"},{"family":"Falkenberg","given":"Emily"},{"family":"Van Driessche","given":"Elize"},{"family":"Mørck Nielsen","given":"Hanne"},{"family":"Franzyk","given":"Henrik"},{"family":"Foged","given":"Camilla"}],"issued":{"date-parts":[["2017",11]]}},"label":"page"},{"id":12190,"uris":["http://zotero.org/users/6216265/items/M48MS2XN"],"itemData":{"id":12190,"type":"article-journal","abstract":"Respiratory failure due to SARS-CoV-2 has caused widespread mortality, creating an urgent need for effective treatments and a long-term need for antivirals for future emergent coronaviruses. Pharmacotherapy for respiratory viruses has largely been unsuccessful with the exception of early treatment of influenza viruses, which shortens symptom duration and prevents infection in close contacts. Under the rapidly evolving circumstances of the COVID-19 pandemic, most clinical trials of experimental treatments in the United States have focused on later stages of the disease process. Worldwide, the clinical studies of the most impactful drugs, remdesivir and dexamethasone in ACTT-1, RECOVERY, and Solidarity, have studied hospitalized patients. Less than half of clinical trials in the U.S. have investigated oral agents, and the majority have taken place in hospitals at a disease stage where the viral load is already decreasing. The limited success of treatments for respiratory viruses and the viral dynamics of COVID-19 suggest that an antiviral therapy with the greatest impact against pandemic coronaviruses would be orally administered, well-tolerated, target a highly conserved viral protein or host-coronavirus interaction and could be used effectively throughout the world, including resource-poor settings. We examine the treatment of respiratory viral infections and current clinical trials for COVID-19 to provide a framework for effective antiviral therapy and prevention of future emergent coronaviruses and call attention to the need for continued preclinical drug discovery.","container-title":"Frontiers in Medicine","DOI":"10.3389/fmed.2020.596587","ISSN":"2296-858X","journalAbbreviation":"Front. Med.","page":"596587","source":"DOI.org (Crossref)","title":"The Need for Antiviral Drugs for Pandemic Coronaviruses From a Global Health Perspective","volume":"7","author":[{"family":"Villamagna","given":"Angela Holly"},{"family":"Gore","given":"Sara J."},{"family":"Lewis","given":"James S."},{"family":"Doggett","given":"J. Stone"}],"issued":{"date-parts":[["2020",12,22]]}}},{"id":12193,"uris":["http://zotero.org/users/6216265/items/5GMM8YEM"],"itemData":{"id":12193,"type":"article-journal","abstract":"Paracetamol (acetaminophen) overdose is one of the most common causes of acute liver injury in the Western world. To improve patient care and reduce pressure on already stretched health care providers new biomarkers are needed that identify or exclude liver injury soon after an overdose of paracetamol is ingested. This review highlights the current state of paracetamol poisoning management and how novel biomarkers could improve patient care and save healthcare providers money. Based on the widely used concept of defining a target product profile, a target biomarker profile is proposed that identifies\n              desirable\n              and\n              acceptable\n              key properties for a biomarker in development to enable the improved treatment of this patient population. The current biomarker candidates, with improved hepatic specificity and based on the fundamental mechanistic basis of paracetamol‐induced liver injury, are reviewed and their performance compared with our target profile.","container-title":"British Journal of Clinical Pharmacology","DOI":"10.1111/bcp.12699","ISSN":"0306-5251, 1365-2125","issue":"3","journalAbbreviation":"Brit J Clinical Pharma","language":"en","page":"351-362","source":"DOI.org (Crossref)","title":"Target biomarker profile for the clinical management of paracetamol overdose","volume":"80","author":[{"family":"Vliegenthart","given":"A. D. Bastiaan"},{"family":"Antoine","given":"Daniel J."},{"family":"Dear","given":"James W."}],"issued":{"date-parts":[["2015",9]]}}},{"id":12194,"uris":["http://zotero.org/users/6216265/items/6X5JL89X"],"itemData":{"id":12194,"type":"article-journal","container-title":"International Journal of Pharmaceutics","DOI":"10.1016/j.ijpharm.2013.07.043","ISSN":"03785173","issue":"1-2","journalAbbreviation":"International Journal of Pharmaceutics","language":"en","page":"169-181","source":"DOI.org (Crossref)","title":"Risk based approach for design and optimization of stomach specific delivery of rifampicin","volume":"455","author":[{"family":"Vora","given":"Chintan"},{"family":"Patadia","given":"Riddhish"},{"family":"Mittal","given":"Karan"},{"family":"Mashru","given":"Rajashree"}],"issued":{"date-parts":[["2013",10]]}},"label":"page"},{"id":12196,"uris":["http://zotero.org/users/6216265/items/S5N49CR8"],"itemData":{"id":12196,"type":"article-journal","container-title":"Biomedicine &amp; Pharmacotherapy","DOI":"10.1016/j.biopha.2021.111940","ISSN":"07533322","journalAbbreviation":"Biomedicine &amp; Pharmacotherapy","language":"en","page":"111940","source":"DOI.org (Crossref)","title":"Quality by design (QbD) in the formulation and optimization of liquid crystalline nanoparticles (LCNPs): A risk based industrial approach","title-short":"Quality by design (QbD) in the formulation and optimization of liquid crystalline nanoparticles (LCNPs)","volume":"141","author":[{"family":"Waghule","given":"Tejashree"},{"family":"Dabholkar","given":"Neha"},{"family":"Gorantla","given":"Srividya"},{"family":"Rapalli","given":"Vamshi Krishna"},{"family":"Saha","given":"Ranendra Narayan"},{"family":"Singhvi","given":"Gautam"}],"issued":{"date-parts":[["2021",9]]}}},{"id":12202,"uris":["http://zotero.org/users/6216265/items/FZQPFILQ"],"itemData":{"id":12202,"type":"article-journal","container-title":"Drug Delivery and Translational Research","DOI":"10.1007/s13346-016-0313-z","ISSN":"2190-393X, 2190-3948","issue":"5","journalAbbreviation":"Drug Deliv. and Transl. Res.","language":"en","page":"572-578","source":"DOI.org (Crossref)","title":"Preliminary consultation on preferred product characteristics of benzathine penicillin G for secondary prophylaxis of rheumatic fever","volume":"6","author":[{"family":"Wyber","given":"Rosemary"},{"family":"Boyd","given":"Ben J"},{"family":"Colquhoun","given":"Samantha"},{"family":"Currie","given":"Bart J"},{"family":"Engel","given":"Mark"},{"family":"Kado","given":"Joseph"},{"family":"Karthikeyan","given":"Ganesan"},{"family":"Sullivan","given":"Mark"},{"family":"Saxena","given":"Anita"},{"family":"Sheel","given":"Meru"},{"family":"Steer","given":"Andrew"},{"family":"Mucumbitsi","given":"Joseph"},{"family":"Zühlke","given":"Liesl"},{"family":"Carapetis","given":"Jonathan"}],"issued":{"date-parts":[["2016",10]]}}},{"id":12205,"uris":["http://zotero.org/users/6216265/items/FITMSFXY"],"itemData":{"id":12205,"type":"article-journal","container-title":"International Journal of Nanomedicine","DOI":"10.2147/IJN.S102945","ISSN":"1178-2013","journalAbbreviation":"IJN","language":"en","page":"1501","source":"DOI.org (Crossref)","title":"Nicotinamide polymeric nanoemulsified systems: a quality-by-design case study for a sustained antimicrobial activity","title-short":"Nicotinamide polymeric nanoemulsified systems","author":[{"family":"Zidan","given":"Ahmed"},{"family":"Ahmed","given":"Osama"},{"family":"Aljaeid","given":"Bader"}],"issued":{"date-parts":[["2016",4]]}}}],"schema":"https://github.com/citation-style-language/schema/raw/master/csl-citation.json"} </w:instrText>
            </w:r>
            <w:r>
              <w:fldChar w:fldCharType="separate"/>
            </w:r>
            <w:r w:rsidR="00C94C08" w:rsidRPr="00C94C08">
              <w:rPr>
                <w:rFonts w:ascii="Calibri" w:hAnsi="Calibri" w:cs="Calibri"/>
                <w:szCs w:val="24"/>
              </w:rPr>
              <w:t>(208–218,220,224–226,228–232,236,237,240,241,243,245,247–251,255,256,259–261,263–265,267,269,273,276,277,279–282,284–290,293,299–302,305,306,308–310,315,317–319,323,325,327,328,331,332,334,336)</w:t>
            </w:r>
            <w:r>
              <w:fldChar w:fldCharType="end"/>
            </w:r>
          </w:p>
        </w:tc>
      </w:tr>
      <w:tr w:rsidR="00143B06" w14:paraId="30C6212A" w14:textId="77777777" w:rsidTr="00E666ED">
        <w:tc>
          <w:tcPr>
            <w:tcW w:w="1260" w:type="dxa"/>
            <w:vMerge/>
            <w:vAlign w:val="center"/>
          </w:tcPr>
          <w:p w14:paraId="3D486506" w14:textId="77777777" w:rsidR="00143B06" w:rsidRDefault="00143B06" w:rsidP="00106C2C">
            <w:pPr>
              <w:spacing w:line="276" w:lineRule="auto"/>
            </w:pPr>
          </w:p>
        </w:tc>
        <w:tc>
          <w:tcPr>
            <w:tcW w:w="2790" w:type="dxa"/>
            <w:vAlign w:val="center"/>
          </w:tcPr>
          <w:p w14:paraId="1D587BBC" w14:textId="21C2B067" w:rsidR="00143B06" w:rsidRDefault="00143B06" w:rsidP="00106C2C">
            <w:pPr>
              <w:spacing w:line="276" w:lineRule="auto"/>
            </w:pPr>
            <w:r>
              <w:t>Non-academia</w:t>
            </w:r>
          </w:p>
        </w:tc>
        <w:tc>
          <w:tcPr>
            <w:tcW w:w="5017" w:type="dxa"/>
            <w:vAlign w:val="center"/>
          </w:tcPr>
          <w:p w14:paraId="668FABFE" w14:textId="3593332C" w:rsidR="00143B06" w:rsidRDefault="00143B06" w:rsidP="00C94C08">
            <w:pPr>
              <w:spacing w:line="276" w:lineRule="auto"/>
            </w:pPr>
            <w:r>
              <w:fldChar w:fldCharType="begin"/>
            </w:r>
            <w:r w:rsidR="00C94C08">
              <w:instrText xml:space="preserve"> ADDIN ZOTERO_ITEM CSL_CITATION {"citationID":"Axk3X971","properties":{"unsorted":true,"formattedCitation":"(219,221,222,252,258,266,270,311,275,257,335,314,316,324,205,203)","plainCitation":"(219,221,222,252,258,266,270,311,275,257,335,314,316,324,205,203)","noteIndex":0},"citationItems":[{"id":12037,"uris":["http://zotero.org/users/6216265/items/Z23XTCGG"],"itemData":{"id":12037,"type":"article-journal","container-title":"Drug Discovery Today","DOI":"10.1016/j.drudis.2019.03.026","ISSN":"13596446","issue":"6","journalAbbreviation":"Drug Discovery Today","language":"en","page":"1237-1241","source":"DOI.org (Crossref)","title":"Accelerated drug discovery by rapid candidate drug identification","volume":"24","author":[{"family":"Bergström","given":"Fredrik"},{"family":"Lindmark","given":"Bo"}],"issued":{"date-parts":[["2019",6]]}}},{"id":12039,"uris":["http://zotero.org/users/6216265/items/WZMLIC8Z"],"itemData":{"id":12039,"type":"article-journal","container-title":"Malaria Journal","DOI":"10.1186/s12936-016-1675-x","ISSN":"1475-2875","issue":"1","journalAbbreviation":"Malar J","language":"en","page":"26","source":"DOI.org (Crossref)","title":"New developments in anti-malarial target candidate and product profiles","volume":"16","author":[{"family":"Burrows","given":"Jeremy N."},{"family":"Duparc","given":"Stephan"},{"family":"Gutteridge","given":"Winston E."},{"family":"Hooft Van Huijsduijnen","given":"Rob"},{"family":"Kaszubska","given":"Wiweka"},{"family":"Macintyre","given":"Fiona"},{"family":"Mazzuri","given":"Sébastien"},{"family":"Möhrle","given":"Jörg J."},{"family":"Wells","given":"Timothy N. C."}],"issued":{"date-parts":[["2017",12]]}}},{"id":12041,"uris":["http://zotero.org/users/6216265/items/JUE7F3IC"],"itemData":{"id":12041,"type":"article-journal","container-title":"Malaria Journal","DOI":"10.1186/s12936-018-2598-5","ISSN":"1475-2875","issue":"1","journalAbbreviation":"Malar J","language":"en","page":"462","source":"DOI.org (Crossref)","title":"A discovery and development roadmap for new endectocidal transmission-blocking agents in malaria","volume":"17","author":[{"family":"Burrows","given":"Jeremy"},{"family":"Slater","given":"Hannah"},{"family":"Macintyre","given":"Fiona"},{"family":"Rees","given":"Sarah"},{"family":"Thomas","given":"Anna"},{"family":"Okumu","given":"Fredros"},{"family":"Hooft Van Huijsduijnen","given":"Rob"},{"family":"Duparc","given":"Stephan"},{"family":"Wells","given":"Timothy N. C."}],"issued":{"date-parts":[["2018",12]]}},"label":"page"},{"id":12092,"uris":["http://zotero.org/users/6216265/items/IJ9LMEFN"],"itemData":{"id":12092,"type":"article-journal","abstract":"Background:\n              Binge-eating disorder (BED) is a common psychiatric condition with adverse psychological and metabolic consequences. Lisdexamfetamine (LDX) is the only approved BED drug treatment. New drugs to treat BED are urgently needed.\n            \n            \n              Methods:\n              A comprehensive review of published psychopathological, pharmacological and clinical findings.\n            \n            \n              Results:\n              The evidence supports the hypothesis that BED is an impulse control disorder with similarities to ADHD, including responsiveness to catecholaminergic drugs, for example LDX and dasotraline. The target product profile (TPP) of the ideal BED drug combines treating the psychopathological drivers of the disorder with an independent weight-loss effect. Drugs with proven efficacy in BED have a common pharmacology; they potentiate central noradrenergic and dopaminergic neurotransmission. Because of the overlap between pharmacotherapy in attention deficit hyperactivity disorder (ADHD) and BED, drug-candidates from diverse pharmacological classes, which have already failed in ADHD would also be predicted to fail if tested in BED. The failure in BED trials of drugs with diverse pharmacological mechanisms indicates many possible avenues for drug discovery can probably be discounted.\n            \n            \n              Conclusions:\n              (1) The efficacy of drugs for BED is dependent on reducing its core psychopathologies of impulsivity, compulsivity and perseveration and by increasing cognitive control of eating. (2) The analysis revealed a large number of pharmacological mechanisms are unlikely to be productive in the search for effective new BED drugs. (3) The most promising areas for new treatments for BED are drugs, which augment noradrenergic and dopaminergic neurotransmission and/or those which are effective in ADHD.","container-title":"Journal of Psychopharmacology","DOI":"10.1177/02698811211032475","ISSN":"0269-8811, 1461-7285","issue":"6","journalAbbreviation":"J Psychopharmacol","language":"en","page":"680-703","source":"DOI.org (Crossref)","title":"Prospects for new drugs to treat binge-eating disorder: Insights from psychopathology and neuropharmacology","title-short":"Prospects for new drugs to treat binge-eating disorder","volume":"36","author":[{"family":"Heal","given":"David J"},{"family":"Smith","given":"Sharon L"}],"issued":{"date-parts":[["2022",6]]}},"label":"page"},{"id":12099,"uris":["http://zotero.org/users/6216265/items/SIJK4SZD"],"itemData":{"id":12099,"type":"article-journal","container-title":"European Journal of Pharmaceutical Sciences","DOI":"10.1016/j.ejps.2022.106171","ISSN":"09280987","journalAbbreviation":"European Journal of Pharmaceutical Sciences","language":"en","page":"106171","source":"DOI.org (Crossref)","title":"QbD-guided pharmaceutical development of Pembrolizumab biosimilar candidate PSG-024 propelled to industry meeting primary requirements of comparability to Keytruda®","volume":"173","author":[{"family":"Jaffar-Aghaei","given":"Morteza"},{"family":"Khanipour","given":"Farzad"},{"family":"Maghsoudi","given":"Amir"},{"family":"Sarvestani","given":"Rahim"},{"family":"Mohammadian","given":"Mahdi"},{"family":"Maleki","given":"Maryam"},{"family":"Havasi","given":"Forugh"},{"family":"Rahmani","given":"Hossein"},{"family":"Karagah","given":"Amir-Hossein"},{"family":"Kazemali","given":"Mohammad-Reza"}],"issued":{"date-parts":[["2022",6]]}},"label":"page"},{"id":12109,"uris":["http://zotero.org/users/6216265/items/23KHJRRG"],"itemData":{"id":12109,"type":"article-journal","container-title":"AAPS PharmSciTech","DOI":"10.1208/s12249-010-9521-x","ISSN":"1530-9932","issue":"3","journalAbbreviation":"AAPS PharmSciTech","language":"en","page":"1476-1481","source":"DOI.org (Crossref)","title":"Considerations in Developing a Target Product Profile for Parenteral Pharmaceutical Products","volume":"11","author":[{"family":"Lambert","given":"William J."}],"issued":{"date-parts":[["2010",9]]}},"label":"page"},{"id":12116,"uris":["http://zotero.org/users/6216265/items/4JFY2AFP"],"itemData":{"id":12116,"type":"article-journal","container-title":"Malaria Journal","DOI":"10.1186/s12936-018-2549-1","ISSN":"1475-2875","issue":"1","journalAbbreviation":"Malar J","language":"en","page":"402","source":"DOI.org (Crossref)","title":"Injectable anti-malarials revisited: discovery and development of new agents to protect against malaria","title-short":"Injectable anti-malarials revisited","volume":"17","author":[{"family":"Macintyre","given":"Fiona"},{"family":"Ramachandruni","given":"Hanu"},{"family":"Burrows","given":"Jeremy N."},{"family":"Holm","given":"René"},{"family":"Thomas","given":"Anna"},{"family":"Möhrle","given":"Jörg J."},{"family":"Duparc","given":"Stephan"},{"family":"Hooft Van Huijsduijnen","given":"Rob"},{"family":"Greenwood","given":"Brian"},{"family":"Gutteridge","given":"Winston E."},{"family":"Wells","given":"Timothy N. C."},{"family":"Kaszubska","given":"Wiweka"}],"issued":{"date-parts":[["2018",12]]}},"label":"page"},{"id":12118,"uris":["http://zotero.org/users/6216265/items/2L47LS78"],"itemData":{"id":12118,"type":"article-journal","container-title":"PLoS Medicine","DOI":"10.1371/journal.pmed.1000398","ISSN":"1549-1676","issue":"1","journalAbbreviation":"PLoS Med","language":"en","page":"e1000398","source":"DOI.org (Crossref)","title":"A Research Agenda for Malaria Eradication: Vaccines","title-short":"A Research Agenda for Malaria Eradication","volume":"8","author":[{"literal":"The malERA Consultative Group on Vaccines"}],"issued":{"date-parts":[["2011",1,25]]}},"label":"page"},{"id":12128,"uris":["http://zotero.org/users/6216265/items/TIL2DIZ4"],"itemData":{"id":12128,"type":"article-journal","container-title":"Current Drug Delivery","DOI":"10.2174/1567201813666160325131831","ISSN":"15672018","issue":"8","journalAbbreviation":"CDD","language":"en","page":"1247-1260","source":"DOI.org (Crossref)","title":"Quality by Design Applied to Ocular Solid Lipid Nanoparticles Containing a Hydrophilic Peptide Prepared via Hot High Pressure Homogeniser","volume":"13","author":[{"family":"Mercuri","given":"Annalisa Mercuri"}],"issued":{"date-parts":[["2016",11,8]]}},"label":"page"},{"id":12162,"uris":["http://zotero.org/users/6216265/items/B6HJ6D5Q"],"itemData":{"id":12162,"type":"article-journal","container-title":"BMC Infectious Diseases","DOI":"10.1186/s12879-017-2770-5","ISSN":"1471-2334","issue":"S1","journalAbbreviation":"BMC Infect Dis","language":"en","page":"707","source":"DOI.org (Crossref)","title":"Optimising diagnosis of viraemic hepatitis C infection: the development of a target product profile","title-short":"Optimising diagnosis of viraemic hepatitis C infection","volume":"17","author":[{"family":"Ivanova Reipold","given":"Elena"},{"family":"Easterbrook","given":"Philippa"},{"family":"Trianni","given":"Alessandra"},{"family":"Panneer","given":"Nivedha"},{"family":"Krakower","given":"Douglas"},{"family":"Ongarello","given":"Stefano"},{"family":"Roberts","given":"Teri"},{"family":"Miller","given":"Veronica"},{"family":"Denkinger","given":"Claudia"}],"issued":{"date-parts":[["2017",11]]}},"label":"page"},{"id":12173,"uris":["http://zotero.org/users/6216265/items/XZYY4ZIT"],"itemData":{"id":12173,"type":"chapter","container-title":"Pharmaceutical Medicine and Translational Clinical Research","ISBN":"978-0-12-802103-3","language":"en","note":"DOI: 10.1016/B978-0-12-802103-3.00005-5","page":"65-80","publisher":"Elsevier","source":"DOI.org (Crossref)","title":"Target Product Profile and Clinical Development Plan","URL":"https://linkinghub.elsevier.com/retrieve/pii/B9780128021033000055","author":[{"family":"Singh","given":"Gursharan"}],"accessed":{"date-parts":[["2023",11,2]]},"issued":{"date-parts":[["2018"]]}},"label":"page"},{"id":12188,"uris":["http://zotero.org/users/6216265/items/KBAXCF2E"],"itemData":{"id":12188,"type":"article-journal","abstract":"Abstract\n            \n              Introduction\n              Multi-parameter diagnostic devices can simplify cardiometabolic disease diagnosis. However, existing devices may not be suitable for use in low-resource settings, where the burden of non-communicable diseases is high. Here we describe the development of a target product profile (TPP) for a point-of-care multi-parameter device for detection of biomarkers for cardiovascular disease and metabolic disorders, including diabetes, in primary care settings in low- and middle-income countries (LMICs).\n            \n            \n              Methods\n              A draft TPP developed by an expert group was reviewed through an online survey and semi-structured expert interviews to identify device characteristics requiring refinement. The draft TPP included 41 characteristics with minimal and optimal requirements; characteristics with an agreement level for either requirement of ≤ 85% in either the survey or among interviewees were further discussed by the expert group and amended as appropriate.\n            \n            \n              Results\n              Twenty people responded to the online survey and 18 experts participated in the interviews. Twenty-two characteristics had an agreement level of ≤ 85% in either the online survey or interviews. The final TPP defines the device as intended to be used for basic diagnosis and management of cardiometabolic disorders (lipids, glucose, HbA1c, and creatinine) as minimal requirement, and offering an expanded test menu for wider cardiometabolic disease management as optimal requirement. To be suitable, the device should be intended for level 1 healthcare settings or lower, used by minimally trained healthcare workers and allow testing using self-contained cartridges or strips without the need for additional reagents. Throughput should be one sample at a time in a single or multi-analyte cartridge, or optimally enable testing of several samples and analytes in parallel with random access.\n            \n            \n              Conclusion\n              This TPP will inform developers of cardiometabolic multi-parameter devices for LMIC settings, and will support decision makers in the evaluation of existing and future devices.","container-title":"BMC Cardiovascular Disorders","DOI":"10.1186/s12872-021-02298-7","ISSN":"1471-2261","issue":"1","journalAbbreviation":"BMC Cardiovasc Disord","language":"en","page":"486","source":"DOI.org (Crossref)","title":"Development of a target product profile for a point-of-care cardiometabolic device","volume":"21","author":[{"family":"Vetter","given":"Beatrice"},{"family":"Beran","given":"David"},{"family":"Boulle","given":"Philippa"},{"family":"Chua","given":"Arlene"},{"family":"De La Tour","given":"Roberto"},{"family":"Hattingh","given":"Lucy"},{"family":"Perel","given":"Pablo"},{"family":"Roglic","given":"Gojka"},{"family":"Sampath","given":"Rangarajan"},{"family":"Woodman","given":"Michael"},{"family":"Perone","given":"Sigiriya Aebischer"}],"issued":{"date-parts":[["2021",12]]}},"label":"page"},{"id":12192,"uris":["http://zotero.org/users/6216265/items/Q327VGY9"],"itemData":{"id":12192,"type":"article-journal","container-title":"Current Opinion in HIV and AIDS","DOI":"10.1097/COH.0000000000000527","ISSN":"1746-630X","issue":"2","language":"en","page":"143-149","source":"DOI.org (Crossref)","title":"Current and future priorities for the development of optimal HIV drugs","volume":"14","author":[{"family":"Vitoria","given":"Marco"},{"family":"Rangaraj","given":"Ajay"},{"family":"Ford","given":"Nathan"},{"family":"Doherty","given":"Meg"}],"issued":{"date-parts":[["2019",3]]}},"label":"page"},{"id":12203,"uris":["http://zotero.org/users/6216265/items/5R76JEW2"],"itemData":{"id":12203,"type":"article-journal","abstract":"Abstract\n            Quality by design (QbD) is an efficient but challenging approach for the development of biosimilar due to the complex relationship among process, quality, and efficacy. Here, the analytical similarity of adalimumab biosimilar HLX03 to Humira® was successfully established following a QbD quality study. Quality target product profile (QTPP) of HLX03 was first generated according to the public available information and initial characterization of 3 batches of Humira®. The critical quality attributes (CQAs) were then identified through risk assessment according to impact of each quality attribute on efficacy and safety. The anticipated range for each CQA was derived from similarity acceptance range and/or the corresponding regulatory guidelines. Finally, a panel of advanced and orthogonal physicochemical and functional tests and comparison of 6 batches of HLX03 and 10 batches of the reference standard demonstrated high similarity of HLX03 to Humira®, except for slightly lower percentage of high mannosylated glycans (%HM) in HLX03 which had no effect on FcγRIII binding and antibody-dependent cell-mediated cytotoxicity (ADCC) activity in human peripheral blood mononuclear cell (PBMC). All above demonstrated the feasibility and efficiency of QbD-based similarity assessment of a biosimilar monoclonal antibody (mAb).","container-title":"The AAPS Journal","DOI":"10.1208/s12248-020-00454-z","ISSN":"1550-7416","issue":"3","journalAbbreviation":"AAPS J","language":"en","page":"69","source":"DOI.org (Crossref)","title":"Quality by Design–Based Assessment for Analytical Similarity of Adalimumab Biosimilar HLX03 to Humira®","volume":"22","author":[{"family":"Zhang","given":"Erhui"},{"family":"Xie","given":"Liqi"},{"family":"Qin","given":"Peilan"},{"family":"Lu","given":"Lihong"},{"family":"Xu","given":"Yanpeng"},{"family":"Gao","given":"Wenyuan"},{"family":"Wang","given":"Linlin"},{"family":"Xie","given":"Michael Hongwei"},{"family":"Jiang","given":"Weidong"},{"family":"Liu","given":"Scott"}],"issued":{"date-parts":[["2020",5]]}},"label":"page"},{"id":12218,"uris":["http://zotero.org/users/6216265/items/89U67V5S"],"itemData":{"id":12218,"type":"article-journal","container-title":"Military Medicine","DOI":"10.7205/MILMED-D-15-00231","ISSN":"0026-4075, 1930-613X","issue":"8","journalAbbreviation":"Military Medicine","language":"en","page":"756-766","source":"DOI.org (Crossref)","title":"Assessing the Dengue Diagnosis Capability Gap in the Military Health System","volume":"181","author":[{"family":"Pal","given":"Subhamoy"},{"family":"Jasper","given":"Louis E."},{"family":"Lawrence","given":"Kendra L."},{"family":"Walter","given":"Maureen"},{"family":"Gilliland","given":"Theron"},{"family":"Dauner","given":"Allison L."},{"family":"Palys","given":"Thomas J."},{"family":"Wu","given":"Shuenn-Jue L."}],"issued":{"date-parts":[["2016",8]]}},"label":"page"},{"id":12207,"uris":["http://zotero.org/users/6216265/items/BI8MIJ26"],"itemData":{"id":12207,"type":"paper-conference","container-title":"IEEE Global Humanitarian Technology Conference (GHTC 2014)","DOI":"10.1109/GHTC.2014.6970338","event-place":"San Jose, CA","event-title":"2014 IEEE Global Humanitarian Technology Conference (GHTC)","ISBN":"978-1-4799-7193-0","page":"555-560","publisher":"IEEE","publisher-place":"San Jose, CA","source":"DOI.org (Crossref)","title":"Incorporating user needs into product development for improved infection detection for malaria elimination programs","URL":"http://ieeexplore.ieee.org/document/6970338/","author":[{"family":"Ebels","given":"K. B."},{"family":"Clerk","given":"C."},{"family":"Crudder","given":"C. H."},{"family":"McGray","given":"S."},{"family":"Magnuson","given":"K."},{"family":"Tietje","given":"K."},{"family":"LaBarre","given":"P."}],"accessed":{"date-parts":[["2023",11,2]]},"issued":{"date-parts":[["2014",10]]}},"label":"page"}],"schema":"https://github.com/citation-style-language/schema/raw/master/csl-citation.json"} </w:instrText>
            </w:r>
            <w:r>
              <w:fldChar w:fldCharType="separate"/>
            </w:r>
            <w:r w:rsidR="00C94C08" w:rsidRPr="00C94C08">
              <w:rPr>
                <w:rFonts w:ascii="Calibri" w:hAnsi="Calibri" w:cs="Calibri"/>
              </w:rPr>
              <w:t>(219,221,222,252,258,266,270,311,275,257,335,314,316,324,205,203)</w:t>
            </w:r>
            <w:r>
              <w:fldChar w:fldCharType="end"/>
            </w:r>
          </w:p>
        </w:tc>
      </w:tr>
      <w:tr w:rsidR="00143B06" w14:paraId="6067A8E6" w14:textId="77777777" w:rsidTr="00E666ED">
        <w:tc>
          <w:tcPr>
            <w:tcW w:w="1260" w:type="dxa"/>
            <w:vMerge/>
            <w:vAlign w:val="center"/>
          </w:tcPr>
          <w:p w14:paraId="22E5FF24" w14:textId="77777777" w:rsidR="00143B06" w:rsidRDefault="00143B06" w:rsidP="00106C2C">
            <w:pPr>
              <w:spacing w:line="276" w:lineRule="auto"/>
            </w:pPr>
          </w:p>
        </w:tc>
        <w:tc>
          <w:tcPr>
            <w:tcW w:w="2790" w:type="dxa"/>
            <w:vAlign w:val="center"/>
          </w:tcPr>
          <w:p w14:paraId="6C79C584" w14:textId="70D9C212" w:rsidR="00143B06" w:rsidRDefault="00143B06" w:rsidP="00106C2C">
            <w:pPr>
              <w:spacing w:line="276" w:lineRule="auto"/>
            </w:pPr>
            <w:r>
              <w:t>Collaborators from academic and non-academic affiliations</w:t>
            </w:r>
          </w:p>
        </w:tc>
        <w:tc>
          <w:tcPr>
            <w:tcW w:w="5017" w:type="dxa"/>
            <w:vAlign w:val="center"/>
          </w:tcPr>
          <w:p w14:paraId="169B570F" w14:textId="78D4D84C" w:rsidR="00143B06" w:rsidRDefault="00143B06" w:rsidP="00106C2C">
            <w:pPr>
              <w:spacing w:line="276" w:lineRule="auto"/>
            </w:pPr>
            <w:r>
              <w:fldChar w:fldCharType="begin"/>
            </w:r>
            <w:r w:rsidR="00C94C08">
              <w:instrText xml:space="preserve"> ADDIN ZOTERO_ITEM CSL_CITATION {"citationID":"xmEYvECj","properties":{"formattedCitation":"(199\\uc0\\u8211{}202,204,206,207,223,227,233\\uc0\\u8211{}235,238,239,242,244,246,253,254,262,268,271,272,274,278,283,291,292,294\\uc0\\u8211{}298,303,304,307,312,313,320\\uc0\\u8211{}322,329,330,333)","plainCitation":"(199–202,204,206,207,223,227,233–235,238,239,242,244,246,253,254,262,268,271,272,274,278,283,291,292,294–298,303,304,307,312,313,320–322,329,330,333)","noteIndex":0},"citationItems":[{"id":12208,"uris":["http://zotero.org/users/6216265/items/YUCZFS4L"],"itemData":{"id":12208,"type":"article-journal","container-title":"PLOS Neglected Tropical Diseases","DOI":"10.1371/journal.pntd.0005269","ISSN":"1935-2735","issue":"2","journalAbbreviation":"PLoS Negl Trop Dis","language":"en","page":"e0005269","source":"DOI.org (Crossref)","title":"Update on Zika Diagnostic Tests and WHO’s Related Activities","volume":"11","author":[{"family":"Chua","given":"Arlene"},{"family":"Prat","given":"Irena"},{"family":"Nuebling","given":"Claudius Micha"},{"family":"Wood","given":"David"},{"family":"Moussy","given":"Francis"}],"editor":[{"family":"De Silva","given":"Aravinda M."}],"issued":{"date-parts":[["2017",2,2]]}},"label":"page"},{"id":12210,"uris":["http://zotero.org/users/6216265/items/XIJQJ62C"],"itemData":{"id":12210,"type":"article-journal","container-title":"The Journal of Infectious Diseases","DOI":"10.1093/infdis/jiu821","ISSN":"0022-1899, 1537-6613","issue":"suppl_2","language":"en","page":"S29-S38","source":"DOI.org (Crossref)","title":"Defining the Needs for Next Generation Assays for Tuberculosis","volume":"211","author":[{"family":"Denkinger","given":"Claudia M."},{"family":"Kik","given":"Sandra V."},{"family":"Cirillo","given":"Daniela Maria"},{"family":"Casenghi","given":"Martina"},{"family":"Shinnick","given":"Thomas"},{"family":"Weyer","given":"Karin"},{"family":"Gilpin","given":"Chris"},{"family":"Boehme","given":"Catharina C."},{"family":"Schito","given":"Marco"},{"family":"Kimerling","given":"Michael"},{"family":"Pai","given":"Madhukar"}],"issued":{"date-parts":[["2015",4]]}},"label":"page"},{"id":12212,"uris":["http://zotero.org/users/6216265/items/9JFPHFWZ"],"itemData":{"id":12212,"type":"article-journal","container-title":"PLOS Neglected Tropical Diseases","DOI":"10.1371/journal.pntd.0005516","ISSN":"1935-2735","issue":"4","journalAbbreviation":"PLoS Negl Trop Dis","language":"en","page":"e0005516","source":"DOI.org (Crossref)","title":"Defining the next generation of Plasmodium vivax diagnostic tests for control and elimination: Target product profiles","title-short":"Defining the next generation of Plasmodium vivax diagnostic tests for control and elimination","volume":"11","author":[{"family":"Ding","given":"Xavier C."},{"family":"Ade","given":"Maria Paz"},{"family":"Baird","given":"J. Kevin"},{"family":"Cheng","given":"Qin"},{"family":"Cunningham","given":"Jane"},{"family":"Dhorda","given":"Mehul"},{"family":"Drakeley","given":"Chris"},{"family":"Felger","given":"Ingrid"},{"family":"Gamboa","given":"Dionicia"},{"family":"Harbers","given":"Matthias"},{"family":"Herrera","given":"Socrates"},{"family":"Lucchi","given":"Naomi"},{"family":"Mayor","given":"Alfredo"},{"family":"Mueller","given":"Ivo"},{"family":"Sattabongkot","given":"Jetsumon"},{"family":"Ratsimbason","given":"Arsène"},{"family":"Richards","given":"Jack"},{"family":"Tanner","given":"Marcel"},{"family":"González","given":"Iveth J."}],"editor":[{"family":"Pimenta","given":"Paulo Filemon"}],"issued":{"date-parts":[["2017",4,3]]}}},{"id":12214,"uris":["http://zotero.org/users/6216265/items/F3AIGXXG"],"itemData":{"id":12214,"type":"article-journal","container-title":"PLOS Neglected Tropical Diseases","DOI":"10.1371/journal.pntd.0005875","ISSN":"1935-2735","issue":"9","journalAbbreviation":"PLoS Negl Trop Dis","language":"en","page":"e0005875","source":"DOI.org (Crossref)","title":"Target product profiles for the diagnosis of Taenia solium taeniasis, neurocysticercosis and porcine cysticercosis","volume":"11","author":[{"family":"Donadeu","given":"Meritxell"},{"family":"Fahrion","given":"Anna S."},{"family":"Olliaro","given":"Piero L."},{"family":"Abela-Ridder","given":"Bernadette"}],"editor":[{"family":"Garcia","given":"Hector H."}],"issued":{"date-parts":[["2017",9,11]]}},"label":"page"},{"id":12216,"uris":["http://zotero.org/users/6216265/items/YHFANQX2"],"itemData":{"id":12216,"type":"article-journal","container-title":"PLOS Neglected Tropical Diseases","DOI":"10.1371/journal.pntd.0006213","ISSN":"1935-2735","issue":"3","journalAbbreviation":"PLoS Negl Trop Dis","language":"en","page":"e0006213","source":"DOI.org (Crossref)","title":"Diagnostic tools for soil-transmitted helminths control and elimination programs: A pathway for diagnostic product development","title-short":"Diagnostic tools for soil-transmitted helminths control and elimination programs","volume":"12","author":[{"family":"Lim","given":"Mark D."},{"family":"Brooker","given":"Simon J."},{"family":"Belizario","given":"Vicente Y."},{"family":"Gay-Andrieu","given":"Françoise"},{"family":"Gilleard","given":"John"},{"family":"Levecke","given":"Bruno"},{"family":"Van Lieshout","given":"Lisette"},{"family":"Medley","given":"Graham F."},{"family":"Mekonnen","given":"Zeleke"},{"family":"Mirams","given":"Greg"},{"family":"Njenga","given":"Sammy M."},{"family":"Odiere","given":"Maurice R."},{"family":"Rudge","given":"James W."},{"family":"Stuyver","given":"Lieven"},{"family":"Vercruysse","given":"Jozef"},{"family":"Vlaminck","given":"Johnny"},{"family":"Walson","given":"Judd L."},{"literal":"the Annecy STH diagnostic experts group"}],"editor":[{"family":"Maruyama","given":"Haruhiko"}],"issued":{"date-parts":[["2018",3,1]]}},"label":"page"},{"id":12220,"uris":["http://zotero.org/users/6216265/items/6KMQJESE"],"itemData":{"id":12220,"type":"article-journal","container-title":"PLoS Neglected Tropical Diseases","DOI":"10.1371/journal.pntd.0001746","ISSN":"1935-2735","issue":"7","journalAbbreviation":"PLoS Negl Trop Dis","language":"en","page":"e1746","source":"DOI.org (Crossref)","title":"A Diagnostics Platform for the Integrated Mapping, Monitoring, and Surveillance of Neglected Tropical Diseases: Rationale and Target Product Profiles","title-short":"A Diagnostics Platform for the Integrated Mapping, Monitoring, and Surveillance of Neglected Tropical Diseases","volume":"6","author":[{"family":"Solomon","given":"Anthony W."},{"family":"Engels","given":"Dirk"},{"family":"Bailey","given":"Robin L."},{"family":"Blake","given":"Isobel M."},{"family":"Brooker","given":"Simon"},{"family":"Chen","given":"Jia-Xu"},{"family":"Chen","given":"Jun-Hu"},{"family":"Churcher","given":"Thomas S."},{"family":"Drakeley","given":"Chris J."},{"family":"Edwards","given":"Tansy"},{"family":"Fenwick","given":"Alan"},{"family":"French","given":"Michael"},{"family":"Gabrielli","given":"Albis Francesco"},{"family":"Grassly","given":"Nicholas C."},{"family":"Harding-Esch","given":"Emma M."},{"family":"Holland","given":"Martin J."},{"family":"Koukounari","given":"Artemis"},{"family":"Lammie","given":"Patrick J."},{"family":"Leslie","given":"Jacqueline"},{"family":"Mabey","given":"David C."},{"family":"Rhajaoui","given":"Mohamed"},{"family":"Secor","given":"W. Evan"},{"family":"Stothard","given":"J. Russell"},{"family":"Wei","given":"Hu"},{"family":"Willingham","given":"A. Lee"},{"family":"Zhou","given":"Xiao-Nong"},{"family":"Peeling","given":"Rosanna W."}],"editor":[{"family":"McCarthy","given":"James S."}],"issued":{"date-parts":[["2012",7,31]]}},"label":"page"},{"id":12222,"uris":["http://zotero.org/users/6216265/items/77LMTDQW"],"itemData":{"id":12222,"type":"article-journal","container-title":"Sexually Transmitted Infections","DOI":"10.1136/sextrans-2016-053071","ISSN":"1368-4973, 1472-3263","issue":"S4","journalAbbreviation":"Sex Transm Infect","language":"en","page":"S69-S80","source":"DOI.org (Crossref)","title":"Advancing prevention of sexually transmitted infections through point-of-care testing: target product profiles and landscape analysis","title-short":"Advancing prevention of sexually transmitted infections through point-of-care testing","volume":"93","author":[{"family":"Toskin","given":"Igor"},{"family":"Murtagh","given":"Maurine"},{"family":"Peeling","given":"Rosanna W"},{"family":"Blondeel","given":"Karel"},{"family":"Cordero","given":"Joanna"},{"family":"Kiarie","given":"James"}],"issued":{"date-parts":[["2017",12]]}},"label":"page"},{"id":12043,"uris":["http://zotero.org/users/6216265/items/5WRCBSSE"],"itemData":{"id":12043,"type":"article-journal","abstract":"Abstract\n            \n              \n              The development of robust and well-characterized methods of production of cell therapies has become increasingly important as therapies advance through clinical trials toward approval. A successful cell therapy will be a consistent, safe, and effective cell product, regardless of the cell type or application. Process development strategies can be developed to gain efficiency while maintaining or improving safety and quality profiles. This review presents an introduction to the process development challenges of cell therapies and describes some of the tools available to address production issues. This article will provide a summary of what should be considered to efficiently advance a cellular therapy from the research stage through clinical trials and finally toward commercialization. The identification of the basic questions that affect process development is summarized in the target product profile, and considerations for process optimization are discussed. The goal is to identify potential manufacturing concerns early in the process so they may be addressed effectively and thus increase the probability that a therapy will be successful.\n            \n            \n              Significance\n              The present study contributes to the field of cell therapy by providing a resource for those transitioning a potential therapy from the research stage to clinical and commercial applications. It provides the necessary steps that, when followed, can result in successful therapies from both a clinical and commercial perspective.","container-title":"Stem Cells Translational Medicine","DOI":"10.5966/sctm.2014-0294","ISSN":"2157-6564, 2157-6580","issue":"10","language":"en","page":"1155-1163","source":"DOI.org (Crossref)","title":"Concise Review: Process Development Considerations for Cell Therapy","title-short":"Concise Review","volume":"4","author":[{"family":"Campbell","given":"Andrew"},{"family":"Brieva","given":"Thomas"},{"family":"Raviv","given":"Lior"},{"family":"Rowley","given":"Jon"},{"family":"Niss","given":"Knut"},{"family":"Brandwein","given":"Harvey"},{"family":"Oh","given":"Steve"},{"family":"Karnieli","given":"Ohad"}],"issued":{"date-parts":[["2015",10,1]]}}},{"id":12051,"uris":["http://zotero.org/users/6216265/items/SVYHIHN7"],"itemData":{"id":12051,"type":"article-journal","container-title":"International Journal of Pharmaceutics","DOI":"10.1016/j.ijpharm.2011.12.024","ISSN":"03785173","issue":"2","journalAbbreviation":"International Journal of Pharmaceutics","language":"en","page":"167-178","source":"DOI.org (Crossref)","title":"Quality by design approach for formulation development: A case study of dispersible tablets","title-short":"Quality by design approach for formulation development","volume":"423","author":[{"family":"Charoo","given":"Naseem A."},{"family":"Shamsher","given":"Areeg A.A."},{"family":"Zidan","given":"Ahmed S."},{"family":"Rahman","given":"Ziyaur"}],"issued":{"date-parts":[["2012",2]]}}},{"id":12057,"uris":["http://zotero.org/users/6216265/items/PSNZ5TKX"],"itemData":{"id":12057,"type":"article-journal","container-title":"Parasite Epidemiology and Control","DOI":"10.1016/j.parepi.2019.e00103","ISSN":"24056731","journalAbbreviation":"Parasite Epidemiology and Control","language":"en","page":"e00103","source":"DOI.org (Crossref)","title":"Target Product Profile for a point-of-care diagnostic test for dermal leishmaniases","volume":"5","author":[{"family":"Cruz","given":"Israel"},{"family":"Albertini","given":"Audrey"},{"family":"Barbeitas","given":"Mady"},{"family":"Arana","given":"Byron"},{"family":"Picado","given":"Albert"},{"family":"Ruiz-Postigo","given":"Jose A."},{"family":"Ndung'u","given":"Joseph M."}],"issued":{"date-parts":[["2019",5]]}}},{"id":12058,"uris":["http://zotero.org/users/6216265/items/54PQPFSY"],"itemData":{"id":12058,"type":"article-journal","abstract":"Rivastigmine is a drug commonly used in the management of Alzheimer’s disease that shows bioavailability problems. To overcome this, the use of nanosystems, such as nanostructured lipid carriers (NLC), administered through alternative routes seems promising. In this work, we performed a double optimization of a rivastigmine-loaded NLC formulation for direct drug delivery from the nose to the brain using the quality by design (QbD) approach, whereby the quality target product profile (QTPP) was the requisite for nose to brain delivery. The experiments started with the optimization of the formulation variables (or critical material attributes—CMAs) using a central composite design. The rivastigmine-loaded NLC formulations with the best critical quality attributes (CQAs) of particle size, polydispersity index (PDI), zeta potential (ZP), and encapsulation efficiency (EE) were selected for the second optimization, which was related to the production methods (ultrasound technique and high-pressure homogenization). The most suitable instrumental parameters for the production of NLC were analyzed through a Box–Behnken design, with the same CQAs being evaluated for the first optimization. For the second part of the optimization studies, were selected two rivastigmine-loaded NLC formulations: one produced by ultrasound technique and the other by the high-pressure homogenization (HPH) method. Afterwards, the pH and osmolarity of these formulations were adjusted to the physiological nasal mucosa values and in vitro drug release studies were performed. The results of the first part of the optimization showed that the most adequate ratios of lipids and surfactants were 7.49:1.94 and 4.5:0.5 (%, w/w), respectively. From the second part of the optimization, the results for the particle size, PDI, ZP, and EE of the rivastigmine-loaded NLC formulations produced by ultrasound technique and HPH method were, respectively, 114.0 ± 1.9 nm and 109.0 ± 0.9 nm; 0.221 ± 0.003 and 0.196 ± 0.007; −30.6 ± 0.3 mV and −30.5 ± 0.3 mV; 97.0 ± 0.5% and 97.2 ± 0.3%. Herein, the HPH was selected as the most suitable production method, although the ultrasound technique has also shown effectiveness. In addition, no significant changes in CQAs were observed after 90 days of storage of the formulations at different temperatures. In vitro studies showed that the release of rivastigmine followed a non-Fickian mechanism, with an initial fast drug release followed by a prolonged release over 48 h. This study has optimized a rivastigmine-loaded NLC formulation produced by the HPH method for nose-to-brain delivery of rivastigmine. The next step is for in vitro and in vivo experiments to demonstrate preclinical efficacy and safety. QbD was demonstrated to be a useful approach for the optimization of NLC formulations for which specific physicochemical requisites can be identified.","container-title":"Pharmaceutics","DOI":"10.3390/pharmaceutics12070599","ISSN":"1999-4923","issue":"7","journalAbbreviation":"Pharmaceutics","language":"en","page":"599","source":"DOI.org (Crossref)","title":"Double Optimization of Rivastigmine-Loaded Nanostructured Lipid Carriers (NLC) for Nose-to-Brain Delivery Using the Quality by Design (QbD) Approach: Formulation Variables and Instrumental Parameters","title-short":"Double Optimization of Rivastigmine-Loaded Nanostructured Lipid Carriers (NLC) for Nose-to-Brain Delivery Using the Quality by Design (QbD) Approach","volume":"12","author":[{"family":"Cunha","given":"Sara"},{"family":"Costa","given":"Cláudia Pina"},{"family":"Loureiro","given":"Joana A."},{"family":"Alves","given":"Jorge"},{"family":"Peixoto","given":"Andreia F."},{"family":"Forbes","given":"Ben"},{"family":"Sousa Lobo","given":"José Manuel"},{"family":"Silva","given":"Ana Catarina"}],"issued":{"date-parts":[["2020",6,28]]}},"label":"page"},{"id":12061,"uris":["http://zotero.org/users/6216265/items/V7UR6WBW"],"itemData":{"id":12061,"type":"article-journal","abstract":"Bacterial blood stream infections (BSI) are a common cause of mortality and morbidity globally. As the causative agents and the resulting treatment decisions vary, near-patient testing and surveillance tools are necessary to monitor bacterial causes and resistance to antimicrobial agents. The gold standard to identify BSIs is blood culture (BC), a methodology not widely available in resource-limited settings. The aim of the study was to map out a target product profile of a simplified BC system (SBCS) to inform product development efforts. To identify the desired characteristics of a SBCS, we enlisted a small group of specialists working in Africa and Asia. Questions were used to understand challenges and how these constraints inform system requirements. The specialists were infectious disease physicians, public health/clinical microbiologists, clinical researchers, and technology experts with different geographical backgrounds. All suggested that BC should ideally be available at the district hospital level. Many of the same operational challenges, such as limited availability of culture bottles, electricity and internet connectivity, profuse dust, the lack of ambient temperature control, and human capacity constraints were identified across the different regions. BCs, although the accepted gold standard for diagnosis of BSIs, are not widely available outside of reference/research centers in Africa and Asia. To extend the reach of this important tool, it is crucial to engage product developers and academic research partners to develop accessible alternatives.","container-title":"Diagnostics","DOI":"10.3390/diagnostics9010010","ISSN":"2075-4418","issue":"1","journalAbbreviation":"Diagnostics","language":"en","page":"10","source":"DOI.org (Crossref)","title":"Defining System Requirements for Simplified Blood Culture to Enable Widespread Use in Resource-Limited Settings","volume":"9","author":[{"family":"Dailey","given":"Peter"},{"family":"Osborn","given":"Jennifer"},{"family":"Ashley","given":"Elizabeth"},{"family":"Baron","given":"Ellen"},{"family":"Dance","given":"David"},{"family":"Fusco","given":"Daniela"},{"family":"Fanello","given":"Caterina"},{"family":"Manabe","given":"Yukari"},{"family":"Mokomane","given":"Margaret"},{"family":"Newton","given":"Paul"},{"family":"Tessema","given":"Belay"},{"family":"Isaacs","given":"Chris"},{"family":"Dittrich","given":"Sabine"}],"issued":{"date-parts":[["2019",1,11]]}},"label":"page"},{"id":12065,"uris":["http://zotero.org/users/6216265/items/3MBFKBJQ"],"itemData":{"id":12065,"type":"article-journal","container-title":"The Journal of Infectious Diseases","DOI":"10.1093/infdis/jiu682","ISSN":"0022-1899, 1537-6613","issue":"suppl_2","language":"en","page":"S39-S49","source":"DOI.org (Crossref)","title":"Target Product Profile of a Molecular Drug-Susceptibility Test for Use in Microscopy Centers","volume":"211","author":[{"family":"Denkinger","given":"Claudia M."},{"family":"Dolinger","given":"David"},{"family":"Schito","given":"Marco"},{"family":"Wells","given":"William"},{"family":"Cobelens","given":"Frank"},{"family":"Pai","given":"Madhukar"},{"family":"Zignol","given":"Matteo"},{"family":"Cirillo","given":"Daniela Maria"},{"family":"Alland","given":"David"},{"family":"Casenghi","given":"Martina"},{"family":"Gallarda","given":"Jim"},{"family":"Boehme","given":"Catharina C."},{"family":"Perkins","given":"Mark D."}],"issued":{"date-parts":[["2015",4]]}},"label":"page"},{"id":12067,"uris":["http://zotero.org/users/6216265/items/RRP9XUR4"],"itemData":{"id":12067,"type":"article-journal","container-title":"PLOS ONE","DOI":"10.1371/journal.pone.0161721","ISSN":"1932-6203","issue":"8","journalAbbreviation":"PLoS ONE","language":"en","page":"e0161721","source":"DOI.org (Crossref)","title":"Target Product Profile for a Diagnostic Assay to Differentiate between Bacterial and Non-Bacterial Infections and Reduce Antimicrobial Overuse in Resource-Limited Settings: An Expert Consensus","title-short":"Target Product Profile for a Diagnostic Assay to Differentiate between Bacterial and Non-Bacterial Infections and Reduce Antimicrobial Overuse in Resource-Limited Settings","volume":"11","author":[{"family":"Dittrich","given":"Sabine"},{"family":"Tadesse","given":"Birkneh Tilahun"},{"family":"Moussy","given":"Francis"},{"family":"Chua","given":"Arlene"},{"family":"Zorzet","given":"Anna"},{"family":"Tängdén","given":"Thomas"},{"family":"Dolinger","given":"David L."},{"family":"Page","given":"Anne-Laure"},{"family":"Crump","given":"John A."},{"family":"D’Acremont","given":"Valerie"},{"family":"Bassat","given":"Quique"},{"family":"Lubell","given":"Yoel"},{"family":"Newton","given":"Paul N."},{"family":"Heinrich","given":"Norbert"},{"family":"Rodwell","given":"Timothy J."},{"family":"González","given":"Iveth J."}],"editor":[{"family":"Yansouni","given":"Cedric"}],"issued":{"date-parts":[["2016",8,25]]}},"label":"page"},{"id":12072,"uris":["http://zotero.org/users/6216265/items/BAFT5843"],"itemData":{"id":12072,"type":"article-journal","container-title":"Frontiers in Pharmacology","DOI":"10.3389/fphar.2020.00937","ISSN":"1663-9812","journalAbbreviation":"Front. Pharmacol.","page":"937","source":"DOI.org (Crossref)","title":"A Snapshot of the Global Race for Vaccines Targeting SARS-CoV-2 and the COVID-19 Pandemic","volume":"11","author":[{"family":"Funk","given":"Colin D."},{"family":"Laferrière","given":"Craig"},{"family":"Ardakani","given":"Ali"}],"issued":{"date-parts":[["2020",6,19]]}},"label":"page"},{"id":12076,"uris":["http://zotero.org/users/6216265/items/FMDTP3AR"],"itemData":{"id":12076,"type":"article-journal","container-title":"Pulmonology","DOI":"10.1016/j.rppnen.2017.12.002","ISSN":"25310437","issue":"2","journalAbbreviation":"Pulmonology","language":"en","page":"73-85","source":"DOI.org (Crossref)","title":"Point of care diagnostics for tuberculosis","volume":"24","author":[{"family":"García-Basteiro","given":"A.L."},{"family":"DiNardo","given":"A."},{"family":"Saavedra","given":"B."},{"family":"Silva","given":"D.R."},{"family":"Palmero","given":"D."},{"family":"Gegia","given":"M."},{"family":"Migliori","given":"G.B."},{"family":"Duarte","given":"R."},{"family":"Mambuque","given":"E."},{"family":"Centis","given":"R."},{"family":"Cuevas","given":"L.E."},{"family":"Izco","given":"S."},{"family":"Theron","given":"G."}],"issued":{"date-parts":[["2018",3]]}},"label":"page"},{"id":12079,"uris":["http://zotero.org/users/6216265/items/LGAAUT2S"],"itemData":{"id":12079,"type":"article-journal","container-title":"AIDS Patient Care and STDs","DOI":"10.1089/108729103322277402","ISSN":"1087-2914, 1557-7449","issue":"8","journalAbbreviation":"AIDS Patient Care and STDs","language":"en","page":"377-399","source":"DOI.org (Crossref)","title":"Development Pharmaceutics of Microbicide Formulations. Part II: Formulation, Evaluation, and Challenges","title-short":"Development Pharmaceutics of Microbicide Formulations. Part II","volume":"17","author":[{"family":"Garg","given":"Sanjay"},{"family":"Tambwekar","given":"Kaustubh R."},{"family":"Vermani","given":"Kavita"},{"family":"Kandarapu","given":"Raghupathi"},{"family":"Garg","given":"Alka"},{"family":"Waller","given":"Donald P."},{"family":"Zaneveld","given":"Lourens J.D."}],"issued":{"date-parts":[["2003",8]]}},"label":"page"},{"id":12082,"uris":["http://zotero.org/users/6216265/items/KYH6Z94A"],"itemData":{"id":12082,"type":"article-journal","abstract":"COVID-19 pandemic will continue to pose a major public health threat until vaccination-mediated herd immunity is achieved. Most projections predict vaccines will reach a large subset of the population late in 2021 or early 2022. In the meantime, countries are exploring options to remove strict lockdown measures and allow society and the economy to return to normal function. One possibility is to expand on existing COVID-19 testing strategies by including large-scale rapid point-of-care diagnostic tests (POCTs). Currently, there is significant variability in performance and features of available POCTs, making selection and procurement of an appropriate test for specific use case difficult. In this review, we have used the World Health Organization’s (WHO) recently published target product profiles (TPPs) for specific use cases of COVID-19 diagnostic tests to screen for top-performing POCTs on the market. Several POCTs, based on clinical sensitivity/specificity, the limit of detection, and time to results, which meet WHO TPP criteria for direct detection of SARS-CoV-2 (acute infection) or indirect diagnosis of past infection (host antibodies), are highlighted here.","container-title":"Diagnostics","DOI":"10.3390/diagnostics11010115","ISSN":"2075-4418","issue":"1","journalAbbreviation":"Diagnostics","language":"en","page":"115","source":"DOI.org (Crossref)","title":"COVID-19 Point-of-Care Diagnostics That Satisfy Global Target Product Profiles","volume":"11","author":[{"family":"Ghaffari","given":"Abdi"},{"family":"Meurant","given":"Robyn"},{"family":"Ardakani","given":"Ali"}],"issued":{"date-parts":[["2021",1,12]]}},"label":"page"},{"id":12093,"uris":["http://zotero.org/users/6216265/items/BKG2CEJB"],"itemData":{"id":12093,"type":"chapter","container-title":"Dengue and Zika: Control and Antiviral Treatment Strategies","event-place":"Singapore","ISBN":"978-981-10-8726-4","note":"collection-title: Advances in Experimental Medicine and Biology\nDOI: 10.1007/978-981-10-8727-1_23","page":"333-353","publisher":"Springer Singapore","publisher-place":"Singapore","source":"DOI.org (Crossref)","title":"An Industry Perspective on Dengue Drug Discovery and Development","URL":"http://link.springer.com/10.1007/978-981-10-8727-1_23","volume":"1062","editor":[{"family":"Hilgenfeld","given":"Rolf"},{"family":"Vasudevan","given":"Subhash G."}],"author":[{"family":"Hernandez-Morales","given":"Ilane"},{"family":"Van Loock","given":"Marnix"}],"accessed":{"date-parts":[["2023",11,2]]},"issued":{"date-parts":[["2018"]]}},"label":"page"},{"id":12094,"uris":["http://zotero.org/users/6216265/items/7GHVMM79"],"itemData":{"id":12094,"type":"article-journal","container-title":"PLOS Neglected Tropical Diseases","DOI":"10.1371/journal.pntd.0003987","ISSN":"1935-2735","issue":"10","journalAbbreviation":"PLoS Negl Trop Dis","language":"en","page":"e0003987","source":"DOI.org (Crossref)","title":"A Proposed Target Product Profile and Developmental Cascade for New Cryptosporidiosis Treatments","volume":"9","author":[{"family":"Huston","given":"Christopher D."},{"family":"Spangenberg","given":"Thomas"},{"family":"Burrows","given":"Jeremy"},{"family":"Willis","given":"Paul"},{"family":"Wells","given":"Timothy N. C."},{"family":"Van Voorhis","given":"Wesley"}],"editor":[{"family":"Vinetz","given":"Joseph M."}],"issued":{"date-parts":[["2015",10,8]]}},"label":"page"},{"id":12102,"uris":["http://zotero.org/users/6216265/items/B3LLWKPE"],"itemData":{"id":12102,"type":"article-journal","container-title":"PLOS ONE","DOI":"10.1371/journal.pone.0228311","ISSN":"1932-6203","issue":"1","journalAbbreviation":"PLoS ONE","language":"en","page":"e0228311","source":"DOI.org (Crossref)","title":"Target Product Profile for a mobile app to read rapid diagnostic tests to strengthen infectious disease surveillance","volume":"15","author":[{"family":"Kadam","given":"Rigveda"},{"family":"White","given":"Wallace"},{"family":"Banks","given":"Nicholas"},{"family":"Katz","given":"Zachary"},{"family":"Dittrich","given":"Sabine"},{"family":"Kelly-Cirino","given":"Cassandra"}],"editor":[{"family":"Yansouni","given":"Cedric"}],"issued":{"date-parts":[["2020",1,29]]}},"label":"page"},{"id":12112,"uris":["http://zotero.org/users/6216265/items/TFH5LRBY"],"itemData":{"id":12112,"type":"article-journal","container-title":"The Lancet HIV","DOI":"10.1016/S2352-3018(20)30234-4","ISSN":"23523018","issue":"1","journalAbbreviation":"The Lancet HIV","language":"en","page":"e42-e50","source":"DOI.org (Crossref)","title":"Multi-stakeholder consensus on a target product profile for an HIV cure","volume":"8","author":[{"family":"Lewin","given":"Sharon R"},{"family":"Attoye","given":"Timothy"},{"family":"Bansbach","given":"Cathy"},{"family":"Doehle","given":"Brian"},{"family":"Dubé","given":"Karine"},{"family":"Dybul","given":"Mark"},{"family":"SenGupta","given":"Devi"},{"family":"Jiang","given":"Adam"},{"family":"Johnston","given":"Rowena"},{"family":"Lamplough","given":"Rosanne"},{"family":"McCune","given":"Joseph M"},{"family":"Nabel","given":"Gary J"},{"family":"Ndung'u","given":"Thumbi"},{"family":"Pottage","given":"John"},{"family":"Ripin","given":"David"},{"family":"Rooney","given":"James F"},{"family":"Sikazwe","given":"Izukanji"},{"family":"Nsubuga","given":"Moses"},{"family":"Warren","given":"Mitchell"},{"family":"Deeks","given":"Steven G"}],"issued":{"date-parts":[["2021",1]]}},"label":"page"},{"id":12120,"uris":["http://zotero.org/users/6216265/items/6FGREADD"],"itemData":{"id":12120,"type":"article-journal","abstract":"The development of vaccines against one or all forms of human leishmaniasis remains hampered by a paucity of investment, at least in part resulting from the lack of well-evidenced and agreed estimates of vaccine demand. Starting from the definition of 4 main use cases (prevention of visceral leishmaniasis, prevention of cutaneous leishmaniasis, prevention of post-kala-azar dermal leishmaniasis and treatment of post-kala-azar dermal leishmaniasis), we have estimated the size of each target population, focusing on those endemic countries where incidence levels are sufficiently high to justify decisions to adopt a vaccine. We assumed a dual vaccine delivery strategy, including a wide age-range catch-up campaign before the start of routine immunisation. Vaccine characteristics and delivery parameters reflective of a target product profile and the likely duration of the clinical development effort were considered in forecasting the demand for each of the four indications. Over a period of 10 years, this demand is forecasted to range from 300–830 million doses for a vaccine preventing visceral leishmaniasis and 557–1400 million doses for a vaccine preventing cutaneous leishmaniasis under the different scenarios we simulated. In a scenario with an effective prophylactic visceral leishmaniasis vaccine, demand for use to prevent or treat post-kala-azar dermal leishmaniasis would be more limited (over the 10 years ~160,000 doses for prevention and ~7,000 doses for treatment). Demand would rise to exceed 330,000 doses, however, in the absence of an effective vaccine for visceral leishmaniasis. Because of the sizeable demand and potential for public health impact, a single-indication prophylactic vaccine for visceral or cutaneous leishmaniasis, and even more so a cross-protective prophylactic vaccine could attract the interest of commercial developers. Continuous refinement of these first-of-their kind estimates and confirmation of country willingness and ability to pay will be paramount to inform the decisions of policy makers and developers in relation to a leishmaniasis vaccine. Positive decisions can provide a much-needed contribution towards the achievement of global leishmaniasis control.","container-title":"PLOS Neglected Tropical Diseases","DOI":"10.1371/journal.pntd.0009742","ISSN":"1935-2735","issue":"9","journalAbbreviation":"PLoS Negl Trop Dis","language":"en","page":"e0009742","source":"DOI.org (Crossref)","title":"Human leishmaniasis vaccines: Use cases, target population and potential global demand","title-short":"Human leishmaniasis vaccines","volume":"15","author":[{"family":"Malvolti","given":"Stefano"},{"family":"Malhame","given":"Melissa"},{"family":"Mantel","given":"Carsten F."},{"family":"Le Rutte","given":"Epke A."},{"family":"Kaye","given":"Paul M."}],"editor":[{"family":"Laouini","given":"Dhafer"}],"issued":{"date-parts":[["2021",9,21]]}},"label":"page"},{"id":12122,"uris":["http://zotero.org/users/6216265/items/RPLUFES3"],"itemData":{"id":12122,"type":"article-journal","container-title":"ACS Infectious Diseases","DOI":"10.1021/acsinfecdis.6b00094","ISSN":"2373-8227, 2373-8227","issue":"8","journalAbbreviation":"ACS Infect. Dis.","language":"en","page":"530-537","source":"DOI.org (Crossref)","title":"Cryptosporidiosis Drug Discovery: Opportunities and Challenges","title-short":"Cryptosporidiosis Drug Discovery","volume":"2","author":[{"family":"Manjunatha","given":"Ujjini H."},{"family":"Chao","given":"Alexander T."},{"family":"Leong","given":"F. Joel"},{"family":"Diagana","given":"Thierry T."}],"issued":{"date-parts":[["2016",8,12]]}},"label":"page"},{"id":12126,"uris":["http://zotero.org/users/6216265/items/LPRXPBBN"],"itemData":{"id":12126,"type":"article-journal","abstract":"Introduction\n              Typhoid fever is one of the most common bacterial causes of acute febrile illness in the developing world, with an estimated 10.9 million new cases and 116.8 thousand deaths in 2017. Typhoid point-of-care (POC) diagnostic tests are widely used but have poor sensitivity and specificity, resulting in antibiotic overuse that has led to the emergence and spread of multidrug-resistant strains. With recent advances in typhoid surveillance and detection, this is the ideal time to produce a target product profile (TPP) that guides product development and ensure that a next-generation test meets the needs of users in the resource-limited settings where typhoid is endemic.\n            \n            \n              Methods\n              A structured literature review was conducted to develop a draft TPP for a next-generation typhoid diagnostic test with minimal and optimal desired characteristics for 36 test parameters. The TPP was refined using feedback collected from a Delphi survey of key stakeholders in clinical medicine, microbiology, diagnostics and public and global health.\n            \n            \n              Results\n              \n                A next-generation typhoid diagnostic test should improve patient management through the diagnosis and treatment of infection with acute\n                Salmonella enterica\n                serovars Typhi or Paratyphi with a sensitivity ≥90% and specificity ≥95%. The test would ideally be used at the lowest level of the healthcare system in settings without a reliable power or water supply and provide results in &lt;15 min at a cost of &lt;US$1.00.\n              \n            \n            \n              Conclusion\n              This report outlines the first comprehensive TPP for typhoid fever and is intended to guide the development of a next-generation typhoid diagnostic test. An accurate POC test will reduce the morbidity and mortality of typhoid fever through rapid diagnosis and treatment and will have the greatest impact in reducing antimicrobial resistance if it is combined with diagnostics for other causes of acute febrile illness in a treatment algorithm.","container-title":"BMJ Global Health","DOI":"10.1136/bmjgh-2019-001831","ISSN":"2059-7908","issue":"5","journalAbbreviation":"BMJ Glob Health","language":"en","page":"e001831","source":"DOI.org (Crossref)","title":"Redefining typhoid diagnosis: what would an improved test need to look like?","title-short":"Redefining typhoid diagnosis","volume":"4","author":[{"family":"Mather","given":"Richard G"},{"family":"Hopkins","given":"Heidi"},{"family":"Parry","given":"Christopher M"},{"family":"Dittrich","given":"Sabine"}],"issued":{"date-parts":[["2019",10]]}},"label":"page"},{"id":12131,"uris":["http://zotero.org/users/6216265/items/9IKQU6PU"],"itemData":{"id":12131,"type":"article-journal","container-title":"Vaccine","DOI":"10.1016/j.vaccine.2015.12.032","ISSN":"0264410X","issue":"8","journalAbbreviation":"Vaccine","language":"en","page":"995-1001","source":"DOI.org (Crossref)","title":"Workshop report: Schistosomiasis vaccine clinical development and product characteristics","title-short":"Workshop report","volume":"34","author":[{"family":"Mo","given":"Annie X."},{"family":"Colley","given":"Daniel G."}],"issued":{"date-parts":[["2016",2]]}},"label":"page"},{"id":12132,"uris":["http://zotero.org/users/6216265/items/KVXDIG9U"],"itemData":{"id":12132,"type":"article-journal","container-title":"Vaccine: X","DOI":"10.1016/j.jvacx.2020.100060","ISSN":"25901362","journalAbbreviation":"Vaccine: X","language":"en","page":"100060","source":"DOI.org (Crossref)","title":"Theoretical risk of genetic reassortment should not impede development of live, attenuated Rift Valley fever (RVF) vaccines commentary on the draft WHO RVF Target Product Profile","volume":"5","author":[{"family":"Monath","given":"Thomas P."},{"family":"Kortekaas","given":"Jeroen"},{"family":"Watts","given":"Douglas M."},{"family":"Christofferson","given":"Rebecca C."},{"family":"Desiree LaBeaud","given":"Angelle"},{"family":"Gowen","given":"Brian B"},{"family":"Peters","given":"Clarence J."},{"family":"Smith","given":"Darci R."},{"family":"Swanepoel","given":"Robert"},{"family":"Morrill","given":"John C."},{"family":"Ksiazek","given":"Thomas G."},{"family":"Pittman","given":"Phillip R"},{"family":"Nichol","given":"Stuart T."},{"family":"Bird","given":"Brian H."},{"family":"Bettinger","given":"George"}],"issued":{"date-parts":[["2020",8]]}},"label":"page"},{"id":12139,"uris":["http://zotero.org/users/6216265/items/MHGEWWPD"],"itemData":{"id":12139,"type":"article-journal","container-title":"Journal of Medical Engineering &amp; Technology","DOI":"10.1080/03091902.2021.1946181","ISSN":"0309-1902, 1464-522X","issue":"8","journalAbbreviation":"Journal of Medical Engineering &amp; Technology","language":"en","page":"642-655","source":"DOI.org (Crossref)","title":"Review of recent innovations in portable child growth measurement devices for use in low- and middle-income countries","volume":"45","author":[{"family":"Neale","given":"Geoffrey"},{"family":"Gaihre","given":"Santosh"},{"family":"O’Gorman","given":"Pearse"},{"family":"Price","given":"Ruth K."},{"family":"Balzategi","given":"Ane Galdos"},{"family":"Barrientos","given":"Catalina Herrera"},{"family":"Rawal","given":"Shweta"},{"family":"Morgan","given":"Margaret"},{"family":"McNulty","given":"Helene"}],"issued":{"date-parts":[["2021",11,17]]}},"label":"page"},{"id":12143,"uris":["http://zotero.org/users/6216265/items/GX745N4X"],"itemData":{"id":12143,"type":"article-journal","container-title":"PLOS ONE","DOI":"10.1371/journal.pone.0204347","ISSN":"1932-6203","issue":"9","journalAbbreviation":"PLoS ONE","language":"en","page":"e0204347","source":"DOI.org (Crossref)","title":"Molecular assays for antimalarial drug resistance surveillance: A target product profile","title-short":"Molecular assays for antimalarial drug resistance surveillance","volume":"13","author":[{"family":"Nsanzabana","given":"Christian"},{"family":"Ariey","given":"Frederic"},{"family":"Beck","given":"Hans-Peter"},{"family":"Ding","given":"Xavier C."},{"family":"Kamau","given":"Edwin"},{"family":"Krishna","given":"Sanjeev"},{"family":"Legrand","given":"Eric"},{"family":"Lucchi","given":"Naomi"},{"family":"Miotto","given":"Olivo"},{"family":"Nag","given":"Sidsel"},{"family":"Noedl","given":"Harald"},{"family":"Roper","given":"Cally"},{"family":"Rosenthal","given":"Philip J."},{"family":"Schallig","given":"Henk D. F. H."},{"family":"Taylor","given":"Steve M."},{"family":"Volkman","given":"Sarah K."},{"family":"Gonzalez","given":"Iveth J."}],"editor":[{"family":"Huijben","given":"Silvie"}],"issued":{"date-parts":[["2018",9,20]]}},"label":"page"},{"id":12153,"uris":["http://zotero.org/users/6216265/items/4ZVJE4YB"],"itemData":{"id":12153,"type":"article-journal","abstract":"Health workers in low-resource settings often lack the support and tools to follow evidence-based clinical recommendations for diagnosing, treating and managing sick patients. Digital technologies, by combining patient health information and point-of-care diagnostics with evidence-based clinical protocols, can help improve the quality of care and the rational use of resources, and save patient lives. A growing number of electronic clinical decision support algorithms (CDSAs) on mobile devices are being developed and piloted without evidence of safety or impact. Here, we present a target product profile (TPP) for CDSAs aimed at guiding preventive or curative consultations in low-resource settings. This document will help align developer and implementer processes and product specifications with the needs of end users, in terms of quality, safety, performance and operational functionality. To identify the characteristics of CDSAs, a multidisciplinary group of experts (academia, industry and policy makers) with expertise in diagnostic and CDSA development and implementation in low-income and middle-income countries were convened to discuss a draft TPP. The TPP was finalised through a Delphi process to facilitate consensus building. An agreement greater than 75% was reached for all 40 TPP characteristics. In general, experts were in overwhelming agreement that, given that CDSAs provide patient management recommendations, the underlying clinical algorithms should be human-interpretable and evidence-based. Whenever possible, the algorithm’s patient management output should take into account pretest disease probabilities and likelihood ratios of clinical and diagnostic predictors. In addition, validation processes should at a minimum show that CDSAs are implementing faithfully the evidence they are based on, and ideally the impact on patient health outcomes. In terms of operational needs, CDSAs should be designed to fit within clinic workflows and function in connectivity-challenged and high-volume settings. Data collected through the tool should conform to local patient privacy regulations and international data standards.","container-title":"BMJ Global Health","DOI":"10.1136/bmjgh-2019-002067","ISSN":"2059-7908","issue":"2","journalAbbreviation":"BMJ Glob Health","language":"en","page":"e002067","source":"DOI.org (Crossref)","title":"Electronic clinical decision support algorithms incorporating point-of-care diagnostic tests in low-resource settings: a target product profile","title-short":"Electronic clinical decision support algorithms incorporating point-of-care diagnostic tests in low-resource settings","volume":"5","author":[{"family":"Pellé","given":"Karell G"},{"family":"Rambaud-Althaus","given":"Clotilde"},{"family":"D'Acremont","given":"Valérie"},{"family":"Moran","given":"Gretchen"},{"family":"Sampath","given":"Rangarajan"},{"family":"Katz","given":"Zachary"},{"family":"Moussy","given":"Francis G"},{"family":"Mehl","given":"Garrett Livingston"},{"family":"Dittrich","given":"Sabine"}],"issued":{"date-parts":[["2020",2]]}},"label":"page"},{"id":12155,"uris":["http://zotero.org/users/6216265/items/JAGNYWSA"],"itemData":{"id":12155,"type":"article-journal","container-title":"Indian Journal of Pharmaceutical Sciences","DOI":"10.4103/0250-474X.174971","ISSN":"0250-474X","issue":"6","journalAbbreviation":"Indian J Pharm Sci","language":"en","page":"751","source":"DOI.org (Crossref)","title":"Analytical quality by design approach in RP-HPLC method development for the assay of etofenamate in dosage forms","volume":"77","author":[{"family":"Peraman","given":"R"},{"family":"Bhadraya","given":"K"},{"family":"Reddy","given":"YPadmanabha"},{"family":"Reddy","given":"CSurayaprakash"},{"family":"Lokesh","given":"T"}],"issued":{"date-parts":[["2015"]]}},"label":"page"},{"id":12158,"uris":["http://zotero.org/users/6216265/items/GPYXURV9"],"itemData":{"id":12158,"type":"article-journal","container-title":"PLOS Neglected Tropical Diseases","DOI":"10.1371/journal.pntd.0003697","ISSN":"1935-2735","issue":"6","journalAbbreviation":"PLoS Negl Trop Dis","language":"en","page":"e0003697","source":"DOI.org (Crossref)","title":"Target Product Profile (TPP) for Chagas Disease Point-of-Care Diagnosis and Assessment of Response to Treatment","volume":"9","author":[{"family":"Porrás","given":"Analía I."},{"family":"Yadon","given":"Zaida E."},{"family":"Altcheh","given":"Jaime"},{"family":"Britto","given":"Constança"},{"family":"Chaves","given":"Gabriela C."},{"family":"Flevaud","given":"Laurence"},{"family":"Martins-Filho","given":"Olindo Assis"},{"family":"Ribeiro","given":"Isabela"},{"family":"Schijman","given":"Alejandro G."},{"family":"Shikanai-Yasuda","given":"Maria Aparecida"},{"family":"Sosa-Estani","given":"Sergio"},{"family":"Stobbaerts","given":"Eric"},{"family":"Zicker","given":"Fabio"}],"editor":[{"family":"Debrabant","given":"Alain"}],"issued":{"date-parts":[["2015",6,4]]}},"label":"page"},{"id":12160,"uris":["http://zotero.org/users/6216265/items/3DQVTJXA"],"itemData":{"id":12160,"type":"article-journal","container-title":"Infectious Diseases of Poverty","DOI":"10.1186/s40249-017-0336-9","ISSN":"2049-9957","issue":"1","journalAbbreviation":"Infect Dis Poverty","language":"en","page":"122","source":"DOI.org (Crossref)","title":"Developing a comprehensive response for treatment of children under 6 years of age with schistosomiasis: research and development of a pediatric formulation of praziquantel","title-short":"Developing a comprehensive response for treatment of children under 6 years of age with schistosomiasis","volume":"6","author":[{"family":"Reinhard-Rupp","given":"Jutta"},{"family":"Klohe","given":"Katharina"}],"issued":{"date-parts":[["2017",12]]}}},{"id":12164,"uris":["http://zotero.org/users/6216265/items/DSYJW2FM"],"itemData":{"id":12164,"type":"article-journal","container-title":"Antiviral Research","DOI":"10.1016/j.antiviral.2013.09.016","ISSN":"01663542","journalAbbreviation":"Antiviral Research","language":"en","page":"S32-S38","source":"DOI.org (Crossref)","title":"Prioritizing multipurpose prevention technology development and investments using a target product profile","volume":"100","author":[{"family":"Romano","given":"Joe"},{"family":"Manning","given":"Judy"},{"family":"Hemmerling","given":"Anke"},{"family":"McGrory","given":"Elizabeth"},{"family":"Young Holt","given":"Bethany"}],"issued":{"date-parts":[["2013",12]]}}},{"id":12165,"uris":["http://zotero.org/users/6216265/items/U9NFSWUE"],"itemData":{"id":12165,"type":"article-journal","container-title":"Pharmaceutical Development and Technology","DOI":"10.1080/10837450.2020.1839496","ISSN":"1083-7450, 1097-9867","issue":"1","journalAbbreviation":"Pharmaceutical Development and Technology","language":"en","page":"101-109","source":"DOI.org (Crossref)","title":"Profiling gene expression dynamics underpinning conventional testing approaches to better inform pre-clinical evaluation of an age appropriate spironolactone formulation","volume":"26","author":[{"family":"Russell","given":"Craig"},{"family":"Hussain","given":"Majad"},{"family":"Huen","given":"David"},{"family":"Rahman","given":"Ayesha S."},{"family":"Mohammed","given":"Afzal R."}],"issued":{"date-parts":[["2021",1,2]]}}},{"id":12166,"uris":["http://zotero.org/users/6216265/items/4CXDQAGY"],"itemData":{"id":12166,"type":"article-journal","container-title":"Vaccine","DOI":"10.1016/j.vaccine.2020.01.017","ISSN":"0264410X","issue":"26","journalAbbreviation":"Vaccine","language":"en","page":"4135-4141","source":"DOI.org (Crossref)","title":"Meeting report: WHO consultation on accelerating Lassa fever vaccine development in endemic countries, Dakar, 10–11 September 2019","title-short":"Meeting report","volume":"38","author":[{"family":"Salami","given":"Kolawole"},{"family":"Gsell","given":"Pierre-Stéphane"},{"family":"Olayinka","given":"Adebola"},{"family":"Maiga","given":"Diadie"},{"family":"Formenty","given":"Pierre"},{"family":"Smith","given":"Peter G."},{"family":"Moorthy","given":"Vasee"}],"issued":{"date-parts":[["2020",5]]}},"label":"page"},{"id":12174,"uris":["http://zotero.org/users/6216265/items/VW2MMZZC"],"itemData":{"id":12174,"type":"article-journal","abstract":"Effective surveillance of Aedes aegypti (Linnaeus, Diptera: Culicidae) is critical to monitoring the impact of vector control measures when mitigating disease transmission by this species. There are benefits to deploying male-specific traps, particularly when a high level of catch-specificity is desired. Here, the rationale behind the developmental process of an entirely new trap which uses a sound lure to capture male Ae. aegypti, the male Aedes sound trap (MAST), is presented as a target product profile with findings from developmental trials of key trap components and performance. Trial results suggest that the presence of a black base associated with the trap influenced male catches as did variations in size of this base, to a degree. Trap entrance shape didn’t influence catch rates, but entrance size did. No significant differences in catch rates were found when sound lures were set to intermittent or continuous playbacks, at volumes between 63–74 dB or frequencies of 450 Hz compared to 500 Hz. Additionally, adult males aged 3 days post-eclosion, were less responsive to sound lures set to 500 Hz than those 4 or 6 days old. Lastly, almost no males were caught when the MAST directly faced continual winds of 1.5 ms−1, but males were captured at low rates during intermittent winds, or if the trap faced away from the wind. The developmental process to optimising this trap is applicable to the development of alternate mosquito traps beyond Aedes sound traps and provides useful information towards the improved surveillance of these disease vectors.","container-title":"Insects","DOI":"10.3390/insects12050388","ISSN":"2075-4450","issue":"5","journalAbbreviation":"Insects","language":"en","page":"388","source":"DOI.org (Crossref)","title":"Designing Aedes (Diptera: Culicidae) Mosquito Traps: The Evolution of the Male Aedes Sound Trap by Iterative Evaluation","title-short":"Designing Aedes (Diptera","volume":"12","author":[{"family":"Staunton","given":"Kyran M."},{"family":"Liu","given":"Jianyi"},{"family":"Townsend","given":"Michael"},{"family":"Desnoyer","given":"Mark"},{"family":"Howell","given":"Paul"},{"family":"Crawford","given":"Jacob E."},{"family":"Xiang","given":"Wei"},{"family":"Snoad","given":"Nigel"},{"family":"Burkot","given":"Thomas R."},{"family":"Ritchie","given":"Scott A."}],"issued":{"date-parts":[["2021",4,27]]}}},{"id":12176,"uris":["http://zotero.org/users/6216265/items/VKCQZ8EL"],"itemData":{"id":12176,"type":"article-journal","container-title":"The International Journal of Tuberculosis and Lung Disease","DOI":"10.5588/ijtld.17.0486","ISSN":"1027-3719","issue":"2","journalAbbreviation":"int j tuberc lung dis","language":"en","page":"125-132","source":"DOI.org (Crossref)","title":"Long-acting formulations for the treatment of latent tuberculous infection: opportunities and challenges","title-short":"Long-acting formulations for the treatment of latent tuberculous infection","volume":"22","author":[{"family":"Swindells","given":"S."},{"family":"Siccardi","given":"M."},{"family":"Barrett","given":"S. E."},{"family":"Olsen","given":"D. B."},{"family":"Grobler","given":"J. A."},{"family":"Podany","given":"A. T."},{"family":"Nuermberger","given":"E."},{"family":"Kim","given":"P."},{"family":"Barry","given":"C. E."},{"family":"Owen","given":"A."},{"family":"Hazuda","given":"D."},{"family":"Flexner","given":"C."}],"issued":{"date-parts":[["2018",2,1]]}},"label":"page"},{"id":12180,"uris":["http://zotero.org/users/6216265/items/4JTF3B2A"],"itemData":{"id":12180,"type":"article-journal","container-title":"European Journal of Pharmaceutics and Biopharmaceutics","DOI":"10.1016/j.ejpb.2020.08.002","ISSN":"09396411","journalAbbreviation":"European Journal of Pharmaceutics and Biopharmaceutics","language":"en","page":"88-102","source":"DOI.org (Crossref)","title":"Optimization of the quality by design approach for gene therapy products: A case study for adeno-associated viral vectors","title-short":"Optimization of the quality by design approach for gene therapy products","volume":"155","author":[{"family":"Tanaka","given":"Toshimitsu"},{"family":"Hanaoka","given":"Hideki"},{"family":"Sakurai","given":"Shingo"}],"issued":{"date-parts":[["2020",10]]}}},{"id":12184,"uris":["http://zotero.org/users/6216265/items/ZBYACQW8"],"itemData":{"id":12184,"type":"article-journal","abstract":"In the past, drug developers in industry chose approaches mainly focusing on the drug product's efficacy, safety and quality according to the level required by regulatory expectations stipulated in guidelines, pharmacopoeia and other regulatory provisions. By putting more focus on the patient perspective, regulatory authorities are currently raising their requirements regarding successful product submissions. The increasing involvement of patients in the product development process (e.g. conduction of human factor use tests, integration of feedback from patient and patient advisory groups into clinical programmes) requires adaptations to the existing and established industrial drug development processes without compromising fast patient access to innovative therapies. This review provides an expert opinion on the emerging challenges and opportunities to implement a patient‐centric approach into new drug development programmes. The aim is to better understand the challenge of finding the right balance between bringing innovative drugs fast to the patients and to develop these in parallel in a patient‐centric product form as well as why this is an opportunity and how stakeholder parties (e.g. patients, clinicians, pharmacists, caregivers, regulators) can provide support to achieve desired outcomes.","container-title":"British Journal of Clinical Pharmacology","DOI":"10.1111/bcp.14388","ISSN":"0306-5251, 1365-2125","issue":"10","journalAbbreviation":"Brit J Clinical Pharma","language":"en","page":"2020-2027","source":"DOI.org (Crossref)","title":"Challenges and opportunities to include patient‐centric product design in industrial medicines development to improve therapeutic goals","volume":"86","author":[{"family":"Timpe","given":"Carsten"},{"family":"Stegemann","given":"Sven"},{"family":"Barrett","given":"Andrew"},{"family":"Mujumdar","given":"Siddharthya"}],"issued":{"date-parts":[["2020",10]]}}},{"id":12185,"uris":["http://zotero.org/users/6216265/items/P7NUXAN8"],"itemData":{"id":12185,"type":"article-journal","container-title":"Drug Development and Industrial Pharmacy","DOI":"10.1080/03639045.2020.1717515","ISSN":"0363-9045, 1520-5762","issue":"2","journalAbbreviation":"Drug Development and Industrial Pharmacy","language":"en","page":"296-308","source":"DOI.org (Crossref)","title":"Development of an emulgel for the treatment of rosacea using quality by design approach","volume":"46","author":[{"family":"Torregrosa","given":"Annibal"},{"family":"Ochoa-Andrade","given":"Ana Teresa"},{"family":"Parente","given":"María Emma"},{"family":"Vidarte","given":"Ana"},{"family":"Guarinoni","given":"Giovanna"},{"family":"Savio","given":"Eduardo"}],"issued":{"date-parts":[["2020",2,1]]}},"label":"page"},{"id":12197,"uris":["http://zotero.org/users/6216265/items/MJL4TELB"],"itemData":{"id":12197,"type":"article-journal","abstract":"The World Health Organization’s Model List of Essential Medicines for Children (EMLc) presents a list of the most efficacious, safe, and cost-effective medicines for priority conditions, intended for use in children up to 12 years of age. However, gaps in global availability and use of age-appropriate formulations of medicines for children still exist. To address these shortcomings, a comprehensive analysis of the appropriateness of formulations of essential medicines for children is being undertaken through the Global Accelerator for Paediatric Formulations (GAP-f) network, a WHO network launched in 2020 to respond to the paediatric treatment gap. This article describes the development and application of a paediatric Quality Target Product Profile (pQTPP) tool by WHO, to retrospectively evaluate the paediatric age-appropriateness of formulations on the EMLc and identify potential formulation gaps, to inform the review of the EMLc in 2023. A combination of paediatric-centric and global health-focused attributes and targets were defined, taking into consideration regulatory agency paediatric development guidelines and literature sources, and a qualitative scoring system was developed and tested. Example evaluations of paracetamol and clofazimine are provided, illustrating the tool’s use. The assessment of EMLc formulations is ongoing and shortcomings and gaps in EMLc formulations have already been identified. The pQTTP tool may also be applied to national lists and prospectively when designing new paediatric formulations.","container-title":"Pharmaceutics","DOI":"10.3390/pharmaceutics14030473","ISSN":"1999-4923","issue":"3","journalAbbreviation":"Pharmaceutics","language":"en","page":"473","source":"DOI.org (Crossref)","title":"Assessing the Appropriateness of Formulations on the WHO Model List of Essential Medicines for Children: Development of a Paediatric Quality Target Product Profile Tool","title-short":"Assessing the Appropriateness of Formulations on the WHO Model List of Essential Medicines for Children","volume":"14","author":[{"family":"Walsh","given":"Jennifer"},{"family":"Masini","given":"Tiziana"},{"family":"Huttner","given":"Benedikt"},{"family":"Moja","given":"Lorenzo"},{"family":"Penazzato","given":"Martina"},{"family":"Cappello","given":"Bernadette"}],"issued":{"date-parts":[["2022",2,22]]}}},{"id":12199,"uris":["http://zotero.org/users/6216265/items/SBAHENPM"],"itemData":{"id":12199,"type":"article-journal","abstract":"Improved global access to novel age‐appropriate formulations for paediatric subsets, either of new chemical entities or existing drugs, is a priority to ensure that medicines meet the needs of these patients. However, despite regulatory incentives, the introduction to the market of paediatric formulations still lags behind adult products. This is mainly caused by additional complexities associated with the development of acceptable age‐appropriate paediatric medicines. This position paper recommends the use of a paediatric Quality Target Product Profile as an efficient tool to facilitate early planning and decision making across all teams involved in paediatric formulation development during the children‐centric formulation design for new chemical entities, or to repurpose/reformulate off‐patent drugs. Essential key attributes of a paediatric formulation are suggested and described. Moreover, greater collaboration between formulation experts and clinical colleagues, including healthcare professionals, is advocated to lead to safe and effective, age‐appropriate medicinal products. Acceptability testing should be a secondary endpoint in paediatric clinical trials to ensure postmarketing adherence is not compromised by a lack of acceptability. Not knowing the indications and the related age groups and potential dosing regimens early enough is still a major hurdle for efficient paediatric formulation development; however, the proposed paediatric Quality Target Product Profile could be a valuable collaborative tool for planning and decision making to expedite paediatric product development, particularly for those with limited experience in developing a paediatric product.","container-title":"British Journal of Clinical Pharmacology","DOI":"10.1111/bcp.14989","ISSN":"0306-5251, 1365-2125","issue":"12","journalAbbreviation":"Brit J Clinical Pharma","language":"en","page":"5034-5051","source":"DOI.org (Crossref)","title":"Path towards efficient paediatric formulation development based on partnering with clinical pharmacologists and clinicians, a conect4children expert group white paper","volume":"88","author":[{"family":"Walsh","given":"Jennifer"},{"family":"Schaufelberger","given":"Daniel"},{"family":"Iurian","given":"Sonia"},{"family":"Klein","given":"Sandra"},{"family":"Batchelor","given":"Hannah"},{"family":"Turner","given":"Roy"},{"family":"Gizurarson","given":"Sveinbjörn"},{"family":"Boltri","given":"Luigi"},{"family":"Alessandrini","given":"Elisa"},{"family":"Tuleu","given":"Catherine"}],"issued":{"date-parts":[["2022",12]]}},"label":"page"},{"id":12200,"uris":["http://zotero.org/users/6216265/items/IHCSNCX5"],"itemData":{"id":12200,"type":"article-journal","container-title":"European Journal of Pharmaceutical Sciences","DOI":"10.1016/j.ejps.2022.106280","ISSN":"09280987","journalAbbreviation":"European Journal of Pharmaceutical Sciences","language":"en","page":"106280","source":"DOI.org (Crossref)","title":"Structured approach for designing drug-loaded solid products by binder jetting 3D printing","volume":"178","author":[{"family":"Wang","given":"Yingya"},{"family":"Müllertz","given":"Anette"},{"family":"Rantanen","given":"Jukka"}],"issued":{"date-parts":[["2022",11]]}},"label":"page"}],"schema":"https://github.com/citation-style-language/schema/raw/master/csl-citation.json"} </w:instrText>
            </w:r>
            <w:r>
              <w:fldChar w:fldCharType="separate"/>
            </w:r>
            <w:r w:rsidR="00C94C08" w:rsidRPr="00C94C08">
              <w:rPr>
                <w:rFonts w:ascii="Calibri" w:hAnsi="Calibri" w:cs="Calibri"/>
                <w:szCs w:val="24"/>
              </w:rPr>
              <w:t>(199–202,204,206,207,223,227,233–235,238,239,242,244,246,253,254,262,268,271,272,274,278,283,291,292,294–298,303,304,307,312,313,320–322,329,330,333)</w:t>
            </w:r>
            <w:r>
              <w:fldChar w:fldCharType="end"/>
            </w:r>
          </w:p>
        </w:tc>
      </w:tr>
      <w:tr w:rsidR="00595AC5" w14:paraId="49559685" w14:textId="77777777" w:rsidTr="00E666ED">
        <w:tc>
          <w:tcPr>
            <w:tcW w:w="1260" w:type="dxa"/>
            <w:vMerge w:val="restart"/>
            <w:vAlign w:val="center"/>
          </w:tcPr>
          <w:p w14:paraId="298F6927" w14:textId="034137A7" w:rsidR="00595AC5" w:rsidRPr="00595AC5" w:rsidRDefault="00595AC5" w:rsidP="00106C2C">
            <w:pPr>
              <w:spacing w:line="276" w:lineRule="auto"/>
              <w:rPr>
                <w:b/>
                <w:bCs/>
              </w:rPr>
            </w:pPr>
            <w:r w:rsidRPr="00595AC5">
              <w:rPr>
                <w:b/>
                <w:bCs/>
              </w:rPr>
              <w:t xml:space="preserve">Thresholds </w:t>
            </w:r>
          </w:p>
        </w:tc>
        <w:tc>
          <w:tcPr>
            <w:tcW w:w="2790" w:type="dxa"/>
            <w:vAlign w:val="center"/>
          </w:tcPr>
          <w:p w14:paraId="7DC1BC54" w14:textId="694C17F4" w:rsidR="00595AC5" w:rsidRDefault="00595AC5" w:rsidP="00106C2C">
            <w:pPr>
              <w:spacing w:line="276" w:lineRule="auto"/>
            </w:pPr>
            <w:r>
              <w:t>One threshold</w:t>
            </w:r>
          </w:p>
        </w:tc>
        <w:tc>
          <w:tcPr>
            <w:tcW w:w="5017" w:type="dxa"/>
            <w:vAlign w:val="center"/>
          </w:tcPr>
          <w:p w14:paraId="0C62E771" w14:textId="59C94B96" w:rsidR="00595AC5" w:rsidRDefault="00595AC5" w:rsidP="00106C2C">
            <w:pPr>
              <w:spacing w:line="276" w:lineRule="auto"/>
            </w:pPr>
            <w:r>
              <w:fldChar w:fldCharType="begin"/>
            </w:r>
            <w:r w:rsidR="00C94C08">
              <w:instrText xml:space="preserve"> ADDIN ZOTERO_ITEM CSL_CITATION {"citationID":"Z9joe2MI","properties":{"formattedCitation":"(201,203,205,206,208,211,213,215,216,218,228\\uc0\\u8211{}232,234,236,237,240,242,244,245,247\\uc0\\u8211{}249,253,255,256,258,260,261,263\\uc0\\u8211{}265,267,269,271,273,275\\uc0\\u8211{}277,279\\uc0\\u8211{}282,284\\uc0\\u8211{}290,292,293,295\\uc0\\u8211{}297,299\\uc0\\u8211{}302,305\\uc0\\u8211{}310,312,313,316,318\\uc0\\u8211{}322,324,325,328,331,334)","plainCitation":"(201,203,205,206,208,211,213,215,216,218,228–232,234,236,237,240,242,244,245,247–249,253,255,256,258,260,261,263–265,267,269,271,273,275–277,279–282,284–290,292,293,295–297,299–302,305–310,312,313,316,318–322,324,325,328,331,334)","noteIndex":0},"citationItems":[{"id":12212,"uris":["http://zotero.org/users/6216265/items/9JFPHFWZ"],"itemData":{"id":12212,"type":"article-journal","container-title":"PLOS Neglected Tropical Diseases","DOI":"10.1371/journal.pntd.0005516","ISSN":"1935-2735","issue":"4","journalAbbreviation":"PLoS Negl Trop Dis","language":"en","page":"e0005516","source":"DOI.org (Crossref)","title":"Defining the next generation of Plasmodium vivax diagnostic tests for control and elimination: Target product profiles","title-short":"Defining the next generation of Plasmodium vivax diagnostic tests for control and elimination","volume":"11","author":[{"family":"Ding","given":"Xavier C."},{"family":"Ade","given":"Maria Paz"},{"family":"Baird","given":"J. Kevin"},{"family":"Cheng","given":"Qin"},{"family":"Cunningham","given":"Jane"},{"family":"Dhorda","given":"Mehul"},{"family":"Drakeley","given":"Chris"},{"family":"Felger","given":"Ingrid"},{"family":"Gamboa","given":"Dionicia"},{"family":"Harbers","given":"Matthias"},{"family":"Herrera","given":"Socrates"},{"family":"Lucchi","given":"Naomi"},{"family":"Mayor","given":"Alfredo"},{"family":"Mueller","given":"Ivo"},{"family":"Sattabongkot","given":"Jetsumon"},{"family":"Ratsimbason","given":"Arsène"},{"family":"Richards","given":"Jack"},{"family":"Tanner","given":"Marcel"},{"family":"González","given":"Iveth J."}],"editor":[{"family":"Pimenta","given":"Paulo Filemon"}],"issued":{"date-parts":[["2017",4,3]]}},"label":"page"},{"id":12207,"uris":["http://zotero.org/users/6216265/items/BI8MIJ26"],"itemData":{"id":12207,"type":"paper-conference","container-title":"IEEE Global Humanitarian Technology Conference (GHTC 2014)","DOI":"10.1109/GHTC.2014.6970338","event-place":"San Jose, CA","event-title":"2014 IEEE Global Humanitarian Technology Conference (GHTC)","ISBN":"978-1-4799-7193-0","page":"555-560","publisher":"IEEE","publisher-place":"San Jose, CA","source":"DOI.org (Crossref)","title":"Incorporating user needs into product development for improved infection detection for malaria elimination programs","URL":"http://ieeexplore.ieee.org/document/6970338/","author":[{"family":"Ebels","given":"K. B."},{"family":"Clerk","given":"C."},{"family":"Crudder","given":"C. H."},{"family":"McGray","given":"S."},{"family":"Magnuson","given":"K."},{"family":"Tietje","given":"K."},{"family":"LaBarre","given":"P."}],"accessed":{"date-parts":[["2023",11,2]]},"issued":{"date-parts":[["2014",10]]}},"label":"page"},{"id":12218,"uris":["http://zotero.org/users/6216265/items/89U67V5S"],"itemData":{"id":12218,"type":"article-journal","container-title":"Military Medicine","DOI":"10.7205/MILMED-D-15-00231","ISSN":"0026-4075, 1930-613X","issue":"8","journalAbbreviation":"Military Medicine","language":"en","page":"756-766","source":"DOI.org (Crossref)","title":"Assessing the Dengue Diagnosis Capability Gap in the Military Health System","volume":"181","author":[{"family":"Pal","given":"Subhamoy"},{"family":"Jasper","given":"Louis E."},{"family":"Lawrence","given":"Kendra L."},{"family":"Walter","given":"Maureen"},{"family":"Gilliland","given":"Theron"},{"family":"Dauner","given":"Allison L."},{"family":"Palys","given":"Thomas J."},{"family":"Wu","given":"Shuenn-Jue L."}],"issued":{"date-parts":[["2016",8]]}},"label":"page"},{"id":12220,"uris":["http://zotero.org/users/6216265/items/6KMQJESE"],"itemData":{"id":12220,"type":"article-journal","container-title":"PLoS Neglected Tropical Diseases","DOI":"10.1371/journal.pntd.0001746","ISSN":"1935-2735","issue":"7","journalAbbreviation":"PLoS Negl Trop Dis","language":"en","page":"e1746","source":"DOI.org (Crossref)","title":"A Diagnostics Platform for the Integrated Mapping, Monitoring, and Surveillance of Neglected Tropical Diseases: Rationale and Target Product Profiles","title-short":"A Diagnostics Platform for the Integrated Mapping, Monitoring, and Surveillance of Neglected Tropical Diseases","volume":"6","author":[{"family":"Solomon","given":"Anthony W."},{"family":"Engels","given":"Dirk"},{"family":"Bailey","given":"Robin L."},{"family":"Blake","given":"Isobel M."},{"family":"Brooker","given":"Simon"},{"family":"Chen","given":"Jia-Xu"},{"family":"Chen","given":"Jun-Hu"},{"family":"Churcher","given":"Thomas S."},{"family":"Drakeley","given":"Chris J."},{"family":"Edwards","given":"Tansy"},{"family":"Fenwick","given":"Alan"},{"family":"French","given":"Michael"},{"family":"Gabrielli","given":"Albis Francesco"},{"family":"Grassly","given":"Nicholas C."},{"family":"Harding-Esch","given":"Emma M."},{"family":"Holland","given":"Martin J."},{"family":"Koukounari","given":"Artemis"},{"family":"Lammie","given":"Patrick J."},{"family":"Leslie","given":"Jacqueline"},{"family":"Mabey","given":"David C."},{"family":"Rhajaoui","given":"Mohamed"},{"family":"Secor","given":"W. Evan"},{"family":"Stothard","given":"J. Russell"},{"family":"Wei","given":"Hu"},{"family":"Willingham","given":"A. Lee"},{"family":"Zhou","given":"Xiao-Nong"},{"family":"Peeling","given":"Rosanna W."}],"editor":[{"family":"McCarthy","given":"James S."}],"issued":{"date-parts":[["2012",7,31]]}},"label":"page"},{"id":12224,"uris":["http://zotero.org/users/6216265/items/PPK7BIQD"],"itemData":{"id":12224,"type":"article-journal","container-title":"Clinical Microbiology and Infection","DOI":"10.1016/j.cmi.2015.03.014","ISSN":"1198743X","issue":"6","journalAbbreviation":"Clinical Microbiology and Infection","language":"en","page":"529-542","source":"DOI.org (Crossref)","title":"New diagnostic tools in schistosomiasis","volume":"21","author":[{"family":"Utzinger","given":"J."},{"family":"Becker","given":"S.L."},{"family":"Van Lieshout","given":"L."},{"family":"Van Dam","given":"G.J."},{"family":"Knopp","given":"S."}],"issued":{"date-parts":[["2015",6]]}},"label":"page"},{"id":12019,"uris":["http://zotero.org/users/6216265/items/HP2FGHA5"],"itemData":{"id":12019,"type":"article-journal","container-title":"ACS Nano","DOI":"10.1021/acsnano.2c01697","ISSN":"1936-0851, 1936-086X","issue":"8","journalAbbreviation":"ACS Nano","language":"en","page":"11545-11576","source":"DOI.org (Crossref)","title":"Diagnostic Approaches For COVID-19: Lessons Learned and the Path Forward","title-short":"Diagnostic Approaches For COVID-19","volume":"16","author":[{"family":"Alafeef","given":"Maha"},{"family":"Pan","given":"Dipanjan"}],"issued":{"date-parts":[["2022",8,23]]}},"label":"page"},{"id":12024,"uris":["http://zotero.org/users/6216265/items/4HCDU9ZC"],"itemData":{"id":12024,"type":"article-journal","container-title":"AAPS PharmSciTech","DOI":"10.1208/s12249-019-1465-1","ISSN":"1530-9932","issue":"6","journalAbbreviation":"AAPS PharmSciTech","language":"en","page":"251","source":"DOI.org (Crossref)","title":"Quality-by-Design Approach for Biological API Encapsulation into Polymersomes Using “Off-the-Shelf” Materials: a Study on L-Asparaginase","title-short":"Quality-by-Design Approach for Biological API Encapsulation into Polymersomes Using “Off-the-Shelf” Materials","volume":"20","author":[{"family":"Apolinário","given":"Alexsandra Conceição"},{"family":"Ferraro","given":"Rafael Bertelli"},{"family":"De Oliveira","given":"Camila Areias"},{"family":"Pessoa Jr","given":"Adalberto"},{"family":"De Oliveira Rangel-Yagui","given":"Carlota"}],"issued":{"date-parts":[["2019",8]]}},"label":"page"},{"id":12026,"uris":["http://zotero.org/users/6216265/items/NPEBDUJM"],"itemData":{"id":12026,"type":"article-journal","container-title":"International Journal of Pharmaceutics","DOI":"10.1016/j.ijpharm.2019.118448","ISSN":"03785173","journalAbbreviation":"International Journal of Pharmaceutics","language":"en","page":"118448","source":"DOI.org (Crossref)","title":"Quality by design driven development of resveratrol loaded ethosomal hydrogel for improved dermatological benefits via enhanced skin permeation and retention","volume":"567","author":[{"family":"Arora","given":"Daisy"},{"family":"Nanda","given":"Sanju"}],"issued":{"date-parts":[["2019",8]]}},"label":"page"},{"id":12028,"uris":["http://zotero.org/users/6216265/items/AG23CAYM"],"itemData":{"id":12028,"type":"article-journal","container-title":"International Journal of Pharmaceutics","DOI":"10.1016/j.ijpharm.2012.08.033","ISSN":"03785173","issue":"1-2","journalAbbreviation":"International Journal of Pharmaceutics","language":"en","page":"167-175","source":"DOI.org (Crossref)","title":"Quality by design: Impact of formulation variables and their interactions on quality attributes of a lyophilized monoclonal antibody","title-short":"Quality by design","volume":"438","author":[{"family":"Awotwe-Otoo","given":"David"},{"family":"Agarabi","given":"Cyrus"},{"family":"Wu","given":"Geoffrey K."},{"family":"Casey","given":"Elizabeth"},{"family":"Read","given":"Erik"},{"family":"Lute","given":"Scott"},{"family":"Brorson","given":"Kurt A."},{"family":"Khan","given":"Mansoor A."},{"family":"Shah","given":"Rakhi B."}],"issued":{"date-parts":[["2012",11]]}},"label":"page"},{"id":12029,"uris":["http://zotero.org/users/6216265/items/STJ6NVD3"],"itemData":{"id":12029,"type":"article-journal","container-title":"Colloids and Surfaces B: Biointerfaces","DOI":"10.1016/j.colsurfb.2017.08.050","ISSN":"09277765","journalAbbreviation":"Colloids and Surfaces B: Biointerfaces","language":"en","page":"869-879","source":"DOI.org (Crossref)","title":"Formulation by design approach for development of ultrafine self-nanoemulsifying systems of rosuvastatin calcium containing long-chain lipophiles for hyperlipidemia management","volume":"159","author":[{"family":"Beg","given":"Sarwar"},{"family":"Katare","given":"O.P."},{"family":"Singh","given":"Bhupinder"}],"issued":{"date-parts":[["2017",11]]}},"label":"page"},{"id":12034,"uris":["http://zotero.org/users/6216265/items/PVHKZWP8"],"itemData":{"id":12034,"type":"article-journal","container-title":"Global Health: Science and Practice","DOI":"10.9745/GHSP-D-20-00028","ISSN":"2169-575X","issue":"3","journalAbbreviation":"Glob Health Sci Pract","language":"en","page":"549-565","source":"DOI.org (Crossref)","title":"Matching Development of Point-of-Care Diagnostic Tests to the Local Context: A Case Study of Visceral Leishmaniasis in Kenya and Uganda","title-short":"Matching Development of Point-of-Care Diagnostic Tests to the Local Context","volume":"8","author":[{"family":"Bengtson","given":"Michel"},{"family":"Bharadwaj","given":"Mitasha"},{"family":"Bosch","given":"Astrid Ten"},{"family":"Nyakundi","given":"Hellen"},{"family":"Matoke-Muhia","given":"Damaris"},{"family":"Dekker","given":"Cees"},{"family":"Diehl","given":"Jan-Carel"}],"issued":{"date-parts":[["2020",9,30]]}},"label":"page"},{"id":12052,"uris":["http://zotero.org/users/6216265/items/3XKN2KVA"],"itemData":{"id":12052,"type":"article-journal","container-title":"Drug Development and Industrial Pharmacy","DOI":"10.3109/03639045.2016.1160108","ISSN":"0363-9045, 1520-5762","issue":"10","journalAbbreviation":"Drug Development and Industrial Pharmacy","language":"en","page":"1643-1652","source":"DOI.org (Crossref)","title":"Quality by design approach for development of suspension nasal spray products: a case study on budesonide nasal suspension","title-short":"Quality by design approach for development of suspension nasal spray products","volume":"42","author":[{"family":"Chudiwal","given":"Swapnil Sharadkumar"},{"family":"Dehghan","given":"Mohamed Hassan G."}],"issued":{"date-parts":[["2016",10,2]]}}},{"id":12053,"uris":["http://zotero.org/users/6216265/items/JVW5DS2L"],"itemData":{"id":12053,"type":"article-journal","container-title":"Pharmaceutical Development and Technology","DOI":"10.1080/10837450.2016.1236130","ISSN":"1083-7450, 1097-9867","issue":"10","journalAbbreviation":"Pharmaceutical Development and Technology","language":"en","page":"1077-1087","source":"DOI.org (Crossref)","title":"Quality by design (QbD) approach for design and development of drug-device combination products: a case study on flunisolide nasal spray","title-short":"Quality by design (QbD) approach for design and development of drug-device combination products","volume":"23","author":[{"family":"Chudiwal","given":"Swapnil Sharadkumar"},{"family":"Dehghan","given":"Mohamed Hassan G."}],"issued":{"date-parts":[["2018",11,26]]}}},{"id":12054,"uris":["http://zotero.org/users/6216265/items/ZGQI4SFC"],"itemData":{"id":12054,"type":"article-journal","container-title":"Drug Development and Industrial Pharmacy","DOI":"10.1080/03639045.2017.1413111","ISSN":"0363-9045, 1520-5762","issue":"5","journalAbbreviation":"Drug Development and Industrial Pharmacy","language":"en","page":"787-799","source":"DOI.org (Crossref)","title":"Development of sustained release gastro-retentive tablet formulation of nicardipine hydrochloride using quality by design (QbD) approach","volume":"44","author":[{"family":"Chudiwal","given":"Vijay S."},{"family":"Shahi","given":"Sadhana"},{"family":"Chudiwal","given":"Swapnil"}],"issued":{"date-parts":[["2018",5,4]]}},"label":"page"},{"id":12055,"uris":["http://zotero.org/users/6216265/items/H7PPVU8R"],"itemData":{"id":12055,"type":"article-journal","container-title":"International Journal of Pharmaceutics","DOI":"10.1016/j.ijpharm.2021.120933","ISSN":"03785173","journalAbbreviation":"International Journal of Pharmaceutics","language":"en","page":"120933","source":"DOI.org (Crossref)","title":"Quality by design (QbD) optimization of diazepam-loaded nanostructured lipid carriers (NLC) for nose-to-brain delivery: Toxicological effect of surface charge on human neuronal cells","title-short":"Quality by design (QbD) optimization of diazepam-loaded nanostructured lipid carriers (NLC) for nose-to-brain delivery","volume":"607","author":[{"family":"Costa","given":"C.P."},{"family":"Cunha","given":"S."},{"family":"Moreira","given":"J.N."},{"family":"Silva","given":"R."},{"family":"Gil-Martins","given":"E."},{"family":"Silva","given":"V."},{"family":"Azevedo","given":"L."},{"family":"Peixoto","given":"A.F."},{"family":"Sousa Lobo","given":"J.M."},{"family":"Silva","given":"A.C."}],"issued":{"date-parts":[["2021",9]]}},"label":"page"},{"id":12056,"uris":["http://zotero.org/users/6216265/items/8KBTRW8U"],"itemData":{"id":12056,"type":"article-journal","container-title":"International Journal of Pharmaceutics","DOI":"10.1016/j.ijpharm.2015.04.038","ISSN":"03785173","issue":"1-2","journalAbbreviation":"International Journal of Pharmaceutics","language":"en","page":"58-72","source":"DOI.org (Crossref)","title":"Implementation of quality by design principles in the development of microsponges as drug delivery carriers: Identification and optimization of critical factors using multivariate statistical analyses and design of experiments studies","title-short":"Implementation of quality by design principles in the development of microsponges as drug delivery carriers","volume":"489","author":[{"family":"Crcarevska","given":"Maja"},{"family":"Dimitrovska","given":"Aneta"},{"family":"Sibinovska","given":"Nadica"},{"family":"Mladenovska","given":"Kristina"},{"family":"Slavevska Raicki","given":"Renata"},{"family":"Glavas Dodov","given":"Marija"}],"issued":{"date-parts":[["2015",7]]}},"label":"page"},{"id":12058,"uris":["http://zotero.org/users/6216265/items/54PQPFSY"],"itemData":{"id":12058,"type":"article-journal","abstract":"Rivastigmine is a drug commonly used in the management of Alzheimer’s disease that shows bioavailability problems. To overcome this, the use of nanosystems, such as nanostructured lipid carriers (NLC), administered through alternative routes seems promising. In this work, we performed a double optimization of a rivastigmine-loaded NLC formulation for direct drug delivery from the nose to the brain using the quality by design (QbD) approach, whereby the quality target product profile (QTPP) was the requisite for nose to brain delivery. The experiments started with the optimization of the formulation variables (or critical material attributes—CMAs) using a central composite design. The rivastigmine-loaded NLC formulations with the best critical quality attributes (CQAs) of particle size, polydispersity index (PDI), zeta potential (ZP), and encapsulation efficiency (EE) were selected for the second optimization, which was related to the production methods (ultrasound technique and high-pressure homogenization). The most suitable instrumental parameters for the production of NLC were analyzed through a Box–Behnken design, with the same CQAs being evaluated for the first optimization. For the second part of the optimization studies, were selected two rivastigmine-loaded NLC formulations: one produced by ultrasound technique and the other by the high-pressure homogenization (HPH) method. Afterwards, the pH and osmolarity of these formulations were adjusted to the physiological nasal mucosa values and in vitro drug release studies were performed. The results of the first part of the optimization showed that the most adequate ratios of lipids and surfactants were 7.49:1.94 and 4.5:0.5 (%, w/w), respectively. From the second part of the optimization, the results for the particle size, PDI, ZP, and EE of the rivastigmine-loaded NLC formulations produced by ultrasound technique and HPH method were, respectively, 114.0 ± 1.9 nm and 109.0 ± 0.9 nm; 0.221 ± 0.003 and 0.196 ± 0.007; −30.6 ± 0.3 mV and −30.5 ± 0.3 mV; 97.0 ± 0.5% and 97.2 ± 0.3%. Herein, the HPH was selected as the most suitable production method, although the ultrasound technique has also shown effectiveness. In addition, no significant changes in CQAs were observed after 90 days of storage of the formulations at different temperatures. In vitro studies showed that the release of rivastigmine followed a non-Fickian mechanism, with an initial fast drug release followed by a prolonged release over 48 h. This study has optimized a rivastigmine-loaded NLC formulation produced by the HPH method for nose-to-brain delivery of rivastigmine. The next step is for in vitro and in vivo experiments to demonstrate preclinical efficacy and safety. QbD was demonstrated to be a useful approach for the optimization of NLC formulations for which specific physicochemical requisites can be identified.","container-title":"Pharmaceutics","DOI":"10.3390/pharmaceutics12070599","ISSN":"1999-4923","issue":"7","journalAbbreviation":"Pharmaceutics","language":"en","page":"599","source":"DOI.org (Crossref)","title":"Double Optimization of Rivastigmine-Loaded Nanostructured Lipid Carriers (NLC) for Nose-to-Brain Delivery Using the Quality by Design (QbD) Approach: Formulation Variables and Instrumental Parameters","title-short":"Double Optimization of Rivastigmine-Loaded Nanostructured Lipid Carriers (NLC) for Nose-to-Brain Delivery Using the Quality by Design (QbD) Approach","volume":"12","author":[{"family":"Cunha","given":"Sara"},{"family":"Costa","given":"Cláudia Pina"},{"family":"Loureiro","given":"Joana A."},{"family":"Alves","given":"Jorge"},{"family":"Peixoto","given":"Andreia F."},{"family":"Forbes","given":"Ben"},{"family":"Sousa Lobo","given":"José Manuel"},{"family":"Silva","given":"Ana Catarina"}],"issued":{"date-parts":[["2020",6,28]]}},"label":"page"},{"id":12063,"uris":["http://zotero.org/users/6216265/items/UA5H37QU"],"itemData":{"id":12063,"type":"article-journal","container-title":"AAPS PharmSciTech","DOI":"10.1208/s12249-021-02132-5","ISSN":"1530-9932","issue":"7","journalAbbreviation":"AAPS PharmSciTech","language":"en","page":"244","source":"DOI.org (Crossref)","title":"Development and Optimization of Asenapine Sublingual Film Using QbD Approach","volume":"22","author":[{"family":"Dalal","given":"Rahil"},{"family":"Shah","given":"Jigar"},{"family":"Gorain","given":"Bapi"},{"family":"Choudhury","given":"Hira"},{"family":"Jacob","given":"Shery"},{"family":"Mehta","given":"Tejal A."},{"family":"Shah","given":"Hiral"},{"family":"Nair","given":"Anroop B."}],"issued":{"date-parts":[["2021",10]]}},"label":"page"},{"id":12064,"uris":["http://zotero.org/users/6216265/items/7YUHUR53"],"itemData":{"id":12064,"type":"article-journal","container-title":"International Journal of Pharmaceutics","DOI":"10.1016/j.ijpharm.2019.118717","ISSN":"03785173","journalAbbreviation":"International Journal of Pharmaceutics","language":"en","page":"118717","source":"DOI.org (Crossref)","title":"Quality by design approach for the preparation of fat-soluble vitamins lipid injectable emulsion","volume":"571","author":[{"family":"Deng","given":"Yanping"},{"family":"Zhong","given":"Guifeng"},{"family":"Wang","given":"Yi"},{"family":"Wang","given":"Ni"},{"family":"Yu","given":"Qing"},{"family":"Yu","given":"Xiangbin"}],"issued":{"date-parts":[["2019",11]]}},"label":"page"},{"id":12069,"uris":["http://zotero.org/users/6216265/items/PEZECKTS"],"itemData":{"id":12069,"type":"article-journal","container-title":"Pharmaceutical Research","DOI":"10.1007/s11095-019-2663-y","ISSN":"0724-8741, 1573-904X","issue":"10","journalAbbreviation":"Pharm Res","language":"en","page":"142","source":"DOI.org (Crossref)","title":"Identification of Factors of Importance for Spray Drying of Small Interfering RNA-Loaded Lipidoid-Polymer Hybrid Nanoparticles for Inhalation","volume":"36","author":[{"family":"Dormenval","given":"Cypriane"},{"family":"Lokras","given":"Abhijeet"},{"family":"Cano-Garcia","given":"Guillermo"},{"family":"Wadhwa","given":"Abishek"},{"family":"Thanki","given":"Kaushik"},{"family":"Rose","given":"Fabrice"},{"family":"Thakur","given":"Aneesh"},{"family":"Franzyk","given":"Henrik"},{"family":"Foged","given":"Camilla"}],"issued":{"date-parts":[["2019",10]]}},"label":"page"},{"id":12072,"uris":["http://zotero.org/users/6216265/items/BAFT5843"],"itemData":{"id":12072,"type":"article-journal","container-title":"Frontiers in Pharmacology","DOI":"10.3389/fphar.2020.00937","ISSN":"1663-9812","journalAbbreviation":"Front. Pharmacol.","page":"937","source":"DOI.org (Crossref)","title":"A Snapshot of the Global Race for Vaccines Targeting SARS-CoV-2 and the COVID-19 Pandemic","volume":"11","author":[{"family":"Funk","given":"Colin D."},{"family":"Laferrière","given":"Craig"},{"family":"Ardakani","given":"Ali"}],"issued":{"date-parts":[["2020",6,19]]}},"label":"page"},{"id":12076,"uris":["http://zotero.org/users/6216265/items/FMDTP3AR"],"itemData":{"id":12076,"type":"article-journal","container-title":"Pulmonology","DOI":"10.1016/j.rppnen.2017.12.002","ISSN":"25310437","issue":"2","journalAbbreviation":"Pulmonology","language":"en","page":"73-85","source":"DOI.org (Crossref)","title":"Point of care diagnostics for tuberculosis","volume":"24","author":[{"family":"García-Basteiro","given":"A.L."},{"family":"DiNardo","given":"A."},{"family":"Saavedra","given":"B."},{"family":"Silva","given":"D.R."},{"family":"Palmero","given":"D."},{"family":"Gegia","given":"M."},{"family":"Migliori","given":"G.B."},{"family":"Duarte","given":"R."},{"family":"Mambuque","given":"E."},{"family":"Centis","given":"R."},{"family":"Cuevas","given":"L.E."},{"family":"Izco","given":"S."},{"family":"Theron","given":"G."}],"issued":{"date-parts":[["2018",3]]}},"label":"page"},{"id":12078,"uris":["http://zotero.org/users/6216265/items/CQ3LBGY7"],"itemData":{"id":12078,"type":"article-journal","container-title":"Colloids and Surfaces B: Biointerfaces","DOI":"10.1016/j.colsurfb.2016.02.012","ISSN":"09277765","journalAbbreviation":"Colloids and Surfaces B: Biointerfaces","language":"en","page":"611-622","source":"DOI.org (Crossref)","title":"Systematic development of solid self-nanoemulsifying oily formulations (S-SNEOFs) for enhancing the oral bioavailability and intestinal lymphatic uptake of lopinavir","volume":"141","author":[{"family":"Garg","given":"Babita"},{"family":"Katare","given":"O.P."},{"family":"Beg","given":"Sarwar"},{"family":"Lohan","given":"Shikha"},{"family":"Singh","given":"Bhupinder"}],"issued":{"date-parts":[["2016",5]]}},"label":"page"},{"id":12080,"uris":["http://zotero.org/users/6216265/items/R5UEG7PJ"],"itemData":{"id":12080,"type":"article-journal","abstract":"Abstract\n            \n              The main objective of the present study was to apply QbD methodology in the development of once-a-day sustained release quetiapine tablets. The quality target product profile (QTPP) was defined after the pharmaceutical properties and kinetic release of the innovator product, Seroquel XR 200 mg. For the D-optimal experimental design, the level and ratio of matrix forming agents and the type of extragranular diluent were chosen as independent inputs, which represented critical formulation factors. The critical quality attributes (CQAs) studied were the cumulative percentages of quetiapine released after certain time intervals. After the analysis of the experimental design, optimal formulas and the design space were defined. Optimal formulas demonstrated zero-order release kinetics and a dissolution profile similar to the innovator product, with f\n              2\n              values of 74.53 and 83.74. It was concluded that the QbD approach allowed fast development of sustained release tablets with similar dissolution behavior as the innovator product.","container-title":"Acta Pharmaceutica","DOI":"10.1515/acph-2017-0009","ISSN":"1846-9558","issue":"1","language":"en","page":"53-70","source":"DOI.org (Crossref)","title":"Formulation and pharmaceutical development of quetiapine fumarate sustained release matrix tablets using a QbD approach","volume":"67","author":[{"family":"Gavan","given":"Alexandru"},{"family":"Porfire","given":"Alina"},{"family":"Marina","given":"Cristina"},{"family":"Tomuta","given":"Ioan"}],"issued":{"date-parts":[["2017",3,1]]}},"label":"page"},{"id":12084,"uris":["http://zotero.org/users/6216265/items/7YXYKTJ4"],"itemData":{"id":12084,"type":"article-journal","container-title":"Drug Delivery and Translational Research","DOI":"10.1007/s13346-021-01014-4","ISSN":"2190-393X, 2190-3948","issue":"5","journalAbbreviation":"Drug Deliv. and Transl. Res.","language":"en","page":"1230-1252","source":"DOI.org (Crossref)","title":"Quality by design (QbD)–based fabrication of atazanavir-loaded nanostructured lipid carriers for lymph targeting: bioavailability enhancement using chylomicron flow block model and toxicity studies","title-short":"Quality by design (QbD)–based fabrication of atazanavir-loaded nanostructured lipid carriers for lymph targeting","volume":"12","author":[{"family":"Gurumukhi","given":"Vishal C."},{"family":"Bari","given":"Sanjaykumar B."}],"issued":{"date-parts":[["2022",5]]}}},{"id":12086,"uris":["http://zotero.org/users/6216265/items/GQ25699G"],"itemData":{"id":12086,"type":"article-journal","container-title":"Drug Delivery and Translational Research","DOI":"10.1007/s13346-021-01083-5","ISSN":"2190-393X, 2190-3948","issue":"7","journalAbbreviation":"Drug Deliv. and Transl. Res.","language":"en","page":"1753-1773","source":"DOI.org (Crossref)","title":"Development of ritonavir-loaded nanostructured lipid carriers employing quality by design (QbD) as a tool: characterizations, permeability, and bioavailability studies","title-short":"Development of ritonavir-loaded nanostructured lipid carriers employing quality by design (QbD) as a tool","volume":"12","author":[{"family":"Gurumukhi","given":"Vishal C."},{"family":"Bari","given":"Sanjaykumar B."}],"issued":{"date-parts":[["2022",7]]}},"label":"page"},{"id":12088,"uris":["http://zotero.org/users/6216265/items/ZYSEVCYB"],"itemData":{"id":12088,"type":"article-journal","container-title":"AAPS PharmSciTech","DOI":"10.1208/s12249-017-0797-y","ISSN":"1530-9932","issue":"8","journalAbbreviation":"AAPS PharmSciTech","language":"en","page":"3129-3139","source":"DOI.org (Crossref)","title":"Implementation of Quality by Design for Formulation of Rebamipide Gastro-retentive Tablet","volume":"18","author":[{"family":"Ha","given":"Jung-Myung"},{"family":"Seo","given":"Jeong-Woong"},{"family":"Kim","given":"Su-Hyeon"},{"family":"Kim","given":"Ju-Young"},{"family":"Park","given":"Chun-Woong"},{"family":"Rhee","given":"Yun-Seok"},{"family":"Park","given":"Eun-Seok"}],"issued":{"date-parts":[["2017",11]]}},"label":"page"},{"id":12093,"uris":["http://zotero.org/users/6216265/items/BKG2CEJB"],"itemData":{"id":12093,"type":"chapter","container-title":"Dengue and Zika: Control and Antiviral Treatment Strategies","event-place":"Singapore","ISBN":"978-981-10-8726-4","note":"collection-title: Advances in Experimental Medicine and Biology\nDOI: 10.1007/978-981-10-8727-1_23","page":"333-353","publisher":"Springer Singapore","publisher-place":"Singapore","source":"DOI.org (Crossref)","title":"An Industry Perspective on Dengue Drug Discovery and Development","URL":"http://link.springer.com/10.1007/978-981-10-8727-1_23","volume":"1062","editor":[{"family":"Hilgenfeld","given":"Rolf"},{"family":"Vasudevan","given":"Subhash G."}],"author":[{"family":"Hernandez-Morales","given":"Ilane"},{"family":"Van Loock","given":"Marnix"}],"accessed":{"date-parts":[["2023",11,2]]},"issued":{"date-parts":[["2018"]]}},"label":"page"},{"id":12096,"uris":["http://zotero.org/users/6216265/items/RUU3J8PP"],"itemData":{"id":12096,"type":"article-journal","container-title":"European Journal of Pharmaceutical Sciences","DOI":"10.1016/j.ejps.2020.105588","ISSN":"09280987","journalAbbreviation":"European Journal of Pharmaceutical Sciences","language":"en","page":"105588","source":"DOI.org (Crossref)","title":"Development of solid lipid microparticles by melt-emulsification/spray-drying processes as carriers for pulmonary drug delivery","volume":"156","author":[{"family":"Ignjatović","given":"Jelisaveta"},{"family":"Đuriš","given":"Jelena"},{"family":"Cvijić","given":"Sandra"},{"family":"Dobričić","given":"Vladimir"},{"family":"Montepietra","given":"Agnese"},{"family":"Lombardi","given":"Chiara"},{"family":"Ibrić","given":"Svetlana"},{"family":"Rossi","given":"Alessandra"}],"issued":{"date-parts":[["2021",1]]}},"label":"page"},{"id":12097,"uris":["http://zotero.org/users/6216265/items/26EN5NPI"],"itemData":{"id":12097,"type":"article-journal","container-title":"Pharmaceutical Research","DOI":"10.1007/s11095-013-1096-2","ISSN":"0724-8741, 1573-904X","issue":"11","journalAbbreviation":"Pharm Res","language":"en","page":"2772-2784","source":"DOI.org (Crossref)","title":"Engineering of an Inhalable DDA/TDB Liposomal Adjuvant: A Quality-by-Design Approach Towards Optimization of the Spray Drying Process","title-short":"Engineering of an Inhalable DDA/TDB Liposomal Adjuvant","volume":"30","author":[{"family":"Ingvarsson","given":"Pall Thor"},{"family":"Yang","given":"Mingshi"},{"family":"Mulvad","given":"Helle"},{"family":"Nielsen","given":"Hanne Mørck"},{"family":"Rantanen","given":"Jukka"},{"family":"Foged","given":"Camilla"}],"issued":{"date-parts":[["2013",11]]}},"label":"page"},{"id":12099,"uris":["http://zotero.org/users/6216265/items/SIJK4SZD"],"itemData":{"id":12099,"type":"article-journal","container-title":"European Journal of Pharmaceutical Sciences","DOI":"10.1016/j.ejps.2022.106171","ISSN":"09280987","journalAbbreviation":"European Journal of Pharmaceutical Sciences","language":"en","page":"106171","source":"DOI.org (Crossref)","title":"QbD-guided pharmaceutical development of Pembrolizumab biosimilar candidate PSG-024 propelled to industry meeting primary requirements of comparability to Keytruda®","volume":"173","author":[{"family":"Jaffar-Aghaei","given":"Morteza"},{"family":"Khanipour","given":"Farzad"},{"family":"Maghsoudi","given":"Amir"},{"family":"Sarvestani","given":"Rahim"},{"family":"Mohammadian","given":"Mahdi"},{"family":"Maleki","given":"Maryam"},{"family":"Havasi","given":"Forugh"},{"family":"Rahmani","given":"Hossein"},{"family":"Karagah","given":"Amir-Hossein"},{"family":"Kazemali","given":"Mohammad-Reza"}],"issued":{"date-parts":[["2022",6]]}},"label":"page"},{"id":12100,"uris":["http://zotero.org/users/6216265/items/26BEY4TK"],"itemData":{"id":12100,"type":"article-journal","container-title":"AAPS PharmSciTech","DOI":"10.1208/s12249-018-0951-1","ISSN":"1530-9932","issue":"3","journalAbbreviation":"AAPS PharmSciTech","language":"en","page":"1377-1391","source":"DOI.org (Crossref)","title":"Risk Assessment Integrated QbD Approach for Development of Optimized Bicontinuous Mucoadhesive Limicubes for Oral Delivery of Rosuvastatin","volume":"19","author":[{"family":"Javed","given":"Md Noushad"},{"family":"Kohli","given":"Kanchan"},{"family":"Amin","given":"Saima"}],"issued":{"date-parts":[["2018",4]]}},"label":"page"},{"id":12101,"uris":["http://zotero.org/users/6216265/items/BTDD4883"],"itemData":{"id":12101,"type":"article-journal","abstract":"Background:\n              This study is focused on preparing rifampicin-loaded bovine serum albumin nanoparticles\n(RIF BSA NPs) suitable for intravenous application using systematic quality by design\n(QbD) approach.\n            \n            \n              Aim:\n              Rifampicin is one of the first-line drugs used for tuberculosis therapy. The therapy\nlasts for a long time. Thus, there is a need to develop a sustained release formulation of rifampicin\nfor intravenous application.\n            \n            \n              Objectives:\n              The main objective of this study is optimizing particle size and entrapment efficiency\nof rifampicin-loaded bovine serum albumin nanoparticles (RIF BSA NPs) and making them suitable\nfor intravenous application using QbD approach.\n            \n            \n              Methods:\n              Quality target product profile was defined along with critical quality attributes (CQAs)\nfor the formulation. 32 factorial design was used for achieving the predetermined values of CQAs,\ni.e., mean particle size &lt;200 nm and percent entrapment efficiency&gt;50%. Incubation time of drug\nwith colloidal albumin solution and ratio of rifampicin to albumin, were selected as independent\nvariables. Checkpoint analysis was performed to confirm the suitability of the regression model for\noptimization.\n            \n            \n              Results: :\n              The optimized RIF BSA NPs were characterized by FTIR, DSC, 1H NMR techniques. The\nNPs observed by transmission electron microscopy were spherical in shape. The rifampicin release\ncould be sustained for 72 hours from BSA NPs matrix. RIF BSA NPs dispersion was stable at 5 ±\n3°C for 72 hours. Non-toxicity of nanoparticles to RAW 264.7 cell line was proved by MTT assay.\n            \n            \n              Conclusion:\n              Development of RIF BSA NPs with desired quality attributes was possible by implementing\nthe QbD approach. The optimized formulation suitable for intravenous application can potentially\nimprove the therapeutic benefits of rifampicin.","container-title":"Current Drug Delivery","DOI":"10.2174/1567201818666210212090451","ISSN":"15672018","issue":"9","journalAbbreviation":"CDD","language":"en","page":"1338-1351","source":"DOI.org (Crossref)","title":"Quality by Design Approach for Development and Optimization of Rifampicin Loaded Bovine Serum Albumin Nanoparticles and Characterization","volume":"18","author":[{"family":"Joshi","given":"Monica"},{"family":"Yadav","given":"Khushwant S."},{"family":"Prabhakar","given":"Bala"}],"issued":{"date-parts":[["2021",12,30]]}},"label":"page"},{"id":12104,"uris":["http://zotero.org/users/6216265/items/L5N6G2Q5"],"itemData":{"id":12104,"type":"article-journal","abstract":"Objective:\n              The present study reports the use of MicrofluidizerTM technology to form a stable\nnanosuspension of atovaquone (ATQ) using quality by design (QbD) approach.\n            \n            \n              Methods:\n              The patient-centric quality target product profile and critical quality attributes (CQAs) were\nidentified. A Box-Behnken design was employed for the optimization of dependent variables, while\nCQAs like particle size and PDI were evaluated as response variables. Effective optimization of ATQ\nnanosuspension preparation using Microfluidizer processor as a novel green technology was achieved\nusing QbD approach.\n            \n            \n              Result:\n              The prepared nanosuspension had a mean particle size of 865 nm ± 5%, PDI of 0.261 ± 3%, and\nzeta potential of -1.79 ± 5 mV. The characterization of the prepared nanosuspension by SEM, DSC, and\nXRD revealed its nano-crystalline nature whereas FTIR spectroscopic analysis confirmed the absence\nof any physicochemical interaction because of process parameters between the drug and excipients.\n            \n            \n              Conclusion:\n              In vitro dissolution studies of the nanosuspension using USP-IV exhibited a 100% cumulative\ndrug release over 90 minutes, which is significantly better than that of ATQ pure API. In vivo\npharmacokinetic studies revealed bioequivalence of ATQ nanosuspensions by Microfluidizer homogenization\nprocess to the marketed formulation1.","container-title":"Current Drug Delivery","DOI":"10.2174/1567201817666191227095019","ISSN":"15672018","issue":"2","journalAbbreviation":"CDD","language":"en","page":"112-125","source":"DOI.org (Crossref)","title":"Development of Atovaquone Nanosuspension: Quality by Design Approach","title-short":"Development of Atovaquone Nanosuspension","volume":"17","author":[{"family":"Kakade","given":"Pratik"},{"family":"Gite","given":"Sandip"},{"family":"Patravale","given":"Vandana"}],"issued":{"date-parts":[["2020",3,12]]}},"label":"page"},{"id":12105,"uris":["http://zotero.org/users/6216265/items/V8UCA6A2"],"itemData":{"id":12105,"type":"article-journal","container-title":"Expert Review of Vaccines","DOI":"10.1586/14760584.2016.1158650","ISSN":"1476-0584, 1744-8395","issue":"8","journalAbbreviation":"Expert Review of Vaccines","language":"en","page":"1029-1040","source":"DOI.org (Crossref)","title":"Alternative administration routes and delivery technologies for polio vaccines","volume":"15","author":[{"family":"Kraan","given":"Heleen"},{"family":"Van Der Stel","given":"Wanda"},{"family":"Kersten","given":"Gideon"},{"family":"Amorij","given":"Jean-Pierre"}],"issued":{"date-parts":[["2016",8,2]]}},"label":"page"},{"id":12107,"uris":["http://zotero.org/users/6216265/items/32PGGJI8"],"itemData":{"id":12107,"type":"article-journal","abstract":"The purpose of this study was to develop a resveratrol nanosuspension with enhanced oral bioavailability, based on an understanding of the formulation and process parameters of nanosuspensions and using a quality by design (QbD) approach. Particularly, the antisolvent method, which requires no solvent removal and no heating, is newly applied to prepare resveratrol nanosuspension. To ensure the quality of the resveratrol nanosuspensions, a quality target product profile (QTPP) was defined. The particle size (z-average, d90), zeta potential, and drug content parameters affecting the QTPP were selected as critical quality attributes (CQAs). The optimum composition obtained using a 3-factor, 3-level Box–Behnken design was as follows: polyvinylpyrrolidone vinyl acetate (10 mg/mL), polyvinylpyrrolidone K12 (5 mg/mL), sodium lauryl sulfate (1 mg/mL), and diethylene glycol monoethyl ether (DEGEE, 5% v/v) at a resveratrol concentration of 5 mg/mL. The initial particle size (z-average) was 46.3 nm and the zeta potential was −38.02 mV. The robustness of the antisolvent process using the optimized composition conditions was ensured by a full factorial design. The dissolution rate of the optimized resveratrol nanosuspension was significantly greater than that of the resveratrol raw material. An in vivo pharmacokinetic study in rats showed that the area under the plasma concentration versus time curve (AUC0–12h) and the maximum plasma concentration (Cmax) respectively, than those of the resveratrol raw material. Therefore, the prepara values of the resveratrol nanosuspension were approximately 1.6- and 5.7-fold higher,tion of a resveratrol nanosuspension using the QbD approach may be an effective strategy for the development of a new dosage form of resveratrol, with enhanced oral bioavailability.","container-title":"Pharmaceutics","DOI":"10.3390/pharmaceutics11120688","ISSN":"1999-4923","issue":"12","journalAbbreviation":"Pharmaceutics","language":"en","page":"688","source":"DOI.org (Crossref)","title":"Development of a Resveratrol Nanosuspension Using the Antisolvent Precipitation Method without Solvent Removal, Based on a Quality by Design (QbD) Approach","volume":"11","author":[{"family":"Kuk","given":"Do-Hoon"},{"family":"Ha","given":"Eun-Sol"},{"family":"Ha","given":"Dong-Hyun"},{"family":"Sim","given":"Woo-Yong"},{"family":"Lee","given":"Seon-Kwang"},{"family":"Jeong","given":"Ji-Su"},{"family":"Kim","given":"Jeong-Soo"},{"family":"Baek","given":"In-hwan"},{"family":"Park","given":"Heejun"},{"family":"Choi","given":"Du Hyung"},{"family":"Yoo","given":"Jin-Wook"},{"family":"Jeong","given":"Seong Hoon"},{"family":"Hwang","given":"Sung-Joo"},{"family":"Kim","given":"Min-Soo"}],"issued":{"date-parts":[["2019",12,17]]}},"label":"page"},{"id":12111,"uris":["http://zotero.org/users/6216265/items/2UIYAEJS"],"itemData":{"id":12111,"type":"article-journal","container-title":"International Journal of Pharmaceutics","DOI":"10.1016/j.ijpharm.2017.08.094","ISSN":"03785173","issue":"2","journalAbbreviation":"International Journal of Pharmaceutics","language":"en","page":"740-746","source":"DOI.org (Crossref)","title":"Engineering of budesonide-loaded lipid-polymer hybrid nanoparticles using a quality-by-design approach","volume":"548","author":[{"family":"Leng","given":"Donglei"},{"family":"Thanki","given":"Kaushik"},{"family":"Fattal","given":"Elias"},{"family":"Foged","given":"Camilla"},{"family":"Yang","given":"Mingshi"}],"issued":{"date-parts":[["2018",9]]}},"label":"page"},{"id":12114,"uris":["http://zotero.org/users/6216265/items/DUJADISB"],"itemData":{"id":12114,"type":"article-journal","abstract":"RNA interference (RNAi) has an unprecedented potential as a therapeutic strategy for reversibly silencing the expression of any gene. Therapeutic delivery of the RNAi mediator, i.e., small interfering RNA (siRNA), can be used to address diseases characterized by gene overexpression, for example inflammatory conditions like chronic obstructive pulmonary disease (COPD). Macrophages play a key role in COPD pathogenesis and are recruited to the airways and lung parenchyma, where they release proinflammatory cytokines, e.g., tumor necrosis factor-alpha (TNF-α). Hence, targeting TNF-α with siRNA is a promising therapeutic approach for COPD management. However, a safe and effective delivery system is required for delivery of TNF-α siRNA into the cytosol of hard-to-transfect macrophages. The purpose of this study was to optimize the intracellular delivery of TNF-α siRNA to the lipopolysaccharide-activated murine macrophage cell line RAW 264.7 using lipidoid-polymer hybrid nanoparticles (LPNs) composed of the lipid-like transfection agent lipidoid 5 (L\n              5\n              ) and the biodegradable polymer poly (\n              D,L\n              -lactide-co-glycolide). Applying a quality-by-design approach, the influence of critical formulation variables, i.e., the L\n              5\n              content and the L\n              5\n              :siRNA ratio (w/w), on critical quality attributes (CQAs) was investigated systematically using risk assessment and design of experiments, followed by delineation of an optimal operating space (OOS). The CQAs were identified based on the quality target product profile and included size, polydispersity index, zeta potential, encapsulation efficiency and loading for achieving efficient and safe TNF-α gene silencing in activated RAW 264.7 cells. Formulations inducing efficient gene silencing and low cytotoxicity were identified, and the optimal formulations displayed L\n              5\n              contents of 15 and 20% (w/w), respectively, and an L\n              5\n              :siRNA weight ratio of 15:1. All tested formulations within the OOS mediated efficient and sequence-specific TNF-α gene silencing in RAW 264.7 cells at TNF-α-siRNA concentrations, which were significantly lower than the concentrations required of non-encapsulated TNF-α-siRNA, highlighting the benefit of the delivery system. The results also demonstrate that increasing the loading of siRNA into the delivery system does not necessarily imply enhanced gene silencing. This opens new avenues for further exploitation of LPNs as a robust platform technology for delivering TNF-α siRNA to macrophages, e.g., in the management of COPD.","container-title":"Frontiers in Bioengineering and Biotechnology","DOI":"10.3389/fbioe.2020.601155","ISSN":"2296-4185","journalAbbreviation":"Front. Bioeng. Biotechnol.","page":"601155","source":"DOI.org (Crossref)","title":"Optimizing the Intracellular Delivery of Therapeutic Anti-inflammatory TNF-α siRNA to Activated Macrophages Using Lipidoid-Polymer Hybrid Nanoparticles","volume":"8","author":[{"family":"Lokras","given":"Abhijeet"},{"family":"Thakur","given":"Aneesh"},{"family":"Wadhwa","given":"Abishek"},{"family":"Thanki","given":"Kaushik"},{"family":"Franzyk","given":"Henrik"},{"family":"Foged","given":"Camilla"}],"issued":{"date-parts":[["2021",1,14]]}},"label":"page"},{"id":12120,"uris":["http://zotero.org/users/6216265/items/6FGREADD"],"itemData":{"id":12120,"type":"article-journal","abstract":"The development of vaccines against one or all forms of human leishmaniasis remains hampered by a paucity of investment, at least in part resulting from the lack of well-evidenced and agreed estimates of vaccine demand. Starting from the definition of 4 main use cases (prevention of visceral leishmaniasis, prevention of cutaneous leishmaniasis, prevention of post-kala-azar dermal leishmaniasis and treatment of post-kala-azar dermal leishmaniasis), we have estimated the size of each target population, focusing on those endemic countries where incidence levels are sufficiently high to justify decisions to adopt a vaccine. We assumed a dual vaccine delivery strategy, including a wide age-range catch-up campaign before the start of routine immunisation. Vaccine characteristics and delivery parameters reflective of a target product profile and the likely duration of the clinical development effort were considered in forecasting the demand for each of the four indications. Over a period of 10 years, this demand is forecasted to range from 300–830 million doses for a vaccine preventing visceral leishmaniasis and 557–1400 million doses for a vaccine preventing cutaneous leishmaniasis under the different scenarios we simulated. In a scenario with an effective prophylactic visceral leishmaniasis vaccine, demand for use to prevent or treat post-kala-azar dermal leishmaniasis would be more limited (over the 10 years ~160,000 doses for prevention and ~7,000 doses for treatment). Demand would rise to exceed 330,000 doses, however, in the absence of an effective vaccine for visceral leishmaniasis. Because of the sizeable demand and potential for public health impact, a single-indication prophylactic vaccine for visceral or cutaneous leishmaniasis, and even more so a cross-protective prophylactic vaccine could attract the interest of commercial developers. Continuous refinement of these first-of-their kind estimates and confirmation of country willingness and ability to pay will be paramount to inform the decisions of policy makers and developers in relation to a leishmaniasis vaccine. Positive decisions can provide a much-needed contribution towards the achievement of global leishmaniasis control.","container-title":"PLOS Neglected Tropical Diseases","DOI":"10.1371/journal.pntd.0009742","ISSN":"1935-2735","issue":"9","journalAbbreviation":"PLoS Negl Trop Dis","language":"en","page":"e0009742","source":"DOI.org (Crossref)","title":"Human leishmaniasis vaccines: Use cases, target population and potential global demand","title-short":"Human leishmaniasis vaccines","volume":"15","author":[{"family":"Malvolti","given":"Stefano"},{"family":"Malhame","given":"Melissa"},{"family":"Mantel","given":"Carsten F."},{"family":"Le Rutte","given":"Epke A."},{"family":"Kaye","given":"Paul M."}],"editor":[{"family":"Laouini","given":"Dhafer"}],"issued":{"date-parts":[["2021",9,21]]}},"label":"page"},{"id":12123,"uris":["http://zotero.org/users/6216265/items/F9JDW4KQ"],"itemData":{"id":12123,"type":"article-journal","container-title":"ACS Infectious Diseases","DOI":"10.1021/acsinfecdis.0c00353","ISSN":"2373-8227, 2373-8227","issue":"11","journalAbbreviation":"ACS Infect. Dis.","language":"en","page":"2830-2843","source":"DOI.org (Crossref)","title":"Chagas Disease: Current View of an Ancient and Global Chemotherapy Challenge","title-short":"Chagas Disease","volume":"6","author":[{"family":"Martín-Escolano","given":"Javier"},{"family":"Medina-Carmona","given":"Encarnación"},{"family":"Martín-Escolano","given":"Rubén"}],"issued":{"date-parts":[["2020",11,13]]}},"label":"page"},{"id":12124,"uris":["http://zotero.org/users/6216265/items/7ISI2KU2"],"itemData":{"id":12124,"type":"article-journal","abstract":"The use of morphine applied topically to painful wounds has potential advantages, such as dose reduction, fewer side effects and compound formulations, have been proposed for this purpose. Given the potential high impact of drug product quality on a patient’s health, the aim of the present study was to develop two stable sterile hydrogels containing morphine hydrochloride, intended for topical application on painful wounds. Two carboxymethylcellulose sodium-based hydrogels were prepared containing 0.125% w/w (F1-MH semi-solid formulation) and 1.0% w/w (F2-MH fluid formulation) morphine hydrochloride (MH), respectively. Studies included a risk assessment approach for definition of the quality target product profile (QTPP) and assessment of critical quality attributes (CQA) of the hydrogels to support product quality and safety. Safe, odourless, yellowish, translucent and homogeneous gels were obtained, with suitable microbiological and pharmaceutical characteristics. The active substance concentration was adapted according to the characteristics of the dose-metering device. Release profiles were investigated using Franz diffusion cells, and characterised by different kinetic models. Increasing gel viscosity prolonged drug release, with rates of 17.9 ± 2.2 μg·cm−2·h−1 (F1-MH) and 258.0 ± 30.4 μg·cm−2·h−1 (F2-MH), allowing for the reduction of the number of applications and improving patient compliance. The gels proved to be stable for up to 60 days at room temperature. The semi-solid and fluid MH-containing hydrogel formulations are safe, stable and suitable for use in hospital settings, which is rather important for wound-related pain management in cancer palliative care or burn patients.","container-title":"Pharmaceutics","DOI":"10.3390/pharmaceutics11020076","ISSN":"1999-4923","issue":"2","journalAbbreviation":"Pharmaceutics","language":"en","page":"76","source":"DOI.org (Crossref)","title":"Improved Morphine-Loaded Hydrogels for Wound-Related Pain Relief","volume":"11","author":[{"family":"Mateus","given":"Dinis"},{"family":"Marto","given":"Joana"},{"family":"Trindade","given":"Patrícia"},{"family":"Gonçalves","given":"Humberto"},{"family":"Salgado","given":"Ana"},{"family":"Machado","given":"Paula"},{"family":"Melo-Gouveia","given":"António"},{"family":"Ribeiro","given":"Helena M."},{"family":"Almeida","given":"António J."}],"issued":{"date-parts":[["2019",2,12]]}},"label":"page"},{"id":12128,"uris":["http://zotero.org/users/6216265/items/TIL2DIZ4"],"itemData":{"id":12128,"type":"article-journal","container-title":"Current Drug Delivery","DOI":"10.2174/1567201813666160325131831","ISSN":"15672018","issue":"8","journalAbbreviation":"CDD","language":"en","page":"1247-1260","source":"DOI.org (Crossref)","title":"Quality by Design Applied to Ocular Solid Lipid Nanoparticles Containing a Hydrophilic Peptide Prepared via Hot High Pressure Homogeniser","volume":"13","author":[{"family":"Mercuri","given":"Annalisa Mercuri"}],"issued":{"date-parts":[["2016",11,8]]}},"label":"page"},{"id":12129,"uris":["http://zotero.org/users/6216265/items/XBGYP2J5"],"itemData":{"id":12129,"type":"article-journal","container-title":"Drug Delivery and Translational Research","DOI":"10.1007/s13346-016-0315-x","ISSN":"2190-393X, 2190-3948","issue":"5","journalAbbreviation":"Drug Deliv. and Transl. Res.","language":"en","page":"579-596","source":"DOI.org (Crossref)","title":"Risk-based approach for systematic development of gastroretentive drug delivery system","volume":"6","author":[{"family":"Mirani","given":"A. G."},{"family":"Patankar","given":"S. P."},{"family":"Kadam","given":"V. J."}],"issued":{"date-parts":[["2016",10]]}},"label":"page"},{"id":12130,"uris":["http://zotero.org/users/6216265/items/SPBA58QC"],"itemData":{"id":12130,"type":"article-journal","container-title":"Pharmaceutical Development and Technology","DOI":"10.1080/10837450.2016.1199566","ISSN":"1083-7450, 1097-9867","issue":"7","journalAbbreviation":"Pharmaceutical Development and Technology","language":"en","page":"889-903","source":"DOI.org (Crossref)","title":"An integrated, quality by design (QbD) approach for design, development and optimization of orally disintegrating tablet formulation of carbamazepine","volume":"22","author":[{"family":"Mishra","given":"Saurabh M."},{"family":"Rohera","given":"Bhagwan D."}],"issued":{"date-parts":[["2017",10,3]]}},"label":"page"},{"id":12133,"uris":["http://zotero.org/users/6216265/items/YBBY2S55"],"itemData":{"id":12133,"type":"article-journal","container-title":"AAPS PharmSciTech","DOI":"10.1208/s12249-020-01678-0","ISSN":"1530-9932","issue":"4","journalAbbreviation":"AAPS PharmSciTech","language":"en","page":"127","source":"DOI.org (Crossref)","title":"Quality Risk Management and Quality by Design for the Development of Diclofenac Sodium Intra-articular Gelatin Microspheres","volume":"21","author":[{"family":"Nakas","given":"Alexandros"},{"family":"Dalatsi","given":"Athanasia M."},{"family":"Kapourani","given":"Afroditi"},{"family":"Kontogiannopoulos","given":"Konstantinos N."},{"family":"Assimopoulou","given":"Andreana N."},{"family":"Barmpalexis","given":"Panagiotis"}],"issued":{"date-parts":[["2020",5]]}},"label":"page"},{"id":12135,"uris":["http://zotero.org/users/6216265/items/PWR85PMU"],"itemData":{"id":12135,"type":"article-journal","abstract":"In recent years, the “quality by design” (QbD) approach has been used for developing pharmaceutical formulations. This is particularly important for complex dosage forms such as topical semisolid products. The first step for developing a product using this efficient approach is defining the quality target product profile (QTPP), a list of quality attributes (QAs) that are required to be present in the final product. These quality attributes are affected by the ingredients used as well as manufacturing procedure parameters. Hence, critical material attributes (CMAs) and critical process parameters (CPPs) need to be specified. Possible failure modes of a topical semisolid product can be determined based on the physiochemical properties of ingredients and manufacturing procedures. In this review, we have defined and specified QTPP, QAs, CMAs and CPPs that are required for developing a topical semisolid product based on the QbD approach.","container-title":"Pharmaceutics","DOI":"10.3390/pharmaceutics12030287","ISSN":"1999-4923","issue":"3","journalAbbreviation":"Pharmaceutics","language":"en","page":"287","source":"DOI.org (Crossref)","title":"Quality by Design: Development of the Quality Target Product Profile (QTPP) for Semisolid Topical Products","title-short":"Quality by Design","volume":"12","author":[{"family":"Namjoshi","given":"Sarika"},{"family":"Dabbaghi","given":"Maryam"},{"family":"Roberts","given":"Michael S."},{"family":"Grice","given":"Jeffrey E."},{"family":"Mohammed","given":"Yousuf"}],"issued":{"date-parts":[["2020",3,23]]}},"label":"page"},{"id":12137,"uris":["http://zotero.org/users/6216265/items/MM5WP88P"],"itemData":{"id":12137,"type":"article-journal","abstract":"The purpose of this study was to apply the Quality by Design (QbD) approach to the electrospinning of fibres loaded with the nonsteroidal anti-inflammatory drugs (NSAIDs) indomethacin (INDO) and diclofenac sodium (DICLO). A Quality Target Product Profile (QTPP) was made, and risk assessments (preliminary hazard analysis) were conducted to identify the impact of material attributes and process parameters on the critical quality attributes (CQAs) of the fibres. A full factorial design of experiments (DoE) of 20 runs was built, which was used to carry out experiments. The following factors were assessed: Drugs, voltage, flow rate, and the distance between the processing needle and collector. Release studies exhibited INDO fibres had greater total release of active drug compared to DICLO fibres. Voltage and distance were found to be the most significant factors of the experiment. Multivariate statistical analytical software helped to build six feasible design spaces and two flexible, universal design spaces for both drugs, at distances of 5 cm and 12.5 cm, along with a flexible control strategy. The current findings and their analysis confirm that QbD is a viable and invaluable tool to enhance product and process understanding of electrospinning for the assurance of high-quality fibres.","container-title":"Pharmaceutics","DOI":"10.3390/pharmaceutics12010002","ISSN":"1999-4923","issue":"1","journalAbbreviation":"Pharmaceutics","language":"en","page":"2","source":"DOI.org (Crossref)","title":"Quality by Design Micro-Engineering Optimisation of NSAID-Loaded Electrospun Fibrous Patches","volume":"12","author":[{"family":"Nazari","given":"Kazem"},{"family":"Mehta","given":"Prina"},{"family":"Arshad","given":"Muhammad Sohail"},{"family":"Ahmed","given":"Shahabuddin"},{"family":"Andriotis","given":"Eleftherios G."},{"family":"Singh","given":"Neenu"},{"family":"Qutachi","given":"Omar"},{"family":"Chang","given":"Ming-Wei"},{"family":"Fatouros","given":"Dimitrios G."},{"family":"Ahmad","given":"Zeeshan"}],"issued":{"date-parts":[["2019",12,18]]}},"label":"page"},{"id":12140,"uris":["http://zotero.org/users/6216265/items/P6TTWYTG"],"itemData":{"id":12140,"type":"article-journal","abstract":"The requirements of a liposomal formulation vary depending on the pharmaceutical indication, the target patient population, and the corresponding route of administration. Different preparation methods require various material attributes (MAs) (properties and characteristics of the components) and process parameters (PPs) (settings of the preparation method). The identification of the quality target product profile for a liposome-based formulation, the critical quality attributes of the liposomes, and the possible MAs and PPs that may influence the key characteristics of the vesicles facilitates pharmaceutical research. Researchers can systematise their knowledge by using the quality by design (QbD) approach. The potential factors that influence the quality of the product can be collected and studied through a risk assessment process. In this paper, the requirements of a liposome formulation prepared via the thin-film hydration preparation technique are presented; furthermore, the possible factors that have an impact on the quality of the final product and have to be considered and specified during the development of a liposomal formulation are herein identified and collected. The understanding and the application of these elements of QbD in the pharmaceutical developments help to influence the quality, the achievements, and the success of the formulated product.","container-title":"Pharmaceutics","DOI":"10.3390/pharmaceutics12121164","ISSN":"1999-4923","issue":"12","journalAbbreviation":"Pharmaceutics","language":"en","page":"1164","source":"DOI.org (Crossref)","title":"A Proposed Methodology for a Risk Assessment-Based Liposome Development Process","volume":"12","author":[{"family":"Németh","given":"Zsófia"},{"family":"Pallagi","given":"Edina"},{"family":"Dobó","given":"Dorina Gabriella"},{"family":"Csóka","given":"Ildikó"}],"issued":{"date-parts":[["2020",11,29]]}},"label":"page"},{"id":12145,"uris":["http://zotero.org/users/6216265/items/2E5LC9UZ"],"itemData":{"id":12145,"type":"article-journal","container-title":"Drug Development and Industrial Pharmacy","DOI":"10.1080/03639045.2017.1414233","ISSN":"0363-9045, 1520-5762","issue":"5","journalAbbreviation":"Drug Development and Industrial Pharmacy","language":"en","page":"837-848","source":"DOI.org (Crossref)","title":"Quality-by-design approach for the development of telmisartan potassium tablets","volume":"44","author":[{"family":"Oh","given":"Ga-Hui"},{"family":"Park","given":"Jin-Hyun"},{"family":"Shin","given":"Hye-Won"},{"family":"Kim","given":"Joo-Eun"},{"family":"Park","given":"Young-Joon"}],"issued":{"date-parts":[["2018",5,4]]}},"label":"page"},{"id":12146,"uris":["http://zotero.org/users/6216265/items/Q8KJXY2D"],"itemData":{"id":12146,"type":"article-journal","container-title":"International Journal of Pharmaceutics","DOI":"10.1016/j.ijpharm.2015.06.018","ISSN":"03785173","issue":"1-2","journalAbbreviation":"International Journal of Pharmaceutics","language":"en","page":"384-392","source":"DOI.org (Crossref)","title":"Adaptation of the quality by design concept in early pharmaceutical development of an intranasal nanosized formulation","volume":"491","author":[{"family":"Pallagi","given":"Edina"},{"family":"Ambrus","given":"Rita"},{"family":"Szabó-Révész","given":"Piroska"},{"family":"Csóka","given":"Ildikó"}],"issued":{"date-parts":[["2015",8]]}}},{"id":12147,"uris":["http://zotero.org/users/6216265/items/VDE4I2FT"],"itemData":{"id":12147,"type":"article-journal","container-title":"International Journal of Pharmaceutics","DOI":"10.1016/j.ijpharm.2019.03.021","ISSN":"03785173","journalAbbreviation":"International Journal of Pharmaceutics","language":"en","page":"11-22","source":"DOI.org (Crossref)","title":"Application of the QbD-based approach in the early development of liposomes for nasal administration","volume":"562","author":[{"family":"Pallagi","given":"Edina"},{"family":"Jójárt-Laczkovich","given":"Orsolya"},{"family":"Németh","given":"Zsófia"},{"family":"Szabó-Révész","given":"Piroska"},{"family":"Csóka","given":"Ildikó"}],"issued":{"date-parts":[["2019",5]]}},"label":"page"},{"id":12149,"uris":["http://zotero.org/users/6216265/items/QCK4CS2L"],"itemData":{"id":12149,"type":"article-journal","container-title":"AAPS PharmSciTech","DOI":"10.1208/s12249-016-0590-3","ISSN":"1530-9932","issue":"4","journalAbbreviation":"AAPS PharmSciTech","language":"en","page":"1213-1227","source":"DOI.org (Crossref)","title":"Quality by Design Empowered Development and Optimisation of Time-Controlled Pulsatile Release Platform Formulation Employing Compression Coating Technology","volume":"18","author":[{"family":"Patadia","given":"Riddhish"},{"family":"Vora","given":"Chintan"},{"family":"Mittal","given":"Karan"},{"family":"Mashru","given":"Rajashree C."}],"issued":{"date-parts":[["2017",5]]}},"label":"page"},{"id":12150,"uris":["http://zotero.org/users/6216265/items/SK7JLVQR"],"itemData":{"id":12150,"type":"article-journal","container-title":"European Journal of Pharmaceutical Sciences","DOI":"10.1016/j.ejps.2016.08.057","ISSN":"09280987","journalAbbreviation":"European Journal of Pharmaceutical Sciences","language":"en","page":"50-61","source":"DOI.org (Crossref)","title":"QbD based development of proliposome of lopinavir for improved oral bioavailability","volume":"108","author":[{"family":"Patel","given":"Grishma M."},{"family":"Shelat","given":"Pragna K."},{"family":"Lalwani","given":"Anita N."}],"issued":{"date-parts":[["2017",10]]}}},{"id":12151,"uris":["http://zotero.org/users/6216265/items/C26MV2TU"],"itemData":{"id":12151,"type":"article-journal","container-title":"International Journal of Pharmaceutics","DOI":"10.1016/j.ijpharm.2021.120474","ISSN":"03785173","journalAbbreviation":"International Journal of Pharmaceutics","language":"en","page":"120474","source":"DOI.org (Crossref)","title":"Nose to brain delivery of tailored clozapine nanosuspension stabilized using (+)-alpha-tocopherol polyethylene glycol 1000 succinate: Optimization and in vivo pharmacokinetic studies","title-short":"Nose to brain delivery of tailored clozapine nanosuspension stabilized using (+)-alpha-tocopherol polyethylene glycol 1000 succinate","volume":"600","author":[{"family":"Patel","given":"Hetal P."},{"family":"Chaudhari","given":"Priyanka S."},{"family":"Gandhi","given":"Priyanshi A."},{"family":"Desai","given":"Bhargavi V."},{"family":"Desai","given":"Ditixa T."},{"family":"Dedhiya","given":"Praful P."},{"family":"Vyas","given":"Bhavin A."},{"family":"Maulvi","given":"Furqan A."}],"issued":{"date-parts":[["2021",5]]}}},{"id":12152,"uris":["http://zotero.org/users/6216265/items/Y3289IFT"],"itemData":{"id":12152,"type":"article-journal","container-title":"Recent Patents on Drug Delivery &amp; Formulation","DOI":"10.2174/1872211310666160709193540","ISSN":"18722113","issue":"3","journalAbbreviation":"DDF","language":"en","page":"192-206","source":"DOI.org (Crossref)","title":"Quality by Design (QbD) Approach for Development of Co-Processed Excipient Pellets (MOMLETS) By Extrusion-Spheronization Technique","volume":"10","author":[{"family":"Patel","given":"Hetal"},{"family":"Patel","given":"Kishan"},{"family":"Tiwari","given":"Sanjay"},{"family":"Pandey","given":"Sonia"},{"family":"Shah","given":"Shailesh"},{"family":"Gohel","given":"Mukesh"}],"issued":{"date-parts":[["2016",12,7]]}},"label":"page"},{"id":12155,"uris":["http://zotero.org/users/6216265/items/JAGNYWSA"],"itemData":{"id":12155,"type":"article-journal","container-title":"Indian Journal of Pharmaceutical Sciences","DOI":"10.4103/0250-474X.174971","ISSN":"0250-474X","issue":"6","journalAbbreviation":"Indian J Pharm Sci","language":"en","page":"751","source":"DOI.org (Crossref)","title":"Analytical quality by design approach in RP-HPLC method development for the assay of etofenamate in dosage forms","volume":"77","author":[{"family":"Peraman","given":"R"},{"family":"Bhadraya","given":"K"},{"family":"Reddy","given":"YPadmanabha"},{"family":"Reddy","given":"CSurayaprakash"},{"family":"Lokesh","given":"T"}],"issued":{"date-parts":[["2015"]]}},"label":"page"},{"id":12157,"uris":["http://zotero.org/users/6216265/items/3CXSQ86T"],"itemData":{"id":12157,"type":"article-journal","container-title":"European Journal of Pharmaceutical Sciences","DOI":"10.1016/j.ejps.2022.106275","ISSN":"09280987","journalAbbreviation":"European Journal of Pharmaceutical Sciences","language":"en","page":"106275","source":"DOI.org (Crossref)","title":"A quality by design approach for the qualification of automating compounding device for parenteral nutrition","volume":"179","author":[{"family":"Perrier","given":"Quentin"},{"family":"Piquemal","given":"Marie"},{"family":"Leenhardt","given":"Julien"},{"family":"Choisnard","given":"Luc"},{"family":"Mazet","given":"Roseline"},{"family":"Desruet","given":"Marie-Dominique"},{"family":"Durand","given":"Marjorie"},{"family":"Bedouch","given":"Pierrick"}],"issued":{"date-parts":[["2022",12]]}},"label":"page"},{"id":12160,"uris":["http://zotero.org/users/6216265/items/3DQVTJXA"],"itemData":{"id":12160,"type":"article-journal","container-title":"Infectious Diseases of Poverty","DOI":"10.1186/s40249-017-0336-9","ISSN":"2049-9957","issue":"1","journalAbbreviation":"Infect Dis Poverty","language":"en","page":"122","source":"DOI.org (Crossref)","title":"Developing a comprehensive response for treatment of children under 6 years of age with schistosomiasis: research and development of a pediatric formulation of praziquantel","title-short":"Developing a comprehensive response for treatment of children under 6 years of age with schistosomiasis","volume":"6","author":[{"family":"Reinhard-Rupp","given":"Jutta"},{"family":"Klohe","given":"Katharina"}],"issued":{"date-parts":[["2017",12]]}},"label":"page"},{"id":12164,"uris":["http://zotero.org/users/6216265/items/DSYJW2FM"],"itemData":{"id":12164,"type":"article-journal","container-title":"Antiviral Research","DOI":"10.1016/j.antiviral.2013.09.016","ISSN":"01663542","journalAbbreviation":"Antiviral Research","language":"en","page":"S32-S38","source":"DOI.org (Crossref)","title":"Prioritizing multipurpose prevention technology development and investments using a target product profile","volume":"100","author":[{"family":"Romano","given":"Joe"},{"family":"Manning","given":"Judy"},{"family":"Hemmerling","given":"Anke"},{"family":"McGrory","given":"Elizabeth"},{"family":"Young Holt","given":"Bethany"}],"issued":{"date-parts":[["2013",12]]}},"label":"page"},{"id":12165,"uris":["http://zotero.org/users/6216265/items/U9NFSWUE"],"itemData":{"id":12165,"type":"article-journal","container-title":"Pharmaceutical Development and Technology","DOI":"10.1080/10837450.2020.1839496","ISSN":"1083-7450, 1097-9867","issue":"1","journalAbbreviation":"Pharmaceutical Development and Technology","language":"en","page":"101-109","source":"DOI.org (Crossref)","title":"Profiling gene expression dynamics underpinning conventional testing approaches to better inform pre-clinical evaluation of an age appropriate spironolactone formulation","volume":"26","author":[{"family":"Russell","given":"Craig"},{"family":"Hussain","given":"Majad"},{"family":"Huen","given":"David"},{"family":"Rahman","given":"Ayesha S."},{"family":"Mohammed","given":"Afzal R."}],"issued":{"date-parts":[["2021",1,2]]}},"label":"page"},{"id":12168,"uris":["http://zotero.org/users/6216265/items/NSQABGG6"],"itemData":{"id":12168,"type":"article-journal","container-title":"Drug Development and Industrial Pharmacy","DOI":"10.1080/03639045.2018.1496450","ISSN":"0363-9045, 1520-5762","issue":"12","journalAbbreviation":"Drug Development and Industrial Pharmacy","language":"en","page":"1905-1917","source":"DOI.org (Crossref)","title":"Development and &lt;i&gt;in vitro&lt;/i&gt; evaluation of pH-independent release matrix tablet of weakly acidic drug valsartan using quality by design tools","volume":"44","author":[{"family":"Saydam","given":"Mehtap"},{"family":"Takka","given":"Sevgi"}],"issued":{"date-parts":[["2018",12,2]]}},"label":"page"},{"id":12169,"uris":["http://zotero.org/users/6216265/items/IED5CQAX"],"itemData":{"id":12169,"type":"article-journal","container-title":"International Journal of Pharmaceutics","DOI":"10.1016/j.ijpharm.2018.06.052","ISSN":"03785173","issue":"1","journalAbbreviation":"International Journal of Pharmaceutics","language":"en","page":"385-399","source":"DOI.org (Crossref)","title":"A practical framework for implementing Quality by Design to the development of topical drug products: Nanosystem-based dosage forms","title-short":"A practical framework for implementing Quality by Design to the development of topical drug products","volume":"548","author":[{"family":"Simões","given":"Ana"},{"family":"Veiga","given":"Francisco"},{"family":"Figueiras","given":"Ana"},{"family":"Vitorino","given":"Carla"}],"issued":{"date-parts":[["2018",9]]}}},{"id":12170,"uris":["http://zotero.org/users/6216265/items/6XQRLC3S"],"itemData":{"id":12170,"type":"article-journal","container-title":"Journal of Pharmaceutical Sciences","DOI":"10.1016/j.xphs.2018.06.010","ISSN":"00223549","issue":"10","journalAbbreviation":"Journal of Pharmaceutical Sciences","language":"en","page":"2653-2662","source":"DOI.org (Crossref)","title":"A Tutorial for Developing a Topical Cream Formulation Based on the Quality by Design Approach","volume":"107","author":[{"family":"Simões","given":"Ana"},{"family":"Veiga","given":"Francisco"},{"family":"Vitorino","given":"Carla"},{"family":"Figueiras","given":"Ana"}],"issued":{"date-parts":[["2018",10]]}},"label":"page"},{"id":12171,"uris":["http://zotero.org/users/6216265/items/6DMVZ944"],"itemData":{"id":12171,"type":"article-journal","container-title":"AAPS PharmSciTech","DOI":"10.1208/s12249-015-0367-0","ISSN":"1530-9932","issue":"2","journalAbbreviation":"AAPS PharmSciTech","language":"en","page":"454-465","source":"DOI.org (Crossref)","title":"QbD-Enabled Development of Novel Stimuli-Responsive Gastroretentive Systems of Acyclovir for Improved Patient Compliance and Biopharmaceutical Performance","volume":"17","author":[{"family":"Singh","given":"Bhupinder"},{"family":"Kaur","given":"Anterpreet"},{"family":"Dhiman","given":"Shashi"},{"family":"Garg","given":"Babita"},{"family":"Khurana","given":"Rajneet Kaur"},{"family":"Beg","given":"Sarwar"}],"issued":{"date-parts":[["2016",4]]}},"label":"page"},{"id":12178,"uris":["http://zotero.org/users/6216265/items/CJUXD2YZ"],"itemData":{"id":12178,"type":"article-journal","container-title":"Journal of Pharmaceutical and Biomedical Analysis","DOI":"10.1016/j.jpba.2018.06.018","ISSN":"07317085","journalAbbreviation":"Journal of Pharmaceutical and Biomedical Analysis","language":"en","page":"395-404","source":"DOI.org (Crossref)","title":"A Quality by Design (QbD) approach to the development of a gradient high-performance liquid chromatography for the simultaneous assay of curcuminoids and doxorubicin from long-circulating liposomes","volume":"158","author":[{"family":"Sylvester","given":"Bianca"},{"family":"Tefas","given":"Lucia"},{"family":"Vlase","given":"Laurian"},{"family":"Tomuţă","given":"Ioan"},{"family":"Porfire","given":"Alina"}],"issued":{"date-parts":[["2018",9]]}},"label":"page"},{"id":12179,"uris":["http://zotero.org/users/6216265/items/X4ZQEQ5K"],"itemData":{"id":12179,"type":"article-journal","container-title":"European Journal of Pharmaceutical Sciences","DOI":"10.1016/j.ejps.2017.12.021","ISSN":"09280987","journalAbbreviation":"European Journal of Pharmaceutical Sciences","language":"en","page":"1-10","source":"DOI.org (Crossref)","title":"Lubricant based determination of design space for continuously manufactured high dose paracetamol tablets","volume":"115","author":[{"family":"Taipale-Kovalainen","given":"Krista"},{"family":"Karttunen","given":"Anssi-Pekka"},{"family":"Ketolainen","given":"Jarkko"},{"family":"Korhonen","given":"Ossi"}],"issued":{"date-parts":[["2018",3]]}},"label":"page"},{"id":12180,"uris":["http://zotero.org/users/6216265/items/4JTF3B2A"],"itemData":{"id":12180,"type":"article-journal","container-title":"European Journal of Pharmaceutics and Biopharmaceutics","DOI":"10.1016/j.ejpb.2020.08.002","ISSN":"09396411","journalAbbreviation":"European Journal of Pharmaceutics and Biopharmaceutics","language":"en","page":"88-102","source":"DOI.org (Crossref)","title":"Optimization of the quality by design approach for gene therapy products: A case study for adeno-associated viral vectors","title-short":"Optimization of the quality by design approach for gene therapy products","volume":"155","author":[{"family":"Tanaka","given":"Toshimitsu"},{"family":"Hanaoka","given":"Hideki"},{"family":"Sakurai","given":"Shingo"}],"issued":{"date-parts":[["2020",10]]}},"label":"page"},{"id":12181,"uris":["http://zotero.org/users/6216265/items/ERBMFXH2"],"itemData":{"id":12181,"type":"article-journal","container-title":"AAPS PharmSciTech","DOI":"10.1208/s12249-020-01738-5","ISSN":"1530-9932","issue":"5","journalAbbreviation":"AAPS PharmSciTech","language":"en","page":"200","source":"DOI.org (Crossref)","title":"A Comparison Between Lab-Scale and Hot-Melt-Extruder-Based Anti-inflammatory Ointment Manufacturing","volume":"21","author":[{"family":"Thakkar","given":"Rishi"},{"family":"Ashour","given":"Eman A."},{"family":"Shukla","given":"Ashay"},{"family":"Wang","given":"Rui"},{"family":"Chambliss","given":"Walter G."},{"family":"Bandari","given":"Suresh"},{"family":"Murthy","given":"Narasimha"},{"family":"Repka","given":"Michael A."}],"issued":{"date-parts":[["2020",7]]}},"label":"page"},{"id":12182,"uris":["http://zotero.org/users/6216265/items/WZVWGRQZ"],"itemData":{"id":12182,"type":"article-journal","container-title":"Pharmaceutical Research","DOI":"10.1007/s11095-018-2566-3","ISSN":"0724-8741, 1573-904X","issue":"3","journalAbbreviation":"Pharm Res","language":"en","page":"37","source":"DOI.org (Crossref)","title":"Application of a Quality-By-Design Approach to Optimise Lipid-Polymer Hybrid Nanoparticles Loaded with a Splice-Correction Antisense Oligonucleotide: Maximising Loading and Intracellular Delivery","title-short":"Application of a Quality-By-Design Approach to Optimise Lipid-Polymer Hybrid Nanoparticles Loaded with a Splice-Correction Antisense Oligonucleotide","volume":"36","author":[{"family":"Thanki","given":"Kaushik"},{"family":"Papai","given":"Simon"},{"family":"Lokras","given":"Abhijeet"},{"family":"Rose","given":"Fabrice"},{"family":"Falkenberg","given":"Emily"},{"family":"Franzyk","given":"Henrik"},{"family":"Foged","given":"Camilla"}],"issued":{"date-parts":[["2019",3]]}}},{"id":12183,"uris":["http://zotero.org/users/6216265/items/RH7A282D"],"itemData":{"id":12183,"type":"article-journal","container-title":"European Journal of Pharmaceutics and Biopharmaceutics","DOI":"10.1016/j.ejpb.2017.07.014","ISSN":"09396411","journalAbbreviation":"European Journal of Pharmaceutics and Biopharmaceutics","language":"en","page":"22-33","source":"DOI.org (Crossref)","title":"Engineering of small interfering RNA-loaded lipidoid-poly( DL -lactic-co-glycolic acid) hybrid nanoparticles for highly efficient and safe gene silencing: A quality by design-based approach","title-short":"Engineering of small interfering RNA-loaded lipidoid-poly( DL -lactic-co-glycolic acid) hybrid nanoparticles for highly efficient and safe gene silencing","volume":"120","author":[{"family":"Thanki","given":"Kaushik"},{"family":"Zeng","given":"Xianghui"},{"family":"Justesen","given":"Sarah"},{"family":"Tejlmann","given":"Sarah"},{"family":"Falkenberg","given":"Emily"},{"family":"Van Driessche","given":"Elize"},{"family":"Mørck Nielsen","given":"Hanne"},{"family":"Franzyk","given":"Henrik"},{"family":"Foged","given":"Camilla"}],"issued":{"date-parts":[["2017",11]]}},"label":"page"},{"id":12184,"uris":["http://zotero.org/users/6216265/items/ZBYACQW8"],"itemData":{"id":12184,"type":"article-journal","abstract":"In the past, drug developers in industry chose approaches mainly focusing on the drug product's efficacy, safety and quality according to the level required by regulatory expectations stipulated in guidelines, pharmacopoeia and other regulatory provisions. By putting more focus on the patient perspective, regulatory authorities are currently raising their requirements regarding successful product submissions. The increasing involvement of patients in the product development process (e.g. conduction of human factor use tests, integration of feedback from patient and patient advisory groups into clinical programmes) requires adaptations to the existing and established industrial drug development processes without compromising fast patient access to innovative therapies. This review provides an expert opinion on the emerging challenges and opportunities to implement a patient‐centric approach into new drug development programmes. The aim is to better understand the challenge of finding the right balance between bringing innovative drugs fast to the patients and to develop these in parallel in a patient‐centric product form as well as why this is an opportunity and how stakeholder parties (e.g. patients, clinicians, pharmacists, caregivers, regulators) can provide support to achieve desired outcomes.","container-title":"British Journal of Clinical Pharmacology","DOI":"10.1111/bcp.14388","ISSN":"0306-5251, 1365-2125","issue":"10","journalAbbreviation":"Brit J Clinical Pharma","language":"en","page":"2020-2027","source":"DOI.org (Crossref)","title":"Challenges and opportunities to include patient‐centric product design in industrial medicines development to improve therapeutic goals","volume":"86","author":[{"family":"Timpe","given":"Carsten"},{"family":"Stegemann","given":"Sven"},{"family":"Barrett","given":"Andrew"},{"family":"Mujumdar","given":"Siddharthya"}],"issued":{"date-parts":[["2020",10]]}},"label":"page"},{"id":12185,"uris":["http://zotero.org/users/6216265/items/P7NUXAN8"],"itemData":{"id":12185,"type":"article-journal","container-title":"Drug Development and Industrial Pharmacy","DOI":"10.1080/03639045.2020.1717515","ISSN":"0363-9045, 1520-5762","issue":"2","journalAbbreviation":"Drug Development and Industrial Pharmacy","language":"en","page":"296-308","source":"DOI.org (Crossref)","title":"Development of an emulgel for the treatment of rosacea using quality by design approach","volume":"46","author":[{"family":"Torregrosa","given":"Annibal"},{"family":"Ochoa-Andrade","given":"Ana Teresa"},{"family":"Parente","given":"María Emma"},{"family":"Vidarte","given":"Ana"},{"family":"Guarinoni","given":"Giovanna"},{"family":"Savio","given":"Eduardo"}],"issued":{"date-parts":[["2020",2,1]]}},"label":"page"},{"id":12192,"uris":["http://zotero.org/users/6216265/items/Q327VGY9"],"itemData":{"id":12192,"type":"article-journal","container-title":"Current Opinion in HIV and AIDS","DOI":"10.1097/COH.0000000000000527","ISSN":"1746-630X","issue":"2","language":"en","page":"143-149","source":"DOI.org (Crossref)","title":"Current and future priorities for the development of optimal HIV drugs","volume":"14","author":[{"family":"Vitoria","given":"Marco"},{"family":"Rangaraj","given":"Ajay"},{"family":"Ford","given":"Nathan"},{"family":"Doherty","given":"Meg"}],"issued":{"date-parts":[["2019",3]]}},"label":"page"},{"id":12194,"uris":["http://zotero.org/users/6216265/items/6X5JL89X"],"itemData":{"id":12194,"type":"article-journal","container-title":"International Journal of Pharmaceutics","DOI":"10.1016/j.ijpharm.2013.07.043","ISSN":"03785173","issue":"1-2","journalAbbreviation":"International Journal of Pharmaceutics","language":"en","page":"169-181","source":"DOI.org (Crossref)","title":"Risk based approach for design and optimization of stomach specific delivery of rifampicin","volume":"455","author":[{"family":"Vora","given":"Chintan"},{"family":"Patadia","given":"Riddhish"},{"family":"Mittal","given":"Karan"},{"family":"Mashru","given":"Rajashree"}],"issued":{"date-parts":[["2013",10]]}},"label":"page"},{"id":12196,"uris":["http://zotero.org/users/6216265/items/S5N49CR8"],"itemData":{"id":12196,"type":"article-journal","container-title":"Biomedicine &amp; Pharmacotherapy","DOI":"10.1016/j.biopha.2021.111940","ISSN":"07533322","journalAbbreviation":"Biomedicine &amp; Pharmacotherapy","language":"en","page":"111940","source":"DOI.org (Crossref)","title":"Quality by design (QbD) in the formulation and optimization of liquid crystalline nanoparticles (LCNPs): A risk based industrial approach","title-short":"Quality by design (QbD) in the formulation and optimization of liquid crystalline nanoparticles (LCNPs)","volume":"141","author":[{"family":"Waghule","given":"Tejashree"},{"family":"Dabholkar","given":"Neha"},{"family":"Gorantla","given":"Srividya"},{"family":"Rapalli","given":"Vamshi Krishna"},{"family":"Saha","given":"Ranendra Narayan"},{"family":"Singhvi","given":"Gautam"}],"issued":{"date-parts":[["2021",9]]}},"label":"page"},{"id":12197,"uris":["http://zotero.org/users/6216265/items/MJL4TELB"],"itemData":{"id":12197,"type":"article-journal","abstract":"The World Health Organization’s Model List of Essential Medicines for Children (EMLc) presents a list of the most efficacious, safe, and cost-effective medicines for priority conditions, intended for use in children up to 12 years of age. However, gaps in global availability and use of age-appropriate formulations of medicines for children still exist. To address these shortcomings, a comprehensive analysis of the appropriateness of formulations of essential medicines for children is being undertaken through the Global Accelerator for Paediatric Formulations (GAP-f) network, a WHO network launched in 2020 to respond to the paediatric treatment gap. This article describes the development and application of a paediatric Quality Target Product Profile (pQTPP) tool by WHO, to retrospectively evaluate the paediatric age-appropriateness of formulations on the EMLc and identify potential formulation gaps, to inform the review of the EMLc in 2023. A combination of paediatric-centric and global health-focused attributes and targets were defined, taking into consideration regulatory agency paediatric development guidelines and literature sources, and a qualitative scoring system was developed and tested. Example evaluations of paracetamol and clofazimine are provided, illustrating the tool’s use. The assessment of EMLc formulations is ongoing and shortcomings and gaps in EMLc formulations have already been identified. The pQTTP tool may also be applied to national lists and prospectively when designing new paediatric formulations.","container-title":"Pharmaceutics","DOI":"10.3390/pharmaceutics14030473","ISSN":"1999-4923","issue":"3","journalAbbreviation":"Pharmaceutics","language":"en","page":"473","source":"DOI.org (Crossref)","title":"Assessing the Appropriateness of Formulations on the WHO Model List of Essential Medicines for Children: Development of a Paediatric Quality Target Product Profile Tool","title-short":"Assessing the Appropriateness of Formulations on the WHO Model List of Essential Medicines for Children","volume":"14","author":[{"family":"Walsh","given":"Jennifer"},{"family":"Masini","given":"Tiziana"},{"family":"Huttner","given":"Benedikt"},{"family":"Moja","given":"Lorenzo"},{"family":"Penazzato","given":"Martina"},{"family":"Cappello","given":"Bernadette"}],"issued":{"date-parts":[["2022",2,22]]}}},{"id":12199,"uris":["http://zotero.org/users/6216265/items/SBAHENPM"],"itemData":{"id":12199,"type":"article-journal","abstract":"Improved global access to novel age‐appropriate formulations for paediatric subsets, either of new chemical entities or existing drugs, is a priority to ensure that medicines meet the needs of these patients. However, despite regulatory incentives, the introduction to the market of paediatric formulations still lags behind adult products. This is mainly caused by additional complexities associated with the development of acceptable age‐appropriate paediatric medicines. This position paper recommends the use of a paediatric Quality Target Product Profile as an efficient tool to facilitate early planning and decision making across all teams involved in paediatric formulation development during the children‐centric formulation design for new chemical entities, or to repurpose/reformulate off‐patent drugs. Essential key attributes of a paediatric formulation are suggested and described. Moreover, greater collaboration between formulation experts and clinical colleagues, including healthcare professionals, is advocated to lead to safe and effective, age‐appropriate medicinal products. Acceptability testing should be a secondary endpoint in paediatric clinical trials to ensure postmarketing adherence is not compromised by a lack of acceptability. Not knowing the indications and the related age groups and potential dosing regimens early enough is still a major hurdle for efficient paediatric formulation development; however, the proposed paediatric Quality Target Product Profile could be a valuable collaborative tool for planning and decision making to expedite paediatric product development, particularly for those with limited experience in developing a paediatric product.","container-title":"British Journal of Clinical Pharmacology","DOI":"10.1111/bcp.14989","ISSN":"0306-5251, 1365-2125","issue":"12","journalAbbreviation":"Brit J Clinical Pharma","language":"en","page":"5034-5051","source":"DOI.org (Crossref)","title":"Path towards efficient paediatric formulation development based on partnering with clinical pharmacologists and clinicians, a conect4children expert group white paper","volume":"88","author":[{"family":"Walsh","given":"Jennifer"},{"family":"Schaufelberger","given":"Daniel"},{"family":"Iurian","given":"Sonia"},{"family":"Klein","given":"Sandra"},{"family":"Batchelor","given":"Hannah"},{"family":"Turner","given":"Roy"},{"family":"Gizurarson","given":"Sveinbjörn"},{"family":"Boltri","given":"Luigi"},{"family":"Alessandrini","given":"Elisa"},{"family":"Tuleu","given":"Catherine"}],"issued":{"date-parts":[["2022",12]]}},"label":"page"},{"id":12200,"uris":["http://zotero.org/users/6216265/items/IHCSNCX5"],"itemData":{"id":12200,"type":"article-journal","container-title":"European Journal of Pharmaceutical Sciences","DOI":"10.1016/j.ejps.2022.106280","ISSN":"09280987","journalAbbreviation":"European Journal of Pharmaceutical Sciences","language":"en","page":"106280","source":"DOI.org (Crossref)","title":"Structured approach for designing drug-loaded solid products by binder jetting 3D printing","volume":"178","author":[{"family":"Wang","given":"Yingya"},{"family":"Müllertz","given":"Anette"},{"family":"Rantanen","given":"Jukka"}],"issued":{"date-parts":[["2022",11]]}},"label":"page"},{"id":12203,"uris":["http://zotero.org/users/6216265/items/5R76JEW2"],"itemData":{"id":12203,"type":"article-journal","abstract":"Abstract\n            Quality by design (QbD) is an efficient but challenging approach for the development of biosimilar due to the complex relationship among process, quality, and efficacy. Here, the analytical similarity of adalimumab biosimilar HLX03 to Humira® was successfully established following a QbD quality study. Quality target product profile (QTPP) of HLX03 was first generated according to the public available information and initial characterization of 3 batches of Humira®. The critical quality attributes (CQAs) were then identified through risk assessment according to impact of each quality attribute on efficacy and safety. The anticipated range for each CQA was derived from similarity acceptance range and/or the corresponding regulatory guidelines. Finally, a panel of advanced and orthogonal physicochemical and functional tests and comparison of 6 batches of HLX03 and 10 batches of the reference standard demonstrated high similarity of HLX03 to Humira®, except for slightly lower percentage of high mannosylated glycans (%HM) in HLX03 which had no effect on FcγRIII binding and antibody-dependent cell-mediated cytotoxicity (ADCC) activity in human peripheral blood mononuclear cell (PBMC). All above demonstrated the feasibility and efficiency of QbD-based similarity assessment of a biosimilar monoclonal antibody (mAb).","container-title":"The AAPS Journal","DOI":"10.1208/s12248-020-00454-z","ISSN":"1550-7416","issue":"3","journalAbbreviation":"AAPS J","language":"en","page":"69","source":"DOI.org (Crossref)","title":"Quality by Design–Based Assessment for Analytical Similarity of Adalimumab Biosimilar HLX03 to Humira®","volume":"22","author":[{"family":"Zhang","given":"Erhui"},{"family":"Xie","given":"Liqi"},{"family":"Qin","given":"Peilan"},{"family":"Lu","given":"Lihong"},{"family":"Xu","given":"Yanpeng"},{"family":"Gao","given":"Wenyuan"},{"family":"Wang","given":"Linlin"},{"family":"Xie","given":"Michael Hongwei"},{"family":"Jiang","given":"Weidong"},{"family":"Liu","given":"Scott"}],"issued":{"date-parts":[["2020",5]]}},"label":"page"},{"id":12205,"uris":["http://zotero.org/users/6216265/items/FITMSFXY"],"itemData":{"id":12205,"type":"article-journal","container-title":"International Journal of Nanomedicine","DOI":"10.2147/IJN.S102945","ISSN":"1178-2013","journalAbbreviation":"IJN","language":"en","page":"1501","source":"DOI.org (Crossref)","title":"Nicotinamide polymeric nanoemulsified systems: a quality-by-design case study for a sustained antimicrobial activity","title-short":"Nicotinamide polymeric nanoemulsified systems","author":[{"family":"Zidan","given":"Ahmed"},{"family":"Ahmed","given":"Osama"},{"family":"Aljaeid","given":"Bader"}],"issued":{"date-parts":[["2016",4]]}},"label":"page"}],"schema":"https://github.com/citation-style-language/schema/raw/master/csl-citation.json"} </w:instrText>
            </w:r>
            <w:r>
              <w:fldChar w:fldCharType="separate"/>
            </w:r>
            <w:r w:rsidR="00C94C08" w:rsidRPr="00C94C08">
              <w:rPr>
                <w:rFonts w:ascii="Calibri" w:hAnsi="Calibri" w:cs="Calibri"/>
                <w:szCs w:val="24"/>
              </w:rPr>
              <w:t>(201,203,205,206,208,211,213,215,216,218,228–232,234,236,237,240,242,244,245,247–</w:t>
            </w:r>
            <w:r w:rsidR="00C94C08" w:rsidRPr="00C94C08">
              <w:rPr>
                <w:rFonts w:ascii="Calibri" w:hAnsi="Calibri" w:cs="Calibri"/>
                <w:szCs w:val="24"/>
              </w:rPr>
              <w:lastRenderedPageBreak/>
              <w:t>249,253,255,256,258,260,261,263–265,267,269,271,273,275–277,279–282,284–290,292,293,295–297,299–302,305–310,312,313,316,318–322,324,325,328,331,334)</w:t>
            </w:r>
            <w:r>
              <w:fldChar w:fldCharType="end"/>
            </w:r>
          </w:p>
        </w:tc>
      </w:tr>
      <w:tr w:rsidR="00595AC5" w14:paraId="41342896" w14:textId="77777777" w:rsidTr="00E666ED">
        <w:tc>
          <w:tcPr>
            <w:tcW w:w="1260" w:type="dxa"/>
            <w:vMerge/>
            <w:vAlign w:val="center"/>
          </w:tcPr>
          <w:p w14:paraId="0DB597CE" w14:textId="77777777" w:rsidR="00595AC5" w:rsidRDefault="00595AC5" w:rsidP="00106C2C">
            <w:pPr>
              <w:spacing w:line="276" w:lineRule="auto"/>
            </w:pPr>
          </w:p>
        </w:tc>
        <w:tc>
          <w:tcPr>
            <w:tcW w:w="2790" w:type="dxa"/>
            <w:vAlign w:val="center"/>
          </w:tcPr>
          <w:p w14:paraId="0A8D5FAE" w14:textId="6558B072" w:rsidR="00595AC5" w:rsidRDefault="00595AC5" w:rsidP="00106C2C">
            <w:pPr>
              <w:spacing w:line="276" w:lineRule="auto"/>
            </w:pPr>
            <w:r>
              <w:t>Two thresholds</w:t>
            </w:r>
          </w:p>
        </w:tc>
        <w:tc>
          <w:tcPr>
            <w:tcW w:w="5017" w:type="dxa"/>
            <w:vAlign w:val="center"/>
          </w:tcPr>
          <w:p w14:paraId="6C9C3F45" w14:textId="4381D406" w:rsidR="00595AC5" w:rsidRDefault="00595AC5" w:rsidP="00106C2C">
            <w:pPr>
              <w:spacing w:line="276" w:lineRule="auto"/>
            </w:pPr>
            <w:r>
              <w:fldChar w:fldCharType="begin"/>
            </w:r>
            <w:r w:rsidR="00C94C08">
              <w:instrText xml:space="preserve"> ADDIN ZOTERO_ITEM CSL_CITATION {"citationID":"WV1bNA9l","properties":{"formattedCitation":"(199,200,202,204,207,209,210,212,214,221\\uc0\\u8211{}224,233,235,238,239,241,243,246,254,257,262,266,268,270,274,283,291,298,303,304,311,314,315,317,323,326,330,333)","plainCitation":"(199,200,202,204,207,209,210,212,214,221–224,233,235,238,239,241,243,246,254,257,262,266,268,270,274,283,291,298,303,304,311,314,315,317,323,326,330,333)","noteIndex":0},"citationItems":[{"id":12208,"uris":["http://zotero.org/users/6216265/items/YUCZFS4L"],"itemData":{"id":12208,"type":"article-journal","container-title":"PLOS Neglected Tropical Diseases","DOI":"10.1371/journal.pntd.0005269","ISSN":"1935-2735","issue":"2","journalAbbreviation":"PLoS Negl Trop Dis","language":"en","page":"e0005269","source":"DOI.org (Crossref)","title":"Update on Zika Diagnostic Tests and WHO’s Related Activities","volume":"11","author":[{"family":"Chua","given":"Arlene"},{"family":"Prat","given":"Irena"},{"family":"Nuebling","given":"Claudius Micha"},{"family":"Wood","given":"David"},{"family":"Moussy","given":"Francis"}],"editor":[{"family":"De Silva","given":"Aravinda M."}],"issued":{"date-parts":[["2017",2,2]]}},"label":"page"},{"id":12210,"uris":["http://zotero.org/users/6216265/items/XIJQJ62C"],"itemData":{"id":12210,"type":"article-journal","container-title":"The Journal of Infectious Diseases","DOI":"10.1093/infdis/jiu821","ISSN":"0022-1899, 1537-6613","issue":"suppl_2","language":"en","page":"S29-S38","source":"DOI.org (Crossref)","title":"Defining the Needs for Next Generation Assays for Tuberculosis","volume":"211","author":[{"family":"Denkinger","given":"Claudia M."},{"family":"Kik","given":"Sandra V."},{"family":"Cirillo","given":"Daniela Maria"},{"family":"Casenghi","given":"Martina"},{"family":"Shinnick","given":"Thomas"},{"family":"Weyer","given":"Karin"},{"family":"Gilpin","given":"Chris"},{"family":"Boehme","given":"Catharina C."},{"family":"Schito","given":"Marco"},{"family":"Kimerling","given":"Michael"},{"family":"Pai","given":"Madhukar"}],"issued":{"date-parts":[["2015",4]]}},"label":"page"},{"id":12214,"uris":["http://zotero.org/users/6216265/items/F3AIGXXG"],"itemData":{"id":12214,"type":"article-journal","container-title":"PLOS Neglected Tropical Diseases","DOI":"10.1371/journal.pntd.0005875","ISSN":"1935-2735","issue":"9","journalAbbreviation":"PLoS Negl Trop Dis","language":"en","page":"e0005875","source":"DOI.org (Crossref)","title":"Target product profiles for the diagnosis of Taenia solium taeniasis, neurocysticercosis and porcine cysticercosis","volume":"11","author":[{"family":"Donadeu","given":"Meritxell"},{"family":"Fahrion","given":"Anna S."},{"family":"Olliaro","given":"Piero L."},{"family":"Abela-Ridder","given":"Bernadette"}],"editor":[{"family":"Garcia","given":"Hector H."}],"issued":{"date-parts":[["2017",9,11]]}},"label":"page"},{"id":12216,"uris":["http://zotero.org/users/6216265/items/YHFANQX2"],"itemData":{"id":12216,"type":"article-journal","container-title":"PLOS Neglected Tropical Diseases","DOI":"10.1371/journal.pntd.0006213","ISSN":"1935-2735","issue":"3","journalAbbreviation":"PLoS Negl Trop Dis","language":"en","page":"e0006213","source":"DOI.org (Crossref)","title":"Diagnostic tools for soil-transmitted helminths control and elimination programs: A pathway for diagnostic product development","title-short":"Diagnostic tools for soil-transmitted helminths control and elimination programs","volume":"12","author":[{"family":"Lim","given":"Mark D."},{"family":"Brooker","given":"Simon J."},{"family":"Belizario","given":"Vicente Y."},{"family":"Gay-Andrieu","given":"Françoise"},{"family":"Gilleard","given":"John"},{"family":"Levecke","given":"Bruno"},{"family":"Van Lieshout","given":"Lisette"},{"family":"Medley","given":"Graham F."},{"family":"Mekonnen","given":"Zeleke"},{"family":"Mirams","given":"Greg"},{"family":"Njenga","given":"Sammy M."},{"family":"Odiere","given":"Maurice R."},{"family":"Rudge","given":"James W."},{"family":"Stuyver","given":"Lieven"},{"family":"Vercruysse","given":"Jozef"},{"family":"Vlaminck","given":"Johnny"},{"family":"Walson","given":"Judd L."},{"literal":"the Annecy STH diagnostic experts group"}],"editor":[{"family":"Maruyama","given":"Haruhiko"}],"issued":{"date-parts":[["2018",3,1]]}},"label":"page"},{"id":12222,"uris":["http://zotero.org/users/6216265/items/77LMTDQW"],"itemData":{"id":12222,"type":"article-journal","container-title":"Sexually Transmitted Infections","DOI":"10.1136/sextrans-2016-053071","ISSN":"1368-4973, 1472-3263","issue":"S4","journalAbbreviation":"Sex Transm Infect","language":"en","page":"S69-S80","source":"DOI.org (Crossref)","title":"Advancing prevention of sexually transmitted infections through point-of-care testing: target product profiles and landscape analysis","title-short":"Advancing prevention of sexually transmitted infections through point-of-care testing","volume":"93","author":[{"family":"Toskin","given":"Igor"},{"family":"Murtagh","given":"Maurine"},{"family":"Peeling","given":"Rosanna W"},{"family":"Blondeel","given":"Karel"},{"family":"Cordero","given":"Joanna"},{"family":"Kiarie","given":"James"}],"issued":{"date-parts":[["2017",12]]}},"label":"page"},{"id":12016,"uris":["http://zotero.org/users/6216265/items/T6ZE7DG9"],"itemData":{"id":12016,"type":"article-journal","abstract":"New tuberculosis (TB) diagnostics are at a crossroads: their development, evaluation, and implementation is severely damaged by resource diversion due to COVID-19. Yet several technologies, especially those with potential for non-invasive non-sputum-based testing, hold promise for efficiently triaging and rapidly confirming TB near point-of-care. Such tests are, however, progressing through the pipeline slowly and will take years to reach patients and health workers. Compellingly, such tests will create new opportunities for difficult-to-diagnose populations, including primary care attendees (all-comers in high burden settings irrespective of reason for presentation) and community members (with early stage disease or risk factors like HIV), many of whom cannot easily produce sputum. Critically, all upcoming technologies have limitations that implementers and health workers need to be cognizant of to ensure optimal deployment without undermining confidence in a technology that still offers improvements over the status quo. In this state-of-the-art review, we critically appraise such technologies for active pulmonary TB diagnosis. We highlight strengths, limitations, outstanding research questions, and how current and future tests could be used in the presence of these limitations and uncertainties. Among triage tests, CRP (for which commercial near point-of-care devices exist) and computer-aided detection software with digital chest X-ray hold promise, together with late-stage blood-based assays that detect host and/or microbial biomarkers; however, aside from a handful of prototypes, the latter category has a shortage of promising late-stage alternatives. Furthermore, positive results from new triage tests may have utility in people without TB; however, their utility for informing diagnostic pathways for other diseases is under-researched (most sick people tested for TB do not have TB). For confirmatory tests, few true point-of-care options will be available soon; however, combining novel approaches like tongue swabs with established tests like Ultra have short-term promise but first require optimizations to specimen collection and processing procedures. Concerningly, no technologies yet have compelling evidence of meeting the World Health Organization optimal target product profile performance criteria, especially for important operational criteria crucial for field deployment. This is alarming as the target product profile criteria are themselves almost a decade old and require urgent revision, especially to cater for technologies made prominent by the COVID-19 diagnostic response (e.g., at-home testing and connectivity solutions). Throughout the review, we underscore the importance of how target populations and settings affect test performance and how the criteria by which these tests should be judged vary by use case, including in active case finding. Lastly, we advocate for health workers and researchers to themselves be vocal proponents of the uptake of both new tests and those – already available tests that remain suboptimally utilized.","container-title":"Respiration","DOI":"10.1159/000525142","ISSN":"0025-7931, 1423-0356","issue":"9","journalAbbreviation":"Respiration","language":"en","page":"797-813","source":"DOI.org (Crossref)","title":"Diagnosing Tuberculosis: What Do New Technologies Allow Us to (Not) Do?","title-short":"Diagnosing Tuberculosis","volume":"101","author":[{"family":"Abdulgader","given":"Shima M."},{"family":"Okunola","given":"Anna O."},{"family":"Ndlangalavu","given":"Gcobisa"},{"family":"Reeve","given":"Byron W.P."},{"family":"Allwood","given":"Brian W."},{"family":"Koegelenberg","given":"Coenraad F.N."},{"family":"Warren","given":"Rob M."},{"family":"Theron","given":"Grant"}],"issued":{"date-parts":[["2022"]]}},"label":"page"},{"id":12021,"uris":["http://zotero.org/users/6216265/items/62V73I6Q"],"itemData":{"id":12021,"type":"article-journal","container-title":"PLOS Neglected Tropical Diseases","DOI":"10.1371/journal.pntd.0008035","ISSN":"1935-2735","issue":"4","journalAbbreviation":"PLoS Negl Trop Dis","language":"en","page":"e0008035","source":"DOI.org (Crossref)","title":"Target product profile for a test for the early assessment of treatment efficacy in Chagas disease patients: An expert consensus","title-short":"Target product profile for a test for the early assessment of treatment efficacy in Chagas disease patients","volume":"14","author":[{"family":"Alonso-Padilla","given":"Julio"},{"family":"Abril","given":"Marcelo"},{"family":"Alarcón De Noya","given":"Belkisyolé"},{"family":"Almeida","given":"Igor C."},{"family":"Angheben","given":"Andrea"},{"family":"Araujo Jorge","given":"Tania"},{"family":"Chatelain","given":"Eric"},{"family":"Esteva","given":"Monica"},{"family":"Gascón","given":"Joaquim"},{"family":"Grijalva","given":"Mario J."},{"family":"Guhl","given":"Felipe"},{"family":"Hasslocher-Moreno","given":"Alejandro Marcel"},{"family":"López","given":"Manuel Carlos"},{"family":"Luquetti","given":"Alejandro"},{"family":"Noya","given":"Oscar"},{"family":"Pinazo","given":"María Jesús"},{"family":"Ramsey","given":"Janine M."},{"family":"Ribeiro","given":"Isabela"},{"family":"Ruiz","given":"Andres Mariano"},{"family":"Schijman","given":"Alejandro G."},{"family":"Sosa-Estani","given":"Sergio"},{"family":"Thomas","given":"M. Carmen"},{"family":"Torrico","given":"Faustino"},{"family":"Zrein","given":"Maan"},{"family":"Picado","given":"Albert"}],"editor":[{"family":"Santiago","given":"Helton Da Costa"}],"issued":{"date-parts":[["2020",4,23]]}},"label":"page"},{"id":12023,"uris":["http://zotero.org/users/6216265/items/YFYAR9K4"],"itemData":{"id":12023,"type":"article-journal","container-title":"European Journal of Pharmaceutical Sciences","DOI":"10.1016/j.ejps.2016.01.003","ISSN":"09280987","journalAbbreviation":"European Journal of Pharmaceutical Sciences","language":"en","page":"92-102","source":"DOI.org (Crossref)","title":"Quality by design case study 1: Design of 5-fluorouracil loaded lipid nanoparticles by the W/O/W double emulsion — Solvent evaporation method","title-short":"Quality by design case study 1","volume":"84","author":[{"family":"Amasya","given":"Gulin"},{"family":"Badilli","given":"Ulya"},{"family":"Aksu","given":"Buket"},{"family":"Tarimci","given":"Nilufer"}],"issued":{"date-parts":[["2016",3]]}},"label":"page"},{"id":12025,"uris":["http://zotero.org/users/6216265/items/5VY6YHAC"],"itemData":{"id":12025,"type":"article-journal","container-title":"ACS Infectious Diseases","DOI":"10.1021/acsinfecdis.0c00889","ISSN":"2373-8227, 2373-8227","issue":"5","journalAbbreviation":"ACS Infect. Dis.","language":"en","page":"948-958","source":"DOI.org (Crossref)","title":"Target Product Profile and Development Path for Shigellosis Treatment with Antibacterials","volume":"7","author":[{"family":"Arnold","given":"Samuel L. M."}],"issued":{"date-parts":[["2021",5,14]]}},"label":"page"},{"id":12027,"uris":["http://zotero.org/users/6216265/items/BRZJXFFJ"],"itemData":{"id":12027,"type":"article-journal","container-title":"International Journal of Pharmaceutics","DOI":"10.1016/j.ijpharm.2016.01.075","ISSN":"03785173","issue":"1-2","journalAbbreviation":"International Journal of Pharmaceutics","language":"en","page":"180-189","source":"DOI.org (Crossref)","title":"Self-assembly PEGylation assists SLN-paclitaxel delivery inducing cancer cell apoptosis upon internalization","volume":"501","author":[{"family":"Arranja","given":"Alexandra"},{"family":"Gouveia","given":"Luís F."},{"family":"Gener","given":"Petra"},{"family":"Rafael","given":"Diana F."},{"family":"Pereira","given":"Carolina"},{"family":"Schwartz","given":"Simó"},{"family":"Videira","given":"Mafalda A."}],"issued":{"date-parts":[["2016",3]]}},"label":"page"},{"id":12039,"uris":["http://zotero.org/users/6216265/items/WZMLIC8Z"],"itemData":{"id":12039,"type":"article-journal","container-title":"Malaria Journal","DOI":"10.1186/s12936-016-1675-x","ISSN":"1475-2875","issue":"1","journalAbbreviation":"Malar J","language":"en","page":"26","source":"DOI.org (Crossref)","title":"New developments in anti-malarial target candidate and product profiles","volume":"16","author":[{"family":"Burrows","given":"Jeremy N."},{"family":"Duparc","given":"Stephan"},{"family":"Gutteridge","given":"Winston E."},{"family":"Hooft Van Huijsduijnen","given":"Rob"},{"family":"Kaszubska","given":"Wiweka"},{"family":"Macintyre","given":"Fiona"},{"family":"Mazzuri","given":"Sébastien"},{"family":"Möhrle","given":"Jörg J."},{"family":"Wells","given":"Timothy N. C."}],"issued":{"date-parts":[["2017",12]]}}},{"id":12041,"uris":["http://zotero.org/users/6216265/items/JUE7F3IC"],"itemData":{"id":12041,"type":"article-journal","container-title":"Malaria Journal","DOI":"10.1186/s12936-018-2598-5","ISSN":"1475-2875","issue":"1","journalAbbreviation":"Malar J","language":"en","page":"462","source":"DOI.org (Crossref)","title":"A discovery and development roadmap for new endectocidal transmission-blocking agents in malaria","volume":"17","author":[{"family":"Burrows","given":"Jeremy"},{"family":"Slater","given":"Hannah"},{"family":"Macintyre","given":"Fiona"},{"family":"Rees","given":"Sarah"},{"family":"Thomas","given":"Anna"},{"family":"Okumu","given":"Fredros"},{"family":"Hooft Van Huijsduijnen","given":"Rob"},{"family":"Duparc","given":"Stephan"},{"family":"Wells","given":"Timothy N. C."}],"issued":{"date-parts":[["2018",12]]}},"label":"page"},{"id":12043,"uris":["http://zotero.org/users/6216265/items/5WRCBSSE"],"itemData":{"id":12043,"type":"article-journal","abstract":"Abstract\n            \n              \n              The development of robust and well-characterized methods of production of cell therapies has become increasingly important as therapies advance through clinical trials toward approval. A successful cell therapy will be a consistent, safe, and effective cell product, regardless of the cell type or application. Process development strategies can be developed to gain efficiency while maintaining or improving safety and quality profiles. This review presents an introduction to the process development challenges of cell therapies and describes some of the tools available to address production issues. This article will provide a summary of what should be considered to efficiently advance a cellular therapy from the research stage through clinical trials and finally toward commercialization. The identification of the basic questions that affect process development is summarized in the target product profile, and considerations for process optimization are discussed. The goal is to identify potential manufacturing concerns early in the process so they may be addressed effectively and thus increase the probability that a therapy will be successful.\n            \n            \n              Significance\n              The present study contributes to the field of cell therapy by providing a resource for those transitioning a potential therapy from the research stage to clinical and commercial applications. It provides the necessary steps that, when followed, can result in successful therapies from both a clinical and commercial perspective.","container-title":"Stem Cells Translational Medicine","DOI":"10.5966/sctm.2014-0294","ISSN":"2157-6564, 2157-6580","issue":"10","language":"en","page":"1155-1163","source":"DOI.org (Crossref)","title":"Concise Review: Process Development Considerations for Cell Therapy","title-short":"Concise Review","volume":"4","author":[{"family":"Campbell","given":"Andrew"},{"family":"Brieva","given":"Thomas"},{"family":"Raviv","given":"Lior"},{"family":"Rowley","given":"Jon"},{"family":"Niss","given":"Knut"},{"family":"Brandwein","given":"Harvey"},{"family":"Oh","given":"Steve"},{"family":"Karnieli","given":"Ohad"}],"issued":{"date-parts":[["2015",10,1]]}},"label":"page"},{"id":12045,"uris":["http://zotero.org/users/6216265/items/HWKPZCV2"],"itemData":{"id":12045,"type":"article-journal","abstract":"Significance\n            \n              Genetic systems for controlling transmission of vector-borne diseases are moving from discovery-stage demonstrations of proofs-of-principle to the next phases of development. A successful transition requires meeting safety and efficacy criteria defined in target product profiles. We show here that the Cas9/guide RNA-based gene-drive components of a genetically-engineered malaria mosquito vector,\n              Anopheles gambiae\n              , achieve key target product profile requirements for efficacy and performance. This system is designed to achieve mosquito population modification when coupled with genes encoding antiparasite effector molecules and result in stable and sustainable blocking of malaria parasite transmission.\n            \n          , \n            \n              A Cas9/guide RNA-based gene drive strain, AgNosCd-1, was developed to deliver antiparasite effector molecules to the malaria vector mosquito,\n              Anopheles gambiae\n              . The drive system targets the\n              cardinal\n              gene ortholog producing a red-eye phenotype. Drive can achieve 98 to 100% in both sexes and full introduction was observed in small cage trials within 6 to 10 generations following a single release of gene-drive males. No genetic load resulting from the integrated transgenes impaired drive performance in the trials. Potential drive-resistant target-site alleles arise at a frequency &lt;0.1, and five of the most prevalent polymorphisms in the guide RNA target site in collections of colonized and wild-derived African mosquitoes do not prevent cleavage in vitro by the Cas9/guide RNA complex. Only one predicted off-target site is cleavable in vitro, with negligible deletions observed in vivo. AgNosCd-1 meets key performance criteria of a target product profile and can be a valuable component of a field-ready strain for mosquito population modification to control malaria transmission.","container-title":"Proceedings of the National Academy of Sciences","DOI":"10.1073/pnas.2010214117","ISSN":"0027-8424, 1091-6490","issue":"37","journalAbbreviation":"Proc. Natl. Acad. Sci. U.S.A.","language":"en","page":"22805-22814","source":"DOI.org (Crossref)","title":"Next-generation gene drive for population modification of the malaria vector mosquito, &lt;i&gt;Anopheles gambiae&lt;/i&gt;","volume":"117","author":[{"family":"Carballar-Lejarazú","given":"Rebeca"},{"family":"Ogaugwu","given":"Christian"},{"family":"Tushar","given":"Taylor"},{"family":"Kelsey","given":"Adam"},{"family":"Pham","given":"Thai Binh"},{"family":"Murphy","given":"Jazmin"},{"family":"Schmidt","given":"Hanno"},{"family":"Lee","given":"Yoosook"},{"family":"Lanzaro","given":"Gregory C."},{"family":"James","given":"Anthony A."}],"issued":{"date-parts":[["2020",9,15]]}},"label":"page"},{"id":12057,"uris":["http://zotero.org/users/6216265/items/PSNZ5TKX"],"itemData":{"id":12057,"type":"article-journal","container-title":"Parasite Epidemiology and Control","DOI":"10.1016/j.parepi.2019.e00103","ISSN":"24056731","journalAbbreviation":"Parasite Epidemiology and Control","language":"en","page":"e00103","source":"DOI.org (Crossref)","title":"Target Product Profile for a point-of-care diagnostic test for dermal leishmaniases","volume":"5","author":[{"family":"Cruz","given":"Israel"},{"family":"Albertini","given":"Audrey"},{"family":"Barbeitas","given":"Mady"},{"family":"Arana","given":"Byron"},{"family":"Picado","given":"Albert"},{"family":"Ruiz-Postigo","given":"Jose A."},{"family":"Ndung'u","given":"Joseph M."}],"issued":{"date-parts":[["2019",5]]}},"label":"page"},{"id":12061,"uris":["http://zotero.org/users/6216265/items/V7UR6WBW"],"itemData":{"id":12061,"type":"article-journal","abstract":"Bacterial blood stream infections (BSI) are a common cause of mortality and morbidity globally. As the causative agents and the resulting treatment decisions vary, near-patient testing and surveillance tools are necessary to monitor bacterial causes and resistance to antimicrobial agents. The gold standard to identify BSIs is blood culture (BC), a methodology not widely available in resource-limited settings. The aim of the study was to map out a target product profile of a simplified BC system (SBCS) to inform product development efforts. To identify the desired characteristics of a SBCS, we enlisted a small group of specialists working in Africa and Asia. Questions were used to understand challenges and how these constraints inform system requirements. The specialists were infectious disease physicians, public health/clinical microbiologists, clinical researchers, and technology experts with different geographical backgrounds. All suggested that BC should ideally be available at the district hospital level. Many of the same operational challenges, such as limited availability of culture bottles, electricity and internet connectivity, profuse dust, the lack of ambient temperature control, and human capacity constraints were identified across the different regions. BCs, although the accepted gold standard for diagnosis of BSIs, are not widely available outside of reference/research centers in Africa and Asia. To extend the reach of this important tool, it is crucial to engage product developers and academic research partners to develop accessible alternatives.","container-title":"Diagnostics","DOI":"10.3390/diagnostics9010010","ISSN":"2075-4418","issue":"1","journalAbbreviation":"Diagnostics","language":"en","page":"10","source":"DOI.org (Crossref)","title":"Defining System Requirements for Simplified Blood Culture to Enable Widespread Use in Resource-Limited Settings","volume":"9","author":[{"family":"Dailey","given":"Peter"},{"family":"Osborn","given":"Jennifer"},{"family":"Ashley","given":"Elizabeth"},{"family":"Baron","given":"Ellen"},{"family":"Dance","given":"David"},{"family":"Fusco","given":"Daniela"},{"family":"Fanello","given":"Caterina"},{"family":"Manabe","given":"Yukari"},{"family":"Mokomane","given":"Margaret"},{"family":"Newton","given":"Paul"},{"family":"Tessema","given":"Belay"},{"family":"Isaacs","given":"Chris"},{"family":"Dittrich","given":"Sabine"}],"issued":{"date-parts":[["2019",1,11]]}},"label":"page"},{"id":12065,"uris":["http://zotero.org/users/6216265/items/3MBFKBJQ"],"itemData":{"id":12065,"type":"article-journal","container-title":"The Journal of Infectious Diseases","DOI":"10.1093/infdis/jiu682","ISSN":"0022-1899, 1537-6613","issue":"suppl_2","language":"en","page":"S39-S49","source":"DOI.org (Crossref)","title":"Target Product Profile of a Molecular Drug-Susceptibility Test for Use in Microscopy Centers","volume":"211","author":[{"family":"Denkinger","given":"Claudia M."},{"family":"Dolinger","given":"David"},{"family":"Schito","given":"Marco"},{"family":"Wells","given":"William"},{"family":"Cobelens","given":"Frank"},{"family":"Pai","given":"Madhukar"},{"family":"Zignol","given":"Matteo"},{"family":"Cirillo","given":"Daniela Maria"},{"family":"Alland","given":"David"},{"family":"Casenghi","given":"Martina"},{"family":"Gallarda","given":"Jim"},{"family":"Boehme","given":"Catharina C."},{"family":"Perkins","given":"Mark D."}],"issued":{"date-parts":[["2015",4]]}},"label":"page"},{"id":12067,"uris":["http://zotero.org/users/6216265/items/RRP9XUR4"],"itemData":{"id":12067,"type":"article-journal","container-title":"PLOS ONE","DOI":"10.1371/journal.pone.0161721","ISSN":"1932-6203","issue":"8","journalAbbreviation":"PLoS ONE","language":"en","page":"e0161721","source":"DOI.org (Crossref)","title":"Target Product Profile for a Diagnostic Assay to Differentiate between Bacterial and Non-Bacterial Infections and Reduce Antimicrobial Overuse in Resource-Limited Settings: An Expert Consensus","title-short":"Target Product Profile for a Diagnostic Assay to Differentiate between Bacterial and Non-Bacterial Infections and Reduce Antimicrobial Overuse in Resource-Limited Settings","volume":"11","author":[{"family":"Dittrich","given":"Sabine"},{"family":"Tadesse","given":"Birkneh Tilahun"},{"family":"Moussy","given":"Francis"},{"family":"Chua","given":"Arlene"},{"family":"Zorzet","given":"Anna"},{"family":"Tängdén","given":"Thomas"},{"family":"Dolinger","given":"David L."},{"family":"Page","given":"Anne-Laure"},{"family":"Crump","given":"John A."},{"family":"D’Acremont","given":"Valerie"},{"family":"Bassat","given":"Quique"},{"family":"Lubell","given":"Yoel"},{"family":"Newton","given":"Paul N."},{"family":"Heinrich","given":"Norbert"},{"family":"Rodwell","given":"Timothy J."},{"family":"González","given":"Iveth J."}],"editor":[{"family":"Yansouni","given":"Cedric"}],"issued":{"date-parts":[["2016",8,25]]}},"label":"page"},{"id":12070,"uris":["http://zotero.org/users/6216265/items/MER6KMER"],"itemData":{"id":12070,"type":"article-journal","abstract":"With increasing geographic spread, frequency, and magnitude of outbreaks, dengue continues to pose a major public health threat worldwide. Dengvaxia, a dengue live-attenuated tetravalent vaccine, was licensed in 2015, but post hoc analyses of long-term data showed serostatus-dependent vaccine performance with an excess risk of hospitalized and severe dengue in seronegative vaccine recipients. The World Health Organization (WHO) recommended that only persons with evidence of past dengue infection should receive the vaccine. A test for pre-vaccination screening for dengue serostatus is needed. To develop the target product profile (TPP) for a dengue pre-vaccination screening test, face-to-face consultative meetings were organized with follow-up regional consultations. A technical working group was formed to develop consensus on a reference test against which candidate pre-vaccination screening tests could be compared. The group also reviewed current diagnostic landscape and the need to accelerate the evaluation, regulatory approval, and policy development of tests that can identify seropositive individuals and maximize public health impact of vaccination while avoiding the risk of hospitalization in dengue-naive individuals. Pre-vaccination screening strategies will benefit from rapid diagnostic tests (RDTs) that are affordable, sensitive, and specific and can be used at the point of care (POC). The TPP described the minimum and ideal characteristics of a dengue pre-vaccination screening RDT with an emphasis on high specificity. The group also made suggestions for accelerating access to these RDTs through streamlining regulatory approval and policy development. Risk and benefit based on what can be achieved with RDTs meeting minimal and optimal characteristics in the TPP across a range of seroprevalences were defined. The final choice of RDTs in each country will depend on the performance of the RDT, dengue seroprevalence in the target population, tolerance of risk, and cost-effectiveness.","container-title":"PLOS Neglected Tropical Diseases","DOI":"10.1371/journal.pntd.0009557","ISSN":"1935-2735","issue":"7","journalAbbreviation":"PLoS Negl Trop Dis","language":"en","page":"e0009557","source":"DOI.org (Crossref)","title":"Target product profile for a dengue pre-vaccination screening test","volume":"15","author":[{"family":"Fongwen","given":"Noah"},{"family":"Wilder-Smith","given":"Annelise"},{"family":"Gubler","given":"Duane J."},{"family":"Ooi","given":"Eng Eong"},{"family":"T. Salvana","given":"Edsel Maurice"},{"family":"De Lamballerie","given":"Xavier"},{"family":"Olliaro","given":"Piero L."},{"family":"Peeling","given":"Rosanna W."}],"editor":[{"family":"Gawarammana","given":"Indika"}],"issued":{"date-parts":[["2021",7,29]]}},"label":"page"},{"id":12074,"uris":["http://zotero.org/users/6216265/items/HAXEQ5CJ"],"itemData":{"id":12074,"type":"article-journal","container-title":"PLOS ONE","DOI":"10.1371/journal.pone.0200531","ISSN":"1932-6203","issue":"8","journalAbbreviation":"PLoS ONE","language":"en","page":"e0200531","source":"DOI.org (Crossref)","title":"Matching diagnostics development to clinical need: Target product profile development for a point of care test for community-acquired lower respiratory tract infection","title-short":"Matching diagnostics development to clinical need","volume":"13","author":[{"family":"Gal","given":"Micaela"},{"family":"Francis","given":"Nicholas A."},{"family":"Hood","given":"Kerenza"},{"family":"Villacian","given":"Jorge"},{"family":"Goossens","given":"Herman"},{"family":"Watkins","given":"Angela"},{"family":"Butler","given":"Christopher C."},{"literal":"the RAPP-ID consortium"}],"editor":[{"family":"Gupta","given":"Vineet"}],"issued":{"date-parts":[["2018",8,1]]}},"label":"page"},{"id":12079,"uris":["http://zotero.org/users/6216265/items/LGAAUT2S"],"itemData":{"id":12079,"type":"article-journal","container-title":"AIDS Patient Care and STDs","DOI":"10.1089/108729103322277402","ISSN":"1087-2914, 1557-7449","issue":"8","journalAbbreviation":"AIDS Patient Care and STDs","language":"en","page":"377-399","source":"DOI.org (Crossref)","title":"Development Pharmaceutics of Microbicide Formulations. Part II: Formulation, Evaluation, and Challenges","title-short":"Development Pharmaceutics of Microbicide Formulations. Part II","volume":"17","author":[{"family":"Garg","given":"Sanjay"},{"family":"Tambwekar","given":"Kaustubh R."},{"family":"Vermani","given":"Kavita"},{"family":"Kandarapu","given":"Raghupathi"},{"family":"Garg","given":"Alka"},{"family":"Waller","given":"Donald P."},{"family":"Zaneveld","given":"Lourens J.D."}],"issued":{"date-parts":[["2003",8]]}},"label":"page"},{"id":12082,"uris":["http://zotero.org/users/6216265/items/KYH6Z94A"],"itemData":{"id":12082,"type":"article-journal","abstract":"COVID-19 pandemic will continue to pose a major public health threat until vaccination-mediated herd immunity is achieved. Most projections predict vaccines will reach a large subset of the population late in 2021 or early 2022. In the meantime, countries are exploring options to remove strict lockdown measures and allow society and the economy to return to normal function. One possibility is to expand on existing COVID-19 testing strategies by including large-scale rapid point-of-care diagnostic tests (POCTs). Currently, there is significant variability in performance and features of available POCTs, making selection and procurement of an appropriate test for specific use case difficult. In this review, we have used the World Health Organization’s (WHO) recently published target product profiles (TPPs) for specific use cases of COVID-19 diagnostic tests to screen for top-performing POCTs on the market. Several POCTs, based on clinical sensitivity/specificity, the limit of detection, and time to results, which meet WHO TPP criteria for direct detection of SARS-CoV-2 (acute infection) or indirect diagnosis of past infection (host antibodies), are highlighted here.","container-title":"Diagnostics","DOI":"10.3390/diagnostics11010115","ISSN":"2075-4418","issue":"1","journalAbbreviation":"Diagnostics","language":"en","page":"115","source":"DOI.org (Crossref)","title":"COVID-19 Point-of-Care Diagnostics That Satisfy Global Target Product Profiles","volume":"11","author":[{"family":"Ghaffari","given":"Abdi"},{"family":"Meurant","given":"Robyn"},{"family":"Ardakani","given":"Ali"}],"issued":{"date-parts":[["2021",1,12]]}},"label":"page"},{"id":12094,"uris":["http://zotero.org/users/6216265/items/7GHVMM79"],"itemData":{"id":12094,"type":"article-journal","container-title":"PLOS Neglected Tropical Diseases","DOI":"10.1371/journal.pntd.0003987","ISSN":"1935-2735","issue":"10","journalAbbreviation":"PLoS Negl Trop Dis","language":"en","page":"e0003987","source":"DOI.org (Crossref)","title":"A Proposed Target Product Profile and Developmental Cascade for New Cryptosporidiosis Treatments","volume":"9","author":[{"family":"Huston","given":"Christopher D."},{"family":"Spangenberg","given":"Thomas"},{"family":"Burrows","given":"Jeremy"},{"family":"Willis","given":"Paul"},{"family":"Wells","given":"Timothy N. C."},{"family":"Van Voorhis","given":"Wesley"}],"editor":[{"family":"Vinetz","given":"Joseph M."}],"issued":{"date-parts":[["2015",10,8]]}},"label":"page"},{"id":12162,"uris":["http://zotero.org/users/6216265/items/B6HJ6D5Q"],"itemData":{"id":12162,"type":"article-journal","container-title":"BMC Infectious Diseases","DOI":"10.1186/s12879-017-2770-5","ISSN":"1471-2334","issue":"S1","journalAbbreviation":"BMC Infect Dis","language":"en","page":"707","source":"DOI.org (Crossref)","title":"Optimising diagnosis of viraemic hepatitis C infection: the development of a target product profile","title-short":"Optimising diagnosis of viraemic hepatitis C infection","volume":"17","author":[{"family":"Ivanova Reipold","given":"Elena"},{"family":"Easterbrook","given":"Philippa"},{"family":"Trianni","given":"Alessandra"},{"family":"Panneer","given":"Nivedha"},{"family":"Krakower","given":"Douglas"},{"family":"Ongarello","given":"Stefano"},{"family":"Roberts","given":"Teri"},{"family":"Miller","given":"Veronica"},{"family":"Denkinger","given":"Claudia"}],"issued":{"date-parts":[["2017",11]]}},"label":"page"},{"id":12102,"uris":["http://zotero.org/users/6216265/items/B3LLWKPE"],"itemData":{"id":12102,"type":"article-journal","container-title":"PLOS ONE","DOI":"10.1371/journal.pone.0228311","ISSN":"1932-6203","issue":"1","journalAbbreviation":"PLoS ONE","language":"en","page":"e0228311","source":"DOI.org (Crossref)","title":"Target Product Profile for a mobile app to read rapid diagnostic tests to strengthen infectious disease surveillance","volume":"15","author":[{"family":"Kadam","given":"Rigveda"},{"family":"White","given":"Wallace"},{"family":"Banks","given":"Nicholas"},{"family":"Katz","given":"Zachary"},{"family":"Dittrich","given":"Sabine"},{"family":"Kelly-Cirino","given":"Cassandra"}],"editor":[{"family":"Yansouni","given":"Cedric"}],"issued":{"date-parts":[["2020",1,29]]}},"label":"page"},{"id":12109,"uris":["http://zotero.org/users/6216265/items/23KHJRRG"],"itemData":{"id":12109,"type":"article-journal","container-title":"AAPS PharmSciTech","DOI":"10.1208/s12249-010-9521-x","ISSN":"1530-9932","issue":"3","journalAbbreviation":"AAPS PharmSciTech","language":"en","page":"1476-1481","source":"DOI.org (Crossref)","title":"Considerations in Developing a Target Product Profile for Parenteral Pharmaceutical Products","volume":"11","author":[{"family":"Lambert","given":"William J."}],"issued":{"date-parts":[["2010",9]]}},"label":"page"},{"id":12112,"uris":["http://zotero.org/users/6216265/items/TFH5LRBY"],"itemData":{"id":12112,"type":"article-journal","container-title":"The Lancet HIV","DOI":"10.1016/S2352-3018(20)30234-4","ISSN":"23523018","issue":"1","journalAbbreviation":"The Lancet HIV","language":"en","page":"e42-e50","source":"DOI.org (Crossref)","title":"Multi-stakeholder consensus on a target product profile for an HIV cure","volume":"8","author":[{"family":"Lewin","given":"Sharon R"},{"family":"Attoye","given":"Timothy"},{"family":"Bansbach","given":"Cathy"},{"family":"Doehle","given":"Brian"},{"family":"Dubé","given":"Karine"},{"family":"Dybul","given":"Mark"},{"family":"SenGupta","given":"Devi"},{"family":"Jiang","given":"Adam"},{"family":"Johnston","given":"Rowena"},{"family":"Lamplough","given":"Rosanne"},{"family":"McCune","given":"Joseph M"},{"family":"Nabel","given":"Gary J"},{"family":"Ndung'u","given":"Thumbi"},{"family":"Pottage","given":"John"},{"family":"Ripin","given":"David"},{"family":"Rooney","given":"James F"},{"family":"Sikazwe","given":"Izukanji"},{"family":"Nsubuga","given":"Moses"},{"family":"Warren","given":"Mitchell"},{"family":"Deeks","given":"Steven G"}],"issued":{"date-parts":[["2021",1]]}},"label":"page"},{"id":12116,"uris":["http://zotero.org/users/6216265/items/4JFY2AFP"],"itemData":{"id":12116,"type":"article-journal","container-title":"Malaria Journal","DOI":"10.1186/s12936-018-2549-1","ISSN":"1475-2875","issue":"1","journalAbbreviation":"Malar J","language":"en","page":"402","source":"DOI.org (Crossref)","title":"Injectable anti-malarials revisited: discovery and development of new agents to protect against malaria","title-short":"Injectable anti-malarials revisited","volume":"17","author":[{"family":"Macintyre","given":"Fiona"},{"family":"Ramachandruni","given":"Hanu"},{"family":"Burrows","given":"Jeremy N."},{"family":"Holm","given":"René"},{"family":"Thomas","given":"Anna"},{"family":"Möhrle","given":"Jörg J."},{"family":"Duparc","given":"Stephan"},{"family":"Hooft Van Huijsduijnen","given":"Rob"},{"family":"Greenwood","given":"Brian"},{"family":"Gutteridge","given":"Winston E."},{"family":"Wells","given":"Timothy N. C."},{"family":"Kaszubska","given":"Wiweka"}],"issued":{"date-parts":[["2018",12]]}},"label":"page"},{"id":12126,"uris":["http://zotero.org/users/6216265/items/LPRXPBBN"],"itemData":{"id":12126,"type":"article-journal","abstract":"Introduction\n              Typhoid fever is one of the most common bacterial causes of acute febrile illness in the developing world, with an estimated 10.9 million new cases and 116.8 thousand deaths in 2017. Typhoid point-of-care (POC) diagnostic tests are widely used but have poor sensitivity and specificity, resulting in antibiotic overuse that has led to the emergence and spread of multidrug-resistant strains. With recent advances in typhoid surveillance and detection, this is the ideal time to produce a target product profile (TPP) that guides product development and ensure that a next-generation test meets the needs of users in the resource-limited settings where typhoid is endemic.\n            \n            \n              Methods\n              A structured literature review was conducted to develop a draft TPP for a next-generation typhoid diagnostic test with minimal and optimal desired characteristics for 36 test parameters. The TPP was refined using feedback collected from a Delphi survey of key stakeholders in clinical medicine, microbiology, diagnostics and public and global health.\n            \n            \n              Results\n              \n                A next-generation typhoid diagnostic test should improve patient management through the diagnosis and treatment of infection with acute\n                Salmonella enterica\n                serovars Typhi or Paratyphi with a sensitivity ≥90% and specificity ≥95%. The test would ideally be used at the lowest level of the healthcare system in settings without a reliable power or water supply and provide results in &lt;15 min at a cost of &lt;US$1.00.\n              \n            \n            \n              Conclusion\n              This report outlines the first comprehensive TPP for typhoid fever and is intended to guide the development of a next-generation typhoid diagnostic test. An accurate POC test will reduce the morbidity and mortality of typhoid fever through rapid diagnosis and treatment and will have the greatest impact in reducing antimicrobial resistance if it is combined with diagnostics for other causes of acute febrile illness in a treatment algorithm.","container-title":"BMJ Global Health","DOI":"10.1136/bmjgh-2019-001831","ISSN":"2059-7908","issue":"5","journalAbbreviation":"BMJ Glob Health","language":"en","page":"e001831","source":"DOI.org (Crossref)","title":"Redefining typhoid diagnosis: what would an improved test need to look like?","title-short":"Redefining typhoid diagnosis","volume":"4","author":[{"family":"Mather","given":"Richard G"},{"family":"Hopkins","given":"Heidi"},{"family":"Parry","given":"Christopher M"},{"family":"Dittrich","given":"Sabine"}],"issued":{"date-parts":[["2019",10]]}},"label":"page"},{"id":12139,"uris":["http://zotero.org/users/6216265/items/MHGEWWPD"],"itemData":{"id":12139,"type":"article-journal","container-title":"Journal of Medical Engineering &amp; Technology","DOI":"10.1080/03091902.2021.1946181","ISSN":"0309-1902, 1464-522X","issue":"8","journalAbbreviation":"Journal of Medical Engineering &amp; Technology","language":"en","page":"642-655","source":"DOI.org (Crossref)","title":"Review of recent innovations in portable child growth measurement devices for use in low- and middle-income countries","volume":"45","author":[{"family":"Neale","given":"Geoffrey"},{"family":"Gaihre","given":"Santosh"},{"family":"O’Gorman","given":"Pearse"},{"family":"Price","given":"Ruth K."},{"family":"Balzategi","given":"Ane Galdos"},{"family":"Barrientos","given":"Catalina Herrera"},{"family":"Rawal","given":"Shweta"},{"family":"Morgan","given":"Margaret"},{"family":"McNulty","given":"Helene"}],"issued":{"date-parts":[["2021",11,17]]}},"label":"page"},{"id":12143,"uris":["http://zotero.org/users/6216265/items/GX745N4X"],"itemData":{"id":12143,"type":"article-journal","container-title":"PLOS ONE","DOI":"10.1371/journal.pone.0204347","ISSN":"1932-6203","issue":"9","journalAbbreviation":"PLoS ONE","language":"en","page":"e0204347","source":"DOI.org (Crossref)","title":"Molecular assays for antimalarial drug resistance surveillance: A target product profile","title-short":"Molecular assays for antimalarial drug resistance surveillance","volume":"13","author":[{"family":"Nsanzabana","given":"Christian"},{"family":"Ariey","given":"Frederic"},{"family":"Beck","given":"Hans-Peter"},{"family":"Ding","given":"Xavier C."},{"family":"Kamau","given":"Edwin"},{"family":"Krishna","given":"Sanjeev"},{"family":"Legrand","given":"Eric"},{"family":"Lucchi","given":"Naomi"},{"family":"Miotto","given":"Olivo"},{"family":"Nag","given":"Sidsel"},{"family":"Noedl","given":"Harald"},{"family":"Roper","given":"Cally"},{"family":"Rosenthal","given":"Philip J."},{"family":"Schallig","given":"Henk D. F. H."},{"family":"Taylor","given":"Steve M."},{"family":"Volkman","given":"Sarah K."},{"family":"Gonzalez","given":"Iveth J."}],"editor":[{"family":"Huijben","given":"Silvie"}],"issued":{"date-parts":[["2018",9,20]]}},"label":"page"},{"id":12153,"uris":["http://zotero.org/users/6216265/items/4ZVJE4YB"],"itemData":{"id":12153,"type":"article-journal","abstract":"Health workers in low-resource settings often lack the support and tools to follow evidence-based clinical recommendations for diagnosing, treating and managing sick patients. Digital technologies, by combining patient health information and point-of-care diagnostics with evidence-based clinical protocols, can help improve the quality of care and the rational use of resources, and save patient lives. A growing number of electronic clinical decision support algorithms (CDSAs) on mobile devices are being developed and piloted without evidence of safety or impact. Here, we present a target product profile (TPP) for CDSAs aimed at guiding preventive or curative consultations in low-resource settings. This document will help align developer and implementer processes and product specifications with the needs of end users, in terms of quality, safety, performance and operational functionality. To identify the characteristics of CDSAs, a multidisciplinary group of experts (academia, industry and policy makers) with expertise in diagnostic and CDSA development and implementation in low-income and middle-income countries were convened to discuss a draft TPP. The TPP was finalised through a Delphi process to facilitate consensus building. An agreement greater than 75% was reached for all 40 TPP characteristics. In general, experts were in overwhelming agreement that, given that CDSAs provide patient management recommendations, the underlying clinical algorithms should be human-interpretable and evidence-based. Whenever possible, the algorithm’s patient management output should take into account pretest disease probabilities and likelihood ratios of clinical and diagnostic predictors. In addition, validation processes should at a minimum show that CDSAs are implementing faithfully the evidence they are based on, and ideally the impact on patient health outcomes. In terms of operational needs, CDSAs should be designed to fit within clinic workflows and function in connectivity-challenged and high-volume settings. Data collected through the tool should conform to local patient privacy regulations and international data standards.","container-title":"BMJ Global Health","DOI":"10.1136/bmjgh-2019-002067","ISSN":"2059-7908","issue":"2","journalAbbreviation":"BMJ Glob Health","language":"en","page":"e002067","source":"DOI.org (Crossref)","title":"Electronic clinical decision support algorithms incorporating point-of-care diagnostic tests in low-resource settings: a target product profile","title-short":"Electronic clinical decision support algorithms incorporating point-of-care diagnostic tests in low-resource settings","volume":"5","author":[{"family":"Pellé","given":"Karell G"},{"family":"Rambaud-Althaus","given":"Clotilde"},{"family":"D'Acremont","given":"Valérie"},{"family":"Moran","given":"Gretchen"},{"family":"Sampath","given":"Rangarajan"},{"family":"Katz","given":"Zachary"},{"family":"Moussy","given":"Francis G"},{"family":"Mehl","given":"Garrett Livingston"},{"family":"Dittrich","given":"Sabine"}],"issued":{"date-parts":[["2020",2]]}},"label":"page"},{"id":12166,"uris":["http://zotero.org/users/6216265/items/4CXDQAGY"],"itemData":{"id":12166,"type":"article-journal","container-title":"Vaccine","DOI":"10.1016/j.vaccine.2020.01.017","ISSN":"0264410X","issue":"26","journalAbbreviation":"Vaccine","language":"en","page":"4135-4141","source":"DOI.org (Crossref)","title":"Meeting report: WHO consultation on accelerating Lassa fever vaccine development in endemic countries, Dakar, 10–11 September 2019","title-short":"Meeting report","volume":"38","author":[{"family":"Salami","given":"Kolawole"},{"family":"Gsell","given":"Pierre-Stéphane"},{"family":"Olayinka","given":"Adebola"},{"family":"Maiga","given":"Diadie"},{"family":"Formenty","given":"Pierre"},{"family":"Smith","given":"Peter G."},{"family":"Moorthy","given":"Vasee"}],"issued":{"date-parts":[["2020",5]]}},"label":"page"},{"id":12174,"uris":["http://zotero.org/users/6216265/items/VW2MMZZC"],"itemData":{"id":12174,"type":"article-journal","abstract":"Effective surveillance of Aedes aegypti (Linnaeus, Diptera: Culicidae) is critical to monitoring the impact of vector control measures when mitigating disease transmission by this species. There are benefits to deploying male-specific traps, particularly when a high level of catch-specificity is desired. Here, the rationale behind the developmental process of an entirely new trap which uses a sound lure to capture male Ae. aegypti, the male Aedes sound trap (MAST), is presented as a target product profile with findings from developmental trials of key trap components and performance. Trial results suggest that the presence of a black base associated with the trap influenced male catches as did variations in size of this base, to a degree. Trap entrance shape didn’t influence catch rates, but entrance size did. No significant differences in catch rates were found when sound lures were set to intermittent or continuous playbacks, at volumes between 63–74 dB or frequencies of 450 Hz compared to 500 Hz. Additionally, adult males aged 3 days post-eclosion, were less responsive to sound lures set to 500 Hz than those 4 or 6 days old. Lastly, almost no males were caught when the MAST directly faced continual winds of 1.5 ms−1, but males were captured at low rates during intermittent winds, or if the trap faced away from the wind. The developmental process to optimising this trap is applicable to the development of alternate mosquito traps beyond Aedes sound traps and provides useful information towards the improved surveillance of these disease vectors.","container-title":"Insects","DOI":"10.3390/insects12050388","ISSN":"2075-4450","issue":"5","journalAbbreviation":"Insects","language":"en","page":"388","source":"DOI.org (Crossref)","title":"Designing Aedes (Diptera: Culicidae) Mosquito Traps: The Evolution of the Male Aedes Sound Trap by Iterative Evaluation","title-short":"Designing Aedes (Diptera","volume":"12","author":[{"family":"Staunton","given":"Kyran M."},{"family":"Liu","given":"Jianyi"},{"family":"Townsend","given":"Michael"},{"family":"Desnoyer","given":"Mark"},{"family":"Howell","given":"Paul"},{"family":"Crawford","given":"Jacob E."},{"family":"Xiang","given":"Wei"},{"family":"Snoad","given":"Nigel"},{"family":"Burkot","given":"Thomas R."},{"family":"Ritchie","given":"Scott A."}],"issued":{"date-parts":[["2021",4,27]]}},"label":"page"},{"id":12176,"uris":["http://zotero.org/users/6216265/items/VKCQZ8EL"],"itemData":{"id":12176,"type":"article-journal","container-title":"The International Journal of Tuberculosis and Lung Disease","DOI":"10.5588/ijtld.17.0486","ISSN":"1027-3719","issue":"2","journalAbbreviation":"int j tuberc lung dis","language":"en","page":"125-132","source":"DOI.org (Crossref)","title":"Long-acting formulations for the treatment of latent tuberculous infection: opportunities and challenges","title-short":"Long-acting formulations for the treatment of latent tuberculous infection","volume":"22","author":[{"family":"Swindells","given":"S."},{"family":"Siccardi","given":"M."},{"family":"Barrett","given":"S. E."},{"family":"Olsen","given":"D. B."},{"family":"Grobler","given":"J. A."},{"family":"Podany","given":"A. T."},{"family":"Nuermberger","given":"E."},{"family":"Kim","given":"P."},{"family":"Barry","given":"C. E."},{"family":"Owen","given":"A."},{"family":"Hazuda","given":"D."},{"family":"Flexner","given":"C."}],"issued":{"date-parts":[["2018",2,1]]}},"label":"page"},{"id":12118,"uris":["http://zotero.org/users/6216265/items/2L47LS78"],"itemData":{"id":12118,"type":"article-journal","container-title":"PLoS Medicine","DOI":"10.1371/journal.pmed.1000398","ISSN":"1549-1676","issue":"1","journalAbbreviation":"PLoS Med","language":"en","page":"e1000398","source":"DOI.org (Crossref)","title":"A Research Agenda for Malaria Eradication: Vaccines","title-short":"A Research Agenda for Malaria Eradication","volume":"8","author":[{"literal":"The malERA Consultative Group on Vaccines"}],"issued":{"date-parts":[["2011",1,25]]}},"label":"page"},{"id":12188,"uris":["http://zotero.org/users/6216265/items/KBAXCF2E"],"itemData":{"id":12188,"type":"article-journal","abstract":"Abstract\n            \n              Introduction\n              Multi-parameter diagnostic devices can simplify cardiometabolic disease diagnosis. However, existing devices may not be suitable for use in low-resource settings, where the burden of non-communicable diseases is high. Here we describe the development of a target product profile (TPP) for a point-of-care multi-parameter device for detection of biomarkers for cardiovascular disease and metabolic disorders, including diabetes, in primary care settings in low- and middle-income countries (LMICs).\n            \n            \n              Methods\n              A draft TPP developed by an expert group was reviewed through an online survey and semi-structured expert interviews to identify device characteristics requiring refinement. The draft TPP included 41 characteristics with minimal and optimal requirements; characteristics with an agreement level for either requirement of ≤ 85% in either the survey or among interviewees were further discussed by the expert group and amended as appropriate.\n            \n            \n              Results\n              Twenty people responded to the online survey and 18 experts participated in the interviews. Twenty-two characteristics had an agreement level of ≤ 85% in either the online survey or interviews. The final TPP defines the device as intended to be used for basic diagnosis and management of cardiometabolic disorders (lipids, glucose, HbA1c, and creatinine) as minimal requirement, and offering an expanded test menu for wider cardiometabolic disease management as optimal requirement. To be suitable, the device should be intended for level 1 healthcare settings or lower, used by minimally trained healthcare workers and allow testing using self-contained cartridges or strips without the need for additional reagents. Throughput should be one sample at a time in a single or multi-analyte cartridge, or optimally enable testing of several samples and analytes in parallel with random access.\n            \n            \n              Conclusion\n              This TPP will inform developers of cardiometabolic multi-parameter devices for LMIC settings, and will support decision makers in the evaluation of existing and future devices.","container-title":"BMC Cardiovascular Disorders","DOI":"10.1186/s12872-021-02298-7","ISSN":"1471-2261","issue":"1","journalAbbreviation":"BMC Cardiovasc Disord","language":"en","page":"486","source":"DOI.org (Crossref)","title":"Development of a target product profile for a point-of-care cardiometabolic device","volume":"21","author":[{"family":"Vetter","given":"Beatrice"},{"family":"Beran","given":"David"},{"family":"Boulle","given":"Philippa"},{"family":"Chua","given":"Arlene"},{"family":"De La Tour","given":"Roberto"},{"family":"Hattingh","given":"Lucy"},{"family":"Perel","given":"Pablo"},{"family":"Roglic","given":"Gojka"},{"family":"Sampath","given":"Rangarajan"},{"family":"Woodman","given":"Michael"},{"family":"Perone","given":"Sigiriya Aebischer"}],"issued":{"date-parts":[["2021",12]]}},"label":"page"},{"id":12190,"uris":["http://zotero.org/users/6216265/items/M48MS2XN"],"itemData":{"id":12190,"type":"article-journal","abstract":"Respiratory failure due to SARS-CoV-2 has caused widespread mortality, creating an urgent need for effective treatments and a long-term need for antivirals for future emergent coronaviruses. Pharmacotherapy for respiratory viruses has largely been unsuccessful with the exception of early treatment of influenza viruses, which shortens symptom duration and prevents infection in close contacts. Under the rapidly evolving circumstances of the COVID-19 pandemic, most clinical trials of experimental treatments in the United States have focused on later stages of the disease process. Worldwide, the clinical studies of the most impactful drugs, remdesivir and dexamethasone in ACTT-1, RECOVERY, and Solidarity, have studied hospitalized patients. Less than half of clinical trials in the U.S. have investigated oral agents, and the majority have taken place in hospitals at a disease stage where the viral load is already decreasing. The limited success of treatments for respiratory viruses and the viral dynamics of COVID-19 suggest that an antiviral therapy with the greatest impact against pandemic coronaviruses would be orally administered, well-tolerated, target a highly conserved viral protein or host-coronavirus interaction and could be used effectively throughout the world, including resource-poor settings. We examine the treatment of respiratory viral infections and current clinical trials for COVID-19 to provide a framework for effective antiviral therapy and prevention of future emergent coronaviruses and call attention to the need for continued preclinical drug discovery.","container-title":"Frontiers in Medicine","DOI":"10.3389/fmed.2020.596587","ISSN":"2296-858X","journalAbbreviation":"Front. Med.","page":"596587","source":"DOI.org (Crossref)","title":"The Need for Antiviral Drugs for Pandemic Coronaviruses From a Global Health Perspective","volume":"7","author":[{"family":"Villamagna","given":"Angela Holly"},{"family":"Gore","given":"Sara J."},{"family":"Lewis","given":"James S."},{"family":"Doggett","given":"J. Stone"}],"issued":{"date-parts":[["2020",12,22]]}},"label":"page"},{"id":12193,"uris":["http://zotero.org/users/6216265/items/5GMM8YEM"],"itemData":{"id":12193,"type":"article-journal","abstract":"Paracetamol (acetaminophen) overdose is one of the most common causes of acute liver injury in the Western world. To improve patient care and reduce pressure on already stretched health care providers new biomarkers are needed that identify or exclude liver injury soon after an overdose of paracetamol is ingested. This review highlights the current state of paracetamol poisoning management and how novel biomarkers could improve patient care and save healthcare providers money. Based on the widely used concept of defining a target product profile, a target biomarker profile is proposed that identifies\n              desirable\n              and\n              acceptable\n              key properties for a biomarker in development to enable the improved treatment of this patient population. The current biomarker candidates, with improved hepatic specificity and based on the fundamental mechanistic basis of paracetamol‐induced liver injury, are reviewed and their performance compared with our target profile.","container-title":"British Journal of Clinical Pharmacology","DOI":"10.1111/bcp.12699","ISSN":"0306-5251, 1365-2125","issue":"3","journalAbbreviation":"Brit J Clinical Pharma","language":"en","page":"351-362","source":"DOI.org (Crossref)","title":"Target biomarker profile for the clinical management of paracetamol overdose","volume":"80","author":[{"family":"Vliegenthart","given":"A. D. Bastiaan"},{"family":"Antoine","given":"Daniel J."},{"family":"Dear","given":"James W."}],"issued":{"date-parts":[["2015",9]]}},"label":"page"},{"id":12202,"uris":["http://zotero.org/users/6216265/items/FZQPFILQ"],"itemData":{"id":12202,"type":"article-journal","container-title":"Drug Delivery and Translational Research","DOI":"10.1007/s13346-016-0313-z","ISSN":"2190-393X, 2190-3948","issue":"5","journalAbbreviation":"Drug Deliv. and Transl. Res.","language":"en","page":"572-578","source":"DOI.org (Crossref)","title":"Preliminary consultation on preferred product characteristics of benzathine penicillin G for secondary prophylaxis of rheumatic fever","volume":"6","author":[{"family":"Wyber","given":"Rosemary"},{"family":"Boyd","given":"Ben J"},{"family":"Colquhoun","given":"Samantha"},{"family":"Currie","given":"Bart J"},{"family":"Engel","given":"Mark"},{"family":"Kado","given":"Joseph"},{"family":"Karthikeyan","given":"Ganesan"},{"family":"Sullivan","given":"Mark"},{"family":"Saxena","given":"Anita"},{"family":"Sheel","given":"Meru"},{"family":"Steer","given":"Andrew"},{"family":"Mucumbitsi","given":"Joseph"},{"family":"Zühlke","given":"Liesl"},{"family":"Carapetis","given":"Jonathan"}],"issued":{"date-parts":[["2016",10]]}},"label":"page"}],"schema":"https://github.com/citation-style-language/schema/raw/master/csl-citation.json"} </w:instrText>
            </w:r>
            <w:r>
              <w:fldChar w:fldCharType="separate"/>
            </w:r>
            <w:r w:rsidR="00C94C08" w:rsidRPr="00C94C08">
              <w:rPr>
                <w:rFonts w:ascii="Calibri" w:hAnsi="Calibri" w:cs="Calibri"/>
                <w:szCs w:val="24"/>
              </w:rPr>
              <w:t>(199,200,202,204,207,209,210,212,214,221–224,233,235,238,239,241,243,246,254,257,262,266,268,270,274,283,291,298,303,304,311,314,315,317,323,326,330,333)</w:t>
            </w:r>
            <w:r>
              <w:fldChar w:fldCharType="end"/>
            </w:r>
          </w:p>
        </w:tc>
      </w:tr>
      <w:tr w:rsidR="00595AC5" w14:paraId="7AB77C41" w14:textId="77777777" w:rsidTr="00E666ED">
        <w:tc>
          <w:tcPr>
            <w:tcW w:w="1260" w:type="dxa"/>
            <w:vMerge/>
            <w:vAlign w:val="center"/>
          </w:tcPr>
          <w:p w14:paraId="1AF13998" w14:textId="77777777" w:rsidR="00595AC5" w:rsidRDefault="00595AC5" w:rsidP="00106C2C">
            <w:pPr>
              <w:spacing w:line="276" w:lineRule="auto"/>
            </w:pPr>
          </w:p>
        </w:tc>
        <w:tc>
          <w:tcPr>
            <w:tcW w:w="2790" w:type="dxa"/>
            <w:vAlign w:val="center"/>
          </w:tcPr>
          <w:p w14:paraId="333B2DE6" w14:textId="797C7E8E" w:rsidR="00595AC5" w:rsidRDefault="00595AC5" w:rsidP="00106C2C">
            <w:pPr>
              <w:spacing w:line="276" w:lineRule="auto"/>
            </w:pPr>
            <w:r>
              <w:t>Three thresholds</w:t>
            </w:r>
          </w:p>
        </w:tc>
        <w:tc>
          <w:tcPr>
            <w:tcW w:w="5017" w:type="dxa"/>
            <w:vAlign w:val="center"/>
          </w:tcPr>
          <w:p w14:paraId="005C9472" w14:textId="7A06B4A7" w:rsidR="00595AC5" w:rsidRDefault="00595AC5" w:rsidP="00C94C08">
            <w:pPr>
              <w:spacing w:line="276" w:lineRule="auto"/>
            </w:pPr>
            <w:r>
              <w:fldChar w:fldCharType="begin"/>
            </w:r>
            <w:r w:rsidR="00C94C08">
              <w:instrText xml:space="preserve"> ADDIN ZOTERO_ITEM CSL_CITATION {"citationID":"1WjlyHqt","properties":{"formattedCitation":"(259,272,278)","plainCitation":"(259,272,278)","noteIndex":0},"citationItems":[{"id":12098,"uris":["http://zotero.org/users/6216265/items/N9AXDNH6"],"itemData":{"id":12098,"type":"article-journal","abstract":"This article highlights the importance of building a marketing led cross-functional team that integrates the R&amp;D, and commercialization process in an early stage Biopharma and MedTech company. Marketing should play a prominent role in the cross-functional team at the earliest stages of company formation and product development to identify unmet need, design the development plan, shape the product life cycle, position the product in the competitive set, and understand all market drivers and competitive factors that are essential to ensure commercial success. In particular, in this paper, the focus is on the importance of creating an appealing target product profile (TPP) and describe the rational and methodology for creating the TPP. Drug development is a high risk, high cost, high reward undertaking, and the TPP provides a market-guided approach to development of drugs more quickly, inexpensively, and with a higher rate of success.","container-title":"Journal of Commercial Biotechnology","DOI":"10.5912/jcb924","ISSN":"1478-565X, 1462-8732","issue":"4","journalAbbreviation":"JCB","source":"DOI.org (Crossref)","title":"The R&amp;D Marketing Interface in Biopharma and MedTech","URL":"https://www.commercialbiotechnology.com/index.php/jcb/article/view/924","volume":"24","author":[{"family":"Jambulingam","given":"Thani"}],"accessed":{"date-parts":[["2023",11,2]]},"issued":{"date-parts":[["2019",9,7]]}},"label":"page"},{"id":12122,"uris":["http://zotero.org/users/6216265/items/RPLUFES3"],"itemData":{"id":12122,"type":"article-journal","container-title":"ACS Infectious Diseases","DOI":"10.1021/acsinfecdis.6b00094","ISSN":"2373-8227, 2373-8227","issue":"8","journalAbbreviation":"ACS Infect. Dis.","language":"en","page":"530-537","source":"DOI.org (Crossref)","title":"Cryptosporidiosis Drug Discovery: Opportunities and Challenges","title-short":"Cryptosporidiosis Drug Discovery","volume":"2","author":[{"family":"Manjunatha","given":"Ujjini H."},{"family":"Chao","given":"Alexander T."},{"family":"Leong","given":"F. Joel"},{"family":"Diagana","given":"Thierry T."}],"issued":{"date-parts":[["2016",8,12]]}},"label":"page"},{"id":12131,"uris":["http://zotero.org/users/6216265/items/9IKQU6PU"],"itemData":{"id":12131,"type":"article-journal","container-title":"Vaccine","DOI":"10.1016/j.vaccine.2015.12.032","ISSN":"0264410X","issue":"8","journalAbbreviation":"Vaccine","language":"en","page":"995-1001","source":"DOI.org (Crossref)","title":"Workshop report: Schistosomiasis vaccine clinical development and product characteristics","title-short":"Workshop report","volume":"34","author":[{"family":"Mo","given":"Annie X."},{"family":"Colley","given":"Daniel G."}],"issued":{"date-parts":[["2016",2]]}},"label":"page"}],"schema":"https://github.com/citation-style-language/schema/raw/master/csl-citation.json"} </w:instrText>
            </w:r>
            <w:r>
              <w:fldChar w:fldCharType="separate"/>
            </w:r>
            <w:r w:rsidR="00C94C08" w:rsidRPr="00C94C08">
              <w:rPr>
                <w:rFonts w:ascii="Calibri" w:hAnsi="Calibri" w:cs="Calibri"/>
              </w:rPr>
              <w:t>(259,272,278)</w:t>
            </w:r>
            <w:r>
              <w:fldChar w:fldCharType="end"/>
            </w:r>
          </w:p>
        </w:tc>
      </w:tr>
      <w:tr w:rsidR="00595AC5" w14:paraId="13582304" w14:textId="77777777" w:rsidTr="00E666ED">
        <w:tc>
          <w:tcPr>
            <w:tcW w:w="1260" w:type="dxa"/>
            <w:vMerge/>
            <w:vAlign w:val="center"/>
          </w:tcPr>
          <w:p w14:paraId="63816672" w14:textId="77777777" w:rsidR="00595AC5" w:rsidRDefault="00595AC5" w:rsidP="00106C2C">
            <w:pPr>
              <w:spacing w:line="276" w:lineRule="auto"/>
            </w:pPr>
          </w:p>
        </w:tc>
        <w:tc>
          <w:tcPr>
            <w:tcW w:w="2790" w:type="dxa"/>
            <w:vAlign w:val="center"/>
          </w:tcPr>
          <w:p w14:paraId="76440FAF" w14:textId="157DB587" w:rsidR="00595AC5" w:rsidRDefault="00595AC5" w:rsidP="00106C2C">
            <w:pPr>
              <w:spacing w:line="276" w:lineRule="auto"/>
            </w:pPr>
            <w:r>
              <w:t>Not reported</w:t>
            </w:r>
          </w:p>
        </w:tc>
        <w:tc>
          <w:tcPr>
            <w:tcW w:w="5017" w:type="dxa"/>
            <w:vAlign w:val="center"/>
          </w:tcPr>
          <w:p w14:paraId="2C1A9879" w14:textId="6D0B0D6B" w:rsidR="00595AC5" w:rsidRDefault="00595AC5" w:rsidP="00106C2C">
            <w:pPr>
              <w:spacing w:line="276" w:lineRule="auto"/>
            </w:pPr>
            <w:r>
              <w:fldChar w:fldCharType="begin"/>
            </w:r>
            <w:r w:rsidR="00C94C08">
              <w:instrText xml:space="preserve"> ADDIN ZOTERO_ITEM CSL_CITATION {"citationID":"VYcBoVPR","properties":{"formattedCitation":"(217,219,220,225\\uc0\\u8211{}227,250\\uc0\\u8211{}252,294,327,329,332,335,336)","plainCitation":"(217,219,220,225–227,250–252,294,327,329,332,335,336)","noteIndex":0},"citationItems":[{"id":12018,"uris":["http://zotero.org/users/6216265/items/5MXTTJIV"],"itemData":{"id":12018,"type":"article-journal","container-title":"The International Journal of Tuberculosis and Lung Disease","DOI":"10.5588/ijtld.17.0312","ISSN":"1027-3719","issue":"4","journalAbbreviation":"int j tuberc lung dis","language":"en","page":"425-428","source":"DOI.org (Crossref)","title":"Which attributes within target product profiles for tuberculosis diagnostics are the most important to focus on?","volume":"22","author":[{"family":"Adepoyibi","given":"T."},{"family":"Lilis","given":"L."},{"family":"Greb","given":"H."},{"family":"Boyle","given":"D."}],"issued":{"date-parts":[["2018",4,1]]}},"label":"page"},{"id":12030,"uris":["http://zotero.org/users/6216265/items/CK8YSWR6"],"itemData":{"id":12030,"type":"article-journal","container-title":"Drug Development and Industrial Pharmacy","DOI":"10.1080/03639045.2017.1395459","ISSN":"0363-9045, 1520-5762","issue":"3","journalAbbreviation":"Drug Development and Industrial Pharmacy","language":"en","page":"407-420","source":"DOI.org (Crossref)","title":"QbD-driven development and evaluation of nanostructured lipid carriers (NLCs) of Olmesartan medoxomil employing multivariate statistical techniques","volume":"44","author":[{"family":"Beg","given":"Sarwar"},{"family":"Saini","given":"Sumant"},{"family":"Bandopadhyay","given":"Shantanu"},{"family":"Katare","given":"O. P."},{"family":"Singh","given":"Bhupinder"}],"issued":{"date-parts":[["2018",3,4]]}},"label":"page"},{"id":12032,"uris":["http://zotero.org/users/6216265/items/2D395RHX"],"itemData":{"id":12032,"type":"article-journal","container-title":"Drug Delivery","DOI":"10.3109/10717544.2014.900154","ISSN":"1071-7544, 1521-0464","issue":"6","journalAbbreviation":"Drug Delivery","language":"en","page":"765-784","source":"DOI.org (Crossref)","title":"QbD-based systematic development of novel optimized solid self-nanoemulsifying drug delivery systems (SNEDDS) of lovastatin with enhanced biopharmaceutical performance","volume":"22","author":[{"family":"Beg","given":"Sarwar"},{"family":"Sandhu","given":"Premjeet Singh"},{"family":"Batra","given":"Rattandeep Singh"},{"family":"Khurana","given":"Rajneet Kaur"},{"family":"Singh","given":"Bhupinder"}],"issued":{"date-parts":[["2015",8,18]]}},"label":"page"},{"id":12033,"uris":["http://zotero.org/users/6216265/items/RN2BACGJ"],"itemData":{"id":12033,"type":"article-journal","container-title":"Journal of Investigative Dermatology","DOI":"10.1016/j.jid.2019.07.699","ISSN":"0022202X","issue":"11","journalAbbreviation":"Journal of Investigative Dermatology","language":"en","page":"2252-2257.e1","source":"DOI.org (Crossref)","title":"Research Techniques Made Simple: An Introduction to Drug Discovery for Dermatology","title-short":"Research Techniques Made Simple","volume":"139","author":[{"family":"Bell","given":"Mark"},{"family":"Webster","given":"Lauren"},{"family":"Woodland","given":"Andrew"}],"issued":{"date-parts":[["2019",11]]}},"label":"page"},{"id":12037,"uris":["http://zotero.org/users/6216265/items/Z23XTCGG"],"itemData":{"id":12037,"type":"article-journal","container-title":"Drug Discovery Today","DOI":"10.1016/j.drudis.2019.03.026","ISSN":"13596446","issue":"6","journalAbbreviation":"Drug Discovery Today","language":"en","page":"1237-1241","source":"DOI.org (Crossref)","title":"Accelerated drug discovery by rapid candidate drug identification","volume":"24","author":[{"family":"Bergström","given":"Fredrik"},{"family":"Lindmark","given":"Bo"}],"issued":{"date-parts":[["2019",6]]}},"label":"page"},{"id":12038,"uris":["http://zotero.org/users/6216265/items/9RQC88RQ"],"itemData":{"id":12038,"type":"article-journal","container-title":"Journal of Medicinal Chemistry","DOI":"10.1021/acs.jmedchem.9b00775","ISSN":"0022-2623, 1520-4804","issue":"2","journalAbbreviation":"J. Med. Chem.","language":"en","page":"470-489","source":"DOI.org (Crossref)","title":"Drugs for the Treatment of Zika Virus Infection","volume":"63","author":[{"family":"Bernatchez","given":"Jean A."},{"family":"Tran","given":"Lana T."},{"family":"Li","given":"Jerry"},{"family":"Luan","given":"Yepeng"},{"family":"Siqueira-Neto","given":"Jair L."},{"family":"Li","given":"Rongshi"}],"issued":{"date-parts":[["2020",1,23]]}},"label":"page"},{"id":12047,"uris":["http://zotero.org/users/6216265/items/CV3FADJV"],"itemData":{"id":12047,"type":"article-journal","container-title":"The AAPS Journal","DOI":"10.1208/s12248-013-9472-8","ISSN":"1550-7416","issue":"3","journalAbbreviation":"AAPS J","language":"en","page":"674-683","source":"DOI.org (Crossref)","title":"Generic Development of Topical Dermatologic Products, Part II: Quality by Design for Topical Semisolid Products","title-short":"Generic Development of Topical Dermatologic Products, Part II","volume":"15","author":[{"family":"Chang","given":"Rong-Kun"},{"family":"Raw","given":"Andre"},{"family":"Lionberger","given":"Robert"},{"family":"Yu","given":"Lawrence"}],"issued":{"date-parts":[["2013",7]]}},"label":"page"},{"id":12049,"uris":["http://zotero.org/users/6216265/items/JPXF5H3P"],"itemData":{"id":12049,"type":"article-journal","abstract":"Purpose: The purpose of the study was to develop and optimize rosiglitazone maleate mucoadhesive extended-release tablets by quality by design (QbD) approach. Based on QTPP (quality target product profile) CQAs (critical quality attributes) were identified.  Methods: Failure mode and effects analysis (FMEA) method were adopted for risk assessment. Risk analysis by the evaluation of formulation and process parameters showed that the optimizing the levels of polymers could reduce high risk to achieve target profile. Drug-excipient compatibility studies by Fourier transforms infra-red and DSC studies showed that the drug was compatible with the polymers used. Design of experiment (DoE) performed by Sigma tech software, Carbopol 934P and sodium carboxymethyl cellulose (SCMC) were identified as independent variables and hardness, drug release at 12 hours and ex vivo mucoadhesion time were adopted as responses. Contour plots generated from the software were used for identification of design space.  Results: Carbopol 934P and SCMC had positive and negative effects respectively on the selected responses. Higher the concentration of Carbopol 934P and lower the concentration of SCMC mucoadhesive extended release criteria could be achieved. Drug release kinetics followed first order release with Higuchi diffusion and Fickian diffusion. Ex vivo mucoadhesion test on goat stomach mucosa indicated that adhesion time increased at higher concentrations of Carbopol 934P. Optimized formula satisfying all the required parameters was selected and evaluated. The predicted response values were in close agreement with experimental response values, confirmed by calculating standard error.  Conclusion: It has been concluded that the application of QbD in the optimization reduced the number of trials to produce a cost-effective formula.","container-title":"Advanced Pharmaceutical Bulletin","DOI":"10.15171/apb.2019.032","ISSN":"2228-5881, 2251-7308","issue":"2","journalAbbreviation":"Adv Pharm Bull","language":"en","page":"281-288","source":"DOI.org (Crossref)","title":"A Cost Effective (QbD) Approach in the Development and Optimization of Rosiglitazone Maleate Mucoadhesive Extended Release Tablets – In Vitro and Ex Vivo","volume":"9","author":[{"family":"Chappidi","given":"Suryaprakash Reddy"},{"family":"Bhargav","given":"Eranti"},{"family":"Marikunte","given":"Venkataranganna"},{"family":"Chinthaginjala","given":"Haranath"},{"family":"Vijaya Jyothi","given":"Mallela"},{"family":"Pisay","given":"Muralidhar"},{"family":"Jutur","given":"Mounika"},{"family":"Shaik Mahammad","given":"Mujahid"},{"family":"Poura","given":"Mrunalini"},{"family":"Yadav","given":"Sailaja"},{"family":"Syed","given":"Moinuddin"}],"issued":{"date-parts":[["2019",6,1]]}},"label":"page"},{"id":12051,"uris":["http://zotero.org/users/6216265/items/SVYHIHN7"],"itemData":{"id":12051,"type":"article-journal","container-title":"International Journal of Pharmaceutics","DOI":"10.1016/j.ijpharm.2011.12.024","ISSN":"03785173","issue":"2","journalAbbreviation":"International Journal of Pharmaceutics","language":"en","page":"167-178","source":"DOI.org (Crossref)","title":"Quality by design approach for formulation development: A case study of dispersible tablets","title-short":"Quality by design approach for formulation development","volume":"423","author":[{"family":"Charoo","given":"Naseem A."},{"family":"Shamsher","given":"Areeg A.A."},{"family":"Zidan","given":"Ahmed S."},{"family":"Rahman","given":"Ziyaur"}],"issued":{"date-parts":[["2012",2]]}},"label":"page"},{"id":12089,"uris":["http://zotero.org/users/6216265/items/8GSLRBZA"],"itemData":{"id":12089,"type":"article-journal","container-title":"European Journal of Pharmaceutical Sciences","DOI":"10.1016/j.ejps.2017.01.006","ISSN":"09280987","journalAbbreviation":"European Journal of Pharmaceutical Sciences","language":"en","page":"249-261","source":"DOI.org (Crossref)","title":"A quality by design (QbD) study on enoxaparin sodium loaded polymeric microspheres for colon-specific delivery","volume":"100","author":[{"family":"Hales","given":"Dana"},{"family":"Vlase","given":"Laurian"},{"family":"Porav","given":"Sebastian Alin"},{"family":"Bodoki","given":"Andreea"},{"family":"Barbu-Tudoran","given":"Lucian"},{"family":"Achim","given":"Marcela"},{"family":"Tomuță","given":"Ioan"}],"issued":{"date-parts":[["2017",3]]}},"label":"page"},{"id":12090,"uris":["http://zotero.org/users/6216265/items/BDX2EI6T"],"itemData":{"id":12090,"type":"article-journal","container-title":"Malaria Journal","DOI":"10.1186/1475-2875-13-62","ISSN":"1475-2875","issue":"1","journalAbbreviation":"Malar J","language":"en","page":"62","source":"DOI.org (Crossref)","title":"Pharmacological considerations in the design of anti-malarial drug combination therapies – is matching half-lives enough?","volume":"13","author":[{"family":"Hastings","given":"Ian M"},{"family":"Hodel","given":"Eva Maria"}],"issued":{"date-parts":[["2014",12]]}},"label":"page"},{"id":12092,"uris":["http://zotero.org/users/6216265/items/IJ9LMEFN"],"itemData":{"id":12092,"type":"article-journal","abstract":"Background:\n              Binge-eating disorder (BED) is a common psychiatric condition with adverse psychological and metabolic consequences. Lisdexamfetamine (LDX) is the only approved BED drug treatment. New drugs to treat BED are urgently needed.\n            \n            \n              Methods:\n              A comprehensive review of published psychopathological, pharmacological and clinical findings.\n            \n            \n              Results:\n              The evidence supports the hypothesis that BED is an impulse control disorder with similarities to ADHD, including responsiveness to catecholaminergic drugs, for example LDX and dasotraline. The target product profile (TPP) of the ideal BED drug combines treating the psychopathological drivers of the disorder with an independent weight-loss effect. Drugs with proven efficacy in BED have a common pharmacology; they potentiate central noradrenergic and dopaminergic neurotransmission. Because of the overlap between pharmacotherapy in attention deficit hyperactivity disorder (ADHD) and BED, drug-candidates from diverse pharmacological classes, which have already failed in ADHD would also be predicted to fail if tested in BED. The failure in BED trials of drugs with diverse pharmacological mechanisms indicates many possible avenues for drug discovery can probably be discounted.\n            \n            \n              Conclusions:\n              (1) The efficacy of drugs for BED is dependent on reducing its core psychopathologies of impulsivity, compulsivity and perseveration and by increasing cognitive control of eating. (2) The analysis revealed a large number of pharmacological mechanisms are unlikely to be productive in the search for effective new BED drugs. (3) The most promising areas for new treatments for BED are drugs, which augment noradrenergic and dopaminergic neurotransmission and/or those which are effective in ADHD.","container-title":"Journal of Psychopharmacology","DOI":"10.1177/02698811211032475","ISSN":"0269-8811, 1461-7285","issue":"6","journalAbbreviation":"J Psychopharmacol","language":"en","page":"680-703","source":"DOI.org (Crossref)","title":"Prospects for new drugs to treat binge-eating disorder: Insights from psychopathology and neuropharmacology","title-short":"Prospects for new drugs to treat binge-eating disorder","volume":"36","author":[{"family":"Heal","given":"David J"},{"family":"Smith","given":"Sharon L"}],"issued":{"date-parts":[["2022",6]]}},"label":"page"},{"id":12132,"uris":["http://zotero.org/users/6216265/items/KVXDIG9U"],"itemData":{"id":12132,"type":"article-journal","container-title":"Vaccine: X","DOI":"10.1016/j.jvacx.2020.100060","ISSN":"25901362","journalAbbreviation":"Vaccine: X","language":"en","page":"100060","source":"DOI.org (Crossref)","title":"Theoretical risk of genetic reassortment should not impede development of live, attenuated Rift Valley fever (RVF) vaccines commentary on the draft WHO RVF Target Product Profile","volume":"5","author":[{"family":"Monath","given":"Thomas P."},{"family":"Kortekaas","given":"Jeroen"},{"family":"Watts","given":"Douglas M."},{"family":"Christofferson","given":"Rebecca C."},{"family":"Desiree LaBeaud","given":"Angelle"},{"family":"Gowen","given":"Brian B"},{"family":"Peters","given":"Clarence J."},{"family":"Smith","given":"Darci R."},{"family":"Swanepoel","given":"Robert"},{"family":"Morrill","given":"John C."},{"family":"Ksiazek","given":"Thomas G."},{"family":"Pittman","given":"Phillip R"},{"family":"Nichol","given":"Stuart T."},{"family":"Bird","given":"Brian H."},{"family":"Bettinger","given":"George"}],"issued":{"date-parts":[["2020",8]]}},"label":"page"},{"id":12158,"uris":["http://zotero.org/users/6216265/items/GPYXURV9"],"itemData":{"id":12158,"type":"article-journal","container-title":"PLOS Neglected Tropical Diseases","DOI":"10.1371/journal.pntd.0003697","ISSN":"1935-2735","issue":"6","journalAbbreviation":"PLoS Negl Trop Dis","language":"en","page":"e0003697","source":"DOI.org (Crossref)","title":"Target Product Profile (TPP) for Chagas Disease Point-of-Care Diagnosis and Assessment of Response to Treatment","volume":"9","author":[{"family":"Porrás","given":"Analía I."},{"family":"Yadon","given":"Zaida E."},{"family":"Altcheh","given":"Jaime"},{"family":"Britto","given":"Constança"},{"family":"Chaves","given":"Gabriela C."},{"family":"Flevaud","given":"Laurence"},{"family":"Martins-Filho","given":"Olindo Assis"},{"family":"Ribeiro","given":"Isabela"},{"family":"Schijman","given":"Alejandro G."},{"family":"Shikanai-Yasuda","given":"Maria Aparecida"},{"family":"Sosa-Estani","given":"Sergio"},{"family":"Stobbaerts","given":"Eric"},{"family":"Zicker","given":"Fabio"}],"editor":[{"family":"Debrabant","given":"Alain"}],"issued":{"date-parts":[["2015",6,4]]}},"label":"page"},{"id":12173,"uris":["http://zotero.org/users/6216265/items/XZYY4ZIT"],"itemData":{"id":12173,"type":"chapter","container-title":"Pharmaceutical Medicine and Translational Clinical Research","ISBN":"978-0-12-802103-3","language":"en","note":"DOI: 10.1016/B978-0-12-802103-3.00005-5","page":"65-80","publisher":"Elsevier","source":"DOI.org (Crossref)","title":"Target Product Profile and Clinical Development Plan","URL":"https://linkinghub.elsevier.com/retrieve/pii/B9780128021033000055","author":[{"family":"Singh","given":"Gursharan"}],"accessed":{"date-parts":[["2023",11,2]]},"issued":{"date-parts":[["2018"]]}},"label":"page"}],"schema":"https://github.com/citation-style-language/schema/raw/master/csl-citation.json"} </w:instrText>
            </w:r>
            <w:r>
              <w:fldChar w:fldCharType="separate"/>
            </w:r>
            <w:r w:rsidR="00C94C08" w:rsidRPr="00C94C08">
              <w:rPr>
                <w:rFonts w:ascii="Calibri" w:hAnsi="Calibri" w:cs="Calibri"/>
                <w:szCs w:val="24"/>
              </w:rPr>
              <w:t>(217,219,220,225–227,250–252,294,327,329,332,335,336)</w:t>
            </w:r>
            <w:r>
              <w:fldChar w:fldCharType="end"/>
            </w:r>
          </w:p>
        </w:tc>
      </w:tr>
      <w:tr w:rsidR="00AA466E" w14:paraId="3A58B7F1" w14:textId="77777777" w:rsidTr="00E666ED">
        <w:tc>
          <w:tcPr>
            <w:tcW w:w="1260" w:type="dxa"/>
            <w:vMerge w:val="restart"/>
            <w:vAlign w:val="center"/>
          </w:tcPr>
          <w:p w14:paraId="164DFB3E" w14:textId="5AAD9229" w:rsidR="00AA466E" w:rsidRPr="00AA466E" w:rsidRDefault="00AA466E" w:rsidP="00106C2C">
            <w:pPr>
              <w:spacing w:line="276" w:lineRule="auto"/>
              <w:rPr>
                <w:b/>
                <w:bCs/>
              </w:rPr>
            </w:pPr>
            <w:r w:rsidRPr="00AA466E">
              <w:rPr>
                <w:b/>
                <w:bCs/>
              </w:rPr>
              <w:t xml:space="preserve">Categories </w:t>
            </w:r>
          </w:p>
        </w:tc>
        <w:tc>
          <w:tcPr>
            <w:tcW w:w="2790" w:type="dxa"/>
            <w:vAlign w:val="center"/>
          </w:tcPr>
          <w:p w14:paraId="48AC394A" w14:textId="70AFD41A" w:rsidR="00AA466E" w:rsidRDefault="00AA466E" w:rsidP="00106C2C">
            <w:pPr>
              <w:spacing w:line="276" w:lineRule="auto"/>
            </w:pPr>
            <w:r>
              <w:t xml:space="preserve">Papers </w:t>
            </w:r>
            <w:proofErr w:type="spellStart"/>
            <w:r>
              <w:t>categorising</w:t>
            </w:r>
            <w:proofErr w:type="spellEnd"/>
            <w:r>
              <w:t xml:space="preserve"> TPP features</w:t>
            </w:r>
          </w:p>
        </w:tc>
        <w:tc>
          <w:tcPr>
            <w:tcW w:w="5017" w:type="dxa"/>
            <w:vAlign w:val="center"/>
          </w:tcPr>
          <w:p w14:paraId="121E9577" w14:textId="5E61C20B" w:rsidR="00AA466E" w:rsidRDefault="00AA466E" w:rsidP="00106C2C">
            <w:pPr>
              <w:spacing w:line="276" w:lineRule="auto"/>
            </w:pPr>
            <w:r>
              <w:fldChar w:fldCharType="begin"/>
            </w:r>
            <w:r w:rsidR="00C94C08">
              <w:instrText xml:space="preserve"> ADDIN ZOTERO_ITEM CSL_CITATION {"citationID":"xyNSAwZU","properties":{"formattedCitation":"(200\\uc0\\u8211{}202,204,207,209,218,233,235,238,239,241,243,257,262,266,274,283,291,293,314)","plainCitation":"(200–202,204,207,209,218,233,235,238,239,241,243,257,262,266,274,283,291,293,314)","noteIndex":0},"citationItems":[{"id":12210,"uris":["http://zotero.org/users/6216265/items/XIJQJ62C"],"itemData":{"id":12210,"type":"article-journal","container-title":"The Journal of Infectious Diseases","DOI":"10.1093/infdis/jiu821","ISSN":"0022-1899, 1537-6613","issue":"suppl_2","language":"en","page":"S29-S38","source":"DOI.org (Crossref)","title":"Defining the Needs for Next Generation Assays for Tuberculosis","volume":"211","author":[{"family":"Denkinger","given":"Claudia M."},{"family":"Kik","given":"Sandra V."},{"family":"Cirillo","given":"Daniela Maria"},{"family":"Casenghi","given":"Martina"},{"family":"Shinnick","given":"Thomas"},{"family":"Weyer","given":"Karin"},{"family":"Gilpin","given":"Chris"},{"family":"Boehme","given":"Catharina C."},{"family":"Schito","given":"Marco"},{"family":"Kimerling","given":"Michael"},{"family":"Pai","given":"Madhukar"}],"issued":{"date-parts":[["2015",4]]}},"label":"page"},{"id":12212,"uris":["http://zotero.org/users/6216265/items/9JFPHFWZ"],"itemData":{"id":12212,"type":"article-journal","container-title":"PLOS Neglected Tropical Diseases","DOI":"10.1371/journal.pntd.0005516","ISSN":"1935-2735","issue":"4","journalAbbreviation":"PLoS Negl Trop Dis","language":"en","page":"e0005516","source":"DOI.org (Crossref)","title":"Defining the next generation of Plasmodium vivax diagnostic tests for control and elimination: Target product profiles","title-short":"Defining the next generation of Plasmodium vivax diagnostic tests for control and elimination","volume":"11","author":[{"family":"Ding","given":"Xavier C."},{"family":"Ade","given":"Maria Paz"},{"family":"Baird","given":"J. Kevin"},{"family":"Cheng","given":"Qin"},{"family":"Cunningham","given":"Jane"},{"family":"Dhorda","given":"Mehul"},{"family":"Drakeley","given":"Chris"},{"family":"Felger","given":"Ingrid"},{"family":"Gamboa","given":"Dionicia"},{"family":"Harbers","given":"Matthias"},{"family":"Herrera","given":"Socrates"},{"family":"Lucchi","given":"Naomi"},{"family":"Mayor","given":"Alfredo"},{"family":"Mueller","given":"Ivo"},{"family":"Sattabongkot","given":"Jetsumon"},{"family":"Ratsimbason","given":"Arsène"},{"family":"Richards","given":"Jack"},{"family":"Tanner","given":"Marcel"},{"family":"González","given":"Iveth J."}],"editor":[{"family":"Pimenta","given":"Paulo Filemon"}],"issued":{"date-parts":[["2017",4,3]]}},"label":"page"},{"id":12214,"uris":["http://zotero.org/users/6216265/items/F3AIGXXG"],"itemData":{"id":12214,"type":"article-journal","container-title":"PLOS Neglected Tropical Diseases","DOI":"10.1371/journal.pntd.0005875","ISSN":"1935-2735","issue":"9","journalAbbreviation":"PLoS Negl Trop Dis","language":"en","page":"e0005875","source":"DOI.org (Crossref)","title":"Target product profiles for the diagnosis of Taenia solium taeniasis, neurocysticercosis and porcine cysticercosis","volume":"11","author":[{"family":"Donadeu","given":"Meritxell"},{"family":"Fahrion","given":"Anna S."},{"family":"Olliaro","given":"Piero L."},{"family":"Abela-Ridder","given":"Bernadette"}],"editor":[{"family":"Garcia","given":"Hector H."}],"issued":{"date-parts":[["2017",9,11]]}},"label":"page"},{"id":12216,"uris":["http://zotero.org/users/6216265/items/YHFANQX2"],"itemData":{"id":12216,"type":"article-journal","container-title":"PLOS Neglected Tropical Diseases","DOI":"10.1371/journal.pntd.0006213","ISSN":"1935-2735","issue":"3","journalAbbreviation":"PLoS Negl Trop Dis","language":"en","page":"e0006213","source":"DOI.org (Crossref)","title":"Diagnostic tools for soil-transmitted helminths control and elimination programs: A pathway for diagnostic product development","title-short":"Diagnostic tools for soil-transmitted helminths control and elimination programs","volume":"12","author":[{"family":"Lim","given":"Mark D."},{"family":"Brooker","given":"Simon J."},{"family":"Belizario","given":"Vicente Y."},{"family":"Gay-Andrieu","given":"Françoise"},{"family":"Gilleard","given":"John"},{"family":"Levecke","given":"Bruno"},{"family":"Van Lieshout","given":"Lisette"},{"family":"Medley","given":"Graham F."},{"family":"Mekonnen","given":"Zeleke"},{"family":"Mirams","given":"Greg"},{"family":"Njenga","given":"Sammy M."},{"family":"Odiere","given":"Maurice R."},{"family":"Rudge","given":"James W."},{"family":"Stuyver","given":"Lieven"},{"family":"Vercruysse","given":"Jozef"},{"family":"Vlaminck","given":"Johnny"},{"family":"Walson","given":"Judd L."},{"literal":"the Annecy STH diagnostic experts group"}],"editor":[{"family":"Maruyama","given":"Haruhiko"}],"issued":{"date-parts":[["2018",3,1]]}},"label":"page"},{"id":12222,"uris":["http://zotero.org/users/6216265/items/77LMTDQW"],"itemData":{"id":12222,"type":"article-journal","container-title":"Sexually Transmitted Infections","DOI":"10.1136/sextrans-2016-053071","ISSN":"1368-4973, 1472-3263","issue":"S4","journalAbbreviation":"Sex Transm Infect","language":"en","page":"S69-S80","source":"DOI.org (Crossref)","title":"Advancing prevention of sexually transmitted infections through point-of-care testing: target product profiles and landscape analysis","title-short":"Advancing prevention of sexually transmitted infections through point-of-care testing","volume":"93","author":[{"family":"Toskin","given":"Igor"},{"family":"Murtagh","given":"Maurine"},{"family":"Peeling","given":"Rosanna W"},{"family":"Blondeel","given":"Karel"},{"family":"Cordero","given":"Joanna"},{"family":"Kiarie","given":"James"}],"issued":{"date-parts":[["2017",12]]}},"label":"page"},{"id":12021,"uris":["http://zotero.org/users/6216265/items/62V73I6Q"],"itemData":{"id":12021,"type":"article-journal","container-title":"PLOS Neglected Tropical Diseases","DOI":"10.1371/journal.pntd.0008035","ISSN":"1935-2735","issue":"4","journalAbbreviation":"PLoS Negl Trop Dis","language":"en","page":"e0008035","source":"DOI.org (Crossref)","title":"Target product profile for a test for the early assessment of treatment efficacy in Chagas disease patients: An expert consensus","title-short":"Target product profile for a test for the early assessment of treatment efficacy in Chagas disease patients","volume":"14","author":[{"family":"Alonso-Padilla","given":"Julio"},{"family":"Abril","given":"Marcelo"},{"family":"Alarcón De Noya","given":"Belkisyolé"},{"family":"Almeida","given":"Igor C."},{"family":"Angheben","given":"Andrea"},{"family":"Araujo Jorge","given":"Tania"},{"family":"Chatelain","given":"Eric"},{"family":"Esteva","given":"Monica"},{"family":"Gascón","given":"Joaquim"},{"family":"Grijalva","given":"Mario J."},{"family":"Guhl","given":"Felipe"},{"family":"Hasslocher-Moreno","given":"Alejandro Marcel"},{"family":"López","given":"Manuel Carlos"},{"family":"Luquetti","given":"Alejandro"},{"family":"Noya","given":"Oscar"},{"family":"Pinazo","given":"María Jesús"},{"family":"Ramsey","given":"Janine M."},{"family":"Ribeiro","given":"Isabela"},{"family":"Ruiz","given":"Andres Mariano"},{"family":"Schijman","given":"Alejandro G."},{"family":"Sosa-Estani","given":"Sergio"},{"family":"Thomas","given":"M. Carmen"},{"family":"Torrico","given":"Faustino"},{"family":"Zrein","given":"Maan"},{"family":"Picado","given":"Albert"}],"editor":[{"family":"Santiago","given":"Helton Da Costa"}],"issued":{"date-parts":[["2020",4,23]]}},"label":"page"},{"id":12034,"uris":["http://zotero.org/users/6216265/items/PVHKZWP8"],"itemData":{"id":12034,"type":"article-journal","container-title":"Global Health: Science and Practice","DOI":"10.9745/GHSP-D-20-00028","ISSN":"2169-575X","issue":"3","journalAbbreviation":"Glob Health Sci Pract","language":"en","page":"549-565","source":"DOI.org (Crossref)","title":"Matching Development of Point-of-Care Diagnostic Tests to the Local Context: A Case Study of Visceral Leishmaniasis in Kenya and Uganda","title-short":"Matching Development of Point-of-Care Diagnostic Tests to the Local Context","volume":"8","author":[{"family":"Bengtson","given":"Michel"},{"family":"Bharadwaj","given":"Mitasha"},{"family":"Bosch","given":"Astrid Ten"},{"family":"Nyakundi","given":"Hellen"},{"family":"Matoke-Muhia","given":"Damaris"},{"family":"Dekker","given":"Cees"},{"family":"Diehl","given":"Jan-Carel"}],"issued":{"date-parts":[["2020",9,30]]}},"label":"page"},{"id":12057,"uris":["http://zotero.org/users/6216265/items/PSNZ5TKX"],"itemData":{"id":12057,"type":"article-journal","container-title":"Parasite Epidemiology and Control","DOI":"10.1016/j.parepi.2019.e00103","ISSN":"24056731","journalAbbreviation":"Parasite Epidemiology and Control","language":"en","page":"e00103","source":"DOI.org (Crossref)","title":"Target Product Profile for a point-of-care diagnostic test for dermal leishmaniases","volume":"5","author":[{"family":"Cruz","given":"Israel"},{"family":"Albertini","given":"Audrey"},{"family":"Barbeitas","given":"Mady"},{"family":"Arana","given":"Byron"},{"family":"Picado","given":"Albert"},{"family":"Ruiz-Postigo","given":"Jose A."},{"family":"Ndung'u","given":"Joseph M."}],"issued":{"date-parts":[["2019",5]]}},"label":"page"},{"id":12061,"uris":["http://zotero.org/users/6216265/items/V7UR6WBW"],"itemData":{"id":12061,"type":"article-journal","abstract":"Bacterial blood stream infections (BSI) are a common cause of mortality and morbidity globally. As the causative agents and the resulting treatment decisions vary, near-patient testing and surveillance tools are necessary to monitor bacterial causes and resistance to antimicrobial agents. The gold standard to identify BSIs is blood culture (BC), a methodology not widely available in resource-limited settings. The aim of the study was to map out a target product profile of a simplified BC system (SBCS) to inform product development efforts. To identify the desired characteristics of a SBCS, we enlisted a small group of specialists working in Africa and Asia. Questions were used to understand challenges and how these constraints inform system requirements. The specialists were infectious disease physicians, public health/clinical microbiologists, clinical researchers, and technology experts with different geographical backgrounds. All suggested that BC should ideally be available at the district hospital level. Many of the same operational challenges, such as limited availability of culture bottles, electricity and internet connectivity, profuse dust, the lack of ambient temperature control, and human capacity constraints were identified across the different regions. BCs, although the accepted gold standard for diagnosis of BSIs, are not widely available outside of reference/research centers in Africa and Asia. To extend the reach of this important tool, it is crucial to engage product developers and academic research partners to develop accessible alternatives.","container-title":"Diagnostics","DOI":"10.3390/diagnostics9010010","ISSN":"2075-4418","issue":"1","journalAbbreviation":"Diagnostics","language":"en","page":"10","source":"DOI.org (Crossref)","title":"Defining System Requirements for Simplified Blood Culture to Enable Widespread Use in Resource-Limited Settings","volume":"9","author":[{"family":"Dailey","given":"Peter"},{"family":"Osborn","given":"Jennifer"},{"family":"Ashley","given":"Elizabeth"},{"family":"Baron","given":"Ellen"},{"family":"Dance","given":"David"},{"family":"Fusco","given":"Daniela"},{"family":"Fanello","given":"Caterina"},{"family":"Manabe","given":"Yukari"},{"family":"Mokomane","given":"Margaret"},{"family":"Newton","given":"Paul"},{"family":"Tessema","given":"Belay"},{"family":"Isaacs","given":"Chris"},{"family":"Dittrich","given":"Sabine"}],"issued":{"date-parts":[["2019",1,11]]}},"label":"page"},{"id":12065,"uris":["http://zotero.org/users/6216265/items/3MBFKBJQ"],"itemData":{"id":12065,"type":"article-journal","container-title":"The Journal of Infectious Diseases","DOI":"10.1093/infdis/jiu682","ISSN":"0022-1899, 1537-6613","issue":"suppl_2","language":"en","page":"S39-S49","source":"DOI.org (Crossref)","title":"Target Product Profile of a Molecular Drug-Susceptibility Test for Use in Microscopy Centers","volume":"211","author":[{"family":"Denkinger","given":"Claudia M."},{"family":"Dolinger","given":"David"},{"family":"Schito","given":"Marco"},{"family":"Wells","given":"William"},{"family":"Cobelens","given":"Frank"},{"family":"Pai","given":"Madhukar"},{"family":"Zignol","given":"Matteo"},{"family":"Cirillo","given":"Daniela Maria"},{"family":"Alland","given":"David"},{"family":"Casenghi","given":"Martina"},{"family":"Gallarda","given":"Jim"},{"family":"Boehme","given":"Catharina C."},{"family":"Perkins","given":"Mark D."}],"issued":{"date-parts":[["2015",4]]}},"label":"page"},{"id":12067,"uris":["http://zotero.org/users/6216265/items/RRP9XUR4"],"itemData":{"id":12067,"type":"article-journal","container-title":"PLOS ONE","DOI":"10.1371/journal.pone.0161721","ISSN":"1932-6203","issue":"8","journalAbbreviation":"PLoS ONE","language":"en","page":"e0161721","source":"DOI.org (Crossref)","title":"Target Product Profile for a Diagnostic Assay to Differentiate between Bacterial and Non-Bacterial Infections and Reduce Antimicrobial Overuse in Resource-Limited Settings: An Expert Consensus","title-short":"Target Product Profile for a Diagnostic Assay to Differentiate between Bacterial and Non-Bacterial Infections and Reduce Antimicrobial Overuse in Resource-Limited Settings","volume":"11","author":[{"family":"Dittrich","given":"Sabine"},{"family":"Tadesse","given":"Birkneh Tilahun"},{"family":"Moussy","given":"Francis"},{"family":"Chua","given":"Arlene"},{"family":"Zorzet","given":"Anna"},{"family":"Tängdén","given":"Thomas"},{"family":"Dolinger","given":"David L."},{"family":"Page","given":"Anne-Laure"},{"family":"Crump","given":"John A."},{"family":"D’Acremont","given":"Valerie"},{"family":"Bassat","given":"Quique"},{"family":"Lubell","given":"Yoel"},{"family":"Newton","given":"Paul N."},{"family":"Heinrich","given":"Norbert"},{"family":"Rodwell","given":"Timothy J."},{"family":"González","given":"Iveth J."}],"editor":[{"family":"Yansouni","given":"Cedric"}],"issued":{"date-parts":[["2016",8,25]]}},"label":"page"},{"id":12070,"uris":["http://zotero.org/users/6216265/items/MER6KMER"],"itemData":{"id":12070,"type":"article-journal","abstract":"With increasing geographic spread, frequency, and magnitude of outbreaks, dengue continues to pose a major public health threat worldwide. Dengvaxia, a dengue live-attenuated tetravalent vaccine, was licensed in 2015, but post hoc analyses of long-term data showed serostatus-dependent vaccine performance with an excess risk of hospitalized and severe dengue in seronegative vaccine recipients. The World Health Organization (WHO) recommended that only persons with evidence of past dengue infection should receive the vaccine. A test for pre-vaccination screening for dengue serostatus is needed. To develop the target product profile (TPP) for a dengue pre-vaccination screening test, face-to-face consultative meetings were organized with follow-up regional consultations. A technical working group was formed to develop consensus on a reference test against which candidate pre-vaccination screening tests could be compared. The group also reviewed current diagnostic landscape and the need to accelerate the evaluation, regulatory approval, and policy development of tests that can identify seropositive individuals and maximize public health impact of vaccination while avoiding the risk of hospitalization in dengue-naive individuals. Pre-vaccination screening strategies will benefit from rapid diagnostic tests (RDTs) that are affordable, sensitive, and specific and can be used at the point of care (POC). The TPP described the minimum and ideal characteristics of a dengue pre-vaccination screening RDT with an emphasis on high specificity. The group also made suggestions for accelerating access to these RDTs through streamlining regulatory approval and policy development. Risk and benefit based on what can be achieved with RDTs meeting minimal and optimal characteristics in the TPP across a range of seroprevalences were defined. The final choice of RDTs in each country will depend on the performance of the RDT, dengue seroprevalence in the target population, tolerance of risk, and cost-effectiveness.","container-title":"PLOS Neglected Tropical Diseases","DOI":"10.1371/journal.pntd.0009557","ISSN":"1935-2735","issue":"7","journalAbbreviation":"PLoS Negl Trop Dis","language":"en","page":"e0009557","source":"DOI.org (Crossref)","title":"Target product profile for a dengue pre-vaccination screening test","volume":"15","author":[{"family":"Fongwen","given":"Noah"},{"family":"Wilder-Smith","given":"Annelise"},{"family":"Gubler","given":"Duane J."},{"family":"Ooi","given":"Eng Eong"},{"family":"T. Salvana","given":"Edsel Maurice"},{"family":"De Lamballerie","given":"Xavier"},{"family":"Olliaro","given":"Piero L."},{"family":"Peeling","given":"Rosanna W."}],"editor":[{"family":"Gawarammana","given":"Indika"}],"issued":{"date-parts":[["2021",7,29]]}},"label":"page"},{"id":12074,"uris":["http://zotero.org/users/6216265/items/HAXEQ5CJ"],"itemData":{"id":12074,"type":"article-journal","container-title":"PLOS ONE","DOI":"10.1371/journal.pone.0200531","ISSN":"1932-6203","issue":"8","journalAbbreviation":"PLoS ONE","language":"en","page":"e0200531","source":"DOI.org (Crossref)","title":"Matching diagnostics development to clinical need: Target product profile development for a point of care test for community-acquired lower respiratory tract infection","title-short":"Matching diagnostics development to clinical need","volume":"13","author":[{"family":"Gal","given":"Micaela"},{"family":"Francis","given":"Nicholas A."},{"family":"Hood","given":"Kerenza"},{"family":"Villacian","given":"Jorge"},{"family":"Goossens","given":"Herman"},{"family":"Watkins","given":"Angela"},{"family":"Butler","given":"Christopher C."},{"literal":"the RAPP-ID consortium"}],"editor":[{"family":"Gupta","given":"Vineet"}],"issued":{"date-parts":[["2018",8,1]]}},"label":"page"},{"id":12162,"uris":["http://zotero.org/users/6216265/items/B6HJ6D5Q"],"itemData":{"id":12162,"type":"article-journal","container-title":"BMC Infectious Diseases","DOI":"10.1186/s12879-017-2770-5","ISSN":"1471-2334","issue":"S1","journalAbbreviation":"BMC Infect Dis","language":"en","page":"707","source":"DOI.org (Crossref)","title":"Optimising diagnosis of viraemic hepatitis C infection: the development of a target product profile","title-short":"Optimising diagnosis of viraemic hepatitis C infection","volume":"17","author":[{"family":"Ivanova Reipold","given":"Elena"},{"family":"Easterbrook","given":"Philippa"},{"family":"Trianni","given":"Alessandra"},{"family":"Panneer","given":"Nivedha"},{"family":"Krakower","given":"Douglas"},{"family":"Ongarello","given":"Stefano"},{"family":"Roberts","given":"Teri"},{"family":"Miller","given":"Veronica"},{"family":"Denkinger","given":"Claudia"}],"issued":{"date-parts":[["2017",11]]}},"label":"page"},{"id":12102,"uris":["http://zotero.org/users/6216265/items/B3LLWKPE"],"itemData":{"id":12102,"type":"article-journal","container-title":"PLOS ONE","DOI":"10.1371/journal.pone.0228311","ISSN":"1932-6203","issue":"1","journalAbbreviation":"PLoS ONE","language":"en","page":"e0228311","source":"DOI.org (Crossref)","title":"Target Product Profile for a mobile app to read rapid diagnostic tests to strengthen infectious disease surveillance","volume":"15","author":[{"family":"Kadam","given":"Rigveda"},{"family":"White","given":"Wallace"},{"family":"Banks","given":"Nicholas"},{"family":"Katz","given":"Zachary"},{"family":"Dittrich","given":"Sabine"},{"family":"Kelly-Cirino","given":"Cassandra"}],"editor":[{"family":"Yansouni","given":"Cedric"}],"issued":{"date-parts":[["2020",1,29]]}},"label":"page"},{"id":12109,"uris":["http://zotero.org/users/6216265/items/23KHJRRG"],"itemData":{"id":12109,"type":"article-journal","container-title":"AAPS PharmSciTech","DOI":"10.1208/s12249-010-9521-x","ISSN":"1530-9932","issue":"3","journalAbbreviation":"AAPS PharmSciTech","language":"en","page":"1476-1481","source":"DOI.org (Crossref)","title":"Considerations in Developing a Target Product Profile for Parenteral Pharmaceutical Products","volume":"11","author":[{"family":"Lambert","given":"William J."}],"issued":{"date-parts":[["2010",9]]}},"label":"page"},{"id":12126,"uris":["http://zotero.org/users/6216265/items/LPRXPBBN"],"itemData":{"id":12126,"type":"article-journal","abstract":"Introduction\n              Typhoid fever is one of the most common bacterial causes of acute febrile illness in the developing world, with an estimated 10.9 million new cases and 116.8 thousand deaths in 2017. Typhoid point-of-care (POC) diagnostic tests are widely used but have poor sensitivity and specificity, resulting in antibiotic overuse that has led to the emergence and spread of multidrug-resistant strains. With recent advances in typhoid surveillance and detection, this is the ideal time to produce a target product profile (TPP) that guides product development and ensure that a next-generation test meets the needs of users in the resource-limited settings where typhoid is endemic.\n            \n            \n              Methods\n              A structured literature review was conducted to develop a draft TPP for a next-generation typhoid diagnostic test with minimal and optimal desired characteristics for 36 test parameters. The TPP was refined using feedback collected from a Delphi survey of key stakeholders in clinical medicine, microbiology, diagnostics and public and global health.\n            \n            \n              Results\n              \n                A next-generation typhoid diagnostic test should improve patient management through the diagnosis and treatment of infection with acute\n                Salmonella enterica\n                serovars Typhi or Paratyphi with a sensitivity ≥90% and specificity ≥95%. The test would ideally be used at the lowest level of the healthcare system in settings without a reliable power or water supply and provide results in &lt;15 min at a cost of &lt;US$1.00.\n              \n            \n            \n              Conclusion\n              This report outlines the first comprehensive TPP for typhoid fever and is intended to guide the development of a next-generation typhoid diagnostic test. An accurate POC test will reduce the morbidity and mortality of typhoid fever through rapid diagnosis and treatment and will have the greatest impact in reducing antimicrobial resistance if it is combined with diagnostics for other causes of acute febrile illness in a treatment algorithm.","container-title":"BMJ Global Health","DOI":"10.1136/bmjgh-2019-001831","ISSN":"2059-7908","issue":"5","journalAbbreviation":"BMJ Glob Health","language":"en","page":"e001831","source":"DOI.org (Crossref)","title":"Redefining typhoid diagnosis: what would an improved test need to look like?","title-short":"Redefining typhoid diagnosis","volume":"4","author":[{"family":"Mather","given":"Richard G"},{"family":"Hopkins","given":"Heidi"},{"family":"Parry","given":"Christopher M"},{"family":"Dittrich","given":"Sabine"}],"issued":{"date-parts":[["2019",10]]}},"label":"page"},{"id":12143,"uris":["http://zotero.org/users/6216265/items/GX745N4X"],"itemData":{"id":12143,"type":"article-journal","container-title":"PLOS ONE","DOI":"10.1371/journal.pone.0204347","ISSN":"1932-6203","issue":"9","journalAbbreviation":"PLoS ONE","language":"en","page":"e0204347","source":"DOI.org (Crossref)","title":"Molecular assays for antimalarial drug resistance surveillance: A target product profile","title-short":"Molecular assays for antimalarial drug resistance surveillance","volume":"13","author":[{"family":"Nsanzabana","given":"Christian"},{"family":"Ariey","given":"Frederic"},{"family":"Beck","given":"Hans-Peter"},{"family":"Ding","given":"Xavier C."},{"family":"Kamau","given":"Edwin"},{"family":"Krishna","given":"Sanjeev"},{"family":"Legrand","given":"Eric"},{"family":"Lucchi","given":"Naomi"},{"family":"Miotto","given":"Olivo"},{"family":"Nag","given":"Sidsel"},{"family":"Noedl","given":"Harald"},{"family":"Roper","given":"Cally"},{"family":"Rosenthal","given":"Philip J."},{"family":"Schallig","given":"Henk D. F. H."},{"family":"Taylor","given":"Steve M."},{"family":"Volkman","given":"Sarah K."},{"family":"Gonzalez","given":"Iveth J."}],"editor":[{"family":"Huijben","given":"Silvie"}],"issued":{"date-parts":[["2018",9,20]]}},"label":"page"},{"id":12153,"uris":["http://zotero.org/users/6216265/items/4ZVJE4YB"],"itemData":{"id":12153,"type":"article-journal","abstract":"Health workers in low-resource settings often lack the support and tools to follow evidence-based clinical recommendations for diagnosing, treating and managing sick patients. Digital technologies, by combining patient health information and point-of-care diagnostics with evidence-based clinical protocols, can help improve the quality of care and the rational use of resources, and save patient lives. A growing number of electronic clinical decision support algorithms (CDSAs) on mobile devices are being developed and piloted without evidence of safety or impact. Here, we present a target product profile (TPP) for CDSAs aimed at guiding preventive or curative consultations in low-resource settings. This document will help align developer and implementer processes and product specifications with the needs of end users, in terms of quality, safety, performance and operational functionality. To identify the characteristics of CDSAs, a multidisciplinary group of experts (academia, industry and policy makers) with expertise in diagnostic and CDSA development and implementation in low-income and middle-income countries were convened to discuss a draft TPP. The TPP was finalised through a Delphi process to facilitate consensus building. An agreement greater than 75% was reached for all 40 TPP characteristics. In general, experts were in overwhelming agreement that, given that CDSAs provide patient management recommendations, the underlying clinical algorithms should be human-interpretable and evidence-based. Whenever possible, the algorithm’s patient management output should take into account pretest disease probabilities and likelihood ratios of clinical and diagnostic predictors. In addition, validation processes should at a minimum show that CDSAs are implementing faithfully the evidence they are based on, and ideally the impact on patient health outcomes. In terms of operational needs, CDSAs should be designed to fit within clinic workflows and function in connectivity-challenged and high-volume settings. Data collected through the tool should conform to local patient privacy regulations and international data standards.","container-title":"BMJ Global Health","DOI":"10.1136/bmjgh-2019-002067","ISSN":"2059-7908","issue":"2","journalAbbreviation":"BMJ Glob Health","language":"en","page":"e002067","source":"DOI.org (Crossref)","title":"Electronic clinical decision support algorithms incorporating point-of-care diagnostic tests in low-resource settings: a target product profile","title-short":"Electronic clinical decision support algorithms incorporating point-of-care diagnostic tests in low-resource settings","volume":"5","author":[{"family":"Pellé","given":"Karell G"},{"family":"Rambaud-Althaus","given":"Clotilde"},{"family":"D'Acremont","given":"Valérie"},{"family":"Moran","given":"Gretchen"},{"family":"Sampath","given":"Rangarajan"},{"family":"Katz","given":"Zachary"},{"family":"Moussy","given":"Francis G"},{"family":"Mehl","given":"Garrett Livingston"},{"family":"Dittrich","given":"Sabine"}],"issued":{"date-parts":[["2020",2]]}},"label":"page"},{"id":12157,"uris":["http://zotero.org/users/6216265/items/3CXSQ86T"],"itemData":{"id":12157,"type":"article-journal","container-title":"European Journal of Pharmaceutical Sciences","DOI":"10.1016/j.ejps.2022.106275","ISSN":"09280987","journalAbbreviation":"European Journal of Pharmaceutical Sciences","language":"en","page":"106275","source":"DOI.org (Crossref)","title":"A quality by design approach for the qualification of automating compounding device for parenteral nutrition","volume":"179","author":[{"family":"Perrier","given":"Quentin"},{"family":"Piquemal","given":"Marie"},{"family":"Leenhardt","given":"Julien"},{"family":"Choisnard","given":"Luc"},{"family":"Mazet","given":"Roseline"},{"family":"Desruet","given":"Marie-Dominique"},{"family":"Durand","given":"Marjorie"},{"family":"Bedouch","given":"Pierrick"}],"issued":{"date-parts":[["2022",12]]}},"label":"page"},{"id":12188,"uris":["http://zotero.org/users/6216265/items/KBAXCF2E"],"itemData":{"id":12188,"type":"article-journal","abstract":"Abstract\n            \n              Introduction\n              Multi-parameter diagnostic devices can simplify cardiometabolic disease diagnosis. However, existing devices may not be suitable for use in low-resource settings, where the burden of non-communicable diseases is high. Here we describe the development of a target product profile (TPP) for a point-of-care multi-parameter device for detection of biomarkers for cardiovascular disease and metabolic disorders, including diabetes, in primary care settings in low- and middle-income countries (LMICs).\n            \n            \n              Methods\n              A draft TPP developed by an expert group was reviewed through an online survey and semi-structured expert interviews to identify device characteristics requiring refinement. The draft TPP included 41 characteristics with minimal and optimal requirements; characteristics with an agreement level for either requirement of ≤ 85% in either the survey or among interviewees were further discussed by the expert group and amended as appropriate.\n            \n            \n              Results\n              Twenty people responded to the online survey and 18 experts participated in the interviews. Twenty-two characteristics had an agreement level of ≤ 85% in either the online survey or interviews. The final TPP defines the device as intended to be used for basic diagnosis and management of cardiometabolic disorders (lipids, glucose, HbA1c, and creatinine) as minimal requirement, and offering an expanded test menu for wider cardiometabolic disease management as optimal requirement. To be suitable, the device should be intended for level 1 healthcare settings or lower, used by minimally trained healthcare workers and allow testing using self-contained cartridges or strips without the need for additional reagents. Throughput should be one sample at a time in a single or multi-analyte cartridge, or optimally enable testing of several samples and analytes in parallel with random access.\n            \n            \n              Conclusion\n              This TPP will inform developers of cardiometabolic multi-parameter devices for LMIC settings, and will support decision makers in the evaluation of existing and future devices.","container-title":"BMC Cardiovascular Disorders","DOI":"10.1186/s12872-021-02298-7","ISSN":"1471-2261","issue":"1","journalAbbreviation":"BMC Cardiovasc Disord","language":"en","page":"486","source":"DOI.org (Crossref)","title":"Development of a target product profile for a point-of-care cardiometabolic device","volume":"21","author":[{"family":"Vetter","given":"Beatrice"},{"family":"Beran","given":"David"},{"family":"Boulle","given":"Philippa"},{"family":"Chua","given":"Arlene"},{"family":"De La Tour","given":"Roberto"},{"family":"Hattingh","given":"Lucy"},{"family":"Perel","given":"Pablo"},{"family":"Roglic","given":"Gojka"},{"family":"Sampath","given":"Rangarajan"},{"family":"Woodman","given":"Michael"},{"family":"Perone","given":"Sigiriya Aebischer"}],"issued":{"date-parts":[["2021",12]]}},"label":"page"}],"schema":"https://github.com/citation-style-language/schema/raw/master/csl-citation.json"} </w:instrText>
            </w:r>
            <w:r>
              <w:fldChar w:fldCharType="separate"/>
            </w:r>
            <w:r w:rsidR="00C94C08" w:rsidRPr="00C94C08">
              <w:rPr>
                <w:rFonts w:ascii="Calibri" w:hAnsi="Calibri" w:cs="Calibri"/>
                <w:szCs w:val="24"/>
              </w:rPr>
              <w:t>(200–202,204,207,209,218,233,235,238,239,241,243,257,262,266,274,283,291,293,314)</w:t>
            </w:r>
            <w:r>
              <w:fldChar w:fldCharType="end"/>
            </w:r>
          </w:p>
        </w:tc>
      </w:tr>
      <w:tr w:rsidR="00AA466E" w14:paraId="22AFF19A" w14:textId="77777777" w:rsidTr="00E666ED">
        <w:tc>
          <w:tcPr>
            <w:tcW w:w="1260" w:type="dxa"/>
            <w:vMerge/>
            <w:vAlign w:val="center"/>
          </w:tcPr>
          <w:p w14:paraId="4B5A2907" w14:textId="77777777" w:rsidR="00AA466E" w:rsidRDefault="00AA466E" w:rsidP="00106C2C">
            <w:pPr>
              <w:spacing w:line="276" w:lineRule="auto"/>
            </w:pPr>
          </w:p>
        </w:tc>
        <w:tc>
          <w:tcPr>
            <w:tcW w:w="2790" w:type="dxa"/>
            <w:vAlign w:val="center"/>
          </w:tcPr>
          <w:p w14:paraId="5CE4C6BC" w14:textId="4A0F43A6" w:rsidR="00AA466E" w:rsidRDefault="00AA466E" w:rsidP="00106C2C">
            <w:pPr>
              <w:spacing w:line="276" w:lineRule="auto"/>
            </w:pPr>
            <w:r>
              <w:t>Papers reporting the category “Scope” (</w:t>
            </w:r>
            <w:r w:rsidR="00106C2C">
              <w:t>most reported</w:t>
            </w:r>
            <w:r>
              <w:t xml:space="preserve"> category)</w:t>
            </w:r>
          </w:p>
        </w:tc>
        <w:tc>
          <w:tcPr>
            <w:tcW w:w="5017" w:type="dxa"/>
            <w:vAlign w:val="center"/>
          </w:tcPr>
          <w:p w14:paraId="4FA9084A" w14:textId="2005EB9E" w:rsidR="00AA466E" w:rsidRDefault="008F65F3" w:rsidP="00106C2C">
            <w:pPr>
              <w:spacing w:line="276" w:lineRule="auto"/>
            </w:pPr>
            <w:r>
              <w:fldChar w:fldCharType="begin"/>
            </w:r>
            <w:r w:rsidR="00C94C08">
              <w:instrText xml:space="preserve"> ADDIN ZOTERO_ITEM CSL_CITATION {"citationID":"mi9Sgzfd","properties":{"formattedCitation":"(200\\uc0\\u8211{}202,204,207,209,218,233,235,238,239,241,243,257,262,274,283,291,314)","plainCitation":"(200–202,204,207,209,218,233,235,238,239,241,243,257,262,274,283,291,314)","noteIndex":0},"citationItems":[{"id":12210,"uris":["http://zotero.org/users/6216265/items/XIJQJ62C"],"itemData":{"id":12210,"type":"article-journal","container-title":"The Journal of Infectious Diseases","DOI":"10.1093/infdis/jiu821","ISSN":"0022-1899, 1537-6613","issue":"suppl_2","language":"en","page":"S29-S38","source":"DOI.org (Crossref)","title":"Defining the Needs for Next Generation Assays for Tuberculosis","volume":"211","author":[{"family":"Denkinger","given":"Claudia M."},{"family":"Kik","given":"Sandra V."},{"family":"Cirillo","given":"Daniela Maria"},{"family":"Casenghi","given":"Martina"},{"family":"Shinnick","given":"Thomas"},{"family":"Weyer","given":"Karin"},{"family":"Gilpin","given":"Chris"},{"family":"Boehme","given":"Catharina C."},{"family":"Schito","given":"Marco"},{"family":"Kimerling","given":"Michael"},{"family":"Pai","given":"Madhukar"}],"issued":{"date-parts":[["2015",4]]}},"label":"page"},{"id":12212,"uris":["http://zotero.org/users/6216265/items/9JFPHFWZ"],"itemData":{"id":12212,"type":"article-journal","container-title":"PLOS Neglected Tropical Diseases","DOI":"10.1371/journal.pntd.0005516","ISSN":"1935-2735","issue":"4","journalAbbreviation":"PLoS Negl Trop Dis","language":"en","page":"e0005516","source":"DOI.org (Crossref)","title":"Defining the next generation of Plasmodium vivax diagnostic tests for control and elimination: Target product profiles","title-short":"Defining the next generation of Plasmodium vivax diagnostic tests for control and elimination","volume":"11","author":[{"family":"Ding","given":"Xavier C."},{"family":"Ade","given":"Maria Paz"},{"family":"Baird","given":"J. Kevin"},{"family":"Cheng","given":"Qin"},{"family":"Cunningham","given":"Jane"},{"family":"Dhorda","given":"Mehul"},{"family":"Drakeley","given":"Chris"},{"family":"Felger","given":"Ingrid"},{"family":"Gamboa","given":"Dionicia"},{"family":"Harbers","given":"Matthias"},{"family":"Herrera","given":"Socrates"},{"family":"Lucchi","given":"Naomi"},{"family":"Mayor","given":"Alfredo"},{"family":"Mueller","given":"Ivo"},{"family":"Sattabongkot","given":"Jetsumon"},{"family":"Ratsimbason","given":"Arsène"},{"family":"Richards","given":"Jack"},{"family":"Tanner","given":"Marcel"},{"family":"González","given":"Iveth J."}],"editor":[{"family":"Pimenta","given":"Paulo Filemon"}],"issued":{"date-parts":[["2017",4,3]]}},"label":"page"},{"id":12214,"uris":["http://zotero.org/users/6216265/items/F3AIGXXG"],"itemData":{"id":12214,"type":"article-journal","container-title":"PLOS Neglected Tropical Diseases","DOI":"10.1371/journal.pntd.0005875","ISSN":"1935-2735","issue":"9","journalAbbreviation":"PLoS Negl Trop Dis","language":"en","page":"e0005875","source":"DOI.org (Crossref)","title":"Target product profiles for the diagnosis of Taenia solium taeniasis, neurocysticercosis and porcine cysticercosis","volume":"11","author":[{"family":"Donadeu","given":"Meritxell"},{"family":"Fahrion","given":"Anna S."},{"family":"Olliaro","given":"Piero L."},{"family":"Abela-Ridder","given":"Bernadette"}],"editor":[{"family":"Garcia","given":"Hector H."}],"issued":{"date-parts":[["2017",9,11]]}},"label":"page"},{"id":12216,"uris":["http://zotero.org/users/6216265/items/YHFANQX2"],"itemData":{"id":12216,"type":"article-journal","container-title":"PLOS Neglected Tropical Diseases","DOI":"10.1371/journal.pntd.0006213","ISSN":"1935-2735","issue":"3","journalAbbreviation":"PLoS Negl Trop Dis","language":"en","page":"e0006213","source":"DOI.org (Crossref)","title":"Diagnostic tools for soil-transmitted helminths control and elimination programs: A pathway for diagnostic product development","title-short":"Diagnostic tools for soil-transmitted helminths control and elimination programs","volume":"12","author":[{"family":"Lim","given":"Mark D."},{"family":"Brooker","given":"Simon J."},{"family":"Belizario","given":"Vicente Y."},{"family":"Gay-Andrieu","given":"Françoise"},{"family":"Gilleard","given":"John"},{"family":"Levecke","given":"Bruno"},{"family":"Van Lieshout","given":"Lisette"},{"family":"Medley","given":"Graham F."},{"family":"Mekonnen","given":"Zeleke"},{"family":"Mirams","given":"Greg"},{"family":"Njenga","given":"Sammy M."},{"family":"Odiere","given":"Maurice R."},{"family":"Rudge","given":"James W."},{"family":"Stuyver","given":"Lieven"},{"family":"Vercruysse","given":"Jozef"},{"family":"Vlaminck","given":"Johnny"},{"family":"Walson","given":"Judd L."},{"literal":"the Annecy STH diagnostic experts group"}],"editor":[{"family":"Maruyama","given":"Haruhiko"}],"issued":{"date-parts":[["2018",3,1]]}},"label":"page"},{"id":12222,"uris":["http://zotero.org/users/6216265/items/77LMTDQW"],"itemData":{"id":12222,"type":"article-journal","container-title":"Sexually Transmitted Infections","DOI":"10.1136/sextrans-2016-053071","ISSN":"1368-4973, 1472-3263","issue":"S4","journalAbbreviation":"Sex Transm Infect","language":"en","page":"S69-S80","source":"DOI.org (Crossref)","title":"Advancing prevention of sexually transmitted infections through point-of-care testing: target product profiles and landscape analysis","title-short":"Advancing prevention of sexually transmitted infections through point-of-care testing","volume":"93","author":[{"family":"Toskin","given":"Igor"},{"family":"Murtagh","given":"Maurine"},{"family":"Peeling","given":"Rosanna W"},{"family":"Blondeel","given":"Karel"},{"family":"Cordero","given":"Joanna"},{"family":"Kiarie","given":"James"}],"issued":{"date-parts":[["2017",12]]}},"label":"page"},{"id":12021,"uris":["http://zotero.org/users/6216265/items/62V73I6Q"],"itemData":{"id":12021,"type":"article-journal","container-title":"PLOS Neglected Tropical Diseases","DOI":"10.1371/journal.pntd.0008035","ISSN":"1935-2735","issue":"4","journalAbbreviation":"PLoS Negl Trop Dis","language":"en","page":"e0008035","source":"DOI.org (Crossref)","title":"Target product profile for a test for the early assessment of treatment efficacy in Chagas disease patients: An expert consensus","title-short":"Target product profile for a test for the early assessment of treatment efficacy in Chagas disease patients","volume":"14","author":[{"family":"Alonso-Padilla","given":"Julio"},{"family":"Abril","given":"Marcelo"},{"family":"Alarcón De Noya","given":"Belkisyolé"},{"family":"Almeida","given":"Igor C."},{"family":"Angheben","given":"Andrea"},{"family":"Araujo Jorge","given":"Tania"},{"family":"Chatelain","given":"Eric"},{"family":"Esteva","given":"Monica"},{"family":"Gascón","given":"Joaquim"},{"family":"Grijalva","given":"Mario J."},{"family":"Guhl","given":"Felipe"},{"family":"Hasslocher-Moreno","given":"Alejandro Marcel"},{"family":"López","given":"Manuel Carlos"},{"family":"Luquetti","given":"Alejandro"},{"family":"Noya","given":"Oscar"},{"family":"Pinazo","given":"María Jesús"},{"family":"Ramsey","given":"Janine M."},{"family":"Ribeiro","given":"Isabela"},{"family":"Ruiz","given":"Andres Mariano"},{"family":"Schijman","given":"Alejandro G."},{"family":"Sosa-Estani","given":"Sergio"},{"family":"Thomas","given":"M. Carmen"},{"family":"Torrico","given":"Faustino"},{"family":"Zrein","given":"Maan"},{"family":"Picado","given":"Albert"}],"editor":[{"family":"Santiago","given":"Helton Da Costa"}],"issued":{"date-parts":[["2020",4,23]]}},"label":"page"},{"id":12034,"uris":["http://zotero.org/users/6216265/items/PVHKZWP8"],"itemData":{"id":12034,"type":"article-journal","container-title":"Global Health: Science and Practice","DOI":"10.9745/GHSP-D-20-00028","ISSN":"2169-575X","issue":"3","journalAbbreviation":"Glob Health Sci Pract","language":"en","page":"549-565","source":"DOI.org (Crossref)","title":"Matching Development of Point-of-Care Diagnostic Tests to the Local Context: A Case Study of Visceral Leishmaniasis in Kenya and Uganda","title-short":"Matching Development of Point-of-Care Diagnostic Tests to the Local Context","volume":"8","author":[{"family":"Bengtson","given":"Michel"},{"family":"Bharadwaj","given":"Mitasha"},{"family":"Bosch","given":"Astrid Ten"},{"family":"Nyakundi","given":"Hellen"},{"family":"Matoke-Muhia","given":"Damaris"},{"family":"Dekker","given":"Cees"},{"family":"Diehl","given":"Jan-Carel"}],"issued":{"date-parts":[["2020",9,30]]}},"label":"page"},{"id":12057,"uris":["http://zotero.org/users/6216265/items/PSNZ5TKX"],"itemData":{"id":12057,"type":"article-journal","container-title":"Parasite Epidemiology and Control","DOI":"10.1016/j.parepi.2019.e00103","ISSN":"24056731","journalAbbreviation":"Parasite Epidemiology and Control","language":"en","page":"e00103","source":"DOI.org (Crossref)","title":"Target Product Profile for a point-of-care diagnostic test for dermal leishmaniases","volume":"5","author":[{"family":"Cruz","given":"Israel"},{"family":"Albertini","given":"Audrey"},{"family":"Barbeitas","given":"Mady"},{"family":"Arana","given":"Byron"},{"family":"Picado","given":"Albert"},{"family":"Ruiz-Postigo","given":"Jose A."},{"family":"Ndung'u","given":"Joseph M."}],"issued":{"date-parts":[["2019",5]]}}},{"id":12061,"uris":["http://zotero.org/users/6216265/items/V7UR6WBW"],"itemData":{"id":12061,"type":"article-journal","abstract":"Bacterial blood stream infections (BSI) are a common cause of mortality and morbidity globally. As the causative agents and the resulting treatment decisions vary, near-patient testing and surveillance tools are necessary to monitor bacterial causes and resistance to antimicrobial agents. The gold standard to identify BSIs is blood culture (BC), a methodology not widely available in resource-limited settings. The aim of the study was to map out a target product profile of a simplified BC system (SBCS) to inform product development efforts. To identify the desired characteristics of a SBCS, we enlisted a small group of specialists working in Africa and Asia. Questions were used to understand challenges and how these constraints inform system requirements. The specialists were infectious disease physicians, public health/clinical microbiologists, clinical researchers, and technology experts with different geographical backgrounds. All suggested that BC should ideally be available at the district hospital level. Many of the same operational challenges, such as limited availability of culture bottles, electricity and internet connectivity, profuse dust, the lack of ambient temperature control, and human capacity constraints were identified across the different regions. BCs, although the accepted gold standard for diagnosis of BSIs, are not widely available outside of reference/research centers in Africa and Asia. To extend the reach of this important tool, it is crucial to engage product developers and academic research partners to develop accessible alternatives.","container-title":"Diagnostics","DOI":"10.3390/diagnostics9010010","ISSN":"2075-4418","issue":"1","journalAbbreviation":"Diagnostics","language":"en","page":"10","source":"DOI.org (Crossref)","title":"Defining System Requirements for Simplified Blood Culture to Enable Widespread Use in Resource-Limited Settings","volume":"9","author":[{"family":"Dailey","given":"Peter"},{"family":"Osborn","given":"Jennifer"},{"family":"Ashley","given":"Elizabeth"},{"family":"Baron","given":"Ellen"},{"family":"Dance","given":"David"},{"family":"Fusco","given":"Daniela"},{"family":"Fanello","given":"Caterina"},{"family":"Manabe","given":"Yukari"},{"family":"Mokomane","given":"Margaret"},{"family":"Newton","given":"Paul"},{"family":"Tessema","given":"Belay"},{"family":"Isaacs","given":"Chris"},{"family":"Dittrich","given":"Sabine"}],"issued":{"date-parts":[["2019",1,11]]}},"label":"page"},{"id":12065,"uris":["http://zotero.org/users/6216265/items/3MBFKBJQ"],"itemData":{"id":12065,"type":"article-journal","container-title":"The Journal of Infectious Diseases","DOI":"10.1093/infdis/jiu682","ISSN":"0022-1899, 1537-6613","issue":"suppl_2","language":"en","page":"S39-S49","source":"DOI.org (Crossref)","title":"Target Product Profile of a Molecular Drug-Susceptibility Test for Use in Microscopy Centers","volume":"211","author":[{"family":"Denkinger","given":"Claudia M."},{"family":"Dolinger","given":"David"},{"family":"Schito","given":"Marco"},{"family":"Wells","given":"William"},{"family":"Cobelens","given":"Frank"},{"family":"Pai","given":"Madhukar"},{"family":"Zignol","given":"Matteo"},{"family":"Cirillo","given":"Daniela Maria"},{"family":"Alland","given":"David"},{"family":"Casenghi","given":"Martina"},{"family":"Gallarda","given":"Jim"},{"family":"Boehme","given":"Catharina C."},{"family":"Perkins","given":"Mark D."}],"issued":{"date-parts":[["2015",4]]}},"label":"page"},{"id":12067,"uris":["http://zotero.org/users/6216265/items/RRP9XUR4"],"itemData":{"id":12067,"type":"article-journal","container-title":"PLOS ONE","DOI":"10.1371/journal.pone.0161721","ISSN":"1932-6203","issue":"8","journalAbbreviation":"PLoS ONE","language":"en","page":"e0161721","source":"DOI.org (Crossref)","title":"Target Product Profile for a Diagnostic Assay to Differentiate between Bacterial and Non-Bacterial Infections and Reduce Antimicrobial Overuse in Resource-Limited Settings: An Expert Consensus","title-short":"Target Product Profile for a Diagnostic Assay to Differentiate between Bacterial and Non-Bacterial Infections and Reduce Antimicrobial Overuse in Resource-Limited Settings","volume":"11","author":[{"family":"Dittrich","given":"Sabine"},{"family":"Tadesse","given":"Birkneh Tilahun"},{"family":"Moussy","given":"Francis"},{"family":"Chua","given":"Arlene"},{"family":"Zorzet","given":"Anna"},{"family":"Tängdén","given":"Thomas"},{"family":"Dolinger","given":"David L."},{"family":"Page","given":"Anne-Laure"},{"family":"Crump","given":"John A."},{"family":"D’Acremont","given":"Valerie"},{"family":"Bassat","given":"Quique"},{"family":"Lubell","given":"Yoel"},{"family":"Newton","given":"Paul N."},{"family":"Heinrich","given":"Norbert"},{"family":"Rodwell","given":"Timothy J."},{"family":"González","given":"Iveth J."}],"editor":[{"family":"Yansouni","given":"Cedric"}],"issued":{"date-parts":[["2016",8,25]]}},"label":"page"},{"id":12070,"uris":["http://zotero.org/users/6216265/items/MER6KMER"],"itemData":{"id":12070,"type":"article-journal","abstract":"With increasing geographic spread, frequency, and magnitude of outbreaks, dengue continues to pose a major public health threat worldwide. Dengvaxia, a dengue live-attenuated tetravalent vaccine, was licensed in 2015, but post hoc analyses of long-term data showed serostatus-dependent vaccine performance with an excess risk of hospitalized and severe dengue in seronegative vaccine recipients. The World Health Organization (WHO) recommended that only persons with evidence of past dengue infection should receive the vaccine. A test for pre-vaccination screening for dengue serostatus is needed. To develop the target product profile (TPP) for a dengue pre-vaccination screening test, face-to-face consultative meetings were organized with follow-up regional consultations. A technical working group was formed to develop consensus on a reference test against which candidate pre-vaccination screening tests could be compared. The group also reviewed current diagnostic landscape and the need to accelerate the evaluation, regulatory approval, and policy development of tests that can identify seropositive individuals and maximize public health impact of vaccination while avoiding the risk of hospitalization in dengue-naive individuals. Pre-vaccination screening strategies will benefit from rapid diagnostic tests (RDTs) that are affordable, sensitive, and specific and can be used at the point of care (POC). The TPP described the minimum and ideal characteristics of a dengue pre-vaccination screening RDT with an emphasis on high specificity. The group also made suggestions for accelerating access to these RDTs through streamlining regulatory approval and policy development. Risk and benefit based on what can be achieved with RDTs meeting minimal and optimal characteristics in the TPP across a range of seroprevalences were defined. The final choice of RDTs in each country will depend on the performance of the RDT, dengue seroprevalence in the target population, tolerance of risk, and cost-effectiveness.","container-title":"PLOS Neglected Tropical Diseases","DOI":"10.1371/journal.pntd.0009557","ISSN":"1935-2735","issue":"7","journalAbbreviation":"PLoS Negl Trop Dis","language":"en","page":"e0009557","source":"DOI.org (Crossref)","title":"Target product profile for a dengue pre-vaccination screening test","volume":"15","author":[{"family":"Fongwen","given":"Noah"},{"family":"Wilder-Smith","given":"Annelise"},{"family":"Gubler","given":"Duane J."},{"family":"Ooi","given":"Eng Eong"},{"family":"T. Salvana","given":"Edsel Maurice"},{"family":"De Lamballerie","given":"Xavier"},{"family":"Olliaro","given":"Piero L."},{"family":"Peeling","given":"Rosanna W."}],"editor":[{"family":"Gawarammana","given":"Indika"}],"issued":{"date-parts":[["2021",7,29]]}},"label":"page"},{"id":12074,"uris":["http://zotero.org/users/6216265/items/HAXEQ5CJ"],"itemData":{"id":12074,"type":"article-journal","container-title":"PLOS ONE","DOI":"10.1371/journal.pone.0200531","ISSN":"1932-6203","issue":"8","journalAbbreviation":"PLoS ONE","language":"en","page":"e0200531","source":"DOI.org (Crossref)","title":"Matching diagnostics development to clinical need: Target product profile development for a point of care test for community-acquired lower respiratory tract infection","title-short":"Matching diagnostics development to clinical need","volume":"13","author":[{"family":"Gal","given":"Micaela"},{"family":"Francis","given":"Nicholas A."},{"family":"Hood","given":"Kerenza"},{"family":"Villacian","given":"Jorge"},{"family":"Goossens","given":"Herman"},{"family":"Watkins","given":"Angela"},{"family":"Butler","given":"Christopher C."},{"literal":"the RAPP-ID consortium"}],"editor":[{"family":"Gupta","given":"Vineet"}],"issued":{"date-parts":[["2018",8,1]]}},"label":"page"},{"id":12162,"uris":["http://zotero.org/users/6216265/items/B6HJ6D5Q"],"itemData":{"id":12162,"type":"article-journal","container-title":"BMC Infectious Diseases","DOI":"10.1186/s12879-017-2770-5","ISSN":"1471-2334","issue":"S1","journalAbbreviation":"BMC Infect Dis","language":"en","page":"707","source":"DOI.org (Crossref)","title":"Optimising diagnosis of viraemic hepatitis C infection: the development of a target product profile","title-short":"Optimising diagnosis of viraemic hepatitis C infection","volume":"17","author":[{"family":"Ivanova Reipold","given":"Elena"},{"family":"Easterbrook","given":"Philippa"},{"family":"Trianni","given":"Alessandra"},{"family":"Panneer","given":"Nivedha"},{"family":"Krakower","given":"Douglas"},{"family":"Ongarello","given":"Stefano"},{"family":"Roberts","given":"Teri"},{"family":"Miller","given":"Veronica"},{"family":"Denkinger","given":"Claudia"}],"issued":{"date-parts":[["2017",11]]}},"label":"page"},{"id":12102,"uris":["http://zotero.org/users/6216265/items/B3LLWKPE"],"itemData":{"id":12102,"type":"article-journal","container-title":"PLOS ONE","DOI":"10.1371/journal.pone.0228311","ISSN":"1932-6203","issue":"1","journalAbbreviation":"PLoS ONE","language":"en","page":"e0228311","source":"DOI.org (Crossref)","title":"Target Product Profile for a mobile app to read rapid diagnostic tests to strengthen infectious disease surveillance","volume":"15","author":[{"family":"Kadam","given":"Rigveda"},{"family":"White","given":"Wallace"},{"family":"Banks","given":"Nicholas"},{"family":"Katz","given":"Zachary"},{"family":"Dittrich","given":"Sabine"},{"family":"Kelly-Cirino","given":"Cassandra"}],"editor":[{"family":"Yansouni","given":"Cedric"}],"issued":{"date-parts":[["2020",1,29]]}},"label":"page"},{"id":12126,"uris":["http://zotero.org/users/6216265/items/LPRXPBBN"],"itemData":{"id":12126,"type":"article-journal","abstract":"Introduction\n              Typhoid fever is one of the most common bacterial causes of acute febrile illness in the developing world, with an estimated 10.9 million new cases and 116.8 thousand deaths in 2017. Typhoid point-of-care (POC) diagnostic tests are widely used but have poor sensitivity and specificity, resulting in antibiotic overuse that has led to the emergence and spread of multidrug-resistant strains. With recent advances in typhoid surveillance and detection, this is the ideal time to produce a target product profile (TPP) that guides product development and ensure that a next-generation test meets the needs of users in the resource-limited settings where typhoid is endemic.\n            \n            \n              Methods\n              A structured literature review was conducted to develop a draft TPP for a next-generation typhoid diagnostic test with minimal and optimal desired characteristics for 36 test parameters. The TPP was refined using feedback collected from a Delphi survey of key stakeholders in clinical medicine, microbiology, diagnostics and public and global health.\n            \n            \n              Results\n              \n                A next-generation typhoid diagnostic test should improve patient management through the diagnosis and treatment of infection with acute\n                Salmonella enterica\n                serovars Typhi or Paratyphi with a sensitivity ≥90% and specificity ≥95%. The test would ideally be used at the lowest level of the healthcare system in settings without a reliable power or water supply and provide results in &lt;15 min at a cost of &lt;US$1.00.\n              \n            \n            \n              Conclusion\n              This report outlines the first comprehensive TPP for typhoid fever and is intended to guide the development of a next-generation typhoid diagnostic test. An accurate POC test will reduce the morbidity and mortality of typhoid fever through rapid diagnosis and treatment and will have the greatest impact in reducing antimicrobial resistance if it is combined with diagnostics for other causes of acute febrile illness in a treatment algorithm.","container-title":"BMJ Global Health","DOI":"10.1136/bmjgh-2019-001831","ISSN":"2059-7908","issue":"5","journalAbbreviation":"BMJ Glob Health","language":"en","page":"e001831","source":"DOI.org (Crossref)","title":"Redefining typhoid diagnosis: what would an improved test need to look like?","title-short":"Redefining typhoid diagnosis","volume":"4","author":[{"family":"Mather","given":"Richard G"},{"family":"Hopkins","given":"Heidi"},{"family":"Parry","given":"Christopher M"},{"family":"Dittrich","given":"Sabine"}],"issued":{"date-parts":[["2019",10]]}},"label":"page"},{"id":12143,"uris":["http://zotero.org/users/6216265/items/GX745N4X"],"itemData":{"id":12143,"type":"article-journal","container-title":"PLOS ONE","DOI":"10.1371/journal.pone.0204347","ISSN":"1932-6203","issue":"9","journalAbbreviation":"PLoS ONE","language":"en","page":"e0204347","source":"DOI.org (Crossref)","title":"Molecular assays for antimalarial drug resistance surveillance: A target product profile","title-short":"Molecular assays for antimalarial drug resistance surveillance","volume":"13","author":[{"family":"Nsanzabana","given":"Christian"},{"family":"Ariey","given":"Frederic"},{"family":"Beck","given":"Hans-Peter"},{"family":"Ding","given":"Xavier C."},{"family":"Kamau","given":"Edwin"},{"family":"Krishna","given":"Sanjeev"},{"family":"Legrand","given":"Eric"},{"family":"Lucchi","given":"Naomi"},{"family":"Miotto","given":"Olivo"},{"family":"Nag","given":"Sidsel"},{"family":"Noedl","given":"Harald"},{"family":"Roper","given":"Cally"},{"family":"Rosenthal","given":"Philip J."},{"family":"Schallig","given":"Henk D. F. H."},{"family":"Taylor","given":"Steve M."},{"family":"Volkman","given":"Sarah K."},{"family":"Gonzalez","given":"Iveth J."}],"editor":[{"family":"Huijben","given":"Silvie"}],"issued":{"date-parts":[["2018",9,20]]}},"label":"page"},{"id":12153,"uris":["http://zotero.org/users/6216265/items/4ZVJE4YB"],"itemData":{"id":12153,"type":"article-journal","abstract":"Health workers in low-resource settings often lack the support and tools to follow evidence-based clinical recommendations for diagnosing, treating and managing sick patients. Digital technologies, by combining patient health information and point-of-care diagnostics with evidence-based clinical protocols, can help improve the quality of care and the rational use of resources, and save patient lives. A growing number of electronic clinical decision support algorithms (CDSAs) on mobile devices are being developed and piloted without evidence of safety or impact. Here, we present a target product profile (TPP) for CDSAs aimed at guiding preventive or curative consultations in low-resource settings. This document will help align developer and implementer processes and product specifications with the needs of end users, in terms of quality, safety, performance and operational functionality. To identify the characteristics of CDSAs, a multidisciplinary group of experts (academia, industry and policy makers) with expertise in diagnostic and CDSA development and implementation in low-income and middle-income countries were convened to discuss a draft TPP. The TPP was finalised through a Delphi process to facilitate consensus building. An agreement greater than 75% was reached for all 40 TPP characteristics. In general, experts were in overwhelming agreement that, given that CDSAs provide patient management recommendations, the underlying clinical algorithms should be human-interpretable and evidence-based. Whenever possible, the algorithm’s patient management output should take into account pretest disease probabilities and likelihood ratios of clinical and diagnostic predictors. In addition, validation processes should at a minimum show that CDSAs are implementing faithfully the evidence they are based on, and ideally the impact on patient health outcomes. In terms of operational needs, CDSAs should be designed to fit within clinic workflows and function in connectivity-challenged and high-volume settings. Data collected through the tool should conform to local patient privacy regulations and international data standards.","container-title":"BMJ Global Health","DOI":"10.1136/bmjgh-2019-002067","ISSN":"2059-7908","issue":"2","journalAbbreviation":"BMJ Glob Health","language":"en","page":"e002067","source":"DOI.org (Crossref)","title":"Electronic clinical decision support algorithms incorporating point-of-care diagnostic tests in low-resource settings: a target product profile","title-short":"Electronic clinical decision support algorithms incorporating point-of-care diagnostic tests in low-resource settings","volume":"5","author":[{"family":"Pellé","given":"Karell G"},{"family":"Rambaud-Althaus","given":"Clotilde"},{"family":"D'Acremont","given":"Valérie"},{"family":"Moran","given":"Gretchen"},{"family":"Sampath","given":"Rangarajan"},{"family":"Katz","given":"Zachary"},{"family":"Moussy","given":"Francis G"},{"family":"Mehl","given":"Garrett Livingston"},{"family":"Dittrich","given":"Sabine"}],"issued":{"date-parts":[["2020",2]]}},"label":"page"},{"id":12188,"uris":["http://zotero.org/users/6216265/items/KBAXCF2E"],"itemData":{"id":12188,"type":"article-journal","abstract":"Abstract\n            \n              Introduction\n              Multi-parameter diagnostic devices can simplify cardiometabolic disease diagnosis. However, existing devices may not be suitable for use in low-resource settings, where the burden of non-communicable diseases is high. Here we describe the development of a target product profile (TPP) for a point-of-care multi-parameter device for detection of biomarkers for cardiovascular disease and metabolic disorders, including diabetes, in primary care settings in low- and middle-income countries (LMICs).\n            \n            \n              Methods\n              A draft TPP developed by an expert group was reviewed through an online survey and semi-structured expert interviews to identify device characteristics requiring refinement. The draft TPP included 41 characteristics with minimal and optimal requirements; characteristics with an agreement level for either requirement of ≤ 85% in either the survey or among interviewees were further discussed by the expert group and amended as appropriate.\n            \n            \n              Results\n              Twenty people responded to the online survey and 18 experts participated in the interviews. Twenty-two characteristics had an agreement level of ≤ 85% in either the online survey or interviews. The final TPP defines the device as intended to be used for basic diagnosis and management of cardiometabolic disorders (lipids, glucose, HbA1c, and creatinine) as minimal requirement, and offering an expanded test menu for wider cardiometabolic disease management as optimal requirement. To be suitable, the device should be intended for level 1 healthcare settings or lower, used by minimally trained healthcare workers and allow testing using self-contained cartridges or strips without the need for additional reagents. Throughput should be one sample at a time in a single or multi-analyte cartridge, or optimally enable testing of several samples and analytes in parallel with random access.\n            \n            \n              Conclusion\n              This TPP will inform developers of cardiometabolic multi-parameter devices for LMIC settings, and will support decision makers in the evaluation of existing and future devices.","container-title":"BMC Cardiovascular Disorders","DOI":"10.1186/s12872-021-02298-7","ISSN":"1471-2261","issue":"1","journalAbbreviation":"BMC Cardiovasc Disord","language":"en","page":"486","source":"DOI.org (Crossref)","title":"Development of a target product profile for a point-of-care cardiometabolic device","volume":"21","author":[{"family":"Vetter","given":"Beatrice"},{"family":"Beran","given":"David"},{"family":"Boulle","given":"Philippa"},{"family":"Chua","given":"Arlene"},{"family":"De La Tour","given":"Roberto"},{"family":"Hattingh","given":"Lucy"},{"family":"Perel","given":"Pablo"},{"family":"Roglic","given":"Gojka"},{"family":"Sampath","given":"Rangarajan"},{"family":"Woodman","given":"Michael"},{"family":"Perone","given":"Sigiriya Aebischer"}],"issued":{"date-parts":[["2021",12]]}},"label":"page"}],"schema":"https://github.com/citation-style-language/schema/raw/master/csl-citation.json"} </w:instrText>
            </w:r>
            <w:r>
              <w:fldChar w:fldCharType="separate"/>
            </w:r>
            <w:r w:rsidR="00C94C08" w:rsidRPr="00C94C08">
              <w:rPr>
                <w:rFonts w:ascii="Calibri" w:hAnsi="Calibri" w:cs="Calibri"/>
                <w:szCs w:val="24"/>
              </w:rPr>
              <w:t>(200–202,204,207,209,218,233,235,238,239,241,243,257,262,274,283,291,314)</w:t>
            </w:r>
            <w:r>
              <w:fldChar w:fldCharType="end"/>
            </w:r>
          </w:p>
        </w:tc>
      </w:tr>
    </w:tbl>
    <w:p w14:paraId="03CDC050" w14:textId="77777777" w:rsidR="00E666ED" w:rsidRDefault="00E666ED" w:rsidP="00106C2C">
      <w:pPr>
        <w:spacing w:before="240" w:after="0" w:line="276" w:lineRule="auto"/>
        <w:jc w:val="both"/>
      </w:pPr>
    </w:p>
    <w:p w14:paraId="1483A6E8" w14:textId="77777777" w:rsidR="00B875FB" w:rsidRPr="009A1344" w:rsidRDefault="00B875FB" w:rsidP="00106C2C">
      <w:pPr>
        <w:spacing w:before="240" w:after="0" w:line="276" w:lineRule="auto"/>
        <w:jc w:val="both"/>
        <w:rPr>
          <w:lang w:val="en-ZA"/>
        </w:rPr>
      </w:pPr>
    </w:p>
    <w:p w14:paraId="1A0FC8FB" w14:textId="05F4E744" w:rsidR="00E666ED" w:rsidRDefault="0093389D" w:rsidP="00E666ED">
      <w:pPr>
        <w:jc w:val="both"/>
      </w:pPr>
      <w:r w:rsidRPr="00BF6FD7">
        <w:t xml:space="preserve">Table </w:t>
      </w:r>
      <w:r>
        <w:t>S</w:t>
      </w:r>
      <w:r w:rsidR="00101D8E">
        <w:t>4</w:t>
      </w:r>
      <w:r w:rsidRPr="00BF6FD7">
        <w:t>: Distribution of target product profiles (TPP</w:t>
      </w:r>
      <w:r>
        <w:t>s</w:t>
      </w:r>
      <w:r w:rsidRPr="00BF6FD7">
        <w:t>) by</w:t>
      </w:r>
      <w:r>
        <w:rPr>
          <w:i/>
          <w:iCs/>
        </w:rPr>
        <w:t xml:space="preserve"> disease category and</w:t>
      </w:r>
      <w:r w:rsidRPr="00BF6FD7">
        <w:t xml:space="preserve"> specific disease.</w:t>
      </w:r>
      <w:r w:rsidR="00E666ED">
        <w:t xml:space="preserve"> </w:t>
      </w:r>
      <w:r w:rsidR="00E666ED" w:rsidRPr="00BF6FD7">
        <w:t xml:space="preserve">Abbreviations: TB: Tuberculosis; HIV: Human Immunodeficiency Virus; COVID-19: Coronavirus Disease 19; COPD: Chronic Obstructive Pulmonary Disease; STDs: Sexually </w:t>
      </w:r>
      <w:r w:rsidR="00E666ED">
        <w:t>T</w:t>
      </w:r>
      <w:r w:rsidR="00E666ED" w:rsidRPr="00BF6FD7">
        <w:t>ransmitted</w:t>
      </w:r>
      <w:r w:rsidR="00E666ED">
        <w:t xml:space="preserve"> Diseases</w:t>
      </w:r>
    </w:p>
    <w:p w14:paraId="1E1AC2E6" w14:textId="6A9E0578" w:rsidR="0093389D" w:rsidRDefault="0093389D" w:rsidP="00106C2C">
      <w:pPr>
        <w:spacing w:before="240" w:after="0" w:line="276" w:lineRule="auto"/>
        <w:jc w:val="both"/>
      </w:pPr>
    </w:p>
    <w:tbl>
      <w:tblPr>
        <w:tblStyle w:val="TableGrid"/>
        <w:tblW w:w="6858" w:type="dxa"/>
        <w:tblLook w:val="04A0" w:firstRow="1" w:lastRow="0" w:firstColumn="1" w:lastColumn="0" w:noHBand="0" w:noVBand="1"/>
      </w:tblPr>
      <w:tblGrid>
        <w:gridCol w:w="1838"/>
        <w:gridCol w:w="3686"/>
        <w:gridCol w:w="1334"/>
      </w:tblGrid>
      <w:tr w:rsidR="0093389D" w:rsidRPr="00B535C0" w14:paraId="39F73676" w14:textId="77777777" w:rsidTr="003C6563">
        <w:trPr>
          <w:trHeight w:val="6"/>
        </w:trPr>
        <w:tc>
          <w:tcPr>
            <w:tcW w:w="1838" w:type="dxa"/>
            <w:noWrap/>
            <w:hideMark/>
          </w:tcPr>
          <w:p w14:paraId="43A8E441" w14:textId="77777777" w:rsidR="0093389D" w:rsidRPr="0075376A" w:rsidRDefault="0093389D" w:rsidP="0027153B">
            <w:pPr>
              <w:rPr>
                <w:rFonts w:ascii="Calibri" w:eastAsia="Times New Roman" w:hAnsi="Calibri" w:cs="Calibri"/>
                <w:b/>
                <w:bCs/>
                <w:color w:val="000000"/>
                <w:lang w:val="en-ZA" w:eastAsia="en-ZA"/>
              </w:rPr>
            </w:pPr>
            <w:r w:rsidRPr="0075376A">
              <w:rPr>
                <w:rFonts w:ascii="Calibri" w:eastAsia="Times New Roman" w:hAnsi="Calibri" w:cs="Calibri"/>
                <w:b/>
                <w:bCs/>
                <w:color w:val="000000"/>
                <w:lang w:val="en-ZA" w:eastAsia="en-ZA"/>
              </w:rPr>
              <w:t>Disease category</w:t>
            </w:r>
          </w:p>
        </w:tc>
        <w:tc>
          <w:tcPr>
            <w:tcW w:w="3686" w:type="dxa"/>
            <w:noWrap/>
            <w:hideMark/>
          </w:tcPr>
          <w:p w14:paraId="41497C3D" w14:textId="77777777" w:rsidR="0093389D" w:rsidRPr="0075376A" w:rsidRDefault="0093389D" w:rsidP="0027153B">
            <w:pPr>
              <w:rPr>
                <w:rFonts w:ascii="Calibri" w:eastAsia="Times New Roman" w:hAnsi="Calibri" w:cs="Calibri"/>
                <w:b/>
                <w:bCs/>
                <w:color w:val="000000"/>
                <w:lang w:val="en-ZA" w:eastAsia="en-ZA"/>
              </w:rPr>
            </w:pPr>
            <w:r w:rsidRPr="0075376A">
              <w:rPr>
                <w:rFonts w:ascii="Calibri" w:eastAsia="Times New Roman" w:hAnsi="Calibri" w:cs="Calibri"/>
                <w:b/>
                <w:bCs/>
                <w:color w:val="000000"/>
                <w:lang w:val="en-ZA" w:eastAsia="en-ZA"/>
              </w:rPr>
              <w:t>Specific disease</w:t>
            </w:r>
          </w:p>
        </w:tc>
        <w:tc>
          <w:tcPr>
            <w:tcW w:w="1334" w:type="dxa"/>
            <w:noWrap/>
            <w:hideMark/>
          </w:tcPr>
          <w:p w14:paraId="3B2FF5D8" w14:textId="77777777" w:rsidR="0093389D" w:rsidRPr="0075376A" w:rsidRDefault="0093389D" w:rsidP="0027153B">
            <w:pPr>
              <w:rPr>
                <w:rFonts w:ascii="Calibri" w:eastAsia="Times New Roman" w:hAnsi="Calibri" w:cs="Calibri"/>
                <w:b/>
                <w:bCs/>
                <w:color w:val="000000"/>
                <w:lang w:val="en-ZA" w:eastAsia="en-ZA"/>
              </w:rPr>
            </w:pPr>
            <w:r w:rsidRPr="0075376A">
              <w:rPr>
                <w:rFonts w:ascii="Calibri" w:eastAsia="Times New Roman" w:hAnsi="Calibri" w:cs="Calibri"/>
                <w:b/>
                <w:bCs/>
                <w:color w:val="000000"/>
                <w:lang w:val="en-ZA" w:eastAsia="en-ZA"/>
              </w:rPr>
              <w:t>Number of publications</w:t>
            </w:r>
          </w:p>
        </w:tc>
      </w:tr>
      <w:tr w:rsidR="0093389D" w:rsidRPr="00B535C0" w14:paraId="28B8E92C" w14:textId="77777777" w:rsidTr="003C6563">
        <w:trPr>
          <w:trHeight w:val="6"/>
        </w:trPr>
        <w:tc>
          <w:tcPr>
            <w:tcW w:w="1838" w:type="dxa"/>
            <w:noWrap/>
            <w:hideMark/>
          </w:tcPr>
          <w:p w14:paraId="5BF12249" w14:textId="77777777" w:rsidR="0093389D" w:rsidRPr="0075376A" w:rsidRDefault="0093389D" w:rsidP="0027153B">
            <w:pPr>
              <w:rPr>
                <w:rFonts w:ascii="Calibri" w:eastAsia="Times New Roman" w:hAnsi="Calibri" w:cs="Calibri"/>
                <w:b/>
                <w:bCs/>
                <w:color w:val="000000"/>
                <w:lang w:val="en-ZA" w:eastAsia="en-ZA"/>
              </w:rPr>
            </w:pPr>
            <w:r w:rsidRPr="0075376A">
              <w:rPr>
                <w:rFonts w:ascii="Calibri" w:eastAsia="Times New Roman" w:hAnsi="Calibri" w:cs="Calibri"/>
                <w:b/>
                <w:bCs/>
                <w:color w:val="000000"/>
                <w:lang w:val="en-ZA" w:eastAsia="en-ZA"/>
              </w:rPr>
              <w:t>Infectious</w:t>
            </w:r>
          </w:p>
        </w:tc>
        <w:tc>
          <w:tcPr>
            <w:tcW w:w="3686" w:type="dxa"/>
            <w:noWrap/>
            <w:hideMark/>
          </w:tcPr>
          <w:p w14:paraId="4CBD270E"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Malaria</w:t>
            </w:r>
          </w:p>
        </w:tc>
        <w:tc>
          <w:tcPr>
            <w:tcW w:w="1334" w:type="dxa"/>
            <w:noWrap/>
            <w:hideMark/>
          </w:tcPr>
          <w:p w14:paraId="0F902A71"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12</w:t>
            </w:r>
          </w:p>
        </w:tc>
      </w:tr>
      <w:tr w:rsidR="0093389D" w:rsidRPr="00B535C0" w14:paraId="5A8D5ACA" w14:textId="77777777" w:rsidTr="003C6563">
        <w:trPr>
          <w:trHeight w:val="6"/>
        </w:trPr>
        <w:tc>
          <w:tcPr>
            <w:tcW w:w="1838" w:type="dxa"/>
            <w:noWrap/>
            <w:hideMark/>
          </w:tcPr>
          <w:p w14:paraId="58D618B2"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287E4B18" w14:textId="77777777" w:rsidR="0093389D" w:rsidRPr="00B535C0" w:rsidRDefault="0093389D" w:rsidP="0027153B">
            <w:pPr>
              <w:rPr>
                <w:rFonts w:ascii="Calibri" w:eastAsia="Times New Roman" w:hAnsi="Calibri" w:cs="Calibri"/>
                <w:color w:val="000000"/>
                <w:lang w:val="en-ZA" w:eastAsia="en-ZA"/>
              </w:rPr>
            </w:pPr>
            <w:r>
              <w:rPr>
                <w:rFonts w:ascii="Calibri" w:eastAsia="Times New Roman" w:hAnsi="Calibri" w:cs="Calibri"/>
                <w:color w:val="000000"/>
                <w:lang w:val="en-ZA" w:eastAsia="en-ZA"/>
              </w:rPr>
              <w:t>TB</w:t>
            </w:r>
          </w:p>
        </w:tc>
        <w:tc>
          <w:tcPr>
            <w:tcW w:w="1334" w:type="dxa"/>
            <w:noWrap/>
            <w:hideMark/>
          </w:tcPr>
          <w:p w14:paraId="101396D0"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8</w:t>
            </w:r>
          </w:p>
        </w:tc>
      </w:tr>
      <w:tr w:rsidR="0093389D" w:rsidRPr="00B535C0" w14:paraId="3D95ECBD" w14:textId="77777777" w:rsidTr="003C6563">
        <w:trPr>
          <w:trHeight w:val="6"/>
        </w:trPr>
        <w:tc>
          <w:tcPr>
            <w:tcW w:w="1838" w:type="dxa"/>
            <w:noWrap/>
            <w:hideMark/>
          </w:tcPr>
          <w:p w14:paraId="7BE0DE2E"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7CB89301" w14:textId="77777777" w:rsidR="0093389D" w:rsidRPr="00B535C0" w:rsidRDefault="0093389D" w:rsidP="0027153B">
            <w:pPr>
              <w:rPr>
                <w:rFonts w:ascii="Calibri" w:eastAsia="Times New Roman" w:hAnsi="Calibri" w:cs="Calibri"/>
                <w:color w:val="000000"/>
                <w:lang w:val="en-ZA" w:eastAsia="en-ZA"/>
              </w:rPr>
            </w:pPr>
            <w:r>
              <w:rPr>
                <w:rFonts w:ascii="Calibri" w:eastAsia="Times New Roman" w:hAnsi="Calibri" w:cs="Calibri"/>
                <w:color w:val="000000"/>
                <w:lang w:val="en-ZA" w:eastAsia="en-ZA"/>
              </w:rPr>
              <w:t>HIV</w:t>
            </w:r>
          </w:p>
        </w:tc>
        <w:tc>
          <w:tcPr>
            <w:tcW w:w="1334" w:type="dxa"/>
            <w:noWrap/>
            <w:hideMark/>
          </w:tcPr>
          <w:p w14:paraId="4FEC76C9"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6</w:t>
            </w:r>
          </w:p>
        </w:tc>
      </w:tr>
      <w:tr w:rsidR="0093389D" w:rsidRPr="00B535C0" w14:paraId="2A10E40E" w14:textId="77777777" w:rsidTr="003C6563">
        <w:trPr>
          <w:trHeight w:val="6"/>
        </w:trPr>
        <w:tc>
          <w:tcPr>
            <w:tcW w:w="1838" w:type="dxa"/>
            <w:noWrap/>
            <w:hideMark/>
          </w:tcPr>
          <w:p w14:paraId="3BA7E1D5"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328F73AF"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COVID-19</w:t>
            </w:r>
          </w:p>
        </w:tc>
        <w:tc>
          <w:tcPr>
            <w:tcW w:w="1334" w:type="dxa"/>
            <w:noWrap/>
            <w:hideMark/>
          </w:tcPr>
          <w:p w14:paraId="4455C91B"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4</w:t>
            </w:r>
          </w:p>
        </w:tc>
      </w:tr>
      <w:tr w:rsidR="0093389D" w:rsidRPr="00B535C0" w14:paraId="3702A1C0" w14:textId="77777777" w:rsidTr="003C6563">
        <w:trPr>
          <w:trHeight w:val="6"/>
        </w:trPr>
        <w:tc>
          <w:tcPr>
            <w:tcW w:w="1838" w:type="dxa"/>
            <w:noWrap/>
            <w:hideMark/>
          </w:tcPr>
          <w:p w14:paraId="6509BF5B"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41FEF0D5"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Dengue fever</w:t>
            </w:r>
          </w:p>
        </w:tc>
        <w:tc>
          <w:tcPr>
            <w:tcW w:w="1334" w:type="dxa"/>
            <w:noWrap/>
            <w:hideMark/>
          </w:tcPr>
          <w:p w14:paraId="6C69EEFF"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3</w:t>
            </w:r>
          </w:p>
        </w:tc>
      </w:tr>
      <w:tr w:rsidR="0093389D" w:rsidRPr="00B535C0" w14:paraId="79C3788E" w14:textId="77777777" w:rsidTr="003C6563">
        <w:trPr>
          <w:trHeight w:val="6"/>
        </w:trPr>
        <w:tc>
          <w:tcPr>
            <w:tcW w:w="1838" w:type="dxa"/>
            <w:noWrap/>
            <w:hideMark/>
          </w:tcPr>
          <w:p w14:paraId="7B0418FD"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673FA4BC"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Schistosomiasis</w:t>
            </w:r>
          </w:p>
        </w:tc>
        <w:tc>
          <w:tcPr>
            <w:tcW w:w="1334" w:type="dxa"/>
            <w:noWrap/>
            <w:hideMark/>
          </w:tcPr>
          <w:p w14:paraId="0F9F9FD5"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3</w:t>
            </w:r>
          </w:p>
        </w:tc>
      </w:tr>
      <w:tr w:rsidR="0093389D" w:rsidRPr="00B535C0" w14:paraId="1CBBA231" w14:textId="77777777" w:rsidTr="003C6563">
        <w:trPr>
          <w:trHeight w:val="6"/>
        </w:trPr>
        <w:tc>
          <w:tcPr>
            <w:tcW w:w="1838" w:type="dxa"/>
            <w:noWrap/>
            <w:hideMark/>
          </w:tcPr>
          <w:p w14:paraId="5AF4D90B"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7E3765C4"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Chagas disease</w:t>
            </w:r>
          </w:p>
        </w:tc>
        <w:tc>
          <w:tcPr>
            <w:tcW w:w="1334" w:type="dxa"/>
            <w:noWrap/>
            <w:hideMark/>
          </w:tcPr>
          <w:p w14:paraId="2E480A30"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3</w:t>
            </w:r>
          </w:p>
        </w:tc>
      </w:tr>
      <w:tr w:rsidR="0093389D" w:rsidRPr="00B535C0" w14:paraId="37A7D40D" w14:textId="77777777" w:rsidTr="003C6563">
        <w:trPr>
          <w:trHeight w:val="6"/>
        </w:trPr>
        <w:tc>
          <w:tcPr>
            <w:tcW w:w="1838" w:type="dxa"/>
            <w:noWrap/>
            <w:hideMark/>
          </w:tcPr>
          <w:p w14:paraId="6549E19A"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5E60CCCD"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Leishmaniasis</w:t>
            </w:r>
          </w:p>
        </w:tc>
        <w:tc>
          <w:tcPr>
            <w:tcW w:w="1334" w:type="dxa"/>
            <w:noWrap/>
            <w:hideMark/>
          </w:tcPr>
          <w:p w14:paraId="429DB7FA"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3</w:t>
            </w:r>
          </w:p>
        </w:tc>
      </w:tr>
      <w:tr w:rsidR="0093389D" w:rsidRPr="00B535C0" w14:paraId="1B40CC00" w14:textId="77777777" w:rsidTr="003C6563">
        <w:trPr>
          <w:trHeight w:val="6"/>
        </w:trPr>
        <w:tc>
          <w:tcPr>
            <w:tcW w:w="1838" w:type="dxa"/>
            <w:noWrap/>
            <w:hideMark/>
          </w:tcPr>
          <w:p w14:paraId="3C7ED595"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68D48D51" w14:textId="77777777" w:rsidR="0093389D" w:rsidRPr="00B535C0" w:rsidRDefault="0093389D" w:rsidP="0027153B">
            <w:pPr>
              <w:rPr>
                <w:rFonts w:ascii="Calibri" w:eastAsia="Times New Roman" w:hAnsi="Calibri" w:cs="Calibri"/>
                <w:color w:val="000000"/>
                <w:lang w:val="en-ZA" w:eastAsia="en-ZA"/>
              </w:rPr>
            </w:pPr>
            <w:r>
              <w:rPr>
                <w:rFonts w:ascii="Calibri" w:eastAsia="Times New Roman" w:hAnsi="Calibri" w:cs="Calibri"/>
                <w:color w:val="000000"/>
                <w:lang w:val="en-ZA" w:eastAsia="en-ZA"/>
              </w:rPr>
              <w:t>STDs</w:t>
            </w:r>
          </w:p>
        </w:tc>
        <w:tc>
          <w:tcPr>
            <w:tcW w:w="1334" w:type="dxa"/>
            <w:noWrap/>
            <w:hideMark/>
          </w:tcPr>
          <w:p w14:paraId="3D3E549C"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2</w:t>
            </w:r>
          </w:p>
        </w:tc>
      </w:tr>
      <w:tr w:rsidR="0093389D" w:rsidRPr="00B535C0" w14:paraId="6FCDFB10" w14:textId="77777777" w:rsidTr="003C6563">
        <w:trPr>
          <w:trHeight w:val="6"/>
        </w:trPr>
        <w:tc>
          <w:tcPr>
            <w:tcW w:w="1838" w:type="dxa"/>
            <w:noWrap/>
            <w:hideMark/>
          </w:tcPr>
          <w:p w14:paraId="1FDEE1FC"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44904D0C"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Cryptosporidiosis</w:t>
            </w:r>
          </w:p>
        </w:tc>
        <w:tc>
          <w:tcPr>
            <w:tcW w:w="1334" w:type="dxa"/>
            <w:noWrap/>
            <w:hideMark/>
          </w:tcPr>
          <w:p w14:paraId="6EE8B0A7"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2</w:t>
            </w:r>
          </w:p>
        </w:tc>
      </w:tr>
      <w:tr w:rsidR="0093389D" w:rsidRPr="00B535C0" w14:paraId="5DF06A83" w14:textId="77777777" w:rsidTr="003C6563">
        <w:trPr>
          <w:trHeight w:val="6"/>
        </w:trPr>
        <w:tc>
          <w:tcPr>
            <w:tcW w:w="1838" w:type="dxa"/>
            <w:noWrap/>
            <w:hideMark/>
          </w:tcPr>
          <w:p w14:paraId="4C259384"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58990EC9"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Zika virus</w:t>
            </w:r>
          </w:p>
        </w:tc>
        <w:tc>
          <w:tcPr>
            <w:tcW w:w="1334" w:type="dxa"/>
            <w:noWrap/>
            <w:hideMark/>
          </w:tcPr>
          <w:p w14:paraId="02D91B13"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2</w:t>
            </w:r>
          </w:p>
        </w:tc>
      </w:tr>
      <w:tr w:rsidR="0093389D" w:rsidRPr="00B535C0" w14:paraId="34539C9A" w14:textId="77777777" w:rsidTr="003C6563">
        <w:trPr>
          <w:trHeight w:val="6"/>
        </w:trPr>
        <w:tc>
          <w:tcPr>
            <w:tcW w:w="1838" w:type="dxa"/>
            <w:noWrap/>
            <w:hideMark/>
          </w:tcPr>
          <w:p w14:paraId="6B330FC9"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20F18DF4"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Rift Valley fever</w:t>
            </w:r>
          </w:p>
        </w:tc>
        <w:tc>
          <w:tcPr>
            <w:tcW w:w="1334" w:type="dxa"/>
            <w:noWrap/>
            <w:hideMark/>
          </w:tcPr>
          <w:p w14:paraId="6DDF8DE6"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3D9BFD4D" w14:textId="77777777" w:rsidTr="003C6563">
        <w:trPr>
          <w:trHeight w:val="6"/>
        </w:trPr>
        <w:tc>
          <w:tcPr>
            <w:tcW w:w="1838" w:type="dxa"/>
            <w:noWrap/>
            <w:hideMark/>
          </w:tcPr>
          <w:p w14:paraId="06AB9717"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7FD00A58"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Fungal infection</w:t>
            </w:r>
          </w:p>
        </w:tc>
        <w:tc>
          <w:tcPr>
            <w:tcW w:w="1334" w:type="dxa"/>
            <w:noWrap/>
            <w:hideMark/>
          </w:tcPr>
          <w:p w14:paraId="6B29CCA0"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6BB1A83B" w14:textId="77777777" w:rsidTr="003C6563">
        <w:trPr>
          <w:trHeight w:val="6"/>
        </w:trPr>
        <w:tc>
          <w:tcPr>
            <w:tcW w:w="1838" w:type="dxa"/>
            <w:noWrap/>
            <w:hideMark/>
          </w:tcPr>
          <w:p w14:paraId="24515176"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5EAED137"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Soil-transmitted helminths</w:t>
            </w:r>
          </w:p>
        </w:tc>
        <w:tc>
          <w:tcPr>
            <w:tcW w:w="1334" w:type="dxa"/>
            <w:noWrap/>
            <w:hideMark/>
          </w:tcPr>
          <w:p w14:paraId="739D1168"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45FA95FF" w14:textId="77777777" w:rsidTr="003C6563">
        <w:trPr>
          <w:trHeight w:val="6"/>
        </w:trPr>
        <w:tc>
          <w:tcPr>
            <w:tcW w:w="1838" w:type="dxa"/>
            <w:noWrap/>
            <w:hideMark/>
          </w:tcPr>
          <w:p w14:paraId="198FDD8A"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3F32C595"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Poliomyelitis</w:t>
            </w:r>
          </w:p>
        </w:tc>
        <w:tc>
          <w:tcPr>
            <w:tcW w:w="1334" w:type="dxa"/>
            <w:noWrap/>
            <w:hideMark/>
          </w:tcPr>
          <w:p w14:paraId="19D2C5CA"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0A9EA917" w14:textId="77777777" w:rsidTr="003C6563">
        <w:trPr>
          <w:trHeight w:val="6"/>
        </w:trPr>
        <w:tc>
          <w:tcPr>
            <w:tcW w:w="1838" w:type="dxa"/>
            <w:noWrap/>
            <w:hideMark/>
          </w:tcPr>
          <w:p w14:paraId="395939A5"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2F0538E6"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Sepsis</w:t>
            </w:r>
          </w:p>
        </w:tc>
        <w:tc>
          <w:tcPr>
            <w:tcW w:w="1334" w:type="dxa"/>
            <w:noWrap/>
            <w:hideMark/>
          </w:tcPr>
          <w:p w14:paraId="76648DBE"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547ED33C" w14:textId="77777777" w:rsidTr="003C6563">
        <w:trPr>
          <w:trHeight w:val="6"/>
        </w:trPr>
        <w:tc>
          <w:tcPr>
            <w:tcW w:w="1838" w:type="dxa"/>
            <w:noWrap/>
            <w:hideMark/>
          </w:tcPr>
          <w:p w14:paraId="03C97C99"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63BDB79F"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Bacterial and non-bacterial infections</w:t>
            </w:r>
          </w:p>
        </w:tc>
        <w:tc>
          <w:tcPr>
            <w:tcW w:w="1334" w:type="dxa"/>
            <w:noWrap/>
            <w:hideMark/>
          </w:tcPr>
          <w:p w14:paraId="003A37E4"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61FD5F7F" w14:textId="77777777" w:rsidTr="003C6563">
        <w:trPr>
          <w:trHeight w:val="6"/>
        </w:trPr>
        <w:tc>
          <w:tcPr>
            <w:tcW w:w="1838" w:type="dxa"/>
            <w:noWrap/>
            <w:hideMark/>
          </w:tcPr>
          <w:p w14:paraId="207A817D"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16C64E5D"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HIV and STD</w:t>
            </w:r>
            <w:r>
              <w:rPr>
                <w:rFonts w:ascii="Calibri" w:eastAsia="Times New Roman" w:hAnsi="Calibri" w:cs="Calibri"/>
                <w:color w:val="000000"/>
                <w:lang w:val="en-ZA" w:eastAsia="en-ZA"/>
              </w:rPr>
              <w:t>s</w:t>
            </w:r>
          </w:p>
        </w:tc>
        <w:tc>
          <w:tcPr>
            <w:tcW w:w="1334" w:type="dxa"/>
            <w:noWrap/>
            <w:hideMark/>
          </w:tcPr>
          <w:p w14:paraId="50B8F0DE"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3174A683" w14:textId="77777777" w:rsidTr="003C6563">
        <w:trPr>
          <w:trHeight w:val="6"/>
        </w:trPr>
        <w:tc>
          <w:tcPr>
            <w:tcW w:w="1838" w:type="dxa"/>
            <w:noWrap/>
            <w:hideMark/>
          </w:tcPr>
          <w:p w14:paraId="504565B9"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115C5B34"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Hepatitis C</w:t>
            </w:r>
          </w:p>
        </w:tc>
        <w:tc>
          <w:tcPr>
            <w:tcW w:w="1334" w:type="dxa"/>
            <w:noWrap/>
            <w:hideMark/>
          </w:tcPr>
          <w:p w14:paraId="1F238A12"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4F675D25" w14:textId="77777777" w:rsidTr="003C6563">
        <w:trPr>
          <w:trHeight w:val="6"/>
        </w:trPr>
        <w:tc>
          <w:tcPr>
            <w:tcW w:w="1838" w:type="dxa"/>
            <w:noWrap/>
            <w:hideMark/>
          </w:tcPr>
          <w:p w14:paraId="6324BE7D"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13ACA584"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 xml:space="preserve">Taenia </w:t>
            </w:r>
            <w:proofErr w:type="spellStart"/>
            <w:r w:rsidRPr="00B535C0">
              <w:rPr>
                <w:rFonts w:ascii="Calibri" w:eastAsia="Times New Roman" w:hAnsi="Calibri" w:cs="Calibri"/>
                <w:color w:val="000000"/>
                <w:lang w:val="en-ZA" w:eastAsia="en-ZA"/>
              </w:rPr>
              <w:t>solium</w:t>
            </w:r>
            <w:proofErr w:type="spellEnd"/>
            <w:r w:rsidRPr="00B535C0">
              <w:rPr>
                <w:rFonts w:ascii="Calibri" w:eastAsia="Times New Roman" w:hAnsi="Calibri" w:cs="Calibri"/>
                <w:color w:val="000000"/>
                <w:lang w:val="en-ZA" w:eastAsia="en-ZA"/>
              </w:rPr>
              <w:t xml:space="preserve"> </w:t>
            </w:r>
          </w:p>
        </w:tc>
        <w:tc>
          <w:tcPr>
            <w:tcW w:w="1334" w:type="dxa"/>
            <w:noWrap/>
            <w:hideMark/>
          </w:tcPr>
          <w:p w14:paraId="61568634"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5C2D06A8" w14:textId="77777777" w:rsidTr="003C6563">
        <w:trPr>
          <w:trHeight w:val="6"/>
        </w:trPr>
        <w:tc>
          <w:tcPr>
            <w:tcW w:w="1838" w:type="dxa"/>
            <w:noWrap/>
            <w:hideMark/>
          </w:tcPr>
          <w:p w14:paraId="4B6D2FA1"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36C90F80"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Shigellosis</w:t>
            </w:r>
          </w:p>
        </w:tc>
        <w:tc>
          <w:tcPr>
            <w:tcW w:w="1334" w:type="dxa"/>
            <w:noWrap/>
            <w:hideMark/>
          </w:tcPr>
          <w:p w14:paraId="5A647D70"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2E4759EE" w14:textId="77777777" w:rsidTr="003C6563">
        <w:trPr>
          <w:trHeight w:val="6"/>
        </w:trPr>
        <w:tc>
          <w:tcPr>
            <w:tcW w:w="1838" w:type="dxa"/>
            <w:noWrap/>
            <w:hideMark/>
          </w:tcPr>
          <w:p w14:paraId="4665341F"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338D61FA"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Lower respiratory infections</w:t>
            </w:r>
          </w:p>
        </w:tc>
        <w:tc>
          <w:tcPr>
            <w:tcW w:w="1334" w:type="dxa"/>
            <w:noWrap/>
            <w:hideMark/>
          </w:tcPr>
          <w:p w14:paraId="51F4900E"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1371AA79" w14:textId="77777777" w:rsidTr="003C6563">
        <w:trPr>
          <w:trHeight w:val="6"/>
        </w:trPr>
        <w:tc>
          <w:tcPr>
            <w:tcW w:w="1838" w:type="dxa"/>
            <w:noWrap/>
            <w:hideMark/>
          </w:tcPr>
          <w:p w14:paraId="0251C812"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16750E64"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Viral infections</w:t>
            </w:r>
          </w:p>
        </w:tc>
        <w:tc>
          <w:tcPr>
            <w:tcW w:w="1334" w:type="dxa"/>
            <w:noWrap/>
            <w:hideMark/>
          </w:tcPr>
          <w:p w14:paraId="23B5E07C"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4B02ADB1" w14:textId="77777777" w:rsidTr="003C6563">
        <w:trPr>
          <w:trHeight w:val="6"/>
        </w:trPr>
        <w:tc>
          <w:tcPr>
            <w:tcW w:w="1838" w:type="dxa"/>
            <w:noWrap/>
            <w:hideMark/>
          </w:tcPr>
          <w:p w14:paraId="0AA5AAFE"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109D8D3F"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Typhoid fever</w:t>
            </w:r>
          </w:p>
        </w:tc>
        <w:tc>
          <w:tcPr>
            <w:tcW w:w="1334" w:type="dxa"/>
            <w:noWrap/>
            <w:hideMark/>
          </w:tcPr>
          <w:p w14:paraId="07405B7E"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58BC2771" w14:textId="77777777" w:rsidTr="003C6563">
        <w:trPr>
          <w:trHeight w:val="6"/>
        </w:trPr>
        <w:tc>
          <w:tcPr>
            <w:tcW w:w="1838" w:type="dxa"/>
            <w:noWrap/>
            <w:hideMark/>
          </w:tcPr>
          <w:p w14:paraId="40CE2CA1"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4092E159"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Rheumatic fever</w:t>
            </w:r>
          </w:p>
        </w:tc>
        <w:tc>
          <w:tcPr>
            <w:tcW w:w="1334" w:type="dxa"/>
            <w:noWrap/>
            <w:hideMark/>
          </w:tcPr>
          <w:p w14:paraId="5DDBEA66"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2D432B34" w14:textId="77777777" w:rsidTr="003C6563">
        <w:trPr>
          <w:trHeight w:val="6"/>
        </w:trPr>
        <w:tc>
          <w:tcPr>
            <w:tcW w:w="1838" w:type="dxa"/>
            <w:noWrap/>
            <w:hideMark/>
          </w:tcPr>
          <w:p w14:paraId="4541F277"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0DFFA5F6"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Lassa virus</w:t>
            </w:r>
          </w:p>
        </w:tc>
        <w:tc>
          <w:tcPr>
            <w:tcW w:w="1334" w:type="dxa"/>
            <w:noWrap/>
            <w:hideMark/>
          </w:tcPr>
          <w:p w14:paraId="238E82F8"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4672B592" w14:textId="77777777" w:rsidTr="003C6563">
        <w:trPr>
          <w:trHeight w:val="6"/>
        </w:trPr>
        <w:tc>
          <w:tcPr>
            <w:tcW w:w="1838" w:type="dxa"/>
            <w:noWrap/>
            <w:hideMark/>
          </w:tcPr>
          <w:p w14:paraId="04DD2BD5"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33E737DD"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Neglected Tropical Diseases</w:t>
            </w:r>
          </w:p>
        </w:tc>
        <w:tc>
          <w:tcPr>
            <w:tcW w:w="1334" w:type="dxa"/>
            <w:noWrap/>
            <w:hideMark/>
          </w:tcPr>
          <w:p w14:paraId="4856D694"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4FF4F646" w14:textId="77777777" w:rsidTr="003C6563">
        <w:trPr>
          <w:trHeight w:val="6"/>
        </w:trPr>
        <w:tc>
          <w:tcPr>
            <w:tcW w:w="1838" w:type="dxa"/>
            <w:noWrap/>
          </w:tcPr>
          <w:p w14:paraId="39AC78A8"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tcPr>
          <w:p w14:paraId="289D9DF9"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NA</w:t>
            </w:r>
          </w:p>
        </w:tc>
        <w:tc>
          <w:tcPr>
            <w:tcW w:w="1334" w:type="dxa"/>
            <w:noWrap/>
          </w:tcPr>
          <w:p w14:paraId="41C2243C"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2D2EBA2C" w14:textId="77777777" w:rsidTr="003C6563">
        <w:trPr>
          <w:trHeight w:val="6"/>
        </w:trPr>
        <w:tc>
          <w:tcPr>
            <w:tcW w:w="1838" w:type="dxa"/>
            <w:noWrap/>
            <w:hideMark/>
          </w:tcPr>
          <w:p w14:paraId="0398CB87" w14:textId="77777777" w:rsidR="0093389D" w:rsidRPr="00B535C0" w:rsidRDefault="0093389D" w:rsidP="0027153B">
            <w:pPr>
              <w:jc w:val="cente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Total</w:t>
            </w:r>
          </w:p>
        </w:tc>
        <w:tc>
          <w:tcPr>
            <w:tcW w:w="3686" w:type="dxa"/>
            <w:noWrap/>
            <w:hideMark/>
          </w:tcPr>
          <w:p w14:paraId="17C4A355" w14:textId="77777777" w:rsidR="0093389D" w:rsidRPr="00B535C0" w:rsidRDefault="0093389D" w:rsidP="0027153B">
            <w:pPr>
              <w:jc w:val="center"/>
              <w:rPr>
                <w:rFonts w:ascii="Calibri" w:eastAsia="Times New Roman" w:hAnsi="Calibri" w:cs="Calibri"/>
                <w:b/>
                <w:bCs/>
                <w:color w:val="000000"/>
                <w:lang w:val="en-ZA" w:eastAsia="en-ZA"/>
              </w:rPr>
            </w:pPr>
          </w:p>
        </w:tc>
        <w:tc>
          <w:tcPr>
            <w:tcW w:w="1334" w:type="dxa"/>
            <w:noWrap/>
            <w:hideMark/>
          </w:tcPr>
          <w:p w14:paraId="6DBAAA93" w14:textId="77777777" w:rsidR="0093389D" w:rsidRPr="00B535C0" w:rsidRDefault="0093389D" w:rsidP="0027153B">
            <w:pPr>
              <w:jc w:val="right"/>
              <w:rPr>
                <w:rFonts w:ascii="Calibri" w:eastAsia="Times New Roman" w:hAnsi="Calibri" w:cs="Calibri"/>
                <w:b/>
                <w:bCs/>
                <w:color w:val="000000"/>
                <w:lang w:val="en-ZA" w:eastAsia="en-ZA"/>
              </w:rPr>
            </w:pPr>
            <w:r w:rsidRPr="00B535C0">
              <w:rPr>
                <w:rFonts w:ascii="Calibri" w:eastAsia="Times New Roman" w:hAnsi="Calibri" w:cs="Calibri"/>
                <w:b/>
                <w:bCs/>
                <w:color w:val="000000"/>
                <w:lang w:val="en-ZA" w:eastAsia="en-ZA"/>
              </w:rPr>
              <w:t>65</w:t>
            </w:r>
          </w:p>
        </w:tc>
      </w:tr>
      <w:tr w:rsidR="0093389D" w:rsidRPr="00B535C0" w14:paraId="0D63456F" w14:textId="77777777" w:rsidTr="003C6563">
        <w:trPr>
          <w:trHeight w:val="6"/>
        </w:trPr>
        <w:tc>
          <w:tcPr>
            <w:tcW w:w="1838" w:type="dxa"/>
            <w:noWrap/>
            <w:hideMark/>
          </w:tcPr>
          <w:p w14:paraId="74A8EBB2" w14:textId="77777777" w:rsidR="0093389D" w:rsidRPr="0075376A" w:rsidRDefault="0093389D" w:rsidP="0027153B">
            <w:pPr>
              <w:rPr>
                <w:rFonts w:ascii="Calibri" w:eastAsia="Times New Roman" w:hAnsi="Calibri" w:cs="Calibri"/>
                <w:b/>
                <w:bCs/>
                <w:color w:val="000000"/>
                <w:lang w:val="en-ZA" w:eastAsia="en-ZA"/>
              </w:rPr>
            </w:pPr>
            <w:r w:rsidRPr="0075376A">
              <w:rPr>
                <w:rFonts w:ascii="Calibri" w:eastAsia="Times New Roman" w:hAnsi="Calibri" w:cs="Calibri"/>
                <w:b/>
                <w:bCs/>
                <w:color w:val="000000"/>
                <w:lang w:val="en-ZA" w:eastAsia="en-ZA"/>
              </w:rPr>
              <w:t>Non-infectious</w:t>
            </w:r>
          </w:p>
        </w:tc>
        <w:tc>
          <w:tcPr>
            <w:tcW w:w="3686" w:type="dxa"/>
            <w:noWrap/>
            <w:hideMark/>
          </w:tcPr>
          <w:p w14:paraId="0F66F0F8"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NA</w:t>
            </w:r>
          </w:p>
        </w:tc>
        <w:tc>
          <w:tcPr>
            <w:tcW w:w="1334" w:type="dxa"/>
            <w:noWrap/>
            <w:hideMark/>
          </w:tcPr>
          <w:p w14:paraId="7B3723BF"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3</w:t>
            </w:r>
          </w:p>
        </w:tc>
      </w:tr>
      <w:tr w:rsidR="0093389D" w:rsidRPr="00B535C0" w14:paraId="655CB9E1" w14:textId="77777777" w:rsidTr="003C6563">
        <w:trPr>
          <w:trHeight w:val="6"/>
        </w:trPr>
        <w:tc>
          <w:tcPr>
            <w:tcW w:w="1838" w:type="dxa"/>
            <w:noWrap/>
            <w:hideMark/>
          </w:tcPr>
          <w:p w14:paraId="346B6E4B"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18730B37"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Psychiatric (general)</w:t>
            </w:r>
          </w:p>
        </w:tc>
        <w:tc>
          <w:tcPr>
            <w:tcW w:w="1334" w:type="dxa"/>
            <w:noWrap/>
            <w:hideMark/>
          </w:tcPr>
          <w:p w14:paraId="1081F9E7"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3</w:t>
            </w:r>
          </w:p>
        </w:tc>
      </w:tr>
      <w:tr w:rsidR="0093389D" w:rsidRPr="00B535C0" w14:paraId="59186B9B" w14:textId="77777777" w:rsidTr="003C6563">
        <w:trPr>
          <w:trHeight w:val="6"/>
        </w:trPr>
        <w:tc>
          <w:tcPr>
            <w:tcW w:w="1838" w:type="dxa"/>
            <w:noWrap/>
            <w:hideMark/>
          </w:tcPr>
          <w:p w14:paraId="3153D7F6"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7890CF6E"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Hypertension</w:t>
            </w:r>
          </w:p>
        </w:tc>
        <w:tc>
          <w:tcPr>
            <w:tcW w:w="1334" w:type="dxa"/>
            <w:noWrap/>
            <w:hideMark/>
          </w:tcPr>
          <w:p w14:paraId="6672B1B5"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2</w:t>
            </w:r>
          </w:p>
        </w:tc>
      </w:tr>
      <w:tr w:rsidR="0093389D" w:rsidRPr="00B535C0" w14:paraId="4AECB113" w14:textId="77777777" w:rsidTr="003C6563">
        <w:trPr>
          <w:trHeight w:val="6"/>
        </w:trPr>
        <w:tc>
          <w:tcPr>
            <w:tcW w:w="1838" w:type="dxa"/>
            <w:noWrap/>
            <w:hideMark/>
          </w:tcPr>
          <w:p w14:paraId="18E50702"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254A8835"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Schizophrenia</w:t>
            </w:r>
          </w:p>
        </w:tc>
        <w:tc>
          <w:tcPr>
            <w:tcW w:w="1334" w:type="dxa"/>
            <w:noWrap/>
            <w:hideMark/>
          </w:tcPr>
          <w:p w14:paraId="375820BD"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2</w:t>
            </w:r>
          </w:p>
        </w:tc>
      </w:tr>
      <w:tr w:rsidR="0093389D" w:rsidRPr="00B535C0" w14:paraId="67FDBA04" w14:textId="77777777" w:rsidTr="003C6563">
        <w:trPr>
          <w:trHeight w:val="6"/>
        </w:trPr>
        <w:tc>
          <w:tcPr>
            <w:tcW w:w="1838" w:type="dxa"/>
            <w:noWrap/>
            <w:hideMark/>
          </w:tcPr>
          <w:p w14:paraId="75520B81"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67903964"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Genetic disorders</w:t>
            </w:r>
          </w:p>
        </w:tc>
        <w:tc>
          <w:tcPr>
            <w:tcW w:w="1334" w:type="dxa"/>
            <w:noWrap/>
            <w:hideMark/>
          </w:tcPr>
          <w:p w14:paraId="22F68FF7"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2</w:t>
            </w:r>
          </w:p>
        </w:tc>
      </w:tr>
      <w:tr w:rsidR="0093389D" w:rsidRPr="00B535C0" w14:paraId="659919D3" w14:textId="77777777" w:rsidTr="003C6563">
        <w:trPr>
          <w:trHeight w:val="6"/>
        </w:trPr>
        <w:tc>
          <w:tcPr>
            <w:tcW w:w="1838" w:type="dxa"/>
            <w:noWrap/>
            <w:hideMark/>
          </w:tcPr>
          <w:p w14:paraId="0BD609A4"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2D3C986B" w14:textId="77777777" w:rsidR="0093389D" w:rsidRPr="00B535C0" w:rsidRDefault="0093389D" w:rsidP="0027153B">
            <w:pPr>
              <w:rPr>
                <w:rFonts w:ascii="Calibri" w:eastAsia="Times New Roman" w:hAnsi="Calibri" w:cs="Calibri"/>
                <w:color w:val="000000"/>
                <w:lang w:val="en-ZA" w:eastAsia="en-ZA"/>
              </w:rPr>
            </w:pPr>
            <w:proofErr w:type="spellStart"/>
            <w:r w:rsidRPr="00B535C0">
              <w:rPr>
                <w:rFonts w:ascii="Calibri" w:eastAsia="Times New Roman" w:hAnsi="Calibri" w:cs="Calibri"/>
                <w:color w:val="000000"/>
                <w:lang w:val="en-ZA" w:eastAsia="en-ZA"/>
              </w:rPr>
              <w:t>Cholest</w:t>
            </w:r>
            <w:r>
              <w:rPr>
                <w:rFonts w:ascii="Calibri" w:eastAsia="Times New Roman" w:hAnsi="Calibri" w:cs="Calibri"/>
                <w:color w:val="000000"/>
                <w:lang w:val="en-ZA" w:eastAsia="en-ZA"/>
              </w:rPr>
              <w:t>e</w:t>
            </w:r>
            <w:r w:rsidRPr="00B535C0">
              <w:rPr>
                <w:rFonts w:ascii="Calibri" w:eastAsia="Times New Roman" w:hAnsi="Calibri" w:cs="Calibri"/>
                <w:color w:val="000000"/>
                <w:lang w:val="en-ZA" w:eastAsia="en-ZA"/>
              </w:rPr>
              <w:t>r</w:t>
            </w:r>
            <w:r>
              <w:rPr>
                <w:rFonts w:ascii="Calibri" w:eastAsia="Times New Roman" w:hAnsi="Calibri" w:cs="Calibri"/>
                <w:color w:val="000000"/>
                <w:lang w:val="en-ZA" w:eastAsia="en-ZA"/>
              </w:rPr>
              <w:t>ol</w:t>
            </w:r>
            <w:r w:rsidRPr="00B535C0">
              <w:rPr>
                <w:rFonts w:ascii="Calibri" w:eastAsia="Times New Roman" w:hAnsi="Calibri" w:cs="Calibri"/>
                <w:color w:val="000000"/>
                <w:lang w:val="en-ZA" w:eastAsia="en-ZA"/>
              </w:rPr>
              <w:t>emia</w:t>
            </w:r>
            <w:proofErr w:type="spellEnd"/>
          </w:p>
        </w:tc>
        <w:tc>
          <w:tcPr>
            <w:tcW w:w="1334" w:type="dxa"/>
            <w:noWrap/>
            <w:hideMark/>
          </w:tcPr>
          <w:p w14:paraId="08B0116C"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082DEF1A" w14:textId="77777777" w:rsidTr="003C6563">
        <w:trPr>
          <w:trHeight w:val="6"/>
        </w:trPr>
        <w:tc>
          <w:tcPr>
            <w:tcW w:w="1838" w:type="dxa"/>
            <w:noWrap/>
            <w:hideMark/>
          </w:tcPr>
          <w:p w14:paraId="3D809955"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09871804"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Skin disease</w:t>
            </w:r>
          </w:p>
        </w:tc>
        <w:tc>
          <w:tcPr>
            <w:tcW w:w="1334" w:type="dxa"/>
            <w:noWrap/>
            <w:hideMark/>
          </w:tcPr>
          <w:p w14:paraId="1EB10588"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51D26497" w14:textId="77777777" w:rsidTr="003C6563">
        <w:trPr>
          <w:trHeight w:val="6"/>
        </w:trPr>
        <w:tc>
          <w:tcPr>
            <w:tcW w:w="1838" w:type="dxa"/>
            <w:noWrap/>
            <w:hideMark/>
          </w:tcPr>
          <w:p w14:paraId="653A70DD"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0E08C5E0"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Cancer</w:t>
            </w:r>
          </w:p>
        </w:tc>
        <w:tc>
          <w:tcPr>
            <w:tcW w:w="1334" w:type="dxa"/>
            <w:noWrap/>
            <w:hideMark/>
          </w:tcPr>
          <w:p w14:paraId="019BD1F5"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3328B9F6" w14:textId="77777777" w:rsidTr="003C6563">
        <w:trPr>
          <w:trHeight w:val="6"/>
        </w:trPr>
        <w:tc>
          <w:tcPr>
            <w:tcW w:w="1838" w:type="dxa"/>
            <w:noWrap/>
            <w:hideMark/>
          </w:tcPr>
          <w:p w14:paraId="0F69E4BA"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6C7879C7"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Osteoarthritis</w:t>
            </w:r>
          </w:p>
        </w:tc>
        <w:tc>
          <w:tcPr>
            <w:tcW w:w="1334" w:type="dxa"/>
            <w:noWrap/>
            <w:hideMark/>
          </w:tcPr>
          <w:p w14:paraId="64E4A8B3"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62CE7F08" w14:textId="77777777" w:rsidTr="003C6563">
        <w:trPr>
          <w:trHeight w:val="6"/>
        </w:trPr>
        <w:tc>
          <w:tcPr>
            <w:tcW w:w="1838" w:type="dxa"/>
            <w:noWrap/>
            <w:hideMark/>
          </w:tcPr>
          <w:p w14:paraId="3C72F187"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20A895BF"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COPD</w:t>
            </w:r>
          </w:p>
        </w:tc>
        <w:tc>
          <w:tcPr>
            <w:tcW w:w="1334" w:type="dxa"/>
            <w:noWrap/>
            <w:hideMark/>
          </w:tcPr>
          <w:p w14:paraId="7E8581B8"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32672E7F" w14:textId="77777777" w:rsidTr="003C6563">
        <w:trPr>
          <w:trHeight w:val="6"/>
        </w:trPr>
        <w:tc>
          <w:tcPr>
            <w:tcW w:w="1838" w:type="dxa"/>
            <w:noWrap/>
            <w:hideMark/>
          </w:tcPr>
          <w:p w14:paraId="26EC343E"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4E9CFC4C"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Skin cancer</w:t>
            </w:r>
          </w:p>
        </w:tc>
        <w:tc>
          <w:tcPr>
            <w:tcW w:w="1334" w:type="dxa"/>
            <w:noWrap/>
            <w:hideMark/>
          </w:tcPr>
          <w:p w14:paraId="7787DE47"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7C389075" w14:textId="77777777" w:rsidTr="003C6563">
        <w:trPr>
          <w:trHeight w:val="6"/>
        </w:trPr>
        <w:tc>
          <w:tcPr>
            <w:tcW w:w="1838" w:type="dxa"/>
            <w:noWrap/>
            <w:hideMark/>
          </w:tcPr>
          <w:p w14:paraId="3B6F9CC6"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43DE1B37"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Cardiac disease (heart failure)</w:t>
            </w:r>
          </w:p>
        </w:tc>
        <w:tc>
          <w:tcPr>
            <w:tcW w:w="1334" w:type="dxa"/>
            <w:noWrap/>
            <w:hideMark/>
          </w:tcPr>
          <w:p w14:paraId="3AC6EB2A"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632F6FE2" w14:textId="77777777" w:rsidTr="003C6563">
        <w:trPr>
          <w:trHeight w:val="6"/>
        </w:trPr>
        <w:tc>
          <w:tcPr>
            <w:tcW w:w="1838" w:type="dxa"/>
            <w:noWrap/>
            <w:hideMark/>
          </w:tcPr>
          <w:p w14:paraId="210ACF6B"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36C3F98A"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Monoclonal antibodies production</w:t>
            </w:r>
          </w:p>
        </w:tc>
        <w:tc>
          <w:tcPr>
            <w:tcW w:w="1334" w:type="dxa"/>
            <w:noWrap/>
            <w:hideMark/>
          </w:tcPr>
          <w:p w14:paraId="1748E96B"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5FB0CCF1" w14:textId="77777777" w:rsidTr="003C6563">
        <w:trPr>
          <w:trHeight w:val="6"/>
        </w:trPr>
        <w:tc>
          <w:tcPr>
            <w:tcW w:w="1838" w:type="dxa"/>
            <w:noWrap/>
            <w:hideMark/>
          </w:tcPr>
          <w:p w14:paraId="2DE40BEB"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20A9EF8B" w14:textId="77777777" w:rsidR="0093389D" w:rsidRPr="0075376A" w:rsidRDefault="0093389D" w:rsidP="0027153B">
            <w:pPr>
              <w:rPr>
                <w:rFonts w:ascii="Calibri" w:eastAsia="Times New Roman" w:hAnsi="Calibri" w:cs="Calibri"/>
                <w:color w:val="000000"/>
                <w:lang w:val="en-ZA" w:eastAsia="en-ZA"/>
              </w:rPr>
            </w:pPr>
            <w:r w:rsidRPr="0075376A">
              <w:rPr>
                <w:rFonts w:ascii="Calibri" w:eastAsia="Times New Roman" w:hAnsi="Calibri" w:cs="Calibri"/>
                <w:color w:val="000000"/>
                <w:lang w:val="en-ZA" w:eastAsia="en-ZA"/>
              </w:rPr>
              <w:t>Alzheimer's disease</w:t>
            </w:r>
          </w:p>
        </w:tc>
        <w:tc>
          <w:tcPr>
            <w:tcW w:w="1334" w:type="dxa"/>
            <w:noWrap/>
            <w:hideMark/>
          </w:tcPr>
          <w:p w14:paraId="325771AD" w14:textId="77777777" w:rsidR="0093389D" w:rsidRPr="00B535C0" w:rsidRDefault="0093389D" w:rsidP="0027153B">
            <w:pPr>
              <w:jc w:val="right"/>
              <w:rPr>
                <w:rFonts w:ascii="Calibri" w:eastAsia="Times New Roman" w:hAnsi="Calibri" w:cs="Calibri"/>
                <w:b/>
                <w:bCs/>
                <w:color w:val="000000"/>
                <w:lang w:val="en-ZA" w:eastAsia="en-ZA"/>
              </w:rPr>
            </w:pPr>
            <w:r w:rsidRPr="00B535C0">
              <w:rPr>
                <w:rFonts w:ascii="Calibri" w:eastAsia="Times New Roman" w:hAnsi="Calibri" w:cs="Calibri"/>
                <w:b/>
                <w:bCs/>
                <w:color w:val="000000"/>
                <w:lang w:val="en-ZA" w:eastAsia="en-ZA"/>
              </w:rPr>
              <w:t>1</w:t>
            </w:r>
          </w:p>
        </w:tc>
      </w:tr>
      <w:tr w:rsidR="0093389D" w:rsidRPr="00B535C0" w14:paraId="5E513A2D" w14:textId="77777777" w:rsidTr="003C6563">
        <w:trPr>
          <w:trHeight w:val="6"/>
        </w:trPr>
        <w:tc>
          <w:tcPr>
            <w:tcW w:w="1838" w:type="dxa"/>
            <w:noWrap/>
            <w:hideMark/>
          </w:tcPr>
          <w:p w14:paraId="1CB32440"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1F8277E7"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Malnutrition</w:t>
            </w:r>
          </w:p>
        </w:tc>
        <w:tc>
          <w:tcPr>
            <w:tcW w:w="1334" w:type="dxa"/>
            <w:noWrap/>
            <w:hideMark/>
          </w:tcPr>
          <w:p w14:paraId="6B3EABC9"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29AFEC83" w14:textId="77777777" w:rsidTr="003C6563">
        <w:trPr>
          <w:trHeight w:val="6"/>
        </w:trPr>
        <w:tc>
          <w:tcPr>
            <w:tcW w:w="1838" w:type="dxa"/>
            <w:noWrap/>
            <w:hideMark/>
          </w:tcPr>
          <w:p w14:paraId="6D31A96F"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253E0668"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Dermatological disease (Rosacea)</w:t>
            </w:r>
          </w:p>
        </w:tc>
        <w:tc>
          <w:tcPr>
            <w:tcW w:w="1334" w:type="dxa"/>
            <w:noWrap/>
            <w:hideMark/>
          </w:tcPr>
          <w:p w14:paraId="578879A7"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7BEB322F" w14:textId="77777777" w:rsidTr="003C6563">
        <w:trPr>
          <w:trHeight w:val="6"/>
        </w:trPr>
        <w:tc>
          <w:tcPr>
            <w:tcW w:w="1838" w:type="dxa"/>
            <w:noWrap/>
            <w:hideMark/>
          </w:tcPr>
          <w:p w14:paraId="5D112632"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75F32660"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Leukaemia</w:t>
            </w:r>
          </w:p>
        </w:tc>
        <w:tc>
          <w:tcPr>
            <w:tcW w:w="1334" w:type="dxa"/>
            <w:noWrap/>
            <w:hideMark/>
          </w:tcPr>
          <w:p w14:paraId="0C142564"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148CFA45" w14:textId="77777777" w:rsidTr="003C6563">
        <w:trPr>
          <w:trHeight w:val="6"/>
        </w:trPr>
        <w:tc>
          <w:tcPr>
            <w:tcW w:w="1838" w:type="dxa"/>
            <w:noWrap/>
            <w:hideMark/>
          </w:tcPr>
          <w:p w14:paraId="08F13282"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282B5B67"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Chronic respiratory disease</w:t>
            </w:r>
          </w:p>
        </w:tc>
        <w:tc>
          <w:tcPr>
            <w:tcW w:w="1334" w:type="dxa"/>
            <w:noWrap/>
            <w:hideMark/>
          </w:tcPr>
          <w:p w14:paraId="225E3E69"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2492D742" w14:textId="77777777" w:rsidTr="003C6563">
        <w:trPr>
          <w:trHeight w:val="6"/>
        </w:trPr>
        <w:tc>
          <w:tcPr>
            <w:tcW w:w="1838" w:type="dxa"/>
            <w:noWrap/>
            <w:hideMark/>
          </w:tcPr>
          <w:p w14:paraId="7F69DE69"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1B866EF0"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Skin permeation chemicals</w:t>
            </w:r>
          </w:p>
        </w:tc>
        <w:tc>
          <w:tcPr>
            <w:tcW w:w="1334" w:type="dxa"/>
            <w:noWrap/>
            <w:hideMark/>
          </w:tcPr>
          <w:p w14:paraId="0F5AAC5B"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1E1C4FCB" w14:textId="77777777" w:rsidTr="003C6563">
        <w:trPr>
          <w:trHeight w:val="6"/>
        </w:trPr>
        <w:tc>
          <w:tcPr>
            <w:tcW w:w="1838" w:type="dxa"/>
            <w:noWrap/>
            <w:hideMark/>
          </w:tcPr>
          <w:p w14:paraId="3058BB4C"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57160E8D"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Cardiometabolic disease</w:t>
            </w:r>
          </w:p>
        </w:tc>
        <w:tc>
          <w:tcPr>
            <w:tcW w:w="1334" w:type="dxa"/>
            <w:noWrap/>
            <w:hideMark/>
          </w:tcPr>
          <w:p w14:paraId="04391D0E"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178251DA" w14:textId="77777777" w:rsidTr="003C6563">
        <w:trPr>
          <w:trHeight w:val="6"/>
        </w:trPr>
        <w:tc>
          <w:tcPr>
            <w:tcW w:w="1838" w:type="dxa"/>
            <w:noWrap/>
            <w:hideMark/>
          </w:tcPr>
          <w:p w14:paraId="3F2DF0F1"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6081315B"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Hyperlipidaemia</w:t>
            </w:r>
          </w:p>
        </w:tc>
        <w:tc>
          <w:tcPr>
            <w:tcW w:w="1334" w:type="dxa"/>
            <w:noWrap/>
            <w:hideMark/>
          </w:tcPr>
          <w:p w14:paraId="574F47CC"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212CF58E" w14:textId="77777777" w:rsidTr="003C6563">
        <w:trPr>
          <w:trHeight w:val="6"/>
        </w:trPr>
        <w:tc>
          <w:tcPr>
            <w:tcW w:w="1838" w:type="dxa"/>
            <w:noWrap/>
            <w:hideMark/>
          </w:tcPr>
          <w:p w14:paraId="7D8ACB85"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50AE976A"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Cancer therapy delivery systems</w:t>
            </w:r>
          </w:p>
        </w:tc>
        <w:tc>
          <w:tcPr>
            <w:tcW w:w="1334" w:type="dxa"/>
            <w:noWrap/>
            <w:hideMark/>
          </w:tcPr>
          <w:p w14:paraId="54F39F23"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470D9CAB" w14:textId="77777777" w:rsidTr="003C6563">
        <w:trPr>
          <w:trHeight w:val="6"/>
        </w:trPr>
        <w:tc>
          <w:tcPr>
            <w:tcW w:w="1838" w:type="dxa"/>
            <w:noWrap/>
            <w:hideMark/>
          </w:tcPr>
          <w:p w14:paraId="54D51B61"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0E884D6E"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Wound pain management</w:t>
            </w:r>
          </w:p>
        </w:tc>
        <w:tc>
          <w:tcPr>
            <w:tcW w:w="1334" w:type="dxa"/>
            <w:noWrap/>
            <w:hideMark/>
          </w:tcPr>
          <w:p w14:paraId="1E0F2BBC"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30CA2494" w14:textId="77777777" w:rsidTr="003C6563">
        <w:trPr>
          <w:trHeight w:val="6"/>
        </w:trPr>
        <w:tc>
          <w:tcPr>
            <w:tcW w:w="1838" w:type="dxa"/>
            <w:noWrap/>
            <w:hideMark/>
          </w:tcPr>
          <w:p w14:paraId="70402FFF"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697E4EB5"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Binge eating disorder</w:t>
            </w:r>
          </w:p>
        </w:tc>
        <w:tc>
          <w:tcPr>
            <w:tcW w:w="1334" w:type="dxa"/>
            <w:noWrap/>
            <w:hideMark/>
          </w:tcPr>
          <w:p w14:paraId="2D9E665F"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061EB849" w14:textId="77777777" w:rsidTr="003C6563">
        <w:trPr>
          <w:trHeight w:val="6"/>
        </w:trPr>
        <w:tc>
          <w:tcPr>
            <w:tcW w:w="1838" w:type="dxa"/>
            <w:noWrap/>
            <w:hideMark/>
          </w:tcPr>
          <w:p w14:paraId="55EA01FA"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0D5AC737"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Gastrointestinal disease</w:t>
            </w:r>
          </w:p>
        </w:tc>
        <w:tc>
          <w:tcPr>
            <w:tcW w:w="1334" w:type="dxa"/>
            <w:noWrap/>
            <w:hideMark/>
          </w:tcPr>
          <w:p w14:paraId="6E9931F7"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04D0E2D4" w14:textId="77777777" w:rsidTr="003C6563">
        <w:trPr>
          <w:trHeight w:val="6"/>
        </w:trPr>
        <w:tc>
          <w:tcPr>
            <w:tcW w:w="1838" w:type="dxa"/>
            <w:noWrap/>
            <w:hideMark/>
          </w:tcPr>
          <w:p w14:paraId="63907D31"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391FB53D"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Acute liver injury</w:t>
            </w:r>
          </w:p>
        </w:tc>
        <w:tc>
          <w:tcPr>
            <w:tcW w:w="1334" w:type="dxa"/>
            <w:noWrap/>
            <w:hideMark/>
          </w:tcPr>
          <w:p w14:paraId="1078C958"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2288D918" w14:textId="77777777" w:rsidTr="003C6563">
        <w:trPr>
          <w:trHeight w:val="6"/>
        </w:trPr>
        <w:tc>
          <w:tcPr>
            <w:tcW w:w="1838" w:type="dxa"/>
            <w:noWrap/>
            <w:hideMark/>
          </w:tcPr>
          <w:p w14:paraId="5C9A98C9"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31E43295"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Gastric ulcer</w:t>
            </w:r>
          </w:p>
        </w:tc>
        <w:tc>
          <w:tcPr>
            <w:tcW w:w="1334" w:type="dxa"/>
            <w:noWrap/>
            <w:hideMark/>
          </w:tcPr>
          <w:p w14:paraId="1A75569F"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33FD911A" w14:textId="77777777" w:rsidTr="003C6563">
        <w:trPr>
          <w:trHeight w:val="6"/>
        </w:trPr>
        <w:tc>
          <w:tcPr>
            <w:tcW w:w="1838" w:type="dxa"/>
            <w:noWrap/>
            <w:hideMark/>
          </w:tcPr>
          <w:p w14:paraId="76FD448F"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6D3C0FCB"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Diabetes</w:t>
            </w:r>
          </w:p>
        </w:tc>
        <w:tc>
          <w:tcPr>
            <w:tcW w:w="1334" w:type="dxa"/>
            <w:noWrap/>
            <w:hideMark/>
          </w:tcPr>
          <w:p w14:paraId="3436C3AD"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42D0A214" w14:textId="77777777" w:rsidTr="003C6563">
        <w:trPr>
          <w:trHeight w:val="6"/>
        </w:trPr>
        <w:tc>
          <w:tcPr>
            <w:tcW w:w="1838" w:type="dxa"/>
            <w:noWrap/>
            <w:hideMark/>
          </w:tcPr>
          <w:p w14:paraId="197848AA" w14:textId="77777777" w:rsidR="0093389D" w:rsidRPr="00B535C0" w:rsidRDefault="0093389D" w:rsidP="0027153B">
            <w:pPr>
              <w:jc w:val="cente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Total</w:t>
            </w:r>
          </w:p>
        </w:tc>
        <w:tc>
          <w:tcPr>
            <w:tcW w:w="3686" w:type="dxa"/>
            <w:noWrap/>
            <w:hideMark/>
          </w:tcPr>
          <w:p w14:paraId="3688547C" w14:textId="77777777" w:rsidR="0093389D" w:rsidRPr="00B535C0" w:rsidRDefault="0093389D" w:rsidP="0027153B">
            <w:pPr>
              <w:jc w:val="center"/>
              <w:rPr>
                <w:rFonts w:ascii="Calibri" w:eastAsia="Times New Roman" w:hAnsi="Calibri" w:cs="Calibri"/>
                <w:b/>
                <w:bCs/>
                <w:color w:val="000000"/>
                <w:lang w:val="en-ZA" w:eastAsia="en-ZA"/>
              </w:rPr>
            </w:pPr>
          </w:p>
        </w:tc>
        <w:tc>
          <w:tcPr>
            <w:tcW w:w="1334" w:type="dxa"/>
            <w:noWrap/>
            <w:hideMark/>
          </w:tcPr>
          <w:p w14:paraId="271DF1C4" w14:textId="77777777" w:rsidR="0093389D" w:rsidRPr="00B535C0" w:rsidRDefault="0093389D" w:rsidP="0027153B">
            <w:pPr>
              <w:jc w:val="right"/>
              <w:rPr>
                <w:rFonts w:ascii="Calibri" w:eastAsia="Times New Roman" w:hAnsi="Calibri" w:cs="Calibri"/>
                <w:b/>
                <w:bCs/>
                <w:color w:val="000000"/>
                <w:lang w:val="en-ZA" w:eastAsia="en-ZA"/>
              </w:rPr>
            </w:pPr>
            <w:r w:rsidRPr="00B535C0">
              <w:rPr>
                <w:rFonts w:ascii="Calibri" w:eastAsia="Times New Roman" w:hAnsi="Calibri" w:cs="Calibri"/>
                <w:b/>
                <w:bCs/>
                <w:color w:val="000000"/>
                <w:lang w:val="en-ZA" w:eastAsia="en-ZA"/>
              </w:rPr>
              <w:t>35</w:t>
            </w:r>
          </w:p>
        </w:tc>
      </w:tr>
      <w:tr w:rsidR="0093389D" w:rsidRPr="00B535C0" w14:paraId="0DC09990" w14:textId="77777777" w:rsidTr="003C6563">
        <w:trPr>
          <w:trHeight w:val="6"/>
        </w:trPr>
        <w:tc>
          <w:tcPr>
            <w:tcW w:w="1838" w:type="dxa"/>
            <w:noWrap/>
            <w:hideMark/>
          </w:tcPr>
          <w:p w14:paraId="58E6A3BE" w14:textId="77777777" w:rsidR="0093389D" w:rsidRPr="0075376A" w:rsidRDefault="0093389D" w:rsidP="0027153B">
            <w:pPr>
              <w:rPr>
                <w:rFonts w:ascii="Calibri" w:eastAsia="Times New Roman" w:hAnsi="Calibri" w:cs="Calibri"/>
                <w:b/>
                <w:bCs/>
                <w:color w:val="000000"/>
                <w:lang w:val="en-ZA" w:eastAsia="en-ZA"/>
              </w:rPr>
            </w:pPr>
            <w:r w:rsidRPr="0075376A">
              <w:rPr>
                <w:rFonts w:ascii="Calibri" w:eastAsia="Times New Roman" w:hAnsi="Calibri" w:cs="Calibri"/>
                <w:b/>
                <w:bCs/>
                <w:color w:val="000000"/>
                <w:lang w:val="en-ZA" w:eastAsia="en-ZA"/>
              </w:rPr>
              <w:t>Other</w:t>
            </w:r>
          </w:p>
        </w:tc>
        <w:tc>
          <w:tcPr>
            <w:tcW w:w="3686" w:type="dxa"/>
            <w:noWrap/>
            <w:hideMark/>
          </w:tcPr>
          <w:p w14:paraId="23249EFF"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NA</w:t>
            </w:r>
          </w:p>
        </w:tc>
        <w:tc>
          <w:tcPr>
            <w:tcW w:w="1334" w:type="dxa"/>
            <w:noWrap/>
            <w:hideMark/>
          </w:tcPr>
          <w:p w14:paraId="4EF4507D"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33</w:t>
            </w:r>
          </w:p>
        </w:tc>
      </w:tr>
      <w:tr w:rsidR="0093389D" w:rsidRPr="00B535C0" w14:paraId="1B14BA63" w14:textId="77777777" w:rsidTr="003C6563">
        <w:trPr>
          <w:trHeight w:val="6"/>
        </w:trPr>
        <w:tc>
          <w:tcPr>
            <w:tcW w:w="1838" w:type="dxa"/>
            <w:noWrap/>
            <w:hideMark/>
          </w:tcPr>
          <w:p w14:paraId="30CFEE19"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33EE052E"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Skin disease</w:t>
            </w:r>
          </w:p>
        </w:tc>
        <w:tc>
          <w:tcPr>
            <w:tcW w:w="1334" w:type="dxa"/>
            <w:noWrap/>
            <w:hideMark/>
          </w:tcPr>
          <w:p w14:paraId="4D499638"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7A44A936" w14:textId="77777777" w:rsidTr="003C6563">
        <w:trPr>
          <w:trHeight w:val="6"/>
        </w:trPr>
        <w:tc>
          <w:tcPr>
            <w:tcW w:w="1838" w:type="dxa"/>
            <w:noWrap/>
            <w:hideMark/>
          </w:tcPr>
          <w:p w14:paraId="053F2BDB"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63821366"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Eye conditions</w:t>
            </w:r>
          </w:p>
        </w:tc>
        <w:tc>
          <w:tcPr>
            <w:tcW w:w="1334" w:type="dxa"/>
            <w:noWrap/>
            <w:hideMark/>
          </w:tcPr>
          <w:p w14:paraId="102F1BA8"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260B0E9E" w14:textId="77777777" w:rsidTr="003C6563">
        <w:trPr>
          <w:trHeight w:val="6"/>
        </w:trPr>
        <w:tc>
          <w:tcPr>
            <w:tcW w:w="1838" w:type="dxa"/>
            <w:noWrap/>
            <w:hideMark/>
          </w:tcPr>
          <w:p w14:paraId="371C6AC3"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58389547"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Skin conditions</w:t>
            </w:r>
          </w:p>
        </w:tc>
        <w:tc>
          <w:tcPr>
            <w:tcW w:w="1334" w:type="dxa"/>
            <w:noWrap/>
            <w:hideMark/>
          </w:tcPr>
          <w:p w14:paraId="0DC3A7DA"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0132EE7A" w14:textId="77777777" w:rsidTr="003C6563">
        <w:trPr>
          <w:trHeight w:val="6"/>
        </w:trPr>
        <w:tc>
          <w:tcPr>
            <w:tcW w:w="1838" w:type="dxa"/>
            <w:noWrap/>
            <w:hideMark/>
          </w:tcPr>
          <w:p w14:paraId="113C94A0" w14:textId="77777777" w:rsidR="0093389D" w:rsidRPr="00B535C0" w:rsidRDefault="0093389D" w:rsidP="0027153B">
            <w:pPr>
              <w:jc w:val="right"/>
              <w:rPr>
                <w:rFonts w:ascii="Calibri" w:eastAsia="Times New Roman" w:hAnsi="Calibri" w:cs="Calibri"/>
                <w:color w:val="000000"/>
                <w:lang w:val="en-ZA" w:eastAsia="en-ZA"/>
              </w:rPr>
            </w:pPr>
          </w:p>
        </w:tc>
        <w:tc>
          <w:tcPr>
            <w:tcW w:w="3686" w:type="dxa"/>
            <w:noWrap/>
            <w:hideMark/>
          </w:tcPr>
          <w:p w14:paraId="5C1E6DB4"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Respiratory disease</w:t>
            </w:r>
          </w:p>
        </w:tc>
        <w:tc>
          <w:tcPr>
            <w:tcW w:w="1334" w:type="dxa"/>
            <w:noWrap/>
            <w:hideMark/>
          </w:tcPr>
          <w:p w14:paraId="16637958"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259D7467" w14:textId="77777777" w:rsidTr="003C6563">
        <w:trPr>
          <w:trHeight w:val="6"/>
        </w:trPr>
        <w:tc>
          <w:tcPr>
            <w:tcW w:w="1838" w:type="dxa"/>
            <w:noWrap/>
            <w:hideMark/>
          </w:tcPr>
          <w:p w14:paraId="19F37911" w14:textId="77777777" w:rsidR="0093389D" w:rsidRPr="00B535C0" w:rsidRDefault="0093389D" w:rsidP="0027153B">
            <w:pPr>
              <w:jc w:val="cente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Total</w:t>
            </w:r>
          </w:p>
        </w:tc>
        <w:tc>
          <w:tcPr>
            <w:tcW w:w="3686" w:type="dxa"/>
            <w:noWrap/>
            <w:hideMark/>
          </w:tcPr>
          <w:p w14:paraId="2C78443D" w14:textId="77777777" w:rsidR="0093389D" w:rsidRPr="00B535C0" w:rsidRDefault="0093389D" w:rsidP="0027153B">
            <w:pPr>
              <w:jc w:val="center"/>
              <w:rPr>
                <w:rFonts w:ascii="Calibri" w:eastAsia="Times New Roman" w:hAnsi="Calibri" w:cs="Calibri"/>
                <w:b/>
                <w:bCs/>
                <w:color w:val="000000"/>
                <w:lang w:val="en-ZA" w:eastAsia="en-ZA"/>
              </w:rPr>
            </w:pPr>
          </w:p>
        </w:tc>
        <w:tc>
          <w:tcPr>
            <w:tcW w:w="1334" w:type="dxa"/>
            <w:noWrap/>
            <w:hideMark/>
          </w:tcPr>
          <w:p w14:paraId="1CDEACF2" w14:textId="77777777" w:rsidR="0093389D" w:rsidRPr="00B535C0" w:rsidRDefault="0093389D" w:rsidP="0027153B">
            <w:pPr>
              <w:jc w:val="right"/>
              <w:rPr>
                <w:rFonts w:ascii="Calibri" w:eastAsia="Times New Roman" w:hAnsi="Calibri" w:cs="Calibri"/>
                <w:b/>
                <w:bCs/>
                <w:color w:val="000000"/>
                <w:lang w:val="en-ZA" w:eastAsia="en-ZA"/>
              </w:rPr>
            </w:pPr>
            <w:r w:rsidRPr="00B535C0">
              <w:rPr>
                <w:rFonts w:ascii="Calibri" w:eastAsia="Times New Roman" w:hAnsi="Calibri" w:cs="Calibri"/>
                <w:b/>
                <w:bCs/>
                <w:color w:val="000000"/>
                <w:lang w:val="en-ZA" w:eastAsia="en-ZA"/>
              </w:rPr>
              <w:t>37</w:t>
            </w:r>
          </w:p>
        </w:tc>
      </w:tr>
      <w:tr w:rsidR="0093389D" w:rsidRPr="00B535C0" w14:paraId="07481ADC" w14:textId="77777777" w:rsidTr="003C6563">
        <w:trPr>
          <w:trHeight w:val="6"/>
        </w:trPr>
        <w:tc>
          <w:tcPr>
            <w:tcW w:w="1838" w:type="dxa"/>
            <w:noWrap/>
            <w:hideMark/>
          </w:tcPr>
          <w:p w14:paraId="24876342" w14:textId="77777777" w:rsidR="0093389D" w:rsidRPr="0075376A" w:rsidRDefault="0093389D" w:rsidP="0027153B">
            <w:pPr>
              <w:rPr>
                <w:rFonts w:ascii="Calibri" w:eastAsia="Times New Roman" w:hAnsi="Calibri" w:cs="Calibri"/>
                <w:b/>
                <w:bCs/>
                <w:color w:val="000000"/>
                <w:lang w:val="en-ZA" w:eastAsia="en-ZA"/>
              </w:rPr>
            </w:pPr>
            <w:r w:rsidRPr="0075376A">
              <w:rPr>
                <w:rFonts w:ascii="Calibri" w:eastAsia="Times New Roman" w:hAnsi="Calibri" w:cs="Calibri"/>
                <w:b/>
                <w:bCs/>
                <w:color w:val="000000"/>
                <w:lang w:val="en-ZA" w:eastAsia="en-ZA"/>
              </w:rPr>
              <w:t>NA</w:t>
            </w:r>
          </w:p>
        </w:tc>
        <w:tc>
          <w:tcPr>
            <w:tcW w:w="3686" w:type="dxa"/>
            <w:noWrap/>
            <w:hideMark/>
          </w:tcPr>
          <w:p w14:paraId="78F78FE9"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NA</w:t>
            </w:r>
          </w:p>
        </w:tc>
        <w:tc>
          <w:tcPr>
            <w:tcW w:w="1334" w:type="dxa"/>
            <w:noWrap/>
            <w:hideMark/>
          </w:tcPr>
          <w:p w14:paraId="4C58D74A" w14:textId="77777777" w:rsidR="0093389D" w:rsidRPr="00B535C0" w:rsidRDefault="0093389D" w:rsidP="0027153B">
            <w:pPr>
              <w:jc w:val="right"/>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1</w:t>
            </w:r>
          </w:p>
        </w:tc>
      </w:tr>
      <w:tr w:rsidR="0093389D" w:rsidRPr="00B535C0" w14:paraId="756A2023" w14:textId="77777777" w:rsidTr="003C6563">
        <w:trPr>
          <w:trHeight w:val="6"/>
        </w:trPr>
        <w:tc>
          <w:tcPr>
            <w:tcW w:w="1838" w:type="dxa"/>
            <w:noWrap/>
            <w:hideMark/>
          </w:tcPr>
          <w:p w14:paraId="743B2FC1" w14:textId="77777777" w:rsidR="0093389D" w:rsidRPr="00B535C0" w:rsidRDefault="0093389D" w:rsidP="0027153B">
            <w:pPr>
              <w:jc w:val="cente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Total</w:t>
            </w:r>
          </w:p>
        </w:tc>
        <w:tc>
          <w:tcPr>
            <w:tcW w:w="3686" w:type="dxa"/>
            <w:noWrap/>
            <w:hideMark/>
          </w:tcPr>
          <w:p w14:paraId="1DA3E40B" w14:textId="77777777" w:rsidR="0093389D" w:rsidRPr="00B535C0" w:rsidRDefault="0093389D" w:rsidP="0027153B">
            <w:pPr>
              <w:jc w:val="center"/>
              <w:rPr>
                <w:rFonts w:ascii="Calibri" w:eastAsia="Times New Roman" w:hAnsi="Calibri" w:cs="Calibri"/>
                <w:b/>
                <w:bCs/>
                <w:color w:val="000000"/>
                <w:lang w:val="en-ZA" w:eastAsia="en-ZA"/>
              </w:rPr>
            </w:pPr>
          </w:p>
        </w:tc>
        <w:tc>
          <w:tcPr>
            <w:tcW w:w="1334" w:type="dxa"/>
            <w:noWrap/>
            <w:hideMark/>
          </w:tcPr>
          <w:p w14:paraId="33704740" w14:textId="77777777" w:rsidR="0093389D" w:rsidRPr="00B535C0" w:rsidRDefault="0093389D" w:rsidP="0027153B">
            <w:pPr>
              <w:jc w:val="right"/>
              <w:rPr>
                <w:rFonts w:ascii="Calibri" w:eastAsia="Times New Roman" w:hAnsi="Calibri" w:cs="Calibri"/>
                <w:b/>
                <w:bCs/>
                <w:color w:val="000000"/>
                <w:lang w:val="en-ZA" w:eastAsia="en-ZA"/>
              </w:rPr>
            </w:pPr>
            <w:r w:rsidRPr="00B535C0">
              <w:rPr>
                <w:rFonts w:ascii="Calibri" w:eastAsia="Times New Roman" w:hAnsi="Calibri" w:cs="Calibri"/>
                <w:b/>
                <w:bCs/>
                <w:color w:val="000000"/>
                <w:lang w:val="en-ZA" w:eastAsia="en-ZA"/>
              </w:rPr>
              <w:t>1</w:t>
            </w:r>
          </w:p>
        </w:tc>
      </w:tr>
      <w:tr w:rsidR="0093389D" w:rsidRPr="00B535C0" w14:paraId="36893BBB" w14:textId="77777777" w:rsidTr="003C6563">
        <w:trPr>
          <w:trHeight w:val="6"/>
        </w:trPr>
        <w:tc>
          <w:tcPr>
            <w:tcW w:w="1838" w:type="dxa"/>
            <w:noWrap/>
            <w:hideMark/>
          </w:tcPr>
          <w:p w14:paraId="035FE045" w14:textId="77777777" w:rsidR="0093389D" w:rsidRPr="00B535C0" w:rsidRDefault="0093389D" w:rsidP="0027153B">
            <w:pPr>
              <w:rPr>
                <w:rFonts w:ascii="Calibri" w:eastAsia="Times New Roman" w:hAnsi="Calibri" w:cs="Calibri"/>
                <w:color w:val="000000"/>
                <w:lang w:val="en-ZA" w:eastAsia="en-ZA"/>
              </w:rPr>
            </w:pPr>
            <w:r w:rsidRPr="00B535C0">
              <w:rPr>
                <w:rFonts w:ascii="Calibri" w:eastAsia="Times New Roman" w:hAnsi="Calibri" w:cs="Calibri"/>
                <w:color w:val="000000"/>
                <w:lang w:val="en-ZA" w:eastAsia="en-ZA"/>
              </w:rPr>
              <w:t>Grand Total</w:t>
            </w:r>
          </w:p>
        </w:tc>
        <w:tc>
          <w:tcPr>
            <w:tcW w:w="3686" w:type="dxa"/>
            <w:noWrap/>
            <w:hideMark/>
          </w:tcPr>
          <w:p w14:paraId="102B6CCB" w14:textId="77777777" w:rsidR="0093389D" w:rsidRPr="00B535C0" w:rsidRDefault="0093389D" w:rsidP="0027153B">
            <w:pPr>
              <w:rPr>
                <w:rFonts w:ascii="Calibri" w:eastAsia="Times New Roman" w:hAnsi="Calibri" w:cs="Calibri"/>
                <w:b/>
                <w:bCs/>
                <w:color w:val="000000"/>
                <w:lang w:val="en-ZA" w:eastAsia="en-ZA"/>
              </w:rPr>
            </w:pPr>
          </w:p>
        </w:tc>
        <w:tc>
          <w:tcPr>
            <w:tcW w:w="1334" w:type="dxa"/>
            <w:noWrap/>
            <w:hideMark/>
          </w:tcPr>
          <w:p w14:paraId="6CF96449" w14:textId="77777777" w:rsidR="0093389D" w:rsidRPr="00B535C0" w:rsidRDefault="0093389D" w:rsidP="0027153B">
            <w:pPr>
              <w:jc w:val="right"/>
              <w:rPr>
                <w:rFonts w:ascii="Calibri" w:eastAsia="Times New Roman" w:hAnsi="Calibri" w:cs="Calibri"/>
                <w:b/>
                <w:bCs/>
                <w:color w:val="000000"/>
                <w:lang w:val="en-ZA" w:eastAsia="en-ZA"/>
              </w:rPr>
            </w:pPr>
            <w:r w:rsidRPr="00B535C0">
              <w:rPr>
                <w:rFonts w:ascii="Calibri" w:eastAsia="Times New Roman" w:hAnsi="Calibri" w:cs="Calibri"/>
                <w:b/>
                <w:bCs/>
                <w:color w:val="000000"/>
                <w:lang w:val="en-ZA" w:eastAsia="en-ZA"/>
              </w:rPr>
              <w:t>138</w:t>
            </w:r>
          </w:p>
        </w:tc>
      </w:tr>
    </w:tbl>
    <w:p w14:paraId="7175FAAC" w14:textId="77777777" w:rsidR="00504C6B" w:rsidRPr="00984736" w:rsidRDefault="00504C6B" w:rsidP="00504C6B"/>
    <w:p w14:paraId="561E99CF" w14:textId="77777777" w:rsidR="00504C6B" w:rsidRDefault="00504C6B" w:rsidP="00504C6B">
      <w:r w:rsidRPr="00984736">
        <w:lastRenderedPageBreak/>
        <w:t>Figure S</w:t>
      </w:r>
      <w:r>
        <w:t>1</w:t>
      </w:r>
      <w:r w:rsidRPr="00984736">
        <w:t xml:space="preserve">: </w:t>
      </w:r>
      <w:r>
        <w:t>Number</w:t>
      </w:r>
      <w:r w:rsidRPr="00984736">
        <w:t xml:space="preserve"> of TPP features across 29 TPPs for diagnostic tests.</w:t>
      </w:r>
    </w:p>
    <w:p w14:paraId="6EFF87AB" w14:textId="1A95AB5A" w:rsidR="00504C6B" w:rsidRDefault="00413283" w:rsidP="00504C6B">
      <w:r>
        <w:rPr>
          <w:noProof/>
          <w14:ligatures w14:val="standardContextual"/>
        </w:rPr>
        <w:drawing>
          <wp:inline distT="0" distB="0" distL="0" distR="0" wp14:anchorId="4B2EA848" wp14:editId="331BA3F0">
            <wp:extent cx="5960110" cy="3615690"/>
            <wp:effectExtent l="0" t="0" r="0" b="3810"/>
            <wp:docPr id="747358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358262" name="Picture 74735826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60110" cy="3615690"/>
                    </a:xfrm>
                    <a:prstGeom prst="rect">
                      <a:avLst/>
                    </a:prstGeom>
                  </pic:spPr>
                </pic:pic>
              </a:graphicData>
            </a:graphic>
          </wp:inline>
        </w:drawing>
      </w:r>
    </w:p>
    <w:p w14:paraId="7B68D418" w14:textId="77777777" w:rsidR="00C1161A" w:rsidRDefault="00C1161A" w:rsidP="00504C6B"/>
    <w:p w14:paraId="102A64EC" w14:textId="77777777" w:rsidR="00504C6B" w:rsidRDefault="00504C6B" w:rsidP="00504C6B">
      <w:r w:rsidRPr="00984736">
        <w:t>Figure S</w:t>
      </w:r>
      <w:r>
        <w:t>2</w:t>
      </w:r>
      <w:r w:rsidRPr="00984736">
        <w:t xml:space="preserve">: </w:t>
      </w:r>
      <w:r>
        <w:t>Number</w:t>
      </w:r>
      <w:r w:rsidRPr="00984736">
        <w:t xml:space="preserve"> of TPP features across 57 TPPs for therapeutics.</w:t>
      </w:r>
    </w:p>
    <w:p w14:paraId="4542696F" w14:textId="77777777" w:rsidR="00C1161A" w:rsidRDefault="00C1161A" w:rsidP="00504C6B"/>
    <w:p w14:paraId="456E7B8A" w14:textId="34FB5F61" w:rsidR="00504C6B" w:rsidRDefault="003370BB" w:rsidP="00504C6B">
      <w:r>
        <w:rPr>
          <w:noProof/>
          <w14:ligatures w14:val="standardContextual"/>
        </w:rPr>
        <w:drawing>
          <wp:inline distT="0" distB="0" distL="0" distR="0" wp14:anchorId="7E44F213" wp14:editId="20551C73">
            <wp:extent cx="5960110" cy="3615690"/>
            <wp:effectExtent l="0" t="0" r="0" b="3810"/>
            <wp:docPr id="7504790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479075" name="Picture 75047907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60110" cy="3615690"/>
                    </a:xfrm>
                    <a:prstGeom prst="rect">
                      <a:avLst/>
                    </a:prstGeom>
                  </pic:spPr>
                </pic:pic>
              </a:graphicData>
            </a:graphic>
          </wp:inline>
        </w:drawing>
      </w:r>
    </w:p>
    <w:p w14:paraId="295D9C9D" w14:textId="77777777" w:rsidR="00C1161A" w:rsidRDefault="00C1161A" w:rsidP="00504C6B"/>
    <w:p w14:paraId="497C25B1" w14:textId="77777777" w:rsidR="00504C6B" w:rsidRDefault="00504C6B" w:rsidP="00504C6B">
      <w:r w:rsidRPr="00984736">
        <w:lastRenderedPageBreak/>
        <w:t>Figure S</w:t>
      </w:r>
      <w:r>
        <w:t>3</w:t>
      </w:r>
      <w:r w:rsidRPr="00984736">
        <w:t xml:space="preserve">: </w:t>
      </w:r>
      <w:r>
        <w:t>Number</w:t>
      </w:r>
      <w:r w:rsidRPr="00984736">
        <w:t xml:space="preserve"> of TPP features across TPPs for other products.</w:t>
      </w:r>
    </w:p>
    <w:p w14:paraId="12B37B2A" w14:textId="62EA46BA" w:rsidR="00C1161A" w:rsidRDefault="003370BB" w:rsidP="00504C6B">
      <w:pPr>
        <w:sectPr w:rsidR="00C1161A" w:rsidSect="00E15C53">
          <w:pgSz w:w="11906" w:h="16838"/>
          <w:pgMar w:top="1440" w:right="1080" w:bottom="1440" w:left="1440" w:header="708" w:footer="708" w:gutter="0"/>
          <w:cols w:space="708"/>
          <w:docGrid w:linePitch="360"/>
        </w:sectPr>
      </w:pPr>
      <w:r>
        <w:rPr>
          <w:noProof/>
          <w14:ligatures w14:val="standardContextual"/>
        </w:rPr>
        <w:drawing>
          <wp:inline distT="0" distB="0" distL="0" distR="0" wp14:anchorId="7FB39DB9" wp14:editId="67CF8CB0">
            <wp:extent cx="5960110" cy="3615690"/>
            <wp:effectExtent l="0" t="0" r="0" b="3810"/>
            <wp:docPr id="2411697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169739" name="Picture 24116973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60110" cy="3615690"/>
                    </a:xfrm>
                    <a:prstGeom prst="rect">
                      <a:avLst/>
                    </a:prstGeom>
                  </pic:spPr>
                </pic:pic>
              </a:graphicData>
            </a:graphic>
          </wp:inline>
        </w:drawing>
      </w:r>
    </w:p>
    <w:p w14:paraId="481AC003" w14:textId="4693342F" w:rsidR="000F6CC7" w:rsidRPr="00CF5C5C" w:rsidRDefault="000F6CC7" w:rsidP="000F6CC7">
      <w:pPr>
        <w:pStyle w:val="Caption"/>
        <w:keepNext/>
        <w:rPr>
          <w:i w:val="0"/>
          <w:iCs w:val="0"/>
          <w:color w:val="auto"/>
          <w:sz w:val="22"/>
          <w:szCs w:val="22"/>
        </w:rPr>
      </w:pPr>
      <w:r w:rsidRPr="00CF5C5C">
        <w:rPr>
          <w:i w:val="0"/>
          <w:iCs w:val="0"/>
          <w:color w:val="auto"/>
          <w:sz w:val="22"/>
          <w:szCs w:val="22"/>
        </w:rPr>
        <w:lastRenderedPageBreak/>
        <w:t xml:space="preserve">Table </w:t>
      </w:r>
      <w:r>
        <w:rPr>
          <w:i w:val="0"/>
          <w:iCs w:val="0"/>
          <w:color w:val="auto"/>
          <w:sz w:val="22"/>
          <w:szCs w:val="22"/>
        </w:rPr>
        <w:t>S5</w:t>
      </w:r>
      <w:r w:rsidRPr="00CF5C5C">
        <w:rPr>
          <w:i w:val="0"/>
          <w:iCs w:val="0"/>
          <w:color w:val="auto"/>
          <w:sz w:val="22"/>
          <w:szCs w:val="22"/>
        </w:rPr>
        <w:t xml:space="preserve">: </w:t>
      </w:r>
      <w:r>
        <w:rPr>
          <w:i w:val="0"/>
          <w:iCs w:val="0"/>
          <w:color w:val="auto"/>
          <w:sz w:val="22"/>
          <w:szCs w:val="22"/>
        </w:rPr>
        <w:t>Comprehensive</w:t>
      </w:r>
      <w:r w:rsidRPr="00CF5C5C">
        <w:rPr>
          <w:i w:val="0"/>
          <w:iCs w:val="0"/>
          <w:color w:val="auto"/>
          <w:sz w:val="22"/>
          <w:szCs w:val="22"/>
        </w:rPr>
        <w:t xml:space="preserve"> list of TPP features for all product types. </w:t>
      </w:r>
      <w:r>
        <w:rPr>
          <w:i w:val="0"/>
          <w:iCs w:val="0"/>
          <w:color w:val="auto"/>
          <w:sz w:val="22"/>
          <w:szCs w:val="22"/>
        </w:rPr>
        <w:t>T</w:t>
      </w:r>
      <w:r w:rsidRPr="00CF5C5C">
        <w:rPr>
          <w:i w:val="0"/>
          <w:iCs w:val="0"/>
          <w:color w:val="auto"/>
          <w:sz w:val="22"/>
          <w:szCs w:val="22"/>
        </w:rPr>
        <w:t xml:space="preserve">he frequency of each feature is reported </w:t>
      </w:r>
      <w:r>
        <w:rPr>
          <w:i w:val="0"/>
          <w:iCs w:val="0"/>
          <w:color w:val="auto"/>
          <w:sz w:val="22"/>
          <w:szCs w:val="22"/>
        </w:rPr>
        <w:t>between brackets</w:t>
      </w:r>
      <w:r w:rsidRPr="00CF5C5C">
        <w:rPr>
          <w:i w:val="0"/>
          <w:iCs w:val="0"/>
          <w:color w:val="auto"/>
          <w:sz w:val="22"/>
          <w:szCs w:val="22"/>
        </w:rPr>
        <w:t>.</w:t>
      </w:r>
    </w:p>
    <w:tbl>
      <w:tblPr>
        <w:tblStyle w:val="TableGrid"/>
        <w:tblW w:w="15390" w:type="dxa"/>
        <w:tblInd w:w="-275" w:type="dxa"/>
        <w:tblLayout w:type="fixed"/>
        <w:tblLook w:val="04A0" w:firstRow="1" w:lastRow="0" w:firstColumn="1" w:lastColumn="0" w:noHBand="0" w:noVBand="1"/>
      </w:tblPr>
      <w:tblGrid>
        <w:gridCol w:w="3078"/>
        <w:gridCol w:w="3078"/>
        <w:gridCol w:w="3078"/>
        <w:gridCol w:w="3078"/>
        <w:gridCol w:w="3078"/>
      </w:tblGrid>
      <w:tr w:rsidR="000F6CC7" w:rsidRPr="00CF5C5C" w14:paraId="60677B71" w14:textId="77777777" w:rsidTr="00EF0211">
        <w:trPr>
          <w:trHeight w:val="328"/>
        </w:trPr>
        <w:tc>
          <w:tcPr>
            <w:tcW w:w="3078" w:type="dxa"/>
            <w:noWrap/>
            <w:hideMark/>
          </w:tcPr>
          <w:p w14:paraId="454504D6" w14:textId="77777777" w:rsidR="000F6CC7" w:rsidRPr="001F63D8" w:rsidRDefault="000F6CC7" w:rsidP="00EF0211">
            <w:pPr>
              <w:jc w:val="center"/>
              <w:rPr>
                <w:rFonts w:ascii="Calibri" w:eastAsia="Times New Roman" w:hAnsi="Calibri" w:cs="Calibri"/>
                <w:b/>
                <w:bCs/>
                <w:color w:val="000000"/>
                <w:lang w:val="en-ZA" w:eastAsia="en-ZA"/>
              </w:rPr>
            </w:pPr>
            <w:r w:rsidRPr="001F63D8">
              <w:rPr>
                <w:rFonts w:ascii="Calibri" w:eastAsia="Times New Roman" w:hAnsi="Calibri" w:cs="Calibri"/>
                <w:b/>
                <w:bCs/>
                <w:color w:val="000000"/>
                <w:lang w:val="en-ZA" w:eastAsia="en-ZA"/>
              </w:rPr>
              <w:t>Diagnostics</w:t>
            </w:r>
          </w:p>
        </w:tc>
        <w:tc>
          <w:tcPr>
            <w:tcW w:w="3078" w:type="dxa"/>
            <w:noWrap/>
            <w:hideMark/>
          </w:tcPr>
          <w:p w14:paraId="03D7661B" w14:textId="77777777" w:rsidR="000F6CC7" w:rsidRPr="001F63D8" w:rsidRDefault="000F6CC7" w:rsidP="00EF0211">
            <w:pPr>
              <w:jc w:val="center"/>
              <w:rPr>
                <w:rFonts w:ascii="Calibri" w:eastAsia="Times New Roman" w:hAnsi="Calibri" w:cs="Calibri"/>
                <w:b/>
                <w:bCs/>
                <w:color w:val="000000"/>
                <w:lang w:val="en-ZA" w:eastAsia="en-ZA"/>
              </w:rPr>
            </w:pPr>
            <w:r>
              <w:rPr>
                <w:rFonts w:ascii="Calibri" w:eastAsia="Times New Roman" w:hAnsi="Calibri" w:cs="Calibri"/>
                <w:b/>
                <w:bCs/>
                <w:color w:val="000000"/>
                <w:lang w:val="en-ZA" w:eastAsia="en-ZA"/>
              </w:rPr>
              <w:t>Drugs</w:t>
            </w:r>
          </w:p>
        </w:tc>
        <w:tc>
          <w:tcPr>
            <w:tcW w:w="3078" w:type="dxa"/>
            <w:noWrap/>
            <w:hideMark/>
          </w:tcPr>
          <w:p w14:paraId="7974BD8C" w14:textId="77777777" w:rsidR="000F6CC7" w:rsidRPr="001F63D8" w:rsidRDefault="000F6CC7" w:rsidP="00EF0211">
            <w:pPr>
              <w:jc w:val="center"/>
              <w:rPr>
                <w:rFonts w:ascii="Calibri" w:eastAsia="Times New Roman" w:hAnsi="Calibri" w:cs="Calibri"/>
                <w:b/>
                <w:bCs/>
                <w:color w:val="000000"/>
                <w:lang w:val="en-ZA" w:eastAsia="en-ZA"/>
              </w:rPr>
            </w:pPr>
            <w:r w:rsidRPr="001F63D8">
              <w:rPr>
                <w:rFonts w:ascii="Calibri" w:eastAsia="Times New Roman" w:hAnsi="Calibri" w:cs="Calibri"/>
                <w:b/>
                <w:bCs/>
                <w:color w:val="000000"/>
                <w:lang w:val="en-ZA" w:eastAsia="en-ZA"/>
              </w:rPr>
              <w:t>Vaccines</w:t>
            </w:r>
          </w:p>
        </w:tc>
        <w:tc>
          <w:tcPr>
            <w:tcW w:w="3078" w:type="dxa"/>
            <w:noWrap/>
            <w:hideMark/>
          </w:tcPr>
          <w:p w14:paraId="0E98965A" w14:textId="77777777" w:rsidR="000F6CC7" w:rsidRPr="001F63D8" w:rsidRDefault="000F6CC7" w:rsidP="00EF0211">
            <w:pPr>
              <w:jc w:val="center"/>
              <w:rPr>
                <w:rFonts w:ascii="Calibri" w:eastAsia="Times New Roman" w:hAnsi="Calibri" w:cs="Calibri"/>
                <w:b/>
                <w:bCs/>
                <w:color w:val="000000"/>
                <w:lang w:val="en-ZA" w:eastAsia="en-ZA"/>
              </w:rPr>
            </w:pPr>
            <w:r w:rsidRPr="001F63D8">
              <w:rPr>
                <w:rFonts w:ascii="Calibri" w:eastAsia="Times New Roman" w:hAnsi="Calibri" w:cs="Calibri"/>
                <w:b/>
                <w:bCs/>
                <w:color w:val="000000"/>
                <w:lang w:val="en-ZA" w:eastAsia="en-ZA"/>
              </w:rPr>
              <w:t>Medical devices</w:t>
            </w:r>
          </w:p>
        </w:tc>
        <w:tc>
          <w:tcPr>
            <w:tcW w:w="3078" w:type="dxa"/>
            <w:noWrap/>
            <w:hideMark/>
          </w:tcPr>
          <w:p w14:paraId="0ECCC328" w14:textId="77777777" w:rsidR="000F6CC7" w:rsidRPr="001F63D8" w:rsidRDefault="000F6CC7" w:rsidP="00EF0211">
            <w:pPr>
              <w:jc w:val="center"/>
              <w:rPr>
                <w:rFonts w:ascii="Calibri" w:eastAsia="Times New Roman" w:hAnsi="Calibri" w:cs="Calibri"/>
                <w:b/>
                <w:bCs/>
                <w:color w:val="000000"/>
                <w:lang w:val="en-ZA" w:eastAsia="en-ZA"/>
              </w:rPr>
            </w:pPr>
            <w:r w:rsidRPr="001F63D8">
              <w:rPr>
                <w:rFonts w:ascii="Calibri" w:eastAsia="Times New Roman" w:hAnsi="Calibri" w:cs="Calibri"/>
                <w:b/>
                <w:bCs/>
                <w:color w:val="000000"/>
                <w:lang w:val="en-ZA" w:eastAsia="en-ZA"/>
              </w:rPr>
              <w:t>Other products</w:t>
            </w:r>
          </w:p>
        </w:tc>
      </w:tr>
      <w:tr w:rsidR="000F6CC7" w:rsidRPr="00CF5C5C" w14:paraId="759F2D7B" w14:textId="77777777" w:rsidTr="00EF0211">
        <w:trPr>
          <w:trHeight w:val="328"/>
        </w:trPr>
        <w:tc>
          <w:tcPr>
            <w:tcW w:w="3078" w:type="dxa"/>
            <w:hideMark/>
          </w:tcPr>
          <w:p w14:paraId="7CF79ACE"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Testing Sensitivity and specificity</w:t>
            </w:r>
            <w:r>
              <w:rPr>
                <w:rFonts w:ascii="Calibri" w:eastAsia="Times New Roman" w:hAnsi="Calibri" w:cs="Calibri"/>
                <w:color w:val="000000"/>
                <w:lang w:val="en-ZA" w:eastAsia="en-ZA"/>
              </w:rPr>
              <w:t xml:space="preserve"> (n=27)</w:t>
            </w:r>
          </w:p>
        </w:tc>
        <w:tc>
          <w:tcPr>
            <w:tcW w:w="3078" w:type="dxa"/>
            <w:noWrap/>
            <w:hideMark/>
          </w:tcPr>
          <w:p w14:paraId="41FABB3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Route of administration</w:t>
            </w:r>
            <w:r>
              <w:rPr>
                <w:rFonts w:ascii="Calibri" w:eastAsia="Times New Roman" w:hAnsi="Calibri" w:cs="Calibri"/>
                <w:color w:val="000000"/>
                <w:lang w:val="en-ZA" w:eastAsia="en-ZA"/>
              </w:rPr>
              <w:t xml:space="preserve"> (n=32)</w:t>
            </w:r>
          </w:p>
        </w:tc>
        <w:tc>
          <w:tcPr>
            <w:tcW w:w="3078" w:type="dxa"/>
            <w:noWrap/>
            <w:hideMark/>
          </w:tcPr>
          <w:p w14:paraId="4AEDC3F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Indication</w:t>
            </w:r>
            <w:r>
              <w:rPr>
                <w:rFonts w:ascii="Calibri" w:eastAsia="Times New Roman" w:hAnsi="Calibri" w:cs="Calibri"/>
                <w:color w:val="000000"/>
                <w:lang w:val="en-ZA" w:eastAsia="en-ZA"/>
              </w:rPr>
              <w:t xml:space="preserve"> (n=6)</w:t>
            </w:r>
          </w:p>
        </w:tc>
        <w:tc>
          <w:tcPr>
            <w:tcW w:w="3078" w:type="dxa"/>
            <w:noWrap/>
            <w:hideMark/>
          </w:tcPr>
          <w:p w14:paraId="1E82B18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Indication</w:t>
            </w:r>
            <w:r>
              <w:rPr>
                <w:rFonts w:ascii="Calibri" w:eastAsia="Times New Roman" w:hAnsi="Calibri" w:cs="Calibri"/>
                <w:color w:val="000000"/>
                <w:lang w:val="en-ZA" w:eastAsia="en-ZA"/>
              </w:rPr>
              <w:t xml:space="preserve"> (n=2)</w:t>
            </w:r>
          </w:p>
        </w:tc>
        <w:tc>
          <w:tcPr>
            <w:tcW w:w="3078" w:type="dxa"/>
            <w:noWrap/>
            <w:hideMark/>
          </w:tcPr>
          <w:p w14:paraId="16E1F5C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Route of administration</w:t>
            </w:r>
            <w:r>
              <w:rPr>
                <w:rFonts w:ascii="Calibri" w:eastAsia="Times New Roman" w:hAnsi="Calibri" w:cs="Calibri"/>
                <w:color w:val="000000"/>
                <w:lang w:val="en-ZA" w:eastAsia="en-ZA"/>
              </w:rPr>
              <w:t xml:space="preserve"> (n=28)</w:t>
            </w:r>
          </w:p>
        </w:tc>
      </w:tr>
      <w:tr w:rsidR="000F6CC7" w:rsidRPr="00CF5C5C" w14:paraId="3F6E80B9" w14:textId="77777777" w:rsidTr="00EF0211">
        <w:trPr>
          <w:trHeight w:val="328"/>
        </w:trPr>
        <w:tc>
          <w:tcPr>
            <w:tcW w:w="3078" w:type="dxa"/>
            <w:hideMark/>
          </w:tcPr>
          <w:p w14:paraId="76A0C57C"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Indication</w:t>
            </w:r>
            <w:r>
              <w:rPr>
                <w:rFonts w:ascii="Calibri" w:eastAsia="Times New Roman" w:hAnsi="Calibri" w:cs="Calibri"/>
                <w:color w:val="000000"/>
                <w:lang w:val="en-ZA" w:eastAsia="en-ZA"/>
              </w:rPr>
              <w:t xml:space="preserve"> (n=23)</w:t>
            </w:r>
          </w:p>
        </w:tc>
        <w:tc>
          <w:tcPr>
            <w:tcW w:w="3078" w:type="dxa"/>
            <w:noWrap/>
            <w:hideMark/>
          </w:tcPr>
          <w:p w14:paraId="10C5255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Stability/shelf life</w:t>
            </w:r>
            <w:r>
              <w:rPr>
                <w:rFonts w:ascii="Calibri" w:eastAsia="Times New Roman" w:hAnsi="Calibri" w:cs="Calibri"/>
                <w:color w:val="000000"/>
                <w:lang w:val="en-ZA" w:eastAsia="en-ZA"/>
              </w:rPr>
              <w:t xml:space="preserve"> (n=29)</w:t>
            </w:r>
          </w:p>
        </w:tc>
        <w:tc>
          <w:tcPr>
            <w:tcW w:w="3078" w:type="dxa"/>
            <w:noWrap/>
            <w:hideMark/>
          </w:tcPr>
          <w:p w14:paraId="7636B88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Target population</w:t>
            </w:r>
            <w:r>
              <w:rPr>
                <w:rFonts w:ascii="Calibri" w:eastAsia="Times New Roman" w:hAnsi="Calibri" w:cs="Calibri"/>
                <w:color w:val="000000"/>
                <w:lang w:val="en-ZA" w:eastAsia="en-ZA"/>
              </w:rPr>
              <w:t xml:space="preserve"> (n=4)</w:t>
            </w:r>
          </w:p>
        </w:tc>
        <w:tc>
          <w:tcPr>
            <w:tcW w:w="3078" w:type="dxa"/>
            <w:noWrap/>
            <w:hideMark/>
          </w:tcPr>
          <w:p w14:paraId="2C52BE4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Cost of test/product/reimbursement</w:t>
            </w:r>
            <w:r>
              <w:rPr>
                <w:rFonts w:ascii="Calibri" w:eastAsia="Times New Roman" w:hAnsi="Calibri" w:cs="Calibri"/>
                <w:color w:val="000000"/>
                <w:lang w:val="en-ZA" w:eastAsia="en-ZA"/>
              </w:rPr>
              <w:t xml:space="preserve"> (n=2)</w:t>
            </w:r>
          </w:p>
        </w:tc>
        <w:tc>
          <w:tcPr>
            <w:tcW w:w="3078" w:type="dxa"/>
            <w:noWrap/>
            <w:hideMark/>
          </w:tcPr>
          <w:p w14:paraId="7D5BA24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Stability/shelf life</w:t>
            </w:r>
            <w:r>
              <w:rPr>
                <w:rFonts w:ascii="Calibri" w:eastAsia="Times New Roman" w:hAnsi="Calibri" w:cs="Calibri"/>
                <w:color w:val="000000"/>
                <w:lang w:val="en-ZA" w:eastAsia="en-ZA"/>
              </w:rPr>
              <w:t xml:space="preserve"> (n=26)</w:t>
            </w:r>
          </w:p>
        </w:tc>
      </w:tr>
      <w:tr w:rsidR="000F6CC7" w:rsidRPr="00CF5C5C" w14:paraId="24425B7E" w14:textId="77777777" w:rsidTr="00EF0211">
        <w:trPr>
          <w:trHeight w:val="328"/>
        </w:trPr>
        <w:tc>
          <w:tcPr>
            <w:tcW w:w="3078" w:type="dxa"/>
            <w:hideMark/>
          </w:tcPr>
          <w:p w14:paraId="0D4D12C0"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Target population</w:t>
            </w:r>
            <w:r>
              <w:rPr>
                <w:rFonts w:ascii="Calibri" w:eastAsia="Times New Roman" w:hAnsi="Calibri" w:cs="Calibri"/>
                <w:color w:val="000000"/>
                <w:lang w:val="en-ZA" w:eastAsia="en-ZA"/>
              </w:rPr>
              <w:t xml:space="preserve"> (n=23)</w:t>
            </w:r>
          </w:p>
        </w:tc>
        <w:tc>
          <w:tcPr>
            <w:tcW w:w="3078" w:type="dxa"/>
            <w:noWrap/>
            <w:hideMark/>
          </w:tcPr>
          <w:p w14:paraId="60D5058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Dosage form</w:t>
            </w:r>
            <w:r>
              <w:rPr>
                <w:rFonts w:ascii="Calibri" w:eastAsia="Times New Roman" w:hAnsi="Calibri" w:cs="Calibri"/>
                <w:color w:val="000000"/>
                <w:lang w:val="en-ZA" w:eastAsia="en-ZA"/>
              </w:rPr>
              <w:t xml:space="preserve"> (n=23)</w:t>
            </w:r>
          </w:p>
        </w:tc>
        <w:tc>
          <w:tcPr>
            <w:tcW w:w="3078" w:type="dxa"/>
            <w:noWrap/>
            <w:hideMark/>
          </w:tcPr>
          <w:p w14:paraId="6742B5B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Repeatability, stability</w:t>
            </w:r>
            <w:r>
              <w:rPr>
                <w:rFonts w:ascii="Calibri" w:eastAsia="Times New Roman" w:hAnsi="Calibri" w:cs="Calibri"/>
                <w:color w:val="000000"/>
                <w:lang w:val="en-ZA" w:eastAsia="en-ZA"/>
              </w:rPr>
              <w:t xml:space="preserve"> (n=4)</w:t>
            </w:r>
          </w:p>
        </w:tc>
        <w:tc>
          <w:tcPr>
            <w:tcW w:w="3078" w:type="dxa"/>
            <w:noWrap/>
            <w:hideMark/>
          </w:tcPr>
          <w:p w14:paraId="0542BA0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Data output</w:t>
            </w:r>
            <w:r>
              <w:rPr>
                <w:rFonts w:ascii="Calibri" w:eastAsia="Times New Roman" w:hAnsi="Calibri" w:cs="Calibri"/>
                <w:color w:val="000000"/>
                <w:lang w:val="en-ZA" w:eastAsia="en-ZA"/>
              </w:rPr>
              <w:t xml:space="preserve"> (n=2)</w:t>
            </w:r>
          </w:p>
        </w:tc>
        <w:tc>
          <w:tcPr>
            <w:tcW w:w="3078" w:type="dxa"/>
            <w:noWrap/>
            <w:hideMark/>
          </w:tcPr>
          <w:p w14:paraId="6BE75204"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Dosage strength</w:t>
            </w:r>
            <w:r>
              <w:rPr>
                <w:rFonts w:ascii="Calibri" w:eastAsia="Times New Roman" w:hAnsi="Calibri" w:cs="Calibri"/>
                <w:color w:val="000000"/>
                <w:lang w:val="en-ZA" w:eastAsia="en-ZA"/>
              </w:rPr>
              <w:t xml:space="preserve"> (n=25)</w:t>
            </w:r>
          </w:p>
        </w:tc>
      </w:tr>
      <w:tr w:rsidR="000F6CC7" w:rsidRPr="00CF5C5C" w14:paraId="53FFDCB5" w14:textId="77777777" w:rsidTr="00EF0211">
        <w:trPr>
          <w:trHeight w:val="328"/>
        </w:trPr>
        <w:tc>
          <w:tcPr>
            <w:tcW w:w="3078" w:type="dxa"/>
            <w:hideMark/>
          </w:tcPr>
          <w:p w14:paraId="20BCA3CD"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Target user</w:t>
            </w:r>
            <w:r>
              <w:rPr>
                <w:rFonts w:ascii="Calibri" w:eastAsia="Times New Roman" w:hAnsi="Calibri" w:cs="Calibri"/>
                <w:color w:val="000000"/>
                <w:lang w:val="en-ZA" w:eastAsia="en-ZA"/>
              </w:rPr>
              <w:t xml:space="preserve"> (n=22)</w:t>
            </w:r>
          </w:p>
        </w:tc>
        <w:tc>
          <w:tcPr>
            <w:tcW w:w="3078" w:type="dxa"/>
            <w:noWrap/>
            <w:hideMark/>
          </w:tcPr>
          <w:p w14:paraId="7FE4BDB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Dosage strength</w:t>
            </w:r>
            <w:r>
              <w:rPr>
                <w:rFonts w:ascii="Calibri" w:eastAsia="Times New Roman" w:hAnsi="Calibri" w:cs="Calibri"/>
                <w:color w:val="000000"/>
                <w:lang w:val="en-ZA" w:eastAsia="en-ZA"/>
              </w:rPr>
              <w:t xml:space="preserve"> (n=23)</w:t>
            </w:r>
          </w:p>
        </w:tc>
        <w:tc>
          <w:tcPr>
            <w:tcW w:w="3078" w:type="dxa"/>
            <w:noWrap/>
            <w:hideMark/>
          </w:tcPr>
          <w:p w14:paraId="054E47C9"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Storage conditions and shelf life</w:t>
            </w:r>
            <w:r>
              <w:rPr>
                <w:rFonts w:ascii="Calibri" w:eastAsia="Times New Roman" w:hAnsi="Calibri" w:cs="Calibri"/>
                <w:color w:val="000000"/>
                <w:lang w:val="en-ZA" w:eastAsia="en-ZA"/>
              </w:rPr>
              <w:t xml:space="preserve"> (n=3)</w:t>
            </w:r>
          </w:p>
        </w:tc>
        <w:tc>
          <w:tcPr>
            <w:tcW w:w="3078" w:type="dxa"/>
            <w:noWrap/>
            <w:hideMark/>
          </w:tcPr>
          <w:p w14:paraId="27248FB6"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Accuracy</w:t>
            </w:r>
            <w:r>
              <w:rPr>
                <w:rFonts w:ascii="Calibri" w:eastAsia="Times New Roman" w:hAnsi="Calibri" w:cs="Calibri"/>
                <w:color w:val="000000"/>
                <w:lang w:val="en-ZA" w:eastAsia="en-ZA"/>
              </w:rPr>
              <w:t xml:space="preserve"> (n=2)</w:t>
            </w:r>
          </w:p>
        </w:tc>
        <w:tc>
          <w:tcPr>
            <w:tcW w:w="3078" w:type="dxa"/>
            <w:noWrap/>
            <w:hideMark/>
          </w:tcPr>
          <w:p w14:paraId="40A9FA9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Dosage form</w:t>
            </w:r>
            <w:r>
              <w:rPr>
                <w:rFonts w:ascii="Calibri" w:eastAsia="Times New Roman" w:hAnsi="Calibri" w:cs="Calibri"/>
                <w:color w:val="000000"/>
                <w:lang w:val="en-ZA" w:eastAsia="en-ZA"/>
              </w:rPr>
              <w:t xml:space="preserve"> (n=23)</w:t>
            </w:r>
          </w:p>
        </w:tc>
      </w:tr>
      <w:tr w:rsidR="000F6CC7" w:rsidRPr="00CF5C5C" w14:paraId="1056CE80" w14:textId="77777777" w:rsidTr="00EF0211">
        <w:trPr>
          <w:trHeight w:val="328"/>
        </w:trPr>
        <w:tc>
          <w:tcPr>
            <w:tcW w:w="3078" w:type="dxa"/>
            <w:hideMark/>
          </w:tcPr>
          <w:p w14:paraId="19C2E1C6"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Sample type</w:t>
            </w:r>
            <w:r>
              <w:rPr>
                <w:rFonts w:ascii="Calibri" w:eastAsia="Times New Roman" w:hAnsi="Calibri" w:cs="Calibri"/>
                <w:color w:val="000000"/>
                <w:lang w:val="en-ZA" w:eastAsia="en-ZA"/>
              </w:rPr>
              <w:t xml:space="preserve"> (n=20)</w:t>
            </w:r>
          </w:p>
        </w:tc>
        <w:tc>
          <w:tcPr>
            <w:tcW w:w="3078" w:type="dxa"/>
            <w:noWrap/>
            <w:hideMark/>
          </w:tcPr>
          <w:p w14:paraId="645C307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Indication</w:t>
            </w:r>
            <w:r>
              <w:rPr>
                <w:rFonts w:ascii="Calibri" w:eastAsia="Times New Roman" w:hAnsi="Calibri" w:cs="Calibri"/>
                <w:color w:val="000000"/>
                <w:lang w:val="en-ZA" w:eastAsia="en-ZA"/>
              </w:rPr>
              <w:t xml:space="preserve"> (n=18)</w:t>
            </w:r>
          </w:p>
        </w:tc>
        <w:tc>
          <w:tcPr>
            <w:tcW w:w="3078" w:type="dxa"/>
            <w:noWrap/>
            <w:hideMark/>
          </w:tcPr>
          <w:p w14:paraId="3FBCF0C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Dose regimen and amount</w:t>
            </w:r>
            <w:r>
              <w:rPr>
                <w:rFonts w:ascii="Calibri" w:eastAsia="Times New Roman" w:hAnsi="Calibri" w:cs="Calibri"/>
                <w:color w:val="000000"/>
                <w:lang w:val="en-ZA" w:eastAsia="en-ZA"/>
              </w:rPr>
              <w:t xml:space="preserve"> (n=3)</w:t>
            </w:r>
          </w:p>
        </w:tc>
        <w:tc>
          <w:tcPr>
            <w:tcW w:w="3078" w:type="dxa"/>
            <w:noWrap/>
            <w:hideMark/>
          </w:tcPr>
          <w:p w14:paraId="4E6E7D3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Target user</w:t>
            </w:r>
            <w:r>
              <w:rPr>
                <w:rFonts w:ascii="Calibri" w:eastAsia="Times New Roman" w:hAnsi="Calibri" w:cs="Calibri"/>
                <w:color w:val="000000"/>
                <w:lang w:val="en-ZA" w:eastAsia="en-ZA"/>
              </w:rPr>
              <w:t xml:space="preserve"> (n=1)</w:t>
            </w:r>
          </w:p>
        </w:tc>
        <w:tc>
          <w:tcPr>
            <w:tcW w:w="3078" w:type="dxa"/>
            <w:noWrap/>
            <w:hideMark/>
          </w:tcPr>
          <w:p w14:paraId="7FC6FFF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Container closure system</w:t>
            </w:r>
            <w:r>
              <w:rPr>
                <w:rFonts w:ascii="Calibri" w:eastAsia="Times New Roman" w:hAnsi="Calibri" w:cs="Calibri"/>
                <w:color w:val="000000"/>
                <w:lang w:val="en-ZA" w:eastAsia="en-ZA"/>
              </w:rPr>
              <w:t xml:space="preserve"> (n=13)</w:t>
            </w:r>
          </w:p>
        </w:tc>
      </w:tr>
      <w:tr w:rsidR="000F6CC7" w:rsidRPr="00CF5C5C" w14:paraId="7D491A0B" w14:textId="77777777" w:rsidTr="00EF0211">
        <w:trPr>
          <w:trHeight w:val="328"/>
        </w:trPr>
        <w:tc>
          <w:tcPr>
            <w:tcW w:w="3078" w:type="dxa"/>
            <w:hideMark/>
          </w:tcPr>
          <w:p w14:paraId="6D3CAC49"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Time to result</w:t>
            </w:r>
            <w:r>
              <w:rPr>
                <w:rFonts w:ascii="Calibri" w:eastAsia="Times New Roman" w:hAnsi="Calibri" w:cs="Calibri"/>
                <w:color w:val="000000"/>
                <w:lang w:val="en-ZA" w:eastAsia="en-ZA"/>
              </w:rPr>
              <w:t xml:space="preserve"> (n=19)</w:t>
            </w:r>
          </w:p>
        </w:tc>
        <w:tc>
          <w:tcPr>
            <w:tcW w:w="3078" w:type="dxa"/>
            <w:noWrap/>
            <w:hideMark/>
          </w:tcPr>
          <w:p w14:paraId="4BAA57A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Dose regimen and amount</w:t>
            </w:r>
            <w:r>
              <w:rPr>
                <w:rFonts w:ascii="Calibri" w:eastAsia="Times New Roman" w:hAnsi="Calibri" w:cs="Calibri"/>
                <w:color w:val="000000"/>
                <w:lang w:val="en-ZA" w:eastAsia="en-ZA"/>
              </w:rPr>
              <w:t xml:space="preserve"> (n=18)</w:t>
            </w:r>
          </w:p>
        </w:tc>
        <w:tc>
          <w:tcPr>
            <w:tcW w:w="3078" w:type="dxa"/>
            <w:noWrap/>
            <w:hideMark/>
          </w:tcPr>
          <w:p w14:paraId="60F20B3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Route of administration</w:t>
            </w:r>
            <w:r>
              <w:rPr>
                <w:rFonts w:ascii="Calibri" w:eastAsia="Times New Roman" w:hAnsi="Calibri" w:cs="Calibri"/>
                <w:color w:val="000000"/>
                <w:lang w:val="en-ZA" w:eastAsia="en-ZA"/>
              </w:rPr>
              <w:t xml:space="preserve"> (n=3)</w:t>
            </w:r>
          </w:p>
        </w:tc>
        <w:tc>
          <w:tcPr>
            <w:tcW w:w="3078" w:type="dxa"/>
            <w:noWrap/>
            <w:hideMark/>
          </w:tcPr>
          <w:p w14:paraId="40A543D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Setting</w:t>
            </w:r>
            <w:r>
              <w:rPr>
                <w:rFonts w:ascii="Calibri" w:eastAsia="Times New Roman" w:hAnsi="Calibri" w:cs="Calibri"/>
                <w:color w:val="000000"/>
                <w:lang w:val="en-ZA" w:eastAsia="en-ZA"/>
              </w:rPr>
              <w:t xml:space="preserve"> (n=1)</w:t>
            </w:r>
          </w:p>
        </w:tc>
        <w:tc>
          <w:tcPr>
            <w:tcW w:w="3078" w:type="dxa"/>
            <w:noWrap/>
            <w:hideMark/>
          </w:tcPr>
          <w:p w14:paraId="1F28DA3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Pharmacokinetics</w:t>
            </w:r>
            <w:r>
              <w:rPr>
                <w:rFonts w:ascii="Calibri" w:eastAsia="Times New Roman" w:hAnsi="Calibri" w:cs="Calibri"/>
                <w:color w:val="000000"/>
                <w:lang w:val="en-ZA" w:eastAsia="en-ZA"/>
              </w:rPr>
              <w:t xml:space="preserve"> (n=11)</w:t>
            </w:r>
          </w:p>
        </w:tc>
      </w:tr>
      <w:tr w:rsidR="000F6CC7" w:rsidRPr="00CF5C5C" w14:paraId="7A25F28F" w14:textId="77777777" w:rsidTr="00EF0211">
        <w:trPr>
          <w:trHeight w:val="328"/>
        </w:trPr>
        <w:tc>
          <w:tcPr>
            <w:tcW w:w="3078" w:type="dxa"/>
            <w:hideMark/>
          </w:tcPr>
          <w:p w14:paraId="78790790"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Cost of test/product/reimbursement</w:t>
            </w:r>
            <w:r>
              <w:rPr>
                <w:rFonts w:ascii="Calibri" w:eastAsia="Times New Roman" w:hAnsi="Calibri" w:cs="Calibri"/>
                <w:color w:val="000000"/>
                <w:lang w:val="en-ZA" w:eastAsia="en-ZA"/>
              </w:rPr>
              <w:t xml:space="preserve"> (n=18)</w:t>
            </w:r>
          </w:p>
        </w:tc>
        <w:tc>
          <w:tcPr>
            <w:tcW w:w="3078" w:type="dxa"/>
            <w:noWrap/>
            <w:hideMark/>
          </w:tcPr>
          <w:p w14:paraId="56240AF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Safety (for individuals)</w:t>
            </w:r>
            <w:r>
              <w:rPr>
                <w:rFonts w:ascii="Calibri" w:eastAsia="Times New Roman" w:hAnsi="Calibri" w:cs="Calibri"/>
                <w:color w:val="000000"/>
                <w:lang w:val="en-ZA" w:eastAsia="en-ZA"/>
              </w:rPr>
              <w:t xml:space="preserve"> (n=18)</w:t>
            </w:r>
          </w:p>
        </w:tc>
        <w:tc>
          <w:tcPr>
            <w:tcW w:w="3078" w:type="dxa"/>
            <w:noWrap/>
            <w:hideMark/>
          </w:tcPr>
          <w:p w14:paraId="3FC64023"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Duration of Protection</w:t>
            </w:r>
            <w:r>
              <w:rPr>
                <w:rFonts w:ascii="Calibri" w:eastAsia="Times New Roman" w:hAnsi="Calibri" w:cs="Calibri"/>
                <w:color w:val="000000"/>
                <w:lang w:val="en-ZA" w:eastAsia="en-ZA"/>
              </w:rPr>
              <w:t xml:space="preserve"> (n=3)</w:t>
            </w:r>
          </w:p>
        </w:tc>
        <w:tc>
          <w:tcPr>
            <w:tcW w:w="3078" w:type="dxa"/>
            <w:noWrap/>
            <w:hideMark/>
          </w:tcPr>
          <w:p w14:paraId="3397495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Stability/shelf life</w:t>
            </w:r>
            <w:r>
              <w:rPr>
                <w:rFonts w:ascii="Calibri" w:eastAsia="Times New Roman" w:hAnsi="Calibri" w:cs="Calibri"/>
                <w:color w:val="000000"/>
                <w:lang w:val="en-ZA" w:eastAsia="en-ZA"/>
              </w:rPr>
              <w:t xml:space="preserve"> (n=1)</w:t>
            </w:r>
          </w:p>
        </w:tc>
        <w:tc>
          <w:tcPr>
            <w:tcW w:w="3078" w:type="dxa"/>
            <w:noWrap/>
            <w:hideMark/>
          </w:tcPr>
          <w:p w14:paraId="4DE58B83"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Dosage form design</w:t>
            </w:r>
            <w:r>
              <w:rPr>
                <w:rFonts w:ascii="Calibri" w:eastAsia="Times New Roman" w:hAnsi="Calibri" w:cs="Calibri"/>
                <w:color w:val="000000"/>
                <w:lang w:val="en-ZA" w:eastAsia="en-ZA"/>
              </w:rPr>
              <w:t xml:space="preserve"> (n=8)</w:t>
            </w:r>
          </w:p>
        </w:tc>
      </w:tr>
      <w:tr w:rsidR="000F6CC7" w:rsidRPr="00CF5C5C" w14:paraId="4345E424" w14:textId="77777777" w:rsidTr="00EF0211">
        <w:trPr>
          <w:trHeight w:val="328"/>
        </w:trPr>
        <w:tc>
          <w:tcPr>
            <w:tcW w:w="3078" w:type="dxa"/>
            <w:hideMark/>
          </w:tcPr>
          <w:p w14:paraId="1CD74D37"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Specimen preparation</w:t>
            </w:r>
            <w:r>
              <w:rPr>
                <w:rFonts w:ascii="Calibri" w:eastAsia="Times New Roman" w:hAnsi="Calibri" w:cs="Calibri"/>
                <w:color w:val="000000"/>
                <w:lang w:val="en-ZA" w:eastAsia="en-ZA"/>
              </w:rPr>
              <w:t xml:space="preserve"> (n=17)</w:t>
            </w:r>
          </w:p>
        </w:tc>
        <w:tc>
          <w:tcPr>
            <w:tcW w:w="3078" w:type="dxa"/>
            <w:noWrap/>
            <w:hideMark/>
          </w:tcPr>
          <w:p w14:paraId="0AB9F4C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Cost of test/product/reimbursement</w:t>
            </w:r>
            <w:r>
              <w:rPr>
                <w:rFonts w:ascii="Calibri" w:eastAsia="Times New Roman" w:hAnsi="Calibri" w:cs="Calibri"/>
                <w:color w:val="000000"/>
                <w:lang w:val="en-ZA" w:eastAsia="en-ZA"/>
              </w:rPr>
              <w:t xml:space="preserve"> (n=16)</w:t>
            </w:r>
          </w:p>
        </w:tc>
        <w:tc>
          <w:tcPr>
            <w:tcW w:w="3078" w:type="dxa"/>
            <w:noWrap/>
            <w:hideMark/>
          </w:tcPr>
          <w:p w14:paraId="1AF10A55"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Efficacy</w:t>
            </w:r>
            <w:r>
              <w:rPr>
                <w:rFonts w:ascii="Calibri" w:eastAsia="Times New Roman" w:hAnsi="Calibri" w:cs="Calibri"/>
                <w:color w:val="000000"/>
                <w:lang w:val="en-ZA" w:eastAsia="en-ZA"/>
              </w:rPr>
              <w:t xml:space="preserve"> (n=3)</w:t>
            </w:r>
          </w:p>
        </w:tc>
        <w:tc>
          <w:tcPr>
            <w:tcW w:w="3078" w:type="dxa"/>
            <w:noWrap/>
            <w:hideMark/>
          </w:tcPr>
          <w:p w14:paraId="2C2618A6"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Instrument Connectivity and power</w:t>
            </w:r>
            <w:r>
              <w:rPr>
                <w:rFonts w:ascii="Calibri" w:eastAsia="Times New Roman" w:hAnsi="Calibri" w:cs="Calibri"/>
                <w:color w:val="000000"/>
                <w:lang w:val="en-ZA" w:eastAsia="en-ZA"/>
              </w:rPr>
              <w:t xml:space="preserve"> (n=1)</w:t>
            </w:r>
          </w:p>
        </w:tc>
        <w:tc>
          <w:tcPr>
            <w:tcW w:w="3078" w:type="dxa"/>
            <w:noWrap/>
            <w:hideMark/>
          </w:tcPr>
          <w:p w14:paraId="4C8C73D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Assay</w:t>
            </w:r>
            <w:r>
              <w:rPr>
                <w:rFonts w:ascii="Calibri" w:eastAsia="Times New Roman" w:hAnsi="Calibri" w:cs="Calibri"/>
                <w:color w:val="000000"/>
                <w:lang w:val="en-ZA" w:eastAsia="en-ZA"/>
              </w:rPr>
              <w:t xml:space="preserve"> (n=7)</w:t>
            </w:r>
          </w:p>
        </w:tc>
      </w:tr>
      <w:tr w:rsidR="000F6CC7" w:rsidRPr="00CF5C5C" w14:paraId="39E3CEE0" w14:textId="77777777" w:rsidTr="00EF0211">
        <w:trPr>
          <w:trHeight w:val="656"/>
        </w:trPr>
        <w:tc>
          <w:tcPr>
            <w:tcW w:w="3078" w:type="dxa"/>
            <w:hideMark/>
          </w:tcPr>
          <w:p w14:paraId="6B4E0068"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Level of implementation in the healthcare system</w:t>
            </w:r>
            <w:r>
              <w:rPr>
                <w:rFonts w:ascii="Calibri" w:eastAsia="Times New Roman" w:hAnsi="Calibri" w:cs="Calibri"/>
                <w:color w:val="000000"/>
                <w:lang w:val="en-ZA" w:eastAsia="en-ZA"/>
              </w:rPr>
              <w:t xml:space="preserve"> (n=15)</w:t>
            </w:r>
          </w:p>
        </w:tc>
        <w:tc>
          <w:tcPr>
            <w:tcW w:w="3078" w:type="dxa"/>
            <w:noWrap/>
            <w:hideMark/>
          </w:tcPr>
          <w:p w14:paraId="2A7292F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Target population</w:t>
            </w:r>
            <w:r>
              <w:rPr>
                <w:rFonts w:ascii="Calibri" w:eastAsia="Times New Roman" w:hAnsi="Calibri" w:cs="Calibri"/>
                <w:color w:val="000000"/>
                <w:lang w:val="en-ZA" w:eastAsia="en-ZA"/>
              </w:rPr>
              <w:t xml:space="preserve"> (n=14)</w:t>
            </w:r>
          </w:p>
        </w:tc>
        <w:tc>
          <w:tcPr>
            <w:tcW w:w="3078" w:type="dxa"/>
            <w:noWrap/>
            <w:hideMark/>
          </w:tcPr>
          <w:p w14:paraId="087DBB7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Cost of test/product/reimbursement</w:t>
            </w:r>
            <w:r>
              <w:rPr>
                <w:rFonts w:ascii="Calibri" w:eastAsia="Times New Roman" w:hAnsi="Calibri" w:cs="Calibri"/>
                <w:color w:val="000000"/>
                <w:lang w:val="en-ZA" w:eastAsia="en-ZA"/>
              </w:rPr>
              <w:t xml:space="preserve"> (n=2)</w:t>
            </w:r>
          </w:p>
        </w:tc>
        <w:tc>
          <w:tcPr>
            <w:tcW w:w="3078" w:type="dxa"/>
            <w:noWrap/>
            <w:hideMark/>
          </w:tcPr>
          <w:p w14:paraId="5A8DAFF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Service maintenance and calibration requirements</w:t>
            </w:r>
            <w:r>
              <w:rPr>
                <w:rFonts w:ascii="Calibri" w:eastAsia="Times New Roman" w:hAnsi="Calibri" w:cs="Calibri"/>
                <w:color w:val="000000"/>
                <w:lang w:val="en-ZA" w:eastAsia="en-ZA"/>
              </w:rPr>
              <w:t xml:space="preserve"> (n=1)</w:t>
            </w:r>
          </w:p>
        </w:tc>
        <w:tc>
          <w:tcPr>
            <w:tcW w:w="3078" w:type="dxa"/>
            <w:noWrap/>
            <w:hideMark/>
          </w:tcPr>
          <w:p w14:paraId="08A4EB4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Polydispersity index (PDI)</w:t>
            </w:r>
            <w:r>
              <w:rPr>
                <w:rFonts w:ascii="Calibri" w:eastAsia="Times New Roman" w:hAnsi="Calibri" w:cs="Calibri"/>
                <w:color w:val="000000"/>
                <w:lang w:val="en-ZA" w:eastAsia="en-ZA"/>
              </w:rPr>
              <w:t xml:space="preserve"> (n=7)</w:t>
            </w:r>
          </w:p>
        </w:tc>
      </w:tr>
      <w:tr w:rsidR="000F6CC7" w:rsidRPr="00CF5C5C" w14:paraId="3F76E780" w14:textId="77777777" w:rsidTr="00EF0211">
        <w:trPr>
          <w:trHeight w:val="328"/>
        </w:trPr>
        <w:tc>
          <w:tcPr>
            <w:tcW w:w="3078" w:type="dxa"/>
            <w:hideMark/>
          </w:tcPr>
          <w:p w14:paraId="73844269"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Repeatability, limit of detection (LOD), stability</w:t>
            </w:r>
            <w:r>
              <w:rPr>
                <w:rFonts w:ascii="Calibri" w:eastAsia="Times New Roman" w:hAnsi="Calibri" w:cs="Calibri"/>
                <w:color w:val="000000"/>
                <w:lang w:val="en-ZA" w:eastAsia="en-ZA"/>
              </w:rPr>
              <w:t xml:space="preserve"> (n=15)</w:t>
            </w:r>
          </w:p>
        </w:tc>
        <w:tc>
          <w:tcPr>
            <w:tcW w:w="3078" w:type="dxa"/>
            <w:noWrap/>
            <w:hideMark/>
          </w:tcPr>
          <w:p w14:paraId="33F4AA96"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Storage conditions and shelf life</w:t>
            </w:r>
            <w:r>
              <w:rPr>
                <w:rFonts w:ascii="Calibri" w:eastAsia="Times New Roman" w:hAnsi="Calibri" w:cs="Calibri"/>
                <w:color w:val="000000"/>
                <w:lang w:val="en-ZA" w:eastAsia="en-ZA"/>
              </w:rPr>
              <w:t xml:space="preserve"> (n=12)</w:t>
            </w:r>
          </w:p>
        </w:tc>
        <w:tc>
          <w:tcPr>
            <w:tcW w:w="3078" w:type="dxa"/>
            <w:noWrap/>
            <w:hideMark/>
          </w:tcPr>
          <w:p w14:paraId="4C40FA4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Product presentation</w:t>
            </w:r>
            <w:r>
              <w:rPr>
                <w:rFonts w:ascii="Calibri" w:eastAsia="Times New Roman" w:hAnsi="Calibri" w:cs="Calibri"/>
                <w:color w:val="000000"/>
                <w:lang w:val="en-ZA" w:eastAsia="en-ZA"/>
              </w:rPr>
              <w:t xml:space="preserve"> (n=2)</w:t>
            </w:r>
          </w:p>
        </w:tc>
        <w:tc>
          <w:tcPr>
            <w:tcW w:w="3078" w:type="dxa"/>
            <w:noWrap/>
            <w:hideMark/>
          </w:tcPr>
          <w:p w14:paraId="73CF7CE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Reagent kit transport stability/cold chain requirements</w:t>
            </w:r>
            <w:r>
              <w:rPr>
                <w:rFonts w:ascii="Calibri" w:eastAsia="Times New Roman" w:hAnsi="Calibri" w:cs="Calibri"/>
                <w:color w:val="000000"/>
                <w:lang w:val="en-ZA" w:eastAsia="en-ZA"/>
              </w:rPr>
              <w:t xml:space="preserve"> (n=1)</w:t>
            </w:r>
          </w:p>
        </w:tc>
        <w:tc>
          <w:tcPr>
            <w:tcW w:w="3078" w:type="dxa"/>
            <w:noWrap/>
            <w:hideMark/>
          </w:tcPr>
          <w:p w14:paraId="79F8238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Indication</w:t>
            </w:r>
            <w:r>
              <w:rPr>
                <w:rFonts w:ascii="Calibri" w:eastAsia="Times New Roman" w:hAnsi="Calibri" w:cs="Calibri"/>
                <w:color w:val="000000"/>
                <w:lang w:val="en-ZA" w:eastAsia="en-ZA"/>
              </w:rPr>
              <w:t xml:space="preserve"> (n=6)</w:t>
            </w:r>
          </w:p>
        </w:tc>
      </w:tr>
      <w:tr w:rsidR="000F6CC7" w:rsidRPr="00CF5C5C" w14:paraId="11EDFD71" w14:textId="77777777" w:rsidTr="00EF0211">
        <w:trPr>
          <w:trHeight w:val="328"/>
        </w:trPr>
        <w:tc>
          <w:tcPr>
            <w:tcW w:w="3078" w:type="dxa"/>
            <w:hideMark/>
          </w:tcPr>
          <w:p w14:paraId="4F9BF908"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Instrument Connectivity and power</w:t>
            </w:r>
            <w:r>
              <w:rPr>
                <w:rFonts w:ascii="Calibri" w:eastAsia="Times New Roman" w:hAnsi="Calibri" w:cs="Calibri"/>
                <w:color w:val="000000"/>
                <w:lang w:val="en-ZA" w:eastAsia="en-ZA"/>
              </w:rPr>
              <w:t xml:space="preserve"> (n=15)</w:t>
            </w:r>
          </w:p>
        </w:tc>
        <w:tc>
          <w:tcPr>
            <w:tcW w:w="3078" w:type="dxa"/>
            <w:noWrap/>
            <w:hideMark/>
          </w:tcPr>
          <w:p w14:paraId="2DAD9873"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Container closure system</w:t>
            </w:r>
            <w:r>
              <w:rPr>
                <w:rFonts w:ascii="Calibri" w:eastAsia="Times New Roman" w:hAnsi="Calibri" w:cs="Calibri"/>
                <w:color w:val="000000"/>
                <w:lang w:val="en-ZA" w:eastAsia="en-ZA"/>
              </w:rPr>
              <w:t xml:space="preserve"> (n=12)</w:t>
            </w:r>
          </w:p>
        </w:tc>
        <w:tc>
          <w:tcPr>
            <w:tcW w:w="3078" w:type="dxa"/>
            <w:noWrap/>
            <w:hideMark/>
          </w:tcPr>
          <w:p w14:paraId="77BE46D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Safety (for individuals)</w:t>
            </w:r>
            <w:r>
              <w:rPr>
                <w:rFonts w:ascii="Calibri" w:eastAsia="Times New Roman" w:hAnsi="Calibri" w:cs="Calibri"/>
                <w:color w:val="000000"/>
                <w:lang w:val="en-ZA" w:eastAsia="en-ZA"/>
              </w:rPr>
              <w:t xml:space="preserve"> (n=2)</w:t>
            </w:r>
          </w:p>
        </w:tc>
        <w:tc>
          <w:tcPr>
            <w:tcW w:w="3078" w:type="dxa"/>
            <w:noWrap/>
            <w:hideMark/>
          </w:tcPr>
          <w:p w14:paraId="59B1C3B5"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Presence of internal controls</w:t>
            </w:r>
            <w:r>
              <w:rPr>
                <w:rFonts w:ascii="Calibri" w:eastAsia="Times New Roman" w:hAnsi="Calibri" w:cs="Calibri"/>
                <w:color w:val="000000"/>
                <w:lang w:val="en-ZA" w:eastAsia="en-ZA"/>
              </w:rPr>
              <w:t xml:space="preserve"> (n=1)</w:t>
            </w:r>
          </w:p>
        </w:tc>
        <w:tc>
          <w:tcPr>
            <w:tcW w:w="3078" w:type="dxa"/>
            <w:noWrap/>
            <w:hideMark/>
          </w:tcPr>
          <w:p w14:paraId="13ADE9C6"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Storage conditions and shelf life</w:t>
            </w:r>
            <w:r>
              <w:rPr>
                <w:rFonts w:ascii="Calibri" w:eastAsia="Times New Roman" w:hAnsi="Calibri" w:cs="Calibri"/>
                <w:color w:val="000000"/>
                <w:lang w:val="en-ZA" w:eastAsia="en-ZA"/>
              </w:rPr>
              <w:t xml:space="preserve"> (n=6)</w:t>
            </w:r>
          </w:p>
        </w:tc>
      </w:tr>
      <w:tr w:rsidR="000F6CC7" w:rsidRPr="00CF5C5C" w14:paraId="4324280A" w14:textId="77777777" w:rsidTr="00EF0211">
        <w:trPr>
          <w:trHeight w:val="328"/>
        </w:trPr>
        <w:tc>
          <w:tcPr>
            <w:tcW w:w="3078" w:type="dxa"/>
            <w:hideMark/>
          </w:tcPr>
          <w:p w14:paraId="7220877A"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Internal quality control</w:t>
            </w:r>
            <w:r>
              <w:rPr>
                <w:rFonts w:ascii="Calibri" w:eastAsia="Times New Roman" w:hAnsi="Calibri" w:cs="Calibri"/>
                <w:color w:val="000000"/>
                <w:lang w:val="en-ZA" w:eastAsia="en-ZA"/>
              </w:rPr>
              <w:t xml:space="preserve"> (n=15)</w:t>
            </w:r>
          </w:p>
        </w:tc>
        <w:tc>
          <w:tcPr>
            <w:tcW w:w="3078" w:type="dxa"/>
            <w:noWrap/>
            <w:hideMark/>
          </w:tcPr>
          <w:p w14:paraId="64FA52B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Pharmacokinetics</w:t>
            </w:r>
            <w:r>
              <w:rPr>
                <w:rFonts w:ascii="Calibri" w:eastAsia="Times New Roman" w:hAnsi="Calibri" w:cs="Calibri"/>
                <w:color w:val="000000"/>
                <w:lang w:val="en-ZA" w:eastAsia="en-ZA"/>
              </w:rPr>
              <w:t xml:space="preserve"> (n=181)</w:t>
            </w:r>
          </w:p>
        </w:tc>
        <w:tc>
          <w:tcPr>
            <w:tcW w:w="3078" w:type="dxa"/>
            <w:noWrap/>
            <w:hideMark/>
          </w:tcPr>
          <w:p w14:paraId="72436EC5"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Pregnancy</w:t>
            </w:r>
            <w:r>
              <w:rPr>
                <w:rFonts w:ascii="Calibri" w:eastAsia="Times New Roman" w:hAnsi="Calibri" w:cs="Calibri"/>
                <w:color w:val="000000"/>
                <w:lang w:val="en-ZA" w:eastAsia="en-ZA"/>
              </w:rPr>
              <w:t xml:space="preserve"> (n=2)</w:t>
            </w:r>
          </w:p>
        </w:tc>
        <w:tc>
          <w:tcPr>
            <w:tcW w:w="3078" w:type="dxa"/>
            <w:noWrap/>
            <w:hideMark/>
          </w:tcPr>
          <w:p w14:paraId="1FFD824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Data export (e.g. for quality assurance purposes)</w:t>
            </w:r>
            <w:r>
              <w:rPr>
                <w:rFonts w:ascii="Calibri" w:eastAsia="Times New Roman" w:hAnsi="Calibri" w:cs="Calibri"/>
                <w:color w:val="000000"/>
                <w:lang w:val="en-ZA" w:eastAsia="en-ZA"/>
              </w:rPr>
              <w:t xml:space="preserve"> (n=1)</w:t>
            </w:r>
          </w:p>
        </w:tc>
        <w:tc>
          <w:tcPr>
            <w:tcW w:w="3078" w:type="dxa"/>
            <w:noWrap/>
            <w:hideMark/>
          </w:tcPr>
          <w:p w14:paraId="5B7C1AF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Purity/impurities</w:t>
            </w:r>
            <w:r>
              <w:rPr>
                <w:rFonts w:ascii="Calibri" w:eastAsia="Times New Roman" w:hAnsi="Calibri" w:cs="Calibri"/>
                <w:color w:val="000000"/>
                <w:lang w:val="en-ZA" w:eastAsia="en-ZA"/>
              </w:rPr>
              <w:t xml:space="preserve"> (n=5)</w:t>
            </w:r>
          </w:p>
        </w:tc>
      </w:tr>
      <w:tr w:rsidR="000F6CC7" w:rsidRPr="00CF5C5C" w14:paraId="16F2EBBC" w14:textId="77777777" w:rsidTr="00EF0211">
        <w:trPr>
          <w:trHeight w:val="656"/>
        </w:trPr>
        <w:tc>
          <w:tcPr>
            <w:tcW w:w="3078" w:type="dxa"/>
            <w:hideMark/>
          </w:tcPr>
          <w:p w14:paraId="5D20D016"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Service maintenance and calibration requirements</w:t>
            </w:r>
            <w:r>
              <w:rPr>
                <w:rFonts w:ascii="Calibri" w:eastAsia="Times New Roman" w:hAnsi="Calibri" w:cs="Calibri"/>
                <w:color w:val="000000"/>
                <w:lang w:val="en-ZA" w:eastAsia="en-ZA"/>
              </w:rPr>
              <w:t xml:space="preserve"> (n=14)</w:t>
            </w:r>
          </w:p>
        </w:tc>
        <w:tc>
          <w:tcPr>
            <w:tcW w:w="3078" w:type="dxa"/>
            <w:noWrap/>
            <w:hideMark/>
          </w:tcPr>
          <w:p w14:paraId="4EDBCEA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Clinical efficacy</w:t>
            </w:r>
            <w:r>
              <w:rPr>
                <w:rFonts w:ascii="Calibri" w:eastAsia="Times New Roman" w:hAnsi="Calibri" w:cs="Calibri"/>
                <w:color w:val="000000"/>
                <w:lang w:val="en-ZA" w:eastAsia="en-ZA"/>
              </w:rPr>
              <w:t xml:space="preserve"> (n=10)</w:t>
            </w:r>
          </w:p>
        </w:tc>
        <w:tc>
          <w:tcPr>
            <w:tcW w:w="3078" w:type="dxa"/>
            <w:noWrap/>
            <w:hideMark/>
          </w:tcPr>
          <w:p w14:paraId="6192F33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Nr. Doses per Series</w:t>
            </w:r>
            <w:r>
              <w:rPr>
                <w:rFonts w:ascii="Calibri" w:eastAsia="Times New Roman" w:hAnsi="Calibri" w:cs="Calibri"/>
                <w:color w:val="000000"/>
                <w:lang w:val="en-ZA" w:eastAsia="en-ZA"/>
              </w:rPr>
              <w:t xml:space="preserve"> (n=2)</w:t>
            </w:r>
          </w:p>
        </w:tc>
        <w:tc>
          <w:tcPr>
            <w:tcW w:w="3078" w:type="dxa"/>
            <w:noWrap/>
            <w:hideMark/>
          </w:tcPr>
          <w:p w14:paraId="5D8A7BE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Throughput capacity</w:t>
            </w:r>
            <w:r>
              <w:rPr>
                <w:rFonts w:ascii="Calibri" w:eastAsia="Times New Roman" w:hAnsi="Calibri" w:cs="Calibri"/>
                <w:color w:val="000000"/>
                <w:lang w:val="en-ZA" w:eastAsia="en-ZA"/>
              </w:rPr>
              <w:t xml:space="preserve"> (n=1)</w:t>
            </w:r>
          </w:p>
        </w:tc>
        <w:tc>
          <w:tcPr>
            <w:tcW w:w="3078" w:type="dxa"/>
            <w:noWrap/>
            <w:hideMark/>
          </w:tcPr>
          <w:p w14:paraId="24C0E3E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Physical properties/attributes/description</w:t>
            </w:r>
            <w:r>
              <w:rPr>
                <w:rFonts w:ascii="Calibri" w:eastAsia="Times New Roman" w:hAnsi="Calibri" w:cs="Calibri"/>
                <w:color w:val="000000"/>
                <w:lang w:val="en-ZA" w:eastAsia="en-ZA"/>
              </w:rPr>
              <w:t xml:space="preserve"> (n=5)</w:t>
            </w:r>
          </w:p>
        </w:tc>
      </w:tr>
      <w:tr w:rsidR="000F6CC7" w:rsidRPr="00CF5C5C" w14:paraId="60058E3D" w14:textId="77777777" w:rsidTr="00EF0211">
        <w:trPr>
          <w:trHeight w:val="328"/>
        </w:trPr>
        <w:tc>
          <w:tcPr>
            <w:tcW w:w="3078" w:type="dxa"/>
            <w:hideMark/>
          </w:tcPr>
          <w:p w14:paraId="004A393B"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lastRenderedPageBreak/>
              <w:t>Setting</w:t>
            </w:r>
            <w:r>
              <w:rPr>
                <w:rFonts w:ascii="Calibri" w:eastAsia="Times New Roman" w:hAnsi="Calibri" w:cs="Calibri"/>
                <w:color w:val="000000"/>
                <w:lang w:val="en-ZA" w:eastAsia="en-ZA"/>
              </w:rPr>
              <w:t xml:space="preserve"> (n=13)</w:t>
            </w:r>
          </w:p>
        </w:tc>
        <w:tc>
          <w:tcPr>
            <w:tcW w:w="3078" w:type="dxa"/>
            <w:noWrap/>
            <w:hideMark/>
          </w:tcPr>
          <w:p w14:paraId="3A824D2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(Drug-drug) Interactions</w:t>
            </w:r>
            <w:r>
              <w:rPr>
                <w:rFonts w:ascii="Calibri" w:eastAsia="Times New Roman" w:hAnsi="Calibri" w:cs="Calibri"/>
                <w:color w:val="000000"/>
                <w:lang w:val="en-ZA" w:eastAsia="en-ZA"/>
              </w:rPr>
              <w:t xml:space="preserve"> (n=9)</w:t>
            </w:r>
          </w:p>
        </w:tc>
        <w:tc>
          <w:tcPr>
            <w:tcW w:w="3078" w:type="dxa"/>
            <w:noWrap/>
            <w:hideMark/>
          </w:tcPr>
          <w:p w14:paraId="33D7686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Series (years of age)</w:t>
            </w:r>
            <w:r>
              <w:rPr>
                <w:rFonts w:ascii="Calibri" w:eastAsia="Times New Roman" w:hAnsi="Calibri" w:cs="Calibri"/>
                <w:color w:val="000000"/>
                <w:lang w:val="en-ZA" w:eastAsia="en-ZA"/>
              </w:rPr>
              <w:t xml:space="preserve"> (n=2)</w:t>
            </w:r>
          </w:p>
        </w:tc>
        <w:tc>
          <w:tcPr>
            <w:tcW w:w="3078" w:type="dxa"/>
            <w:noWrap/>
            <w:hideMark/>
          </w:tcPr>
          <w:p w14:paraId="69CE04D9"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Operating temperature</w:t>
            </w:r>
            <w:r>
              <w:rPr>
                <w:rFonts w:ascii="Calibri" w:eastAsia="Times New Roman" w:hAnsi="Calibri" w:cs="Calibri"/>
                <w:color w:val="000000"/>
                <w:lang w:val="en-ZA" w:eastAsia="en-ZA"/>
              </w:rPr>
              <w:t xml:space="preserve"> (n=1)</w:t>
            </w:r>
          </w:p>
        </w:tc>
        <w:tc>
          <w:tcPr>
            <w:tcW w:w="3078" w:type="dxa"/>
            <w:noWrap/>
            <w:hideMark/>
          </w:tcPr>
          <w:p w14:paraId="1F9CDE36"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Dissolution</w:t>
            </w:r>
            <w:r>
              <w:rPr>
                <w:rFonts w:ascii="Calibri" w:eastAsia="Times New Roman" w:hAnsi="Calibri" w:cs="Calibri"/>
                <w:color w:val="000000"/>
                <w:lang w:val="en-ZA" w:eastAsia="en-ZA"/>
              </w:rPr>
              <w:t xml:space="preserve"> (n=5)</w:t>
            </w:r>
          </w:p>
        </w:tc>
      </w:tr>
      <w:tr w:rsidR="000F6CC7" w:rsidRPr="00CF5C5C" w14:paraId="603E8FAC" w14:textId="77777777" w:rsidTr="00EF0211">
        <w:trPr>
          <w:trHeight w:val="328"/>
        </w:trPr>
        <w:tc>
          <w:tcPr>
            <w:tcW w:w="3078" w:type="dxa"/>
            <w:hideMark/>
          </w:tcPr>
          <w:p w14:paraId="502EA515"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Waste disposal requirements</w:t>
            </w:r>
            <w:r>
              <w:rPr>
                <w:rFonts w:ascii="Calibri" w:eastAsia="Times New Roman" w:hAnsi="Calibri" w:cs="Calibri"/>
                <w:color w:val="000000"/>
                <w:lang w:val="en-ZA" w:eastAsia="en-ZA"/>
              </w:rPr>
              <w:t xml:space="preserve"> (n=12)</w:t>
            </w:r>
          </w:p>
        </w:tc>
        <w:tc>
          <w:tcPr>
            <w:tcW w:w="3078" w:type="dxa"/>
            <w:noWrap/>
            <w:hideMark/>
          </w:tcPr>
          <w:p w14:paraId="287FF83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Purity/impurities</w:t>
            </w:r>
            <w:r>
              <w:rPr>
                <w:rFonts w:ascii="Calibri" w:eastAsia="Times New Roman" w:hAnsi="Calibri" w:cs="Calibri"/>
                <w:color w:val="000000"/>
                <w:lang w:val="en-ZA" w:eastAsia="en-ZA"/>
              </w:rPr>
              <w:t xml:space="preserve"> (n=9)</w:t>
            </w:r>
          </w:p>
        </w:tc>
        <w:tc>
          <w:tcPr>
            <w:tcW w:w="3078" w:type="dxa"/>
            <w:noWrap/>
            <w:hideMark/>
          </w:tcPr>
          <w:p w14:paraId="50610FF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Stability/shelf life</w:t>
            </w:r>
            <w:r>
              <w:rPr>
                <w:rFonts w:ascii="Calibri" w:eastAsia="Times New Roman" w:hAnsi="Calibri" w:cs="Calibri"/>
                <w:color w:val="000000"/>
                <w:lang w:val="en-ZA" w:eastAsia="en-ZA"/>
              </w:rPr>
              <w:t xml:space="preserve"> (n=1)</w:t>
            </w:r>
          </w:p>
        </w:tc>
        <w:tc>
          <w:tcPr>
            <w:tcW w:w="3078" w:type="dxa"/>
            <w:noWrap/>
            <w:hideMark/>
          </w:tcPr>
          <w:p w14:paraId="36AD8DD5"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Instrument size (portability)</w:t>
            </w:r>
            <w:r>
              <w:rPr>
                <w:rFonts w:ascii="Calibri" w:eastAsia="Times New Roman" w:hAnsi="Calibri" w:cs="Calibri"/>
                <w:color w:val="000000"/>
                <w:lang w:val="en-ZA" w:eastAsia="en-ZA"/>
              </w:rPr>
              <w:t xml:space="preserve"> (n=1)</w:t>
            </w:r>
          </w:p>
        </w:tc>
        <w:tc>
          <w:tcPr>
            <w:tcW w:w="3078" w:type="dxa"/>
            <w:noWrap/>
            <w:hideMark/>
          </w:tcPr>
          <w:p w14:paraId="3B26F2D4"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Dosage type</w:t>
            </w:r>
            <w:r>
              <w:rPr>
                <w:rFonts w:ascii="Calibri" w:eastAsia="Times New Roman" w:hAnsi="Calibri" w:cs="Calibri"/>
                <w:color w:val="000000"/>
                <w:lang w:val="en-ZA" w:eastAsia="en-ZA"/>
              </w:rPr>
              <w:t xml:space="preserve"> (n=5)</w:t>
            </w:r>
          </w:p>
        </w:tc>
      </w:tr>
      <w:tr w:rsidR="000F6CC7" w:rsidRPr="00CF5C5C" w14:paraId="3F47A3B0" w14:textId="77777777" w:rsidTr="00EF0211">
        <w:trPr>
          <w:trHeight w:val="328"/>
        </w:trPr>
        <w:tc>
          <w:tcPr>
            <w:tcW w:w="3078" w:type="dxa"/>
            <w:hideMark/>
          </w:tcPr>
          <w:p w14:paraId="5B1A9F76"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Training and education needs</w:t>
            </w:r>
            <w:r>
              <w:rPr>
                <w:rFonts w:ascii="Calibri" w:eastAsia="Times New Roman" w:hAnsi="Calibri" w:cs="Calibri"/>
                <w:color w:val="000000"/>
                <w:lang w:val="en-ZA" w:eastAsia="en-ZA"/>
              </w:rPr>
              <w:t xml:space="preserve"> (n=12)</w:t>
            </w:r>
          </w:p>
        </w:tc>
        <w:tc>
          <w:tcPr>
            <w:tcW w:w="3078" w:type="dxa"/>
            <w:noWrap/>
            <w:hideMark/>
          </w:tcPr>
          <w:p w14:paraId="276453E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Dissolution</w:t>
            </w:r>
            <w:r>
              <w:rPr>
                <w:rFonts w:ascii="Calibri" w:eastAsia="Times New Roman" w:hAnsi="Calibri" w:cs="Calibri"/>
                <w:color w:val="000000"/>
                <w:lang w:val="en-ZA" w:eastAsia="en-ZA"/>
              </w:rPr>
              <w:t xml:space="preserve"> (n=8)</w:t>
            </w:r>
          </w:p>
        </w:tc>
        <w:tc>
          <w:tcPr>
            <w:tcW w:w="3078" w:type="dxa"/>
            <w:noWrap/>
            <w:hideMark/>
          </w:tcPr>
          <w:p w14:paraId="4EF28254"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Waste disposal requirements</w:t>
            </w:r>
            <w:r>
              <w:rPr>
                <w:rFonts w:ascii="Calibri" w:eastAsia="Times New Roman" w:hAnsi="Calibri" w:cs="Calibri"/>
                <w:color w:val="000000"/>
                <w:lang w:val="en-ZA" w:eastAsia="en-ZA"/>
              </w:rPr>
              <w:t xml:space="preserve"> (n=1)</w:t>
            </w:r>
          </w:p>
        </w:tc>
        <w:tc>
          <w:tcPr>
            <w:tcW w:w="3078" w:type="dxa"/>
            <w:noWrap/>
            <w:hideMark/>
          </w:tcPr>
          <w:p w14:paraId="487EB51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Waste disposal requirements</w:t>
            </w:r>
            <w:r>
              <w:rPr>
                <w:rFonts w:ascii="Calibri" w:eastAsia="Times New Roman" w:hAnsi="Calibri" w:cs="Calibri"/>
                <w:color w:val="000000"/>
                <w:lang w:val="en-ZA" w:eastAsia="en-ZA"/>
              </w:rPr>
              <w:t xml:space="preserve"> (n=1)</w:t>
            </w:r>
          </w:p>
        </w:tc>
        <w:tc>
          <w:tcPr>
            <w:tcW w:w="3078" w:type="dxa"/>
            <w:noWrap/>
            <w:hideMark/>
          </w:tcPr>
          <w:p w14:paraId="3FF5443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Packaging</w:t>
            </w:r>
            <w:r>
              <w:rPr>
                <w:rFonts w:ascii="Calibri" w:eastAsia="Times New Roman" w:hAnsi="Calibri" w:cs="Calibri"/>
                <w:color w:val="000000"/>
                <w:lang w:val="en-ZA" w:eastAsia="en-ZA"/>
              </w:rPr>
              <w:t xml:space="preserve"> (n=5)</w:t>
            </w:r>
          </w:p>
        </w:tc>
      </w:tr>
      <w:tr w:rsidR="000F6CC7" w:rsidRPr="00CF5C5C" w14:paraId="2E3E76A3" w14:textId="77777777" w:rsidTr="00EF0211">
        <w:trPr>
          <w:trHeight w:val="328"/>
        </w:trPr>
        <w:tc>
          <w:tcPr>
            <w:tcW w:w="3078" w:type="dxa"/>
            <w:hideMark/>
          </w:tcPr>
          <w:p w14:paraId="3A5F7460"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Required equipment and instrumentation</w:t>
            </w:r>
            <w:r>
              <w:rPr>
                <w:rFonts w:ascii="Calibri" w:eastAsia="Times New Roman" w:hAnsi="Calibri" w:cs="Calibri"/>
                <w:color w:val="000000"/>
                <w:lang w:val="en-ZA" w:eastAsia="en-ZA"/>
              </w:rPr>
              <w:t xml:space="preserve"> (n=11)</w:t>
            </w:r>
          </w:p>
        </w:tc>
        <w:tc>
          <w:tcPr>
            <w:tcW w:w="3078" w:type="dxa"/>
            <w:noWrap/>
            <w:hideMark/>
          </w:tcPr>
          <w:p w14:paraId="7B004DC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Formulations</w:t>
            </w:r>
            <w:r>
              <w:rPr>
                <w:rFonts w:ascii="Calibri" w:eastAsia="Times New Roman" w:hAnsi="Calibri" w:cs="Calibri"/>
                <w:color w:val="000000"/>
                <w:lang w:val="en-ZA" w:eastAsia="en-ZA"/>
              </w:rPr>
              <w:t xml:space="preserve"> (n=7)</w:t>
            </w:r>
          </w:p>
        </w:tc>
        <w:tc>
          <w:tcPr>
            <w:tcW w:w="3078" w:type="dxa"/>
            <w:noWrap/>
            <w:hideMark/>
          </w:tcPr>
          <w:p w14:paraId="55B3DED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Training and education needs</w:t>
            </w:r>
            <w:r>
              <w:rPr>
                <w:rFonts w:ascii="Calibri" w:eastAsia="Times New Roman" w:hAnsi="Calibri" w:cs="Calibri"/>
                <w:color w:val="000000"/>
                <w:lang w:val="en-ZA" w:eastAsia="en-ZA"/>
              </w:rPr>
              <w:t xml:space="preserve"> (n=1)</w:t>
            </w:r>
          </w:p>
        </w:tc>
        <w:tc>
          <w:tcPr>
            <w:tcW w:w="3078" w:type="dxa"/>
            <w:noWrap/>
            <w:hideMark/>
          </w:tcPr>
          <w:p w14:paraId="7079F14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Sample type</w:t>
            </w:r>
            <w:r>
              <w:rPr>
                <w:rFonts w:ascii="Calibri" w:eastAsia="Times New Roman" w:hAnsi="Calibri" w:cs="Calibri"/>
                <w:color w:val="000000"/>
                <w:lang w:val="en-ZA" w:eastAsia="en-ZA"/>
              </w:rPr>
              <w:t xml:space="preserve"> (n=1)</w:t>
            </w:r>
          </w:p>
        </w:tc>
        <w:tc>
          <w:tcPr>
            <w:tcW w:w="3078" w:type="dxa"/>
            <w:noWrap/>
            <w:hideMark/>
          </w:tcPr>
          <w:p w14:paraId="112AB3C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Drug product quality attributes</w:t>
            </w:r>
            <w:r>
              <w:rPr>
                <w:rFonts w:ascii="Calibri" w:eastAsia="Times New Roman" w:hAnsi="Calibri" w:cs="Calibri"/>
                <w:color w:val="000000"/>
                <w:lang w:val="en-ZA" w:eastAsia="en-ZA"/>
              </w:rPr>
              <w:t xml:space="preserve"> (n=5)</w:t>
            </w:r>
          </w:p>
        </w:tc>
      </w:tr>
      <w:tr w:rsidR="000F6CC7" w:rsidRPr="00CF5C5C" w14:paraId="43DE9A24" w14:textId="77777777" w:rsidTr="00EF0211">
        <w:trPr>
          <w:trHeight w:val="328"/>
        </w:trPr>
        <w:tc>
          <w:tcPr>
            <w:tcW w:w="3078" w:type="dxa"/>
            <w:hideMark/>
          </w:tcPr>
          <w:p w14:paraId="2D5A134C"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Throughput capacity</w:t>
            </w:r>
            <w:r>
              <w:rPr>
                <w:rFonts w:ascii="Calibri" w:eastAsia="Times New Roman" w:hAnsi="Calibri" w:cs="Calibri"/>
                <w:color w:val="000000"/>
                <w:lang w:val="en-ZA" w:eastAsia="en-ZA"/>
              </w:rPr>
              <w:t xml:space="preserve"> (n=10)</w:t>
            </w:r>
          </w:p>
        </w:tc>
        <w:tc>
          <w:tcPr>
            <w:tcW w:w="3078" w:type="dxa"/>
            <w:noWrap/>
            <w:hideMark/>
          </w:tcPr>
          <w:p w14:paraId="73A31A6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Packaging</w:t>
            </w:r>
            <w:r>
              <w:rPr>
                <w:rFonts w:ascii="Calibri" w:eastAsia="Times New Roman" w:hAnsi="Calibri" w:cs="Calibri"/>
                <w:color w:val="000000"/>
                <w:lang w:val="en-ZA" w:eastAsia="en-ZA"/>
              </w:rPr>
              <w:t xml:space="preserve"> (n=7)</w:t>
            </w:r>
          </w:p>
        </w:tc>
        <w:tc>
          <w:tcPr>
            <w:tcW w:w="3078" w:type="dxa"/>
            <w:noWrap/>
            <w:hideMark/>
          </w:tcPr>
          <w:p w14:paraId="5338F2C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Ease of test performance/ease of administration</w:t>
            </w:r>
            <w:r>
              <w:rPr>
                <w:rFonts w:ascii="Calibri" w:eastAsia="Times New Roman" w:hAnsi="Calibri" w:cs="Calibri"/>
                <w:color w:val="000000"/>
                <w:lang w:val="en-ZA" w:eastAsia="en-ZA"/>
              </w:rPr>
              <w:t xml:space="preserve"> (n=1)</w:t>
            </w:r>
          </w:p>
        </w:tc>
        <w:tc>
          <w:tcPr>
            <w:tcW w:w="3078" w:type="dxa"/>
            <w:noWrap/>
            <w:hideMark/>
          </w:tcPr>
          <w:p w14:paraId="4AC6A4D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Sample volume</w:t>
            </w:r>
            <w:r>
              <w:rPr>
                <w:rFonts w:ascii="Calibri" w:eastAsia="Times New Roman" w:hAnsi="Calibri" w:cs="Calibri"/>
                <w:color w:val="000000"/>
                <w:lang w:val="en-ZA" w:eastAsia="en-ZA"/>
              </w:rPr>
              <w:t xml:space="preserve"> (n=1)</w:t>
            </w:r>
          </w:p>
        </w:tc>
        <w:tc>
          <w:tcPr>
            <w:tcW w:w="3078" w:type="dxa"/>
            <w:noWrap/>
            <w:hideMark/>
          </w:tcPr>
          <w:p w14:paraId="41ADCEA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Dosage shape/appearance</w:t>
            </w:r>
            <w:r>
              <w:rPr>
                <w:rFonts w:ascii="Calibri" w:eastAsia="Times New Roman" w:hAnsi="Calibri" w:cs="Calibri"/>
                <w:color w:val="000000"/>
                <w:lang w:val="en-ZA" w:eastAsia="en-ZA"/>
              </w:rPr>
              <w:t xml:space="preserve"> (n=5)</w:t>
            </w:r>
          </w:p>
        </w:tc>
      </w:tr>
      <w:tr w:rsidR="000F6CC7" w:rsidRPr="00CF5C5C" w14:paraId="7A8DD02E" w14:textId="77777777" w:rsidTr="00EF0211">
        <w:trPr>
          <w:trHeight w:val="328"/>
        </w:trPr>
        <w:tc>
          <w:tcPr>
            <w:tcW w:w="3078" w:type="dxa"/>
            <w:hideMark/>
          </w:tcPr>
          <w:p w14:paraId="4DCC2202"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Operating temperature</w:t>
            </w:r>
            <w:r>
              <w:rPr>
                <w:rFonts w:ascii="Calibri" w:eastAsia="Times New Roman" w:hAnsi="Calibri" w:cs="Calibri"/>
                <w:color w:val="000000"/>
                <w:lang w:val="en-ZA" w:eastAsia="en-ZA"/>
              </w:rPr>
              <w:t xml:space="preserve"> (n=10)</w:t>
            </w:r>
          </w:p>
        </w:tc>
        <w:tc>
          <w:tcPr>
            <w:tcW w:w="3078" w:type="dxa"/>
            <w:noWrap/>
            <w:hideMark/>
          </w:tcPr>
          <w:p w14:paraId="2B4172C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Dosage shape/appearance</w:t>
            </w:r>
            <w:r>
              <w:rPr>
                <w:rFonts w:ascii="Calibri" w:eastAsia="Times New Roman" w:hAnsi="Calibri" w:cs="Calibri"/>
                <w:color w:val="000000"/>
                <w:lang w:val="en-ZA" w:eastAsia="en-ZA"/>
              </w:rPr>
              <w:t xml:space="preserve"> (n=7)</w:t>
            </w:r>
          </w:p>
        </w:tc>
        <w:tc>
          <w:tcPr>
            <w:tcW w:w="3078" w:type="dxa"/>
            <w:noWrap/>
            <w:hideMark/>
          </w:tcPr>
          <w:p w14:paraId="08DD2426"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Use-case scenarios</w:t>
            </w:r>
            <w:r>
              <w:rPr>
                <w:rFonts w:ascii="Calibri" w:eastAsia="Times New Roman" w:hAnsi="Calibri" w:cs="Calibri"/>
                <w:color w:val="000000"/>
                <w:lang w:val="en-ZA" w:eastAsia="en-ZA"/>
              </w:rPr>
              <w:t xml:space="preserve"> (n=1)</w:t>
            </w:r>
          </w:p>
        </w:tc>
        <w:tc>
          <w:tcPr>
            <w:tcW w:w="3078" w:type="dxa"/>
            <w:noWrap/>
            <w:hideMark/>
          </w:tcPr>
          <w:p w14:paraId="26C06FD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Training and education needs</w:t>
            </w:r>
            <w:r>
              <w:rPr>
                <w:rFonts w:ascii="Calibri" w:eastAsia="Times New Roman" w:hAnsi="Calibri" w:cs="Calibri"/>
                <w:color w:val="000000"/>
                <w:lang w:val="en-ZA" w:eastAsia="en-ZA"/>
              </w:rPr>
              <w:t xml:space="preserve"> (n=1)</w:t>
            </w:r>
          </w:p>
        </w:tc>
        <w:tc>
          <w:tcPr>
            <w:tcW w:w="3078" w:type="dxa"/>
            <w:noWrap/>
            <w:hideMark/>
          </w:tcPr>
          <w:p w14:paraId="3F8F612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Identification</w:t>
            </w:r>
            <w:r>
              <w:rPr>
                <w:rFonts w:ascii="Calibri" w:eastAsia="Times New Roman" w:hAnsi="Calibri" w:cs="Calibri"/>
                <w:color w:val="000000"/>
                <w:lang w:val="en-ZA" w:eastAsia="en-ZA"/>
              </w:rPr>
              <w:t xml:space="preserve"> (n=5)</w:t>
            </w:r>
          </w:p>
        </w:tc>
      </w:tr>
      <w:tr w:rsidR="000F6CC7" w:rsidRPr="00CF5C5C" w14:paraId="17BAB02F" w14:textId="77777777" w:rsidTr="00EF0211">
        <w:trPr>
          <w:trHeight w:val="328"/>
        </w:trPr>
        <w:tc>
          <w:tcPr>
            <w:tcW w:w="3078" w:type="dxa"/>
            <w:hideMark/>
          </w:tcPr>
          <w:p w14:paraId="2D786076"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Sample volume</w:t>
            </w:r>
            <w:r>
              <w:rPr>
                <w:rFonts w:ascii="Calibri" w:eastAsia="Times New Roman" w:hAnsi="Calibri" w:cs="Calibri"/>
                <w:color w:val="000000"/>
                <w:lang w:val="en-ZA" w:eastAsia="en-ZA"/>
              </w:rPr>
              <w:t xml:space="preserve"> (n=10)</w:t>
            </w:r>
          </w:p>
        </w:tc>
        <w:tc>
          <w:tcPr>
            <w:tcW w:w="3078" w:type="dxa"/>
            <w:noWrap/>
            <w:hideMark/>
          </w:tcPr>
          <w:p w14:paraId="7E1949F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Efficacy</w:t>
            </w:r>
            <w:r>
              <w:rPr>
                <w:rFonts w:ascii="Calibri" w:eastAsia="Times New Roman" w:hAnsi="Calibri" w:cs="Calibri"/>
                <w:color w:val="000000"/>
                <w:lang w:val="en-ZA" w:eastAsia="en-ZA"/>
              </w:rPr>
              <w:t xml:space="preserve"> (n=6)</w:t>
            </w:r>
          </w:p>
        </w:tc>
        <w:tc>
          <w:tcPr>
            <w:tcW w:w="3078" w:type="dxa"/>
            <w:noWrap/>
            <w:hideMark/>
          </w:tcPr>
          <w:p w14:paraId="2B382E73"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Target countries</w:t>
            </w:r>
            <w:r>
              <w:rPr>
                <w:rFonts w:ascii="Calibri" w:eastAsia="Times New Roman" w:hAnsi="Calibri" w:cs="Calibri"/>
                <w:color w:val="000000"/>
                <w:lang w:val="en-ZA" w:eastAsia="en-ZA"/>
              </w:rPr>
              <w:t xml:space="preserve"> (n=1)</w:t>
            </w:r>
          </w:p>
        </w:tc>
        <w:tc>
          <w:tcPr>
            <w:tcW w:w="3078" w:type="dxa"/>
            <w:noWrap/>
            <w:hideMark/>
          </w:tcPr>
          <w:p w14:paraId="255ACCD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Biosafety</w:t>
            </w:r>
            <w:r>
              <w:rPr>
                <w:rFonts w:ascii="Calibri" w:eastAsia="Times New Roman" w:hAnsi="Calibri" w:cs="Calibri"/>
                <w:color w:val="000000"/>
                <w:lang w:val="en-ZA" w:eastAsia="en-ZA"/>
              </w:rPr>
              <w:t xml:space="preserve"> (n=1)</w:t>
            </w:r>
          </w:p>
        </w:tc>
        <w:tc>
          <w:tcPr>
            <w:tcW w:w="3078" w:type="dxa"/>
            <w:noWrap/>
            <w:hideMark/>
          </w:tcPr>
          <w:p w14:paraId="27703C0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(Alternative) device/methods of administration</w:t>
            </w:r>
            <w:r>
              <w:rPr>
                <w:rFonts w:ascii="Calibri" w:eastAsia="Times New Roman" w:hAnsi="Calibri" w:cs="Calibri"/>
                <w:color w:val="000000"/>
                <w:lang w:val="en-ZA" w:eastAsia="en-ZA"/>
              </w:rPr>
              <w:t xml:space="preserve"> (n=4)</w:t>
            </w:r>
          </w:p>
        </w:tc>
      </w:tr>
      <w:tr w:rsidR="000F6CC7" w:rsidRPr="00CF5C5C" w14:paraId="7CFACFD5" w14:textId="77777777" w:rsidTr="00EF0211">
        <w:trPr>
          <w:trHeight w:val="656"/>
        </w:trPr>
        <w:tc>
          <w:tcPr>
            <w:tcW w:w="3078" w:type="dxa"/>
            <w:hideMark/>
          </w:tcPr>
          <w:p w14:paraId="7005A8ED" w14:textId="77777777" w:rsidR="000F6CC7" w:rsidRPr="00CF5C5C" w:rsidRDefault="000F6CC7" w:rsidP="00EF0211">
            <w:pPr>
              <w:jc w:val="center"/>
              <w:rPr>
                <w:rFonts w:ascii="Calibri" w:eastAsia="Times New Roman" w:hAnsi="Calibri" w:cs="Calibri"/>
                <w:b/>
                <w:bCs/>
                <w:color w:val="000000"/>
                <w:lang w:val="en-ZA" w:eastAsia="en-ZA"/>
              </w:rPr>
            </w:pPr>
            <w:proofErr w:type="spellStart"/>
            <w:r w:rsidRPr="00CF5C5C">
              <w:rPr>
                <w:rFonts w:ascii="Calibri" w:eastAsia="Times New Roman" w:hAnsi="Calibri" w:cs="Calibri"/>
                <w:color w:val="000000"/>
                <w:lang w:val="en-ZA" w:eastAsia="en-ZA"/>
              </w:rPr>
              <w:t>Reagen</w:t>
            </w:r>
            <w:proofErr w:type="spellEnd"/>
            <w:r w:rsidRPr="00CF5C5C">
              <w:rPr>
                <w:rFonts w:ascii="Calibri" w:eastAsia="Times New Roman" w:hAnsi="Calibri" w:cs="Calibri"/>
                <w:color w:val="000000"/>
                <w:lang w:val="en-ZA" w:eastAsia="en-ZA"/>
              </w:rPr>
              <w:t xml:space="preserve"> kit transport stability/cold chain requirements</w:t>
            </w:r>
            <w:r>
              <w:rPr>
                <w:rFonts w:ascii="Calibri" w:eastAsia="Times New Roman" w:hAnsi="Calibri" w:cs="Calibri"/>
                <w:color w:val="000000"/>
                <w:lang w:val="en-ZA" w:eastAsia="en-ZA"/>
              </w:rPr>
              <w:t xml:space="preserve"> (n=9)</w:t>
            </w:r>
          </w:p>
        </w:tc>
        <w:tc>
          <w:tcPr>
            <w:tcW w:w="3078" w:type="dxa"/>
            <w:noWrap/>
            <w:hideMark/>
          </w:tcPr>
          <w:p w14:paraId="242E9299"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Mechanism of action</w:t>
            </w:r>
            <w:r>
              <w:rPr>
                <w:rFonts w:ascii="Calibri" w:eastAsia="Times New Roman" w:hAnsi="Calibri" w:cs="Calibri"/>
                <w:color w:val="000000"/>
                <w:lang w:val="en-ZA" w:eastAsia="en-ZA"/>
              </w:rPr>
              <w:t xml:space="preserve"> (n=6)</w:t>
            </w:r>
          </w:p>
        </w:tc>
        <w:tc>
          <w:tcPr>
            <w:tcW w:w="3078" w:type="dxa"/>
            <w:noWrap/>
            <w:hideMark/>
          </w:tcPr>
          <w:p w14:paraId="29BAACD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Immunogenicity</w:t>
            </w:r>
            <w:r>
              <w:rPr>
                <w:rFonts w:ascii="Calibri" w:eastAsia="Times New Roman" w:hAnsi="Calibri" w:cs="Calibri"/>
                <w:color w:val="000000"/>
                <w:lang w:val="en-ZA" w:eastAsia="en-ZA"/>
              </w:rPr>
              <w:t xml:space="preserve"> (n=1)</w:t>
            </w:r>
          </w:p>
        </w:tc>
        <w:tc>
          <w:tcPr>
            <w:tcW w:w="3078" w:type="dxa"/>
            <w:noWrap/>
            <w:hideMark/>
          </w:tcPr>
          <w:p w14:paraId="79862D04"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Regulatory requirements</w:t>
            </w:r>
            <w:r>
              <w:rPr>
                <w:rFonts w:ascii="Calibri" w:eastAsia="Times New Roman" w:hAnsi="Calibri" w:cs="Calibri"/>
                <w:color w:val="000000"/>
                <w:lang w:val="en-ZA" w:eastAsia="en-ZA"/>
              </w:rPr>
              <w:t xml:space="preserve"> (n=1)</w:t>
            </w:r>
          </w:p>
        </w:tc>
        <w:tc>
          <w:tcPr>
            <w:tcW w:w="3078" w:type="dxa"/>
            <w:noWrap/>
            <w:hideMark/>
          </w:tcPr>
          <w:p w14:paraId="2B79DC0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Particle size</w:t>
            </w:r>
            <w:r>
              <w:rPr>
                <w:rFonts w:ascii="Calibri" w:eastAsia="Times New Roman" w:hAnsi="Calibri" w:cs="Calibri"/>
                <w:color w:val="000000"/>
                <w:lang w:val="en-ZA" w:eastAsia="en-ZA"/>
              </w:rPr>
              <w:t xml:space="preserve"> (n=4)</w:t>
            </w:r>
          </w:p>
        </w:tc>
      </w:tr>
      <w:tr w:rsidR="000F6CC7" w:rsidRPr="00CF5C5C" w14:paraId="3769AE91" w14:textId="77777777" w:rsidTr="00EF0211">
        <w:trPr>
          <w:trHeight w:val="328"/>
        </w:trPr>
        <w:tc>
          <w:tcPr>
            <w:tcW w:w="3078" w:type="dxa"/>
            <w:hideMark/>
          </w:tcPr>
          <w:p w14:paraId="3D040FAC"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Biosafety</w:t>
            </w:r>
            <w:r>
              <w:rPr>
                <w:rFonts w:ascii="Calibri" w:eastAsia="Times New Roman" w:hAnsi="Calibri" w:cs="Calibri"/>
                <w:color w:val="000000"/>
                <w:lang w:val="en-ZA" w:eastAsia="en-ZA"/>
              </w:rPr>
              <w:t xml:space="preserve"> (n=8)</w:t>
            </w:r>
          </w:p>
        </w:tc>
        <w:tc>
          <w:tcPr>
            <w:tcW w:w="3078" w:type="dxa"/>
            <w:noWrap/>
            <w:hideMark/>
          </w:tcPr>
          <w:p w14:paraId="5FDA0589"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Physical properties/attributes/description</w:t>
            </w:r>
            <w:r>
              <w:rPr>
                <w:rFonts w:ascii="Calibri" w:eastAsia="Times New Roman" w:hAnsi="Calibri" w:cs="Calibri"/>
                <w:color w:val="000000"/>
                <w:lang w:val="en-ZA" w:eastAsia="en-ZA"/>
              </w:rPr>
              <w:t xml:space="preserve"> (n=6)</w:t>
            </w:r>
          </w:p>
        </w:tc>
        <w:tc>
          <w:tcPr>
            <w:tcW w:w="3078" w:type="dxa"/>
            <w:noWrap/>
            <w:hideMark/>
          </w:tcPr>
          <w:p w14:paraId="4A13409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(Drug-drug) Interactions</w:t>
            </w:r>
            <w:r>
              <w:rPr>
                <w:rFonts w:ascii="Calibri" w:eastAsia="Times New Roman" w:hAnsi="Calibri" w:cs="Calibri"/>
                <w:color w:val="000000"/>
                <w:lang w:val="en-ZA" w:eastAsia="en-ZA"/>
              </w:rPr>
              <w:t xml:space="preserve"> (n=1)</w:t>
            </w:r>
          </w:p>
        </w:tc>
        <w:tc>
          <w:tcPr>
            <w:tcW w:w="3078" w:type="dxa"/>
            <w:noWrap/>
            <w:hideMark/>
          </w:tcPr>
          <w:p w14:paraId="5FA2E42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Storage conditions and shelf life</w:t>
            </w:r>
            <w:r>
              <w:rPr>
                <w:rFonts w:ascii="Calibri" w:eastAsia="Times New Roman" w:hAnsi="Calibri" w:cs="Calibri"/>
                <w:color w:val="000000"/>
                <w:lang w:val="en-ZA" w:eastAsia="en-ZA"/>
              </w:rPr>
              <w:t xml:space="preserve"> (n=1)</w:t>
            </w:r>
          </w:p>
        </w:tc>
        <w:tc>
          <w:tcPr>
            <w:tcW w:w="3078" w:type="dxa"/>
            <w:noWrap/>
            <w:hideMark/>
          </w:tcPr>
          <w:p w14:paraId="0717CEE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Microbial limits/content</w:t>
            </w:r>
            <w:r>
              <w:rPr>
                <w:rFonts w:ascii="Calibri" w:eastAsia="Times New Roman" w:hAnsi="Calibri" w:cs="Calibri"/>
                <w:color w:val="000000"/>
                <w:lang w:val="en-ZA" w:eastAsia="en-ZA"/>
              </w:rPr>
              <w:t xml:space="preserve"> (n=4)</w:t>
            </w:r>
          </w:p>
        </w:tc>
      </w:tr>
      <w:tr w:rsidR="000F6CC7" w:rsidRPr="00CF5C5C" w14:paraId="405FC1D8" w14:textId="77777777" w:rsidTr="00EF0211">
        <w:trPr>
          <w:trHeight w:val="328"/>
        </w:trPr>
        <w:tc>
          <w:tcPr>
            <w:tcW w:w="3078" w:type="dxa"/>
            <w:hideMark/>
          </w:tcPr>
          <w:p w14:paraId="6C5AB60F"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Analytical sensitivity and specificity</w:t>
            </w:r>
            <w:r>
              <w:rPr>
                <w:rFonts w:ascii="Calibri" w:eastAsia="Times New Roman" w:hAnsi="Calibri" w:cs="Calibri"/>
                <w:color w:val="000000"/>
                <w:lang w:val="en-ZA" w:eastAsia="en-ZA"/>
              </w:rPr>
              <w:t xml:space="preserve"> (n=7)</w:t>
            </w:r>
          </w:p>
        </w:tc>
        <w:tc>
          <w:tcPr>
            <w:tcW w:w="3078" w:type="dxa"/>
            <w:noWrap/>
            <w:hideMark/>
          </w:tcPr>
          <w:p w14:paraId="6F073EE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Assay</w:t>
            </w:r>
            <w:r>
              <w:rPr>
                <w:rFonts w:ascii="Calibri" w:eastAsia="Times New Roman" w:hAnsi="Calibri" w:cs="Calibri"/>
                <w:color w:val="000000"/>
                <w:lang w:val="en-ZA" w:eastAsia="en-ZA"/>
              </w:rPr>
              <w:t xml:space="preserve"> (n=6)</w:t>
            </w:r>
          </w:p>
        </w:tc>
        <w:tc>
          <w:tcPr>
            <w:tcW w:w="3078" w:type="dxa"/>
            <w:noWrap/>
            <w:hideMark/>
          </w:tcPr>
          <w:p w14:paraId="0406167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Mass median aerodynamic diameter (MMD)</w:t>
            </w:r>
            <w:r>
              <w:rPr>
                <w:rFonts w:ascii="Calibri" w:eastAsia="Times New Roman" w:hAnsi="Calibri" w:cs="Calibri"/>
                <w:color w:val="000000"/>
                <w:lang w:val="en-ZA" w:eastAsia="en-ZA"/>
              </w:rPr>
              <w:t xml:space="preserve"> (n=1)</w:t>
            </w:r>
          </w:p>
        </w:tc>
        <w:tc>
          <w:tcPr>
            <w:tcW w:w="3078" w:type="dxa"/>
            <w:noWrap/>
            <w:hideMark/>
          </w:tcPr>
          <w:p w14:paraId="7897A8C4"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Operation conditions</w:t>
            </w:r>
            <w:r>
              <w:rPr>
                <w:rFonts w:ascii="Calibri" w:eastAsia="Times New Roman" w:hAnsi="Calibri" w:cs="Calibri"/>
                <w:color w:val="000000"/>
                <w:lang w:val="en-ZA" w:eastAsia="en-ZA"/>
              </w:rPr>
              <w:t xml:space="preserve"> (n=1)</w:t>
            </w:r>
          </w:p>
        </w:tc>
        <w:tc>
          <w:tcPr>
            <w:tcW w:w="3078" w:type="dxa"/>
            <w:noWrap/>
            <w:hideMark/>
          </w:tcPr>
          <w:p w14:paraId="6D325E7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Zeta potential</w:t>
            </w:r>
            <w:r>
              <w:rPr>
                <w:rFonts w:ascii="Calibri" w:eastAsia="Times New Roman" w:hAnsi="Calibri" w:cs="Calibri"/>
                <w:color w:val="000000"/>
                <w:lang w:val="en-ZA" w:eastAsia="en-ZA"/>
              </w:rPr>
              <w:t xml:space="preserve"> (n=4)</w:t>
            </w:r>
          </w:p>
        </w:tc>
      </w:tr>
      <w:tr w:rsidR="000F6CC7" w:rsidRPr="00CF5C5C" w14:paraId="0B5F0BE3" w14:textId="77777777" w:rsidTr="00EF0211">
        <w:trPr>
          <w:trHeight w:val="328"/>
        </w:trPr>
        <w:tc>
          <w:tcPr>
            <w:tcW w:w="3078" w:type="dxa"/>
            <w:hideMark/>
          </w:tcPr>
          <w:p w14:paraId="349C4C9E"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Reagent kit storage and stability</w:t>
            </w:r>
            <w:r>
              <w:rPr>
                <w:rFonts w:ascii="Calibri" w:eastAsia="Times New Roman" w:hAnsi="Calibri" w:cs="Calibri"/>
                <w:color w:val="000000"/>
                <w:lang w:val="en-ZA" w:eastAsia="en-ZA"/>
              </w:rPr>
              <w:t xml:space="preserve"> (n=6)</w:t>
            </w:r>
          </w:p>
        </w:tc>
        <w:tc>
          <w:tcPr>
            <w:tcW w:w="3078" w:type="dxa"/>
            <w:noWrap/>
            <w:hideMark/>
          </w:tcPr>
          <w:p w14:paraId="6B34185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pH</w:t>
            </w:r>
            <w:r>
              <w:rPr>
                <w:rFonts w:ascii="Calibri" w:eastAsia="Times New Roman" w:hAnsi="Calibri" w:cs="Calibri"/>
                <w:color w:val="000000"/>
                <w:lang w:val="en-ZA" w:eastAsia="en-ZA"/>
              </w:rPr>
              <w:t xml:space="preserve"> (n=6)</w:t>
            </w:r>
          </w:p>
        </w:tc>
        <w:tc>
          <w:tcPr>
            <w:tcW w:w="3078" w:type="dxa"/>
            <w:noWrap/>
            <w:hideMark/>
          </w:tcPr>
          <w:p w14:paraId="4897DF96"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Liposome size</w:t>
            </w:r>
            <w:r>
              <w:rPr>
                <w:rFonts w:ascii="Calibri" w:eastAsia="Times New Roman" w:hAnsi="Calibri" w:cs="Calibri"/>
                <w:color w:val="000000"/>
                <w:lang w:val="en-ZA" w:eastAsia="en-ZA"/>
              </w:rPr>
              <w:t xml:space="preserve"> (n=1)</w:t>
            </w:r>
          </w:p>
        </w:tc>
        <w:tc>
          <w:tcPr>
            <w:tcW w:w="3078" w:type="dxa"/>
            <w:noWrap/>
            <w:hideMark/>
          </w:tcPr>
          <w:p w14:paraId="056946B3"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Route of administration</w:t>
            </w:r>
            <w:r>
              <w:rPr>
                <w:rFonts w:ascii="Calibri" w:eastAsia="Times New Roman" w:hAnsi="Calibri" w:cs="Calibri"/>
                <w:color w:val="000000"/>
                <w:lang w:val="en-ZA" w:eastAsia="en-ZA"/>
              </w:rPr>
              <w:t xml:space="preserve"> (n=1)</w:t>
            </w:r>
          </w:p>
        </w:tc>
        <w:tc>
          <w:tcPr>
            <w:tcW w:w="3078" w:type="dxa"/>
            <w:noWrap/>
            <w:hideMark/>
          </w:tcPr>
          <w:p w14:paraId="32CA0643"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pH</w:t>
            </w:r>
            <w:r>
              <w:rPr>
                <w:rFonts w:ascii="Calibri" w:eastAsia="Times New Roman" w:hAnsi="Calibri" w:cs="Calibri"/>
                <w:color w:val="000000"/>
                <w:lang w:val="en-ZA" w:eastAsia="en-ZA"/>
              </w:rPr>
              <w:t xml:space="preserve"> (n=4)</w:t>
            </w:r>
          </w:p>
        </w:tc>
      </w:tr>
      <w:tr w:rsidR="000F6CC7" w:rsidRPr="00CF5C5C" w14:paraId="3DF821C4" w14:textId="77777777" w:rsidTr="00EF0211">
        <w:trPr>
          <w:trHeight w:val="328"/>
        </w:trPr>
        <w:tc>
          <w:tcPr>
            <w:tcW w:w="3078" w:type="dxa"/>
            <w:hideMark/>
          </w:tcPr>
          <w:p w14:paraId="5857CB3F"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Data export (e.g. for quality assurance purposes)</w:t>
            </w:r>
            <w:r>
              <w:rPr>
                <w:rFonts w:ascii="Calibri" w:eastAsia="Times New Roman" w:hAnsi="Calibri" w:cs="Calibri"/>
                <w:color w:val="000000"/>
                <w:lang w:val="en-ZA" w:eastAsia="en-ZA"/>
              </w:rPr>
              <w:t xml:space="preserve"> (n=6)</w:t>
            </w:r>
          </w:p>
        </w:tc>
        <w:tc>
          <w:tcPr>
            <w:tcW w:w="3078" w:type="dxa"/>
            <w:noWrap/>
            <w:hideMark/>
          </w:tcPr>
          <w:p w14:paraId="3B1D0A2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Content uniformity</w:t>
            </w:r>
            <w:r>
              <w:rPr>
                <w:rFonts w:ascii="Calibri" w:eastAsia="Times New Roman" w:hAnsi="Calibri" w:cs="Calibri"/>
                <w:color w:val="000000"/>
                <w:lang w:val="en-ZA" w:eastAsia="en-ZA"/>
              </w:rPr>
              <w:t xml:space="preserve"> (n=6)</w:t>
            </w:r>
          </w:p>
        </w:tc>
        <w:tc>
          <w:tcPr>
            <w:tcW w:w="3078" w:type="dxa"/>
            <w:noWrap/>
            <w:hideMark/>
          </w:tcPr>
          <w:p w14:paraId="641C357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Yield (%)</w:t>
            </w:r>
            <w:r>
              <w:rPr>
                <w:rFonts w:ascii="Calibri" w:eastAsia="Times New Roman" w:hAnsi="Calibri" w:cs="Calibri"/>
                <w:color w:val="000000"/>
                <w:lang w:val="en-ZA" w:eastAsia="en-ZA"/>
              </w:rPr>
              <w:t xml:space="preserve"> (n=1)</w:t>
            </w:r>
          </w:p>
        </w:tc>
        <w:tc>
          <w:tcPr>
            <w:tcW w:w="3078" w:type="dxa"/>
            <w:noWrap/>
            <w:hideMark/>
          </w:tcPr>
          <w:p w14:paraId="293BFD4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(Detection) range</w:t>
            </w:r>
            <w:r>
              <w:rPr>
                <w:rFonts w:ascii="Calibri" w:eastAsia="Times New Roman" w:hAnsi="Calibri" w:cs="Calibri"/>
                <w:color w:val="000000"/>
                <w:lang w:val="en-ZA" w:eastAsia="en-ZA"/>
              </w:rPr>
              <w:t xml:space="preserve"> (n=1)</w:t>
            </w:r>
          </w:p>
        </w:tc>
        <w:tc>
          <w:tcPr>
            <w:tcW w:w="3078" w:type="dxa"/>
            <w:noWrap/>
            <w:hideMark/>
          </w:tcPr>
          <w:p w14:paraId="7D6F9D7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Drug release (%)</w:t>
            </w:r>
            <w:r>
              <w:rPr>
                <w:rFonts w:ascii="Calibri" w:eastAsia="Times New Roman" w:hAnsi="Calibri" w:cs="Calibri"/>
                <w:color w:val="000000"/>
                <w:lang w:val="en-ZA" w:eastAsia="en-ZA"/>
              </w:rPr>
              <w:t xml:space="preserve"> (n=4)</w:t>
            </w:r>
          </w:p>
        </w:tc>
      </w:tr>
      <w:tr w:rsidR="000F6CC7" w:rsidRPr="00CF5C5C" w14:paraId="1BD23A93" w14:textId="77777777" w:rsidTr="00EF0211">
        <w:trPr>
          <w:trHeight w:val="328"/>
        </w:trPr>
        <w:tc>
          <w:tcPr>
            <w:tcW w:w="3078" w:type="dxa"/>
            <w:hideMark/>
          </w:tcPr>
          <w:p w14:paraId="73341FB6"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Cost of instrumentation</w:t>
            </w:r>
            <w:r>
              <w:rPr>
                <w:rFonts w:ascii="Calibri" w:eastAsia="Times New Roman" w:hAnsi="Calibri" w:cs="Calibri"/>
                <w:color w:val="000000"/>
                <w:lang w:val="en-ZA" w:eastAsia="en-ZA"/>
              </w:rPr>
              <w:t xml:space="preserve"> (n=6)</w:t>
            </w:r>
          </w:p>
        </w:tc>
        <w:tc>
          <w:tcPr>
            <w:tcW w:w="3078" w:type="dxa"/>
            <w:noWrap/>
            <w:hideMark/>
          </w:tcPr>
          <w:p w14:paraId="31B17C35"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Contraindications</w:t>
            </w:r>
            <w:r>
              <w:rPr>
                <w:rFonts w:ascii="Calibri" w:eastAsia="Times New Roman" w:hAnsi="Calibri" w:cs="Calibri"/>
                <w:color w:val="000000"/>
                <w:lang w:val="en-ZA" w:eastAsia="en-ZA"/>
              </w:rPr>
              <w:t xml:space="preserve"> (n=5)</w:t>
            </w:r>
          </w:p>
        </w:tc>
        <w:tc>
          <w:tcPr>
            <w:tcW w:w="3078" w:type="dxa"/>
            <w:noWrap/>
            <w:hideMark/>
          </w:tcPr>
          <w:p w14:paraId="00F6D719"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Relative moisture content (%)</w:t>
            </w:r>
            <w:r>
              <w:rPr>
                <w:rFonts w:ascii="Calibri" w:eastAsia="Times New Roman" w:hAnsi="Calibri" w:cs="Calibri"/>
                <w:color w:val="000000"/>
                <w:lang w:val="en-ZA" w:eastAsia="en-ZA"/>
              </w:rPr>
              <w:t xml:space="preserve"> (n=1)</w:t>
            </w:r>
          </w:p>
        </w:tc>
        <w:tc>
          <w:tcPr>
            <w:tcW w:w="3078" w:type="dxa"/>
            <w:noWrap/>
            <w:hideMark/>
          </w:tcPr>
          <w:p w14:paraId="18A68565"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Precision</w:t>
            </w:r>
            <w:r>
              <w:rPr>
                <w:rFonts w:ascii="Calibri" w:eastAsia="Times New Roman" w:hAnsi="Calibri" w:cs="Calibri"/>
                <w:color w:val="000000"/>
                <w:lang w:val="en-ZA" w:eastAsia="en-ZA"/>
              </w:rPr>
              <w:t xml:space="preserve"> (n=1)</w:t>
            </w:r>
          </w:p>
        </w:tc>
        <w:tc>
          <w:tcPr>
            <w:tcW w:w="3078" w:type="dxa"/>
            <w:noWrap/>
            <w:hideMark/>
          </w:tcPr>
          <w:p w14:paraId="475826B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Target population</w:t>
            </w:r>
            <w:r>
              <w:rPr>
                <w:rFonts w:ascii="Calibri" w:eastAsia="Times New Roman" w:hAnsi="Calibri" w:cs="Calibri"/>
                <w:color w:val="000000"/>
                <w:lang w:val="en-ZA" w:eastAsia="en-ZA"/>
              </w:rPr>
              <w:t xml:space="preserve"> (n=3)</w:t>
            </w:r>
          </w:p>
        </w:tc>
      </w:tr>
      <w:tr w:rsidR="000F6CC7" w:rsidRPr="00CF5C5C" w14:paraId="7DCE5E72" w14:textId="77777777" w:rsidTr="00EF0211">
        <w:trPr>
          <w:trHeight w:val="328"/>
        </w:trPr>
        <w:tc>
          <w:tcPr>
            <w:tcW w:w="3078" w:type="dxa"/>
            <w:hideMark/>
          </w:tcPr>
          <w:p w14:paraId="6B1DCD7A"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Type of analysis (qualitative, quantitative)</w:t>
            </w:r>
            <w:r>
              <w:rPr>
                <w:rFonts w:ascii="Calibri" w:eastAsia="Times New Roman" w:hAnsi="Calibri" w:cs="Calibri"/>
                <w:color w:val="000000"/>
                <w:lang w:val="en-ZA" w:eastAsia="en-ZA"/>
              </w:rPr>
              <w:t xml:space="preserve"> (n=6)</w:t>
            </w:r>
          </w:p>
        </w:tc>
        <w:tc>
          <w:tcPr>
            <w:tcW w:w="3078" w:type="dxa"/>
            <w:noWrap/>
            <w:hideMark/>
          </w:tcPr>
          <w:p w14:paraId="7160A45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Dosage form design</w:t>
            </w:r>
            <w:r>
              <w:rPr>
                <w:rFonts w:ascii="Calibri" w:eastAsia="Times New Roman" w:hAnsi="Calibri" w:cs="Calibri"/>
                <w:color w:val="000000"/>
                <w:lang w:val="en-ZA" w:eastAsia="en-ZA"/>
              </w:rPr>
              <w:t xml:space="preserve"> (n=5)</w:t>
            </w:r>
          </w:p>
        </w:tc>
        <w:tc>
          <w:tcPr>
            <w:tcW w:w="3078" w:type="dxa"/>
            <w:noWrap/>
            <w:hideMark/>
          </w:tcPr>
          <w:p w14:paraId="238ED5A9"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Age for first dose </w:t>
            </w:r>
            <w:r>
              <w:rPr>
                <w:rFonts w:ascii="Calibri" w:eastAsia="Times New Roman" w:hAnsi="Calibri" w:cs="Calibri"/>
                <w:color w:val="000000"/>
                <w:lang w:val="en-ZA" w:eastAsia="en-ZA"/>
              </w:rPr>
              <w:t>(n=1)</w:t>
            </w:r>
          </w:p>
        </w:tc>
        <w:tc>
          <w:tcPr>
            <w:tcW w:w="3078" w:type="dxa"/>
            <w:noWrap/>
            <w:hideMark/>
          </w:tcPr>
          <w:p w14:paraId="39A785B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Humidity</w:t>
            </w:r>
            <w:r>
              <w:rPr>
                <w:rFonts w:ascii="Calibri" w:eastAsia="Times New Roman" w:hAnsi="Calibri" w:cs="Calibri"/>
                <w:color w:val="000000"/>
                <w:lang w:val="en-ZA" w:eastAsia="en-ZA"/>
              </w:rPr>
              <w:t xml:space="preserve"> (n=1)</w:t>
            </w:r>
          </w:p>
        </w:tc>
        <w:tc>
          <w:tcPr>
            <w:tcW w:w="3078" w:type="dxa"/>
            <w:noWrap/>
            <w:hideMark/>
          </w:tcPr>
          <w:p w14:paraId="6AC0B436"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Dose regimen and amount</w:t>
            </w:r>
            <w:r>
              <w:rPr>
                <w:rFonts w:ascii="Calibri" w:eastAsia="Times New Roman" w:hAnsi="Calibri" w:cs="Calibri"/>
                <w:color w:val="000000"/>
                <w:lang w:val="en-ZA" w:eastAsia="en-ZA"/>
              </w:rPr>
              <w:t xml:space="preserve"> (n=3)</w:t>
            </w:r>
          </w:p>
        </w:tc>
      </w:tr>
      <w:tr w:rsidR="000F6CC7" w:rsidRPr="00CF5C5C" w14:paraId="7137D368" w14:textId="77777777" w:rsidTr="00EF0211">
        <w:trPr>
          <w:trHeight w:val="328"/>
        </w:trPr>
        <w:tc>
          <w:tcPr>
            <w:tcW w:w="3078" w:type="dxa"/>
            <w:hideMark/>
          </w:tcPr>
          <w:p w14:paraId="710A2BA7"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(test) Format</w:t>
            </w:r>
            <w:r>
              <w:rPr>
                <w:rFonts w:ascii="Calibri" w:eastAsia="Times New Roman" w:hAnsi="Calibri" w:cs="Calibri"/>
                <w:color w:val="000000"/>
                <w:lang w:val="en-ZA" w:eastAsia="en-ZA"/>
              </w:rPr>
              <w:t xml:space="preserve"> (n=6)</w:t>
            </w:r>
          </w:p>
        </w:tc>
        <w:tc>
          <w:tcPr>
            <w:tcW w:w="3078" w:type="dxa"/>
            <w:noWrap/>
            <w:hideMark/>
          </w:tcPr>
          <w:p w14:paraId="2E39A99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Dosage administration (n. per day)</w:t>
            </w:r>
            <w:r>
              <w:rPr>
                <w:rFonts w:ascii="Calibri" w:eastAsia="Times New Roman" w:hAnsi="Calibri" w:cs="Calibri"/>
                <w:color w:val="000000"/>
                <w:lang w:val="en-ZA" w:eastAsia="en-ZA"/>
              </w:rPr>
              <w:t xml:space="preserve"> (n=5)</w:t>
            </w:r>
          </w:p>
        </w:tc>
        <w:tc>
          <w:tcPr>
            <w:tcW w:w="3078" w:type="dxa"/>
            <w:noWrap/>
            <w:hideMark/>
          </w:tcPr>
          <w:p w14:paraId="752CE74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Duration of dosing</w:t>
            </w:r>
            <w:r>
              <w:rPr>
                <w:rFonts w:ascii="Calibri" w:eastAsia="Times New Roman" w:hAnsi="Calibri" w:cs="Calibri"/>
                <w:color w:val="000000"/>
                <w:lang w:val="en-ZA" w:eastAsia="en-ZA"/>
              </w:rPr>
              <w:t xml:space="preserve"> (n=1)</w:t>
            </w:r>
          </w:p>
        </w:tc>
        <w:tc>
          <w:tcPr>
            <w:tcW w:w="3078" w:type="dxa"/>
            <w:noWrap/>
            <w:hideMark/>
          </w:tcPr>
          <w:p w14:paraId="56B1FA5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Mass</w:t>
            </w:r>
            <w:r>
              <w:rPr>
                <w:rFonts w:ascii="Calibri" w:eastAsia="Times New Roman" w:hAnsi="Calibri" w:cs="Calibri"/>
                <w:color w:val="000000"/>
                <w:lang w:val="en-ZA" w:eastAsia="en-ZA"/>
              </w:rPr>
              <w:t xml:space="preserve"> (n=1)</w:t>
            </w:r>
          </w:p>
        </w:tc>
        <w:tc>
          <w:tcPr>
            <w:tcW w:w="3078" w:type="dxa"/>
            <w:noWrap/>
            <w:hideMark/>
          </w:tcPr>
          <w:p w14:paraId="04DEC4F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Contraindications</w:t>
            </w:r>
            <w:r>
              <w:rPr>
                <w:rFonts w:ascii="Calibri" w:eastAsia="Times New Roman" w:hAnsi="Calibri" w:cs="Calibri"/>
                <w:color w:val="000000"/>
                <w:lang w:val="en-ZA" w:eastAsia="en-ZA"/>
              </w:rPr>
              <w:t xml:space="preserve"> (n=3)</w:t>
            </w:r>
          </w:p>
        </w:tc>
      </w:tr>
      <w:tr w:rsidR="000F6CC7" w:rsidRPr="00CF5C5C" w14:paraId="42A70674" w14:textId="77777777" w:rsidTr="00EF0211">
        <w:trPr>
          <w:trHeight w:val="328"/>
        </w:trPr>
        <w:tc>
          <w:tcPr>
            <w:tcW w:w="3078" w:type="dxa"/>
            <w:hideMark/>
          </w:tcPr>
          <w:p w14:paraId="05B63126"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Additional supplies (not included in the kit)</w:t>
            </w:r>
            <w:r>
              <w:rPr>
                <w:rFonts w:ascii="Calibri" w:eastAsia="Times New Roman" w:hAnsi="Calibri" w:cs="Calibri"/>
                <w:color w:val="000000"/>
                <w:lang w:val="en-ZA" w:eastAsia="en-ZA"/>
              </w:rPr>
              <w:t xml:space="preserve"> (n=6)</w:t>
            </w:r>
          </w:p>
        </w:tc>
        <w:tc>
          <w:tcPr>
            <w:tcW w:w="3078" w:type="dxa"/>
            <w:noWrap/>
            <w:hideMark/>
          </w:tcPr>
          <w:p w14:paraId="398835B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Particle size</w:t>
            </w:r>
            <w:r>
              <w:rPr>
                <w:rFonts w:ascii="Calibri" w:eastAsia="Times New Roman" w:hAnsi="Calibri" w:cs="Calibri"/>
                <w:color w:val="000000"/>
                <w:lang w:val="en-ZA" w:eastAsia="en-ZA"/>
              </w:rPr>
              <w:t xml:space="preserve"> (n=5)</w:t>
            </w:r>
          </w:p>
        </w:tc>
        <w:tc>
          <w:tcPr>
            <w:tcW w:w="3078" w:type="dxa"/>
            <w:noWrap/>
            <w:hideMark/>
          </w:tcPr>
          <w:p w14:paraId="3981FFE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Concomitant use</w:t>
            </w:r>
            <w:r>
              <w:rPr>
                <w:rFonts w:ascii="Calibri" w:eastAsia="Times New Roman" w:hAnsi="Calibri" w:cs="Calibri"/>
                <w:color w:val="000000"/>
                <w:lang w:val="en-ZA" w:eastAsia="en-ZA"/>
              </w:rPr>
              <w:t xml:space="preserve"> (n=1)</w:t>
            </w:r>
          </w:p>
        </w:tc>
        <w:tc>
          <w:tcPr>
            <w:tcW w:w="3078" w:type="dxa"/>
            <w:noWrap/>
            <w:hideMark/>
          </w:tcPr>
          <w:p w14:paraId="4B42366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Data collection</w:t>
            </w:r>
            <w:r>
              <w:rPr>
                <w:rFonts w:ascii="Calibri" w:eastAsia="Times New Roman" w:hAnsi="Calibri" w:cs="Calibri"/>
                <w:color w:val="000000"/>
                <w:lang w:val="en-ZA" w:eastAsia="en-ZA"/>
              </w:rPr>
              <w:t xml:space="preserve"> (n=1)</w:t>
            </w:r>
          </w:p>
        </w:tc>
        <w:tc>
          <w:tcPr>
            <w:tcW w:w="3078" w:type="dxa"/>
            <w:noWrap/>
            <w:hideMark/>
          </w:tcPr>
          <w:p w14:paraId="462CE055"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Size</w:t>
            </w:r>
            <w:r>
              <w:rPr>
                <w:rFonts w:ascii="Calibri" w:eastAsia="Times New Roman" w:hAnsi="Calibri" w:cs="Calibri"/>
                <w:color w:val="000000"/>
                <w:lang w:val="en-ZA" w:eastAsia="en-ZA"/>
              </w:rPr>
              <w:t xml:space="preserve"> (n=3)</w:t>
            </w:r>
          </w:p>
        </w:tc>
      </w:tr>
      <w:tr w:rsidR="000F6CC7" w:rsidRPr="00CF5C5C" w14:paraId="1B3440A7" w14:textId="77777777" w:rsidTr="00EF0211">
        <w:trPr>
          <w:trHeight w:val="328"/>
        </w:trPr>
        <w:tc>
          <w:tcPr>
            <w:tcW w:w="3078" w:type="dxa"/>
            <w:noWrap/>
            <w:hideMark/>
          </w:tcPr>
          <w:p w14:paraId="1CAF675C"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lastRenderedPageBreak/>
              <w:t>Data/result interpretation</w:t>
            </w:r>
            <w:r>
              <w:rPr>
                <w:rFonts w:ascii="Calibri" w:eastAsia="Times New Roman" w:hAnsi="Calibri" w:cs="Calibri"/>
                <w:color w:val="000000"/>
                <w:lang w:val="en-ZA" w:eastAsia="en-ZA"/>
              </w:rPr>
              <w:t xml:space="preserve"> (n=6)</w:t>
            </w:r>
          </w:p>
        </w:tc>
        <w:tc>
          <w:tcPr>
            <w:tcW w:w="3078" w:type="dxa"/>
            <w:noWrap/>
            <w:hideMark/>
          </w:tcPr>
          <w:p w14:paraId="101CF863"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Microbial limits/content</w:t>
            </w:r>
            <w:r>
              <w:rPr>
                <w:rFonts w:ascii="Calibri" w:eastAsia="Times New Roman" w:hAnsi="Calibri" w:cs="Calibri"/>
                <w:color w:val="000000"/>
                <w:lang w:val="en-ZA" w:eastAsia="en-ZA"/>
              </w:rPr>
              <w:t xml:space="preserve"> (n=5)</w:t>
            </w:r>
          </w:p>
        </w:tc>
        <w:tc>
          <w:tcPr>
            <w:tcW w:w="3078" w:type="dxa"/>
            <w:noWrap/>
            <w:hideMark/>
          </w:tcPr>
          <w:p w14:paraId="427197C6"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Formulations</w:t>
            </w:r>
            <w:r>
              <w:rPr>
                <w:rFonts w:ascii="Calibri" w:eastAsia="Times New Roman" w:hAnsi="Calibri" w:cs="Calibri"/>
                <w:color w:val="000000"/>
                <w:lang w:val="en-ZA" w:eastAsia="en-ZA"/>
              </w:rPr>
              <w:t xml:space="preserve"> (n=1)</w:t>
            </w:r>
          </w:p>
        </w:tc>
        <w:tc>
          <w:tcPr>
            <w:tcW w:w="3078" w:type="dxa"/>
            <w:noWrap/>
            <w:hideMark/>
          </w:tcPr>
          <w:p w14:paraId="1AD86E69"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Durability</w:t>
            </w:r>
            <w:r>
              <w:rPr>
                <w:rFonts w:ascii="Calibri" w:eastAsia="Times New Roman" w:hAnsi="Calibri" w:cs="Calibri"/>
                <w:color w:val="000000"/>
                <w:lang w:val="en-ZA" w:eastAsia="en-ZA"/>
              </w:rPr>
              <w:t xml:space="preserve"> (n=1)</w:t>
            </w:r>
          </w:p>
        </w:tc>
        <w:tc>
          <w:tcPr>
            <w:tcW w:w="3078" w:type="dxa"/>
            <w:noWrap/>
            <w:hideMark/>
          </w:tcPr>
          <w:p w14:paraId="7C105FB3"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PK target safety</w:t>
            </w:r>
            <w:r>
              <w:rPr>
                <w:rFonts w:ascii="Calibri" w:eastAsia="Times New Roman" w:hAnsi="Calibri" w:cs="Calibri"/>
                <w:color w:val="000000"/>
                <w:lang w:val="en-ZA" w:eastAsia="en-ZA"/>
              </w:rPr>
              <w:t xml:space="preserve"> (n=3)</w:t>
            </w:r>
          </w:p>
        </w:tc>
      </w:tr>
      <w:tr w:rsidR="000F6CC7" w:rsidRPr="00CF5C5C" w14:paraId="7BB47A6D" w14:textId="77777777" w:rsidTr="00EF0211">
        <w:trPr>
          <w:trHeight w:val="328"/>
        </w:trPr>
        <w:tc>
          <w:tcPr>
            <w:tcW w:w="3078" w:type="dxa"/>
            <w:noWrap/>
            <w:hideMark/>
          </w:tcPr>
          <w:p w14:paraId="3EA10C6D"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Reference standard</w:t>
            </w:r>
            <w:r>
              <w:rPr>
                <w:rFonts w:ascii="Calibri" w:eastAsia="Times New Roman" w:hAnsi="Calibri" w:cs="Calibri"/>
                <w:color w:val="000000"/>
                <w:lang w:val="en-ZA" w:eastAsia="en-ZA"/>
              </w:rPr>
              <w:t xml:space="preserve"> (n=6)</w:t>
            </w:r>
          </w:p>
        </w:tc>
        <w:tc>
          <w:tcPr>
            <w:tcW w:w="3078" w:type="dxa"/>
            <w:noWrap/>
            <w:hideMark/>
          </w:tcPr>
          <w:p w14:paraId="43668F8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Rheological properties: Viscosity/stiffness</w:t>
            </w:r>
            <w:r>
              <w:rPr>
                <w:rFonts w:ascii="Calibri" w:eastAsia="Times New Roman" w:hAnsi="Calibri" w:cs="Calibri"/>
                <w:color w:val="000000"/>
                <w:lang w:val="en-ZA" w:eastAsia="en-ZA"/>
              </w:rPr>
              <w:t xml:space="preserve"> (n=5)</w:t>
            </w:r>
          </w:p>
        </w:tc>
        <w:tc>
          <w:tcPr>
            <w:tcW w:w="3078" w:type="dxa"/>
            <w:noWrap/>
            <w:hideMark/>
          </w:tcPr>
          <w:p w14:paraId="509E323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Product registration and WHO prequalification</w:t>
            </w:r>
            <w:r>
              <w:rPr>
                <w:rFonts w:ascii="Calibri" w:eastAsia="Times New Roman" w:hAnsi="Calibri" w:cs="Calibri"/>
                <w:color w:val="000000"/>
                <w:lang w:val="en-ZA" w:eastAsia="en-ZA"/>
              </w:rPr>
              <w:t xml:space="preserve"> (n=1)</w:t>
            </w:r>
          </w:p>
        </w:tc>
        <w:tc>
          <w:tcPr>
            <w:tcW w:w="3078" w:type="dxa"/>
            <w:noWrap/>
            <w:hideMark/>
          </w:tcPr>
          <w:p w14:paraId="5FFA77C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Description of product</w:t>
            </w:r>
            <w:r>
              <w:rPr>
                <w:rFonts w:ascii="Calibri" w:eastAsia="Times New Roman" w:hAnsi="Calibri" w:cs="Calibri"/>
                <w:color w:val="000000"/>
                <w:lang w:val="en-ZA" w:eastAsia="en-ZA"/>
              </w:rPr>
              <w:t xml:space="preserve"> (n=1)</w:t>
            </w:r>
          </w:p>
        </w:tc>
        <w:tc>
          <w:tcPr>
            <w:tcW w:w="3078" w:type="dxa"/>
            <w:noWrap/>
            <w:hideMark/>
          </w:tcPr>
          <w:p w14:paraId="26D2AFF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Residual solvent</w:t>
            </w:r>
            <w:r>
              <w:rPr>
                <w:rFonts w:ascii="Calibri" w:eastAsia="Times New Roman" w:hAnsi="Calibri" w:cs="Calibri"/>
                <w:color w:val="000000"/>
                <w:lang w:val="en-ZA" w:eastAsia="en-ZA"/>
              </w:rPr>
              <w:t xml:space="preserve"> (n=3)</w:t>
            </w:r>
          </w:p>
        </w:tc>
      </w:tr>
      <w:tr w:rsidR="000F6CC7" w:rsidRPr="00CF5C5C" w14:paraId="2536C27C" w14:textId="77777777" w:rsidTr="00EF0211">
        <w:trPr>
          <w:trHeight w:val="328"/>
        </w:trPr>
        <w:tc>
          <w:tcPr>
            <w:tcW w:w="3078" w:type="dxa"/>
            <w:hideMark/>
          </w:tcPr>
          <w:p w14:paraId="55C9AB8C"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Reading system</w:t>
            </w:r>
            <w:r>
              <w:rPr>
                <w:rFonts w:ascii="Calibri" w:eastAsia="Times New Roman" w:hAnsi="Calibri" w:cs="Calibri"/>
                <w:color w:val="000000"/>
                <w:lang w:val="en-ZA" w:eastAsia="en-ZA"/>
              </w:rPr>
              <w:t xml:space="preserve"> (n=5)</w:t>
            </w:r>
          </w:p>
        </w:tc>
        <w:tc>
          <w:tcPr>
            <w:tcW w:w="3078" w:type="dxa"/>
            <w:noWrap/>
            <w:hideMark/>
          </w:tcPr>
          <w:p w14:paraId="34C6EEC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Description of product</w:t>
            </w:r>
            <w:r>
              <w:rPr>
                <w:rFonts w:ascii="Calibri" w:eastAsia="Times New Roman" w:hAnsi="Calibri" w:cs="Calibri"/>
                <w:color w:val="000000"/>
                <w:lang w:val="en-ZA" w:eastAsia="en-ZA"/>
              </w:rPr>
              <w:t xml:space="preserve"> (n=4)</w:t>
            </w:r>
          </w:p>
        </w:tc>
        <w:tc>
          <w:tcPr>
            <w:tcW w:w="3078" w:type="dxa"/>
            <w:noWrap/>
            <w:hideMark/>
          </w:tcPr>
          <w:p w14:paraId="4EC2343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Transmission blocking</w:t>
            </w:r>
            <w:r>
              <w:rPr>
                <w:rFonts w:ascii="Calibri" w:eastAsia="Times New Roman" w:hAnsi="Calibri" w:cs="Calibri"/>
                <w:color w:val="000000"/>
                <w:lang w:val="en-ZA" w:eastAsia="en-ZA"/>
              </w:rPr>
              <w:t xml:space="preserve"> (n=1)</w:t>
            </w:r>
          </w:p>
        </w:tc>
        <w:tc>
          <w:tcPr>
            <w:tcW w:w="3078" w:type="dxa"/>
            <w:noWrap/>
            <w:hideMark/>
          </w:tcPr>
          <w:p w14:paraId="0B5ABEA3"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Device design</w:t>
            </w:r>
            <w:r>
              <w:rPr>
                <w:rFonts w:ascii="Calibri" w:eastAsia="Times New Roman" w:hAnsi="Calibri" w:cs="Calibri"/>
                <w:color w:val="000000"/>
                <w:lang w:val="en-ZA" w:eastAsia="en-ZA"/>
              </w:rPr>
              <w:t xml:space="preserve"> (n=1)</w:t>
            </w:r>
          </w:p>
        </w:tc>
        <w:tc>
          <w:tcPr>
            <w:tcW w:w="3078" w:type="dxa"/>
            <w:noWrap/>
            <w:hideMark/>
          </w:tcPr>
          <w:p w14:paraId="335028B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Weight</w:t>
            </w:r>
            <w:r>
              <w:rPr>
                <w:rFonts w:ascii="Calibri" w:eastAsia="Times New Roman" w:hAnsi="Calibri" w:cs="Calibri"/>
                <w:color w:val="000000"/>
                <w:lang w:val="en-ZA" w:eastAsia="en-ZA"/>
              </w:rPr>
              <w:t xml:space="preserve"> (n=3)</w:t>
            </w:r>
          </w:p>
        </w:tc>
      </w:tr>
      <w:tr w:rsidR="000F6CC7" w:rsidRPr="00CF5C5C" w14:paraId="679B35D9" w14:textId="77777777" w:rsidTr="00EF0211">
        <w:trPr>
          <w:trHeight w:val="328"/>
        </w:trPr>
        <w:tc>
          <w:tcPr>
            <w:tcW w:w="3078" w:type="dxa"/>
            <w:noWrap/>
            <w:hideMark/>
          </w:tcPr>
          <w:p w14:paraId="40CFC5E5"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Ease of test performance/ease of administration</w:t>
            </w:r>
            <w:r>
              <w:rPr>
                <w:rFonts w:ascii="Calibri" w:eastAsia="Times New Roman" w:hAnsi="Calibri" w:cs="Calibri"/>
                <w:color w:val="000000"/>
                <w:lang w:val="en-ZA" w:eastAsia="en-ZA"/>
              </w:rPr>
              <w:t xml:space="preserve"> (n=5)</w:t>
            </w:r>
          </w:p>
        </w:tc>
        <w:tc>
          <w:tcPr>
            <w:tcW w:w="3078" w:type="dxa"/>
            <w:noWrap/>
            <w:hideMark/>
          </w:tcPr>
          <w:p w14:paraId="7DE7BA8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Drug product quality attributes</w:t>
            </w:r>
            <w:r>
              <w:rPr>
                <w:rFonts w:ascii="Calibri" w:eastAsia="Times New Roman" w:hAnsi="Calibri" w:cs="Calibri"/>
                <w:color w:val="000000"/>
                <w:lang w:val="en-ZA" w:eastAsia="en-ZA"/>
              </w:rPr>
              <w:t xml:space="preserve"> (n=4)</w:t>
            </w:r>
          </w:p>
        </w:tc>
        <w:tc>
          <w:tcPr>
            <w:tcW w:w="3078" w:type="dxa"/>
            <w:noWrap/>
            <w:hideMark/>
          </w:tcPr>
          <w:p w14:paraId="3DEBD32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Virulence</w:t>
            </w:r>
            <w:r>
              <w:rPr>
                <w:rFonts w:ascii="Calibri" w:eastAsia="Times New Roman" w:hAnsi="Calibri" w:cs="Calibri"/>
                <w:color w:val="000000"/>
                <w:lang w:val="en-ZA" w:eastAsia="en-ZA"/>
              </w:rPr>
              <w:t xml:space="preserve"> (n=1)</w:t>
            </w:r>
          </w:p>
        </w:tc>
        <w:tc>
          <w:tcPr>
            <w:tcW w:w="3078" w:type="dxa"/>
            <w:noWrap/>
            <w:hideMark/>
          </w:tcPr>
          <w:p w14:paraId="1B10D15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Device weight</w:t>
            </w:r>
            <w:r>
              <w:rPr>
                <w:rFonts w:ascii="Calibri" w:eastAsia="Times New Roman" w:hAnsi="Calibri" w:cs="Calibri"/>
                <w:color w:val="000000"/>
                <w:lang w:val="en-ZA" w:eastAsia="en-ZA"/>
              </w:rPr>
              <w:t xml:space="preserve"> (n=1)</w:t>
            </w:r>
          </w:p>
        </w:tc>
        <w:tc>
          <w:tcPr>
            <w:tcW w:w="3078" w:type="dxa"/>
            <w:noWrap/>
            <w:hideMark/>
          </w:tcPr>
          <w:p w14:paraId="6F3BE3B3"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Encapsulation efficiency</w:t>
            </w:r>
            <w:r>
              <w:rPr>
                <w:rFonts w:ascii="Calibri" w:eastAsia="Times New Roman" w:hAnsi="Calibri" w:cs="Calibri"/>
                <w:color w:val="000000"/>
                <w:lang w:val="en-ZA" w:eastAsia="en-ZA"/>
              </w:rPr>
              <w:t xml:space="preserve"> (n=3)</w:t>
            </w:r>
          </w:p>
        </w:tc>
      </w:tr>
      <w:tr w:rsidR="000F6CC7" w:rsidRPr="00CF5C5C" w14:paraId="0D4E50E8" w14:textId="77777777" w:rsidTr="00EF0211">
        <w:trPr>
          <w:trHeight w:val="328"/>
        </w:trPr>
        <w:tc>
          <w:tcPr>
            <w:tcW w:w="3078" w:type="dxa"/>
            <w:noWrap/>
            <w:hideMark/>
          </w:tcPr>
          <w:p w14:paraId="486DAE5B"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Sample collection</w:t>
            </w:r>
            <w:r>
              <w:rPr>
                <w:rFonts w:ascii="Calibri" w:eastAsia="Times New Roman" w:hAnsi="Calibri" w:cs="Calibri"/>
                <w:color w:val="000000"/>
                <w:lang w:val="en-ZA" w:eastAsia="en-ZA"/>
              </w:rPr>
              <w:t xml:space="preserve"> (n=5)</w:t>
            </w:r>
          </w:p>
        </w:tc>
        <w:tc>
          <w:tcPr>
            <w:tcW w:w="3078" w:type="dxa"/>
            <w:noWrap/>
            <w:hideMark/>
          </w:tcPr>
          <w:p w14:paraId="32C6C1C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Susceptibility to loss of efficacy due to acquired resistance</w:t>
            </w:r>
            <w:r>
              <w:rPr>
                <w:rFonts w:ascii="Calibri" w:eastAsia="Times New Roman" w:hAnsi="Calibri" w:cs="Calibri"/>
                <w:color w:val="000000"/>
                <w:lang w:val="en-ZA" w:eastAsia="en-ZA"/>
              </w:rPr>
              <w:t xml:space="preserve"> (n=4)</w:t>
            </w:r>
          </w:p>
        </w:tc>
        <w:tc>
          <w:tcPr>
            <w:tcW w:w="3078" w:type="dxa"/>
            <w:noWrap/>
            <w:hideMark/>
          </w:tcPr>
          <w:p w14:paraId="0E05F97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Ease of production</w:t>
            </w:r>
            <w:r>
              <w:rPr>
                <w:rFonts w:ascii="Calibri" w:eastAsia="Times New Roman" w:hAnsi="Calibri" w:cs="Calibri"/>
                <w:color w:val="000000"/>
                <w:lang w:val="en-ZA" w:eastAsia="en-ZA"/>
              </w:rPr>
              <w:t xml:space="preserve"> (n=1)</w:t>
            </w:r>
          </w:p>
        </w:tc>
        <w:tc>
          <w:tcPr>
            <w:tcW w:w="3078" w:type="dxa"/>
            <w:noWrap/>
            <w:hideMark/>
          </w:tcPr>
          <w:p w14:paraId="164121B4"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Patient identification capability</w:t>
            </w:r>
            <w:r>
              <w:rPr>
                <w:rFonts w:ascii="Calibri" w:eastAsia="Times New Roman" w:hAnsi="Calibri" w:cs="Calibri"/>
                <w:color w:val="000000"/>
                <w:lang w:val="en-ZA" w:eastAsia="en-ZA"/>
              </w:rPr>
              <w:t xml:space="preserve"> (n=1)</w:t>
            </w:r>
          </w:p>
        </w:tc>
        <w:tc>
          <w:tcPr>
            <w:tcW w:w="3078" w:type="dxa"/>
            <w:noWrap/>
            <w:hideMark/>
          </w:tcPr>
          <w:p w14:paraId="5BB6C27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z-average (nm)</w:t>
            </w:r>
            <w:r>
              <w:rPr>
                <w:rFonts w:ascii="Calibri" w:eastAsia="Times New Roman" w:hAnsi="Calibri" w:cs="Calibri"/>
                <w:color w:val="000000"/>
                <w:lang w:val="en-ZA" w:eastAsia="en-ZA"/>
              </w:rPr>
              <w:t xml:space="preserve"> (n=3)</w:t>
            </w:r>
          </w:p>
        </w:tc>
      </w:tr>
      <w:tr w:rsidR="000F6CC7" w:rsidRPr="00CF5C5C" w14:paraId="55B67728" w14:textId="77777777" w:rsidTr="00EF0211">
        <w:trPr>
          <w:trHeight w:val="328"/>
        </w:trPr>
        <w:tc>
          <w:tcPr>
            <w:tcW w:w="3078" w:type="dxa"/>
            <w:hideMark/>
          </w:tcPr>
          <w:p w14:paraId="10827E52"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Storage conditions and shelf life</w:t>
            </w:r>
            <w:r>
              <w:rPr>
                <w:rFonts w:ascii="Calibri" w:eastAsia="Times New Roman" w:hAnsi="Calibri" w:cs="Calibri"/>
                <w:color w:val="000000"/>
                <w:lang w:val="en-ZA" w:eastAsia="en-ZA"/>
              </w:rPr>
              <w:t xml:space="preserve"> (n=5)</w:t>
            </w:r>
          </w:p>
        </w:tc>
        <w:tc>
          <w:tcPr>
            <w:tcW w:w="3078" w:type="dxa"/>
            <w:noWrap/>
            <w:hideMark/>
          </w:tcPr>
          <w:p w14:paraId="7934BF7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Identification</w:t>
            </w:r>
            <w:r>
              <w:rPr>
                <w:rFonts w:ascii="Calibri" w:eastAsia="Times New Roman" w:hAnsi="Calibri" w:cs="Calibri"/>
                <w:color w:val="000000"/>
                <w:lang w:val="en-ZA" w:eastAsia="en-ZA"/>
              </w:rPr>
              <w:t xml:space="preserve"> (n=4)</w:t>
            </w:r>
          </w:p>
        </w:tc>
        <w:tc>
          <w:tcPr>
            <w:tcW w:w="3078" w:type="dxa"/>
            <w:noWrap/>
            <w:hideMark/>
          </w:tcPr>
          <w:p w14:paraId="77A13FF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Safe to produce</w:t>
            </w:r>
            <w:r>
              <w:rPr>
                <w:rFonts w:ascii="Calibri" w:eastAsia="Times New Roman" w:hAnsi="Calibri" w:cs="Calibri"/>
                <w:color w:val="000000"/>
                <w:lang w:val="en-ZA" w:eastAsia="en-ZA"/>
              </w:rPr>
              <w:t xml:space="preserve"> (n=1)</w:t>
            </w:r>
          </w:p>
        </w:tc>
        <w:tc>
          <w:tcPr>
            <w:tcW w:w="3078" w:type="dxa"/>
            <w:noWrap/>
            <w:hideMark/>
          </w:tcPr>
          <w:p w14:paraId="001FF8E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Result output</w:t>
            </w:r>
            <w:r>
              <w:rPr>
                <w:rFonts w:ascii="Calibri" w:eastAsia="Times New Roman" w:hAnsi="Calibri" w:cs="Calibri"/>
                <w:color w:val="000000"/>
                <w:lang w:val="en-ZA" w:eastAsia="en-ZA"/>
              </w:rPr>
              <w:t xml:space="preserve"> (n=1)</w:t>
            </w:r>
          </w:p>
        </w:tc>
        <w:tc>
          <w:tcPr>
            <w:tcW w:w="3078" w:type="dxa"/>
            <w:noWrap/>
            <w:hideMark/>
          </w:tcPr>
          <w:p w14:paraId="659D118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Loading efficiency</w:t>
            </w:r>
            <w:r>
              <w:rPr>
                <w:rFonts w:ascii="Calibri" w:eastAsia="Times New Roman" w:hAnsi="Calibri" w:cs="Calibri"/>
                <w:color w:val="000000"/>
                <w:lang w:val="en-ZA" w:eastAsia="en-ZA"/>
              </w:rPr>
              <w:t xml:space="preserve"> (n=3)</w:t>
            </w:r>
          </w:p>
        </w:tc>
      </w:tr>
      <w:tr w:rsidR="000F6CC7" w:rsidRPr="00CF5C5C" w14:paraId="15E4F32D" w14:textId="77777777" w:rsidTr="00EF0211">
        <w:trPr>
          <w:trHeight w:val="328"/>
        </w:trPr>
        <w:tc>
          <w:tcPr>
            <w:tcW w:w="3078" w:type="dxa"/>
            <w:noWrap/>
            <w:hideMark/>
          </w:tcPr>
          <w:p w14:paraId="54061F35"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Water supply/requirements</w:t>
            </w:r>
            <w:r>
              <w:rPr>
                <w:rFonts w:ascii="Calibri" w:eastAsia="Times New Roman" w:hAnsi="Calibri" w:cs="Calibri"/>
                <w:color w:val="000000"/>
                <w:lang w:val="en-ZA" w:eastAsia="en-ZA"/>
              </w:rPr>
              <w:t xml:space="preserve"> (n=5)</w:t>
            </w:r>
          </w:p>
        </w:tc>
        <w:tc>
          <w:tcPr>
            <w:tcW w:w="3078" w:type="dxa"/>
            <w:noWrap/>
            <w:hideMark/>
          </w:tcPr>
          <w:p w14:paraId="09E820C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Zeta potential</w:t>
            </w:r>
            <w:r>
              <w:rPr>
                <w:rFonts w:ascii="Calibri" w:eastAsia="Times New Roman" w:hAnsi="Calibri" w:cs="Calibri"/>
                <w:color w:val="000000"/>
                <w:lang w:val="en-ZA" w:eastAsia="en-ZA"/>
              </w:rPr>
              <w:t xml:space="preserve"> (n=4)</w:t>
            </w:r>
          </w:p>
        </w:tc>
        <w:tc>
          <w:tcPr>
            <w:tcW w:w="3078" w:type="dxa"/>
            <w:noWrap/>
            <w:hideMark/>
          </w:tcPr>
          <w:p w14:paraId="293D403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Coadministration</w:t>
            </w:r>
            <w:r>
              <w:rPr>
                <w:rFonts w:ascii="Calibri" w:eastAsia="Times New Roman" w:hAnsi="Calibri" w:cs="Calibri"/>
                <w:color w:val="000000"/>
                <w:lang w:val="en-ZA" w:eastAsia="en-ZA"/>
              </w:rPr>
              <w:t xml:space="preserve"> (n=1)</w:t>
            </w:r>
          </w:p>
        </w:tc>
        <w:tc>
          <w:tcPr>
            <w:tcW w:w="3078" w:type="dxa"/>
            <w:noWrap/>
            <w:hideMark/>
          </w:tcPr>
          <w:p w14:paraId="2DD4547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Memory</w:t>
            </w:r>
            <w:r>
              <w:rPr>
                <w:rFonts w:ascii="Calibri" w:eastAsia="Times New Roman" w:hAnsi="Calibri" w:cs="Calibri"/>
                <w:color w:val="000000"/>
                <w:lang w:val="en-ZA" w:eastAsia="en-ZA"/>
              </w:rPr>
              <w:t xml:space="preserve"> (n=1)</w:t>
            </w:r>
          </w:p>
        </w:tc>
        <w:tc>
          <w:tcPr>
            <w:tcW w:w="3078" w:type="dxa"/>
            <w:noWrap/>
            <w:hideMark/>
          </w:tcPr>
          <w:p w14:paraId="45BA448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Solubility</w:t>
            </w:r>
            <w:r>
              <w:rPr>
                <w:rFonts w:ascii="Calibri" w:eastAsia="Times New Roman" w:hAnsi="Calibri" w:cs="Calibri"/>
                <w:color w:val="000000"/>
                <w:lang w:val="en-ZA" w:eastAsia="en-ZA"/>
              </w:rPr>
              <w:t xml:space="preserve"> (n=3)</w:t>
            </w:r>
          </w:p>
        </w:tc>
      </w:tr>
      <w:tr w:rsidR="000F6CC7" w:rsidRPr="00CF5C5C" w14:paraId="59636D49" w14:textId="77777777" w:rsidTr="00EF0211">
        <w:trPr>
          <w:trHeight w:val="328"/>
        </w:trPr>
        <w:tc>
          <w:tcPr>
            <w:tcW w:w="3078" w:type="dxa"/>
            <w:hideMark/>
          </w:tcPr>
          <w:p w14:paraId="0B51B4EE"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User interface</w:t>
            </w:r>
            <w:r>
              <w:rPr>
                <w:rFonts w:ascii="Calibri" w:eastAsia="Times New Roman" w:hAnsi="Calibri" w:cs="Calibri"/>
                <w:color w:val="000000"/>
                <w:lang w:val="en-ZA" w:eastAsia="en-ZA"/>
              </w:rPr>
              <w:t xml:space="preserve"> (n=4)</w:t>
            </w:r>
          </w:p>
        </w:tc>
        <w:tc>
          <w:tcPr>
            <w:tcW w:w="3078" w:type="dxa"/>
            <w:noWrap/>
            <w:hideMark/>
          </w:tcPr>
          <w:p w14:paraId="5896CF0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Side effects/adverse reactions</w:t>
            </w:r>
            <w:r>
              <w:rPr>
                <w:rFonts w:ascii="Calibri" w:eastAsia="Times New Roman" w:hAnsi="Calibri" w:cs="Calibri"/>
                <w:color w:val="000000"/>
                <w:lang w:val="en-ZA" w:eastAsia="en-ZA"/>
              </w:rPr>
              <w:t xml:space="preserve"> (n=4)</w:t>
            </w:r>
          </w:p>
        </w:tc>
        <w:tc>
          <w:tcPr>
            <w:tcW w:w="3078" w:type="dxa"/>
            <w:noWrap/>
            <w:hideMark/>
          </w:tcPr>
          <w:p w14:paraId="2C91EF3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Coverage against other strains of virus</w:t>
            </w:r>
            <w:r>
              <w:rPr>
                <w:rFonts w:ascii="Calibri" w:eastAsia="Times New Roman" w:hAnsi="Calibri" w:cs="Calibri"/>
                <w:color w:val="000000"/>
                <w:lang w:val="en-ZA" w:eastAsia="en-ZA"/>
              </w:rPr>
              <w:t xml:space="preserve"> (n=1)</w:t>
            </w:r>
          </w:p>
        </w:tc>
        <w:tc>
          <w:tcPr>
            <w:tcW w:w="3078" w:type="dxa"/>
            <w:noWrap/>
            <w:hideMark/>
          </w:tcPr>
          <w:p w14:paraId="7593652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Manufacturing standards</w:t>
            </w:r>
            <w:r>
              <w:rPr>
                <w:rFonts w:ascii="Calibri" w:eastAsia="Times New Roman" w:hAnsi="Calibri" w:cs="Calibri"/>
                <w:color w:val="000000"/>
                <w:lang w:val="en-ZA" w:eastAsia="en-ZA"/>
              </w:rPr>
              <w:t xml:space="preserve"> (n=1)</w:t>
            </w:r>
          </w:p>
        </w:tc>
        <w:tc>
          <w:tcPr>
            <w:tcW w:w="3078" w:type="dxa"/>
            <w:noWrap/>
            <w:hideMark/>
          </w:tcPr>
          <w:p w14:paraId="329D58C6"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Cost of test/product/reimbursement</w:t>
            </w:r>
            <w:r>
              <w:rPr>
                <w:rFonts w:ascii="Calibri" w:eastAsia="Times New Roman" w:hAnsi="Calibri" w:cs="Calibri"/>
                <w:color w:val="000000"/>
                <w:lang w:val="en-ZA" w:eastAsia="en-ZA"/>
              </w:rPr>
              <w:t xml:space="preserve"> (n=2)</w:t>
            </w:r>
          </w:p>
        </w:tc>
      </w:tr>
      <w:tr w:rsidR="000F6CC7" w:rsidRPr="00CF5C5C" w14:paraId="4A3E3E81" w14:textId="77777777" w:rsidTr="00EF0211">
        <w:trPr>
          <w:trHeight w:val="328"/>
        </w:trPr>
        <w:tc>
          <w:tcPr>
            <w:tcW w:w="3078" w:type="dxa"/>
            <w:hideMark/>
          </w:tcPr>
          <w:p w14:paraId="56645CB0"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Treatment monitoring capacity</w:t>
            </w:r>
            <w:r>
              <w:rPr>
                <w:rFonts w:ascii="Calibri" w:eastAsia="Times New Roman" w:hAnsi="Calibri" w:cs="Calibri"/>
                <w:color w:val="000000"/>
                <w:lang w:val="en-ZA" w:eastAsia="en-ZA"/>
              </w:rPr>
              <w:t xml:space="preserve"> (n=4)</w:t>
            </w:r>
          </w:p>
        </w:tc>
        <w:tc>
          <w:tcPr>
            <w:tcW w:w="3078" w:type="dxa"/>
            <w:noWrap/>
            <w:hideMark/>
          </w:tcPr>
          <w:p w14:paraId="6344BD9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Rate of onset of action</w:t>
            </w:r>
            <w:r>
              <w:rPr>
                <w:rFonts w:ascii="Calibri" w:eastAsia="Times New Roman" w:hAnsi="Calibri" w:cs="Calibri"/>
                <w:color w:val="000000"/>
                <w:lang w:val="en-ZA" w:eastAsia="en-ZA"/>
              </w:rPr>
              <w:t xml:space="preserve"> (n=3)</w:t>
            </w:r>
          </w:p>
        </w:tc>
        <w:tc>
          <w:tcPr>
            <w:tcW w:w="3078" w:type="dxa"/>
            <w:noWrap/>
            <w:hideMark/>
          </w:tcPr>
          <w:p w14:paraId="5F2AABD6"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030F2A5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Test cartridge: Analytes/test menu</w:t>
            </w:r>
            <w:r>
              <w:rPr>
                <w:rFonts w:ascii="Calibri" w:eastAsia="Times New Roman" w:hAnsi="Calibri" w:cs="Calibri"/>
                <w:color w:val="000000"/>
                <w:lang w:val="en-ZA" w:eastAsia="en-ZA"/>
              </w:rPr>
              <w:t xml:space="preserve"> (n=1)</w:t>
            </w:r>
          </w:p>
        </w:tc>
        <w:tc>
          <w:tcPr>
            <w:tcW w:w="3078" w:type="dxa"/>
            <w:noWrap/>
            <w:hideMark/>
          </w:tcPr>
          <w:p w14:paraId="77D890F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Dosage administration (n. per day)</w:t>
            </w:r>
            <w:r>
              <w:rPr>
                <w:rFonts w:ascii="Calibri" w:eastAsia="Times New Roman" w:hAnsi="Calibri" w:cs="Calibri"/>
                <w:color w:val="000000"/>
                <w:lang w:val="en-ZA" w:eastAsia="en-ZA"/>
              </w:rPr>
              <w:t xml:space="preserve"> (n=2)</w:t>
            </w:r>
          </w:p>
        </w:tc>
      </w:tr>
      <w:tr w:rsidR="000F6CC7" w:rsidRPr="00CF5C5C" w14:paraId="70B9FAAF" w14:textId="77777777" w:rsidTr="00EF0211">
        <w:trPr>
          <w:trHeight w:val="328"/>
        </w:trPr>
        <w:tc>
          <w:tcPr>
            <w:tcW w:w="3078" w:type="dxa"/>
            <w:hideMark/>
          </w:tcPr>
          <w:p w14:paraId="50F0C57C"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Number of steps by operator</w:t>
            </w:r>
            <w:r>
              <w:rPr>
                <w:rFonts w:ascii="Calibri" w:eastAsia="Times New Roman" w:hAnsi="Calibri" w:cs="Calibri"/>
                <w:color w:val="000000"/>
                <w:lang w:val="en-ZA" w:eastAsia="en-ZA"/>
              </w:rPr>
              <w:t xml:space="preserve"> (n=4)</w:t>
            </w:r>
          </w:p>
        </w:tc>
        <w:tc>
          <w:tcPr>
            <w:tcW w:w="3078" w:type="dxa"/>
            <w:noWrap/>
            <w:hideMark/>
          </w:tcPr>
          <w:p w14:paraId="3FD5121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(Alternative) device/methods of administration</w:t>
            </w:r>
            <w:r>
              <w:rPr>
                <w:rFonts w:ascii="Calibri" w:eastAsia="Times New Roman" w:hAnsi="Calibri" w:cs="Calibri"/>
                <w:color w:val="000000"/>
                <w:lang w:val="en-ZA" w:eastAsia="en-ZA"/>
              </w:rPr>
              <w:t xml:space="preserve"> (n=3)</w:t>
            </w:r>
          </w:p>
        </w:tc>
        <w:tc>
          <w:tcPr>
            <w:tcW w:w="3078" w:type="dxa"/>
            <w:noWrap/>
            <w:hideMark/>
          </w:tcPr>
          <w:p w14:paraId="6C23F9B5"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B2F9089"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Description of test cartridge/strip</w:t>
            </w:r>
            <w:r>
              <w:rPr>
                <w:rFonts w:ascii="Calibri" w:eastAsia="Times New Roman" w:hAnsi="Calibri" w:cs="Calibri"/>
                <w:color w:val="000000"/>
                <w:lang w:val="en-ZA" w:eastAsia="en-ZA"/>
              </w:rPr>
              <w:t xml:space="preserve"> (n=1)</w:t>
            </w:r>
          </w:p>
        </w:tc>
        <w:tc>
          <w:tcPr>
            <w:tcW w:w="3078" w:type="dxa"/>
            <w:noWrap/>
            <w:hideMark/>
          </w:tcPr>
          <w:p w14:paraId="2AC8B44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Percentage friability</w:t>
            </w:r>
            <w:r>
              <w:rPr>
                <w:rFonts w:ascii="Calibri" w:eastAsia="Times New Roman" w:hAnsi="Calibri" w:cs="Calibri"/>
                <w:color w:val="000000"/>
                <w:lang w:val="en-ZA" w:eastAsia="en-ZA"/>
              </w:rPr>
              <w:t xml:space="preserve"> (n=2)</w:t>
            </w:r>
          </w:p>
        </w:tc>
      </w:tr>
      <w:tr w:rsidR="000F6CC7" w:rsidRPr="00CF5C5C" w14:paraId="2A0B0BCE" w14:textId="77777777" w:rsidTr="00EF0211">
        <w:trPr>
          <w:trHeight w:val="328"/>
        </w:trPr>
        <w:tc>
          <w:tcPr>
            <w:tcW w:w="3078" w:type="dxa"/>
            <w:hideMark/>
          </w:tcPr>
          <w:p w14:paraId="29D3106C"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Reagent integration into consumable device</w:t>
            </w:r>
            <w:r>
              <w:rPr>
                <w:rFonts w:ascii="Calibri" w:eastAsia="Times New Roman" w:hAnsi="Calibri" w:cs="Calibri"/>
                <w:color w:val="000000"/>
                <w:lang w:val="en-ZA" w:eastAsia="en-ZA"/>
              </w:rPr>
              <w:t xml:space="preserve"> (n=3)</w:t>
            </w:r>
          </w:p>
        </w:tc>
        <w:tc>
          <w:tcPr>
            <w:tcW w:w="3078" w:type="dxa"/>
            <w:noWrap/>
            <w:hideMark/>
          </w:tcPr>
          <w:p w14:paraId="2129DB06"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Polydispersity index (PDI)</w:t>
            </w:r>
            <w:r>
              <w:rPr>
                <w:rFonts w:ascii="Calibri" w:eastAsia="Times New Roman" w:hAnsi="Calibri" w:cs="Calibri"/>
                <w:color w:val="000000"/>
                <w:lang w:val="en-ZA" w:eastAsia="en-ZA"/>
              </w:rPr>
              <w:t xml:space="preserve"> (n=3)</w:t>
            </w:r>
          </w:p>
        </w:tc>
        <w:tc>
          <w:tcPr>
            <w:tcW w:w="3078" w:type="dxa"/>
            <w:noWrap/>
            <w:hideMark/>
          </w:tcPr>
          <w:p w14:paraId="5DC43C36"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C46C4F3"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Multiplexing of simultaneous tests</w:t>
            </w:r>
            <w:r>
              <w:rPr>
                <w:rFonts w:ascii="Calibri" w:eastAsia="Times New Roman" w:hAnsi="Calibri" w:cs="Calibri"/>
                <w:color w:val="000000"/>
                <w:lang w:val="en-ZA" w:eastAsia="en-ZA"/>
              </w:rPr>
              <w:t xml:space="preserve"> (n=1)</w:t>
            </w:r>
          </w:p>
        </w:tc>
        <w:tc>
          <w:tcPr>
            <w:tcW w:w="3078" w:type="dxa"/>
            <w:noWrap/>
            <w:hideMark/>
          </w:tcPr>
          <w:p w14:paraId="51FE763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Drug loading</w:t>
            </w:r>
            <w:r>
              <w:rPr>
                <w:rFonts w:ascii="Calibri" w:eastAsia="Times New Roman" w:hAnsi="Calibri" w:cs="Calibri"/>
                <w:color w:val="000000"/>
                <w:lang w:val="en-ZA" w:eastAsia="en-ZA"/>
              </w:rPr>
              <w:t xml:space="preserve"> (n=2)</w:t>
            </w:r>
          </w:p>
        </w:tc>
      </w:tr>
      <w:tr w:rsidR="000F6CC7" w:rsidRPr="00CF5C5C" w14:paraId="235966CB" w14:textId="77777777" w:rsidTr="00EF0211">
        <w:trPr>
          <w:trHeight w:val="328"/>
        </w:trPr>
        <w:tc>
          <w:tcPr>
            <w:tcW w:w="3078" w:type="dxa"/>
            <w:hideMark/>
          </w:tcPr>
          <w:p w14:paraId="04D0AB2A"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Instrument size (portability)</w:t>
            </w:r>
            <w:r>
              <w:rPr>
                <w:rFonts w:ascii="Calibri" w:eastAsia="Times New Roman" w:hAnsi="Calibri" w:cs="Calibri"/>
                <w:color w:val="000000"/>
                <w:lang w:val="en-ZA" w:eastAsia="en-ZA"/>
              </w:rPr>
              <w:t xml:space="preserve"> (n=3)</w:t>
            </w:r>
          </w:p>
        </w:tc>
        <w:tc>
          <w:tcPr>
            <w:tcW w:w="3078" w:type="dxa"/>
            <w:noWrap/>
            <w:hideMark/>
          </w:tcPr>
          <w:p w14:paraId="54432F1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Homogeneity and tube uniformity</w:t>
            </w:r>
            <w:r>
              <w:rPr>
                <w:rFonts w:ascii="Calibri" w:eastAsia="Times New Roman" w:hAnsi="Calibri" w:cs="Calibri"/>
                <w:color w:val="000000"/>
                <w:lang w:val="en-ZA" w:eastAsia="en-ZA"/>
              </w:rPr>
              <w:t xml:space="preserve"> (n=3)</w:t>
            </w:r>
          </w:p>
        </w:tc>
        <w:tc>
          <w:tcPr>
            <w:tcW w:w="3078" w:type="dxa"/>
            <w:noWrap/>
            <w:hideMark/>
          </w:tcPr>
          <w:p w14:paraId="307368F7"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68EA81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Additional third-party consumables</w:t>
            </w:r>
            <w:r>
              <w:rPr>
                <w:rFonts w:ascii="Calibri" w:eastAsia="Times New Roman" w:hAnsi="Calibri" w:cs="Calibri"/>
                <w:color w:val="000000"/>
                <w:lang w:val="en-ZA" w:eastAsia="en-ZA"/>
              </w:rPr>
              <w:t xml:space="preserve"> (n=1)</w:t>
            </w:r>
          </w:p>
        </w:tc>
        <w:tc>
          <w:tcPr>
            <w:tcW w:w="3078" w:type="dxa"/>
            <w:noWrap/>
            <w:hideMark/>
          </w:tcPr>
          <w:p w14:paraId="39D45F5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In vitro release test/profile</w:t>
            </w:r>
            <w:r>
              <w:rPr>
                <w:rFonts w:ascii="Calibri" w:eastAsia="Times New Roman" w:hAnsi="Calibri" w:cs="Calibri"/>
                <w:color w:val="000000"/>
                <w:lang w:val="en-ZA" w:eastAsia="en-ZA"/>
              </w:rPr>
              <w:t xml:space="preserve"> (n=2)</w:t>
            </w:r>
          </w:p>
        </w:tc>
      </w:tr>
      <w:tr w:rsidR="000F6CC7" w:rsidRPr="00CF5C5C" w14:paraId="338F7A3E" w14:textId="77777777" w:rsidTr="00EF0211">
        <w:trPr>
          <w:trHeight w:val="328"/>
        </w:trPr>
        <w:tc>
          <w:tcPr>
            <w:tcW w:w="3078" w:type="dxa"/>
            <w:noWrap/>
            <w:hideMark/>
          </w:tcPr>
          <w:p w14:paraId="37C92E59"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Detection of mixed pathogens</w:t>
            </w:r>
            <w:r>
              <w:rPr>
                <w:rFonts w:ascii="Calibri" w:eastAsia="Times New Roman" w:hAnsi="Calibri" w:cs="Calibri"/>
                <w:color w:val="000000"/>
                <w:lang w:val="en-ZA" w:eastAsia="en-ZA"/>
              </w:rPr>
              <w:t xml:space="preserve"> (n=3)</w:t>
            </w:r>
          </w:p>
        </w:tc>
        <w:tc>
          <w:tcPr>
            <w:tcW w:w="3078" w:type="dxa"/>
            <w:noWrap/>
            <w:hideMark/>
          </w:tcPr>
          <w:p w14:paraId="3C03D37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In vitro release test/profile</w:t>
            </w:r>
            <w:r>
              <w:rPr>
                <w:rFonts w:ascii="Calibri" w:eastAsia="Times New Roman" w:hAnsi="Calibri" w:cs="Calibri"/>
                <w:color w:val="000000"/>
                <w:lang w:val="en-ZA" w:eastAsia="en-ZA"/>
              </w:rPr>
              <w:t xml:space="preserve"> (n=3)</w:t>
            </w:r>
          </w:p>
        </w:tc>
        <w:tc>
          <w:tcPr>
            <w:tcW w:w="3078" w:type="dxa"/>
            <w:noWrap/>
            <w:hideMark/>
          </w:tcPr>
          <w:p w14:paraId="79D357FC"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BE358C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Interfering substances</w:t>
            </w:r>
            <w:r>
              <w:rPr>
                <w:rFonts w:ascii="Calibri" w:eastAsia="Times New Roman" w:hAnsi="Calibri" w:cs="Calibri"/>
                <w:color w:val="000000"/>
                <w:lang w:val="en-ZA" w:eastAsia="en-ZA"/>
              </w:rPr>
              <w:t xml:space="preserve"> (n=1)</w:t>
            </w:r>
          </w:p>
        </w:tc>
        <w:tc>
          <w:tcPr>
            <w:tcW w:w="3078" w:type="dxa"/>
            <w:noWrap/>
            <w:hideMark/>
          </w:tcPr>
          <w:p w14:paraId="1BD0C7D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Content uniformity</w:t>
            </w:r>
            <w:r>
              <w:rPr>
                <w:rFonts w:ascii="Calibri" w:eastAsia="Times New Roman" w:hAnsi="Calibri" w:cs="Calibri"/>
                <w:color w:val="000000"/>
                <w:lang w:val="en-ZA" w:eastAsia="en-ZA"/>
              </w:rPr>
              <w:t xml:space="preserve"> (n=2)</w:t>
            </w:r>
          </w:p>
        </w:tc>
      </w:tr>
      <w:tr w:rsidR="000F6CC7" w:rsidRPr="00CF5C5C" w14:paraId="4EC33845" w14:textId="77777777" w:rsidTr="00EF0211">
        <w:trPr>
          <w:trHeight w:val="328"/>
        </w:trPr>
        <w:tc>
          <w:tcPr>
            <w:tcW w:w="3078" w:type="dxa"/>
            <w:noWrap/>
            <w:hideMark/>
          </w:tcPr>
          <w:p w14:paraId="22516F06"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Regulatory requirements</w:t>
            </w:r>
            <w:r>
              <w:rPr>
                <w:rFonts w:ascii="Calibri" w:eastAsia="Times New Roman" w:hAnsi="Calibri" w:cs="Calibri"/>
                <w:color w:val="000000"/>
                <w:lang w:val="en-ZA" w:eastAsia="en-ZA"/>
              </w:rPr>
              <w:t xml:space="preserve"> (n=3)</w:t>
            </w:r>
          </w:p>
        </w:tc>
        <w:tc>
          <w:tcPr>
            <w:tcW w:w="3078" w:type="dxa"/>
            <w:noWrap/>
            <w:hideMark/>
          </w:tcPr>
          <w:p w14:paraId="291CEC2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Encapsulation efficiency</w:t>
            </w:r>
            <w:r>
              <w:rPr>
                <w:rFonts w:ascii="Calibri" w:eastAsia="Times New Roman" w:hAnsi="Calibri" w:cs="Calibri"/>
                <w:color w:val="000000"/>
                <w:lang w:val="en-ZA" w:eastAsia="en-ZA"/>
              </w:rPr>
              <w:t xml:space="preserve"> (n=3)</w:t>
            </w:r>
          </w:p>
        </w:tc>
        <w:tc>
          <w:tcPr>
            <w:tcW w:w="3078" w:type="dxa"/>
            <w:noWrap/>
            <w:hideMark/>
          </w:tcPr>
          <w:p w14:paraId="559B9B9B"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DAD7F8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Standardization and traceability</w:t>
            </w:r>
            <w:r>
              <w:rPr>
                <w:rFonts w:ascii="Calibri" w:eastAsia="Times New Roman" w:hAnsi="Calibri" w:cs="Calibri"/>
                <w:color w:val="000000"/>
                <w:lang w:val="en-ZA" w:eastAsia="en-ZA"/>
              </w:rPr>
              <w:t xml:space="preserve"> (n=1)</w:t>
            </w:r>
          </w:p>
        </w:tc>
        <w:tc>
          <w:tcPr>
            <w:tcW w:w="3078" w:type="dxa"/>
            <w:noWrap/>
            <w:hideMark/>
          </w:tcPr>
          <w:p w14:paraId="1402E97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Site of action</w:t>
            </w:r>
            <w:r>
              <w:rPr>
                <w:rFonts w:ascii="Calibri" w:eastAsia="Times New Roman" w:hAnsi="Calibri" w:cs="Calibri"/>
                <w:color w:val="000000"/>
                <w:lang w:val="en-ZA" w:eastAsia="en-ZA"/>
              </w:rPr>
              <w:t xml:space="preserve"> (n=2)</w:t>
            </w:r>
          </w:p>
        </w:tc>
      </w:tr>
      <w:tr w:rsidR="000F6CC7" w:rsidRPr="00CF5C5C" w14:paraId="377C64B3" w14:textId="77777777" w:rsidTr="00EF0211">
        <w:trPr>
          <w:trHeight w:val="328"/>
        </w:trPr>
        <w:tc>
          <w:tcPr>
            <w:tcW w:w="3078" w:type="dxa"/>
            <w:noWrap/>
            <w:hideMark/>
          </w:tcPr>
          <w:p w14:paraId="32529831"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Multiplexing</w:t>
            </w:r>
            <w:r>
              <w:rPr>
                <w:rFonts w:ascii="Calibri" w:eastAsia="Times New Roman" w:hAnsi="Calibri" w:cs="Calibri"/>
                <w:color w:val="000000"/>
                <w:lang w:val="en-ZA" w:eastAsia="en-ZA"/>
              </w:rPr>
              <w:t xml:space="preserve"> (n=3)</w:t>
            </w:r>
          </w:p>
        </w:tc>
        <w:tc>
          <w:tcPr>
            <w:tcW w:w="3078" w:type="dxa"/>
            <w:noWrap/>
            <w:hideMark/>
          </w:tcPr>
          <w:p w14:paraId="25A56393"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Release profile</w:t>
            </w:r>
            <w:r>
              <w:rPr>
                <w:rFonts w:ascii="Calibri" w:eastAsia="Times New Roman" w:hAnsi="Calibri" w:cs="Calibri"/>
                <w:color w:val="000000"/>
                <w:lang w:val="en-ZA" w:eastAsia="en-ZA"/>
              </w:rPr>
              <w:t xml:space="preserve"> (n=3)</w:t>
            </w:r>
          </w:p>
        </w:tc>
        <w:tc>
          <w:tcPr>
            <w:tcW w:w="3078" w:type="dxa"/>
            <w:noWrap/>
            <w:hideMark/>
          </w:tcPr>
          <w:p w14:paraId="54E9B4B9"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24C7117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Test result (quantit</w:t>
            </w:r>
            <w:r>
              <w:rPr>
                <w:rFonts w:ascii="Calibri" w:eastAsia="Times New Roman" w:hAnsi="Calibri" w:cs="Calibri"/>
                <w:color w:val="000000"/>
                <w:lang w:val="en-ZA" w:eastAsia="en-ZA"/>
              </w:rPr>
              <w:t>ative</w:t>
            </w:r>
            <w:r w:rsidRPr="00CF5C5C">
              <w:rPr>
                <w:rFonts w:ascii="Calibri" w:eastAsia="Times New Roman" w:hAnsi="Calibri" w:cs="Calibri"/>
                <w:color w:val="000000"/>
                <w:lang w:val="en-ZA" w:eastAsia="en-ZA"/>
              </w:rPr>
              <w:t>/qual</w:t>
            </w:r>
            <w:r>
              <w:rPr>
                <w:rFonts w:ascii="Calibri" w:eastAsia="Times New Roman" w:hAnsi="Calibri" w:cs="Calibri"/>
                <w:color w:val="000000"/>
                <w:lang w:val="en-ZA" w:eastAsia="en-ZA"/>
              </w:rPr>
              <w:t>itative</w:t>
            </w:r>
            <w:r w:rsidRPr="00CF5C5C">
              <w:rPr>
                <w:rFonts w:ascii="Calibri" w:eastAsia="Times New Roman" w:hAnsi="Calibri" w:cs="Calibri"/>
                <w:color w:val="000000"/>
                <w:lang w:val="en-ZA" w:eastAsia="en-ZA"/>
              </w:rPr>
              <w:t>)</w:t>
            </w:r>
            <w:r>
              <w:rPr>
                <w:rFonts w:ascii="Calibri" w:eastAsia="Times New Roman" w:hAnsi="Calibri" w:cs="Calibri"/>
                <w:color w:val="000000"/>
                <w:lang w:val="en-ZA" w:eastAsia="en-ZA"/>
              </w:rPr>
              <w:t xml:space="preserve"> (n=1)</w:t>
            </w:r>
          </w:p>
        </w:tc>
        <w:tc>
          <w:tcPr>
            <w:tcW w:w="3078" w:type="dxa"/>
            <w:noWrap/>
            <w:hideMark/>
          </w:tcPr>
          <w:p w14:paraId="03F70B6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Cell viability</w:t>
            </w:r>
            <w:r>
              <w:rPr>
                <w:rFonts w:ascii="Calibri" w:eastAsia="Times New Roman" w:hAnsi="Calibri" w:cs="Calibri"/>
                <w:color w:val="000000"/>
                <w:lang w:val="en-ZA" w:eastAsia="en-ZA"/>
              </w:rPr>
              <w:t xml:space="preserve"> (n=2)</w:t>
            </w:r>
          </w:p>
        </w:tc>
      </w:tr>
      <w:tr w:rsidR="000F6CC7" w:rsidRPr="00CF5C5C" w14:paraId="5EE3219A" w14:textId="77777777" w:rsidTr="00EF0211">
        <w:trPr>
          <w:trHeight w:val="328"/>
        </w:trPr>
        <w:tc>
          <w:tcPr>
            <w:tcW w:w="3078" w:type="dxa"/>
            <w:noWrap/>
            <w:hideMark/>
          </w:tcPr>
          <w:p w14:paraId="3A300669"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Reagent/test preparation</w:t>
            </w:r>
            <w:r>
              <w:rPr>
                <w:rFonts w:ascii="Calibri" w:eastAsia="Times New Roman" w:hAnsi="Calibri" w:cs="Calibri"/>
                <w:color w:val="000000"/>
                <w:lang w:val="en-ZA" w:eastAsia="en-ZA"/>
              </w:rPr>
              <w:t xml:space="preserve"> (n=3)</w:t>
            </w:r>
          </w:p>
        </w:tc>
        <w:tc>
          <w:tcPr>
            <w:tcW w:w="3078" w:type="dxa"/>
            <w:noWrap/>
            <w:hideMark/>
          </w:tcPr>
          <w:p w14:paraId="5F72CCC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Drug release (%)</w:t>
            </w:r>
            <w:r>
              <w:rPr>
                <w:rFonts w:ascii="Calibri" w:eastAsia="Times New Roman" w:hAnsi="Calibri" w:cs="Calibri"/>
                <w:color w:val="000000"/>
                <w:lang w:val="en-ZA" w:eastAsia="en-ZA"/>
              </w:rPr>
              <w:t xml:space="preserve"> (n=3)</w:t>
            </w:r>
          </w:p>
        </w:tc>
        <w:tc>
          <w:tcPr>
            <w:tcW w:w="3078" w:type="dxa"/>
            <w:noWrap/>
            <w:hideMark/>
          </w:tcPr>
          <w:p w14:paraId="5225BD16"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0CD3DEF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Distribution territory</w:t>
            </w:r>
            <w:r>
              <w:rPr>
                <w:rFonts w:ascii="Calibri" w:eastAsia="Times New Roman" w:hAnsi="Calibri" w:cs="Calibri"/>
                <w:color w:val="000000"/>
                <w:lang w:val="en-ZA" w:eastAsia="en-ZA"/>
              </w:rPr>
              <w:t xml:space="preserve"> (n=1)</w:t>
            </w:r>
          </w:p>
        </w:tc>
        <w:tc>
          <w:tcPr>
            <w:tcW w:w="3078" w:type="dxa"/>
            <w:noWrap/>
            <w:hideMark/>
          </w:tcPr>
          <w:p w14:paraId="371C973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Target user</w:t>
            </w:r>
            <w:r>
              <w:rPr>
                <w:rFonts w:ascii="Calibri" w:eastAsia="Times New Roman" w:hAnsi="Calibri" w:cs="Calibri"/>
                <w:color w:val="000000"/>
                <w:lang w:val="en-ZA" w:eastAsia="en-ZA"/>
              </w:rPr>
              <w:t xml:space="preserve"> (n=1)</w:t>
            </w:r>
          </w:p>
        </w:tc>
      </w:tr>
      <w:tr w:rsidR="000F6CC7" w:rsidRPr="00CF5C5C" w14:paraId="5ED58EEA" w14:textId="77777777" w:rsidTr="00EF0211">
        <w:trPr>
          <w:trHeight w:val="328"/>
        </w:trPr>
        <w:tc>
          <w:tcPr>
            <w:tcW w:w="3078" w:type="dxa"/>
            <w:noWrap/>
            <w:hideMark/>
          </w:tcPr>
          <w:p w14:paraId="4A8D095B"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lastRenderedPageBreak/>
              <w:t>Data output</w:t>
            </w:r>
            <w:r>
              <w:rPr>
                <w:rFonts w:ascii="Calibri" w:eastAsia="Times New Roman" w:hAnsi="Calibri" w:cs="Calibri"/>
                <w:color w:val="000000"/>
                <w:lang w:val="en-ZA" w:eastAsia="en-ZA"/>
              </w:rPr>
              <w:t xml:space="preserve"> (n=3)</w:t>
            </w:r>
          </w:p>
        </w:tc>
        <w:tc>
          <w:tcPr>
            <w:tcW w:w="3078" w:type="dxa"/>
            <w:noWrap/>
            <w:hideMark/>
          </w:tcPr>
          <w:p w14:paraId="1FACBDEE" w14:textId="77777777" w:rsidR="000F6CC7" w:rsidRPr="00CF5C5C" w:rsidRDefault="000F6CC7" w:rsidP="00EF0211">
            <w:pPr>
              <w:jc w:val="center"/>
              <w:rPr>
                <w:rFonts w:ascii="Calibri" w:eastAsia="Times New Roman" w:hAnsi="Calibri" w:cs="Calibri"/>
                <w:color w:val="000000"/>
                <w:lang w:val="en-ZA" w:eastAsia="en-ZA"/>
              </w:rPr>
            </w:pPr>
            <w:proofErr w:type="spellStart"/>
            <w:r w:rsidRPr="00CF5C5C">
              <w:rPr>
                <w:rFonts w:ascii="Calibri" w:eastAsia="Times New Roman" w:hAnsi="Calibri" w:cs="Calibri"/>
                <w:color w:val="000000"/>
                <w:lang w:val="en-ZA" w:eastAsia="en-ZA"/>
              </w:rPr>
              <w:t>Reagen</w:t>
            </w:r>
            <w:proofErr w:type="spellEnd"/>
            <w:r w:rsidRPr="00CF5C5C">
              <w:rPr>
                <w:rFonts w:ascii="Calibri" w:eastAsia="Times New Roman" w:hAnsi="Calibri" w:cs="Calibri"/>
                <w:color w:val="000000"/>
                <w:lang w:val="en-ZA" w:eastAsia="en-ZA"/>
              </w:rPr>
              <w:t xml:space="preserve"> kit transport stability/cold chain requirements</w:t>
            </w:r>
            <w:r>
              <w:rPr>
                <w:rFonts w:ascii="Calibri" w:eastAsia="Times New Roman" w:hAnsi="Calibri" w:cs="Calibri"/>
                <w:color w:val="000000"/>
                <w:lang w:val="en-ZA" w:eastAsia="en-ZA"/>
              </w:rPr>
              <w:t xml:space="preserve"> (n=2)</w:t>
            </w:r>
          </w:p>
        </w:tc>
        <w:tc>
          <w:tcPr>
            <w:tcW w:w="3078" w:type="dxa"/>
            <w:noWrap/>
            <w:hideMark/>
          </w:tcPr>
          <w:p w14:paraId="40FF0D15"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13A5AC4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Packaging</w:t>
            </w:r>
            <w:r>
              <w:rPr>
                <w:rFonts w:ascii="Calibri" w:eastAsia="Times New Roman" w:hAnsi="Calibri" w:cs="Calibri"/>
                <w:color w:val="000000"/>
                <w:lang w:val="en-ZA" w:eastAsia="en-ZA"/>
              </w:rPr>
              <w:t xml:space="preserve"> (n=1)</w:t>
            </w:r>
          </w:p>
        </w:tc>
        <w:tc>
          <w:tcPr>
            <w:tcW w:w="3078" w:type="dxa"/>
            <w:noWrap/>
            <w:hideMark/>
          </w:tcPr>
          <w:p w14:paraId="55CE1A5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Level of implementation in the healthcare system</w:t>
            </w:r>
            <w:r>
              <w:rPr>
                <w:rFonts w:ascii="Calibri" w:eastAsia="Times New Roman" w:hAnsi="Calibri" w:cs="Calibri"/>
                <w:color w:val="000000"/>
                <w:lang w:val="en-ZA" w:eastAsia="en-ZA"/>
              </w:rPr>
              <w:t xml:space="preserve"> (n=1)</w:t>
            </w:r>
          </w:p>
        </w:tc>
      </w:tr>
      <w:tr w:rsidR="000F6CC7" w:rsidRPr="00CF5C5C" w14:paraId="437ACDDA" w14:textId="77777777" w:rsidTr="00EF0211">
        <w:trPr>
          <w:trHeight w:val="328"/>
        </w:trPr>
        <w:tc>
          <w:tcPr>
            <w:tcW w:w="3078" w:type="dxa"/>
            <w:noWrap/>
            <w:hideMark/>
          </w:tcPr>
          <w:p w14:paraId="41D884E5"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Target molecule</w:t>
            </w:r>
            <w:r>
              <w:rPr>
                <w:rFonts w:ascii="Calibri" w:eastAsia="Times New Roman" w:hAnsi="Calibri" w:cs="Calibri"/>
                <w:color w:val="000000"/>
                <w:lang w:val="en-ZA" w:eastAsia="en-ZA"/>
              </w:rPr>
              <w:t xml:space="preserve"> (n=3)</w:t>
            </w:r>
          </w:p>
        </w:tc>
        <w:tc>
          <w:tcPr>
            <w:tcW w:w="3078" w:type="dxa"/>
            <w:noWrap/>
            <w:hideMark/>
          </w:tcPr>
          <w:p w14:paraId="2A6F0F86"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Tolerability</w:t>
            </w:r>
            <w:r>
              <w:rPr>
                <w:rFonts w:ascii="Calibri" w:eastAsia="Times New Roman" w:hAnsi="Calibri" w:cs="Calibri"/>
                <w:color w:val="000000"/>
                <w:lang w:val="en-ZA" w:eastAsia="en-ZA"/>
              </w:rPr>
              <w:t xml:space="preserve"> (n=2)</w:t>
            </w:r>
          </w:p>
        </w:tc>
        <w:tc>
          <w:tcPr>
            <w:tcW w:w="3078" w:type="dxa"/>
            <w:noWrap/>
            <w:hideMark/>
          </w:tcPr>
          <w:p w14:paraId="01B3425A"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50532C9"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37A3CC9"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Instrument Connectivity and power</w:t>
            </w:r>
            <w:r>
              <w:rPr>
                <w:rFonts w:ascii="Calibri" w:eastAsia="Times New Roman" w:hAnsi="Calibri" w:cs="Calibri"/>
                <w:color w:val="000000"/>
                <w:lang w:val="en-ZA" w:eastAsia="en-ZA"/>
              </w:rPr>
              <w:t xml:space="preserve"> (n=1)</w:t>
            </w:r>
          </w:p>
        </w:tc>
      </w:tr>
      <w:tr w:rsidR="000F6CC7" w:rsidRPr="00CF5C5C" w14:paraId="4AC91444" w14:textId="77777777" w:rsidTr="00EF0211">
        <w:trPr>
          <w:trHeight w:val="328"/>
        </w:trPr>
        <w:tc>
          <w:tcPr>
            <w:tcW w:w="3078" w:type="dxa"/>
            <w:hideMark/>
          </w:tcPr>
          <w:p w14:paraId="5937EE13"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Reproducibility near clinical threshold</w:t>
            </w:r>
            <w:r>
              <w:rPr>
                <w:rFonts w:ascii="Calibri" w:eastAsia="Times New Roman" w:hAnsi="Calibri" w:cs="Calibri"/>
                <w:color w:val="000000"/>
                <w:lang w:val="en-ZA" w:eastAsia="en-ZA"/>
              </w:rPr>
              <w:t xml:space="preserve"> (n=3)</w:t>
            </w:r>
          </w:p>
        </w:tc>
        <w:tc>
          <w:tcPr>
            <w:tcW w:w="3078" w:type="dxa"/>
            <w:noWrap/>
            <w:hideMark/>
          </w:tcPr>
          <w:p w14:paraId="51B52C7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Duration of dosing</w:t>
            </w:r>
            <w:r>
              <w:rPr>
                <w:rFonts w:ascii="Calibri" w:eastAsia="Times New Roman" w:hAnsi="Calibri" w:cs="Calibri"/>
                <w:color w:val="000000"/>
                <w:lang w:val="en-ZA" w:eastAsia="en-ZA"/>
              </w:rPr>
              <w:t xml:space="preserve"> (n=2)</w:t>
            </w:r>
          </w:p>
        </w:tc>
        <w:tc>
          <w:tcPr>
            <w:tcW w:w="3078" w:type="dxa"/>
            <w:noWrap/>
            <w:hideMark/>
          </w:tcPr>
          <w:p w14:paraId="2E788C3B"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61A87E96"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180D2174"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Internal quality control</w:t>
            </w:r>
            <w:r>
              <w:rPr>
                <w:rFonts w:ascii="Calibri" w:eastAsia="Times New Roman" w:hAnsi="Calibri" w:cs="Calibri"/>
                <w:color w:val="000000"/>
                <w:lang w:val="en-ZA" w:eastAsia="en-ZA"/>
              </w:rPr>
              <w:t xml:space="preserve"> (n=1)</w:t>
            </w:r>
          </w:p>
        </w:tc>
      </w:tr>
      <w:tr w:rsidR="000F6CC7" w:rsidRPr="00CF5C5C" w14:paraId="00779CF3" w14:textId="77777777" w:rsidTr="00EF0211">
        <w:trPr>
          <w:trHeight w:val="328"/>
        </w:trPr>
        <w:tc>
          <w:tcPr>
            <w:tcW w:w="3078" w:type="dxa"/>
            <w:noWrap/>
            <w:hideMark/>
          </w:tcPr>
          <w:p w14:paraId="1F1B463A"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Result output</w:t>
            </w:r>
            <w:r>
              <w:rPr>
                <w:rFonts w:ascii="Calibri" w:eastAsia="Times New Roman" w:hAnsi="Calibri" w:cs="Calibri"/>
                <w:color w:val="000000"/>
                <w:lang w:val="en-ZA" w:eastAsia="en-ZA"/>
              </w:rPr>
              <w:t xml:space="preserve"> (n=3)</w:t>
            </w:r>
          </w:p>
        </w:tc>
        <w:tc>
          <w:tcPr>
            <w:tcW w:w="3078" w:type="dxa"/>
            <w:noWrap/>
            <w:hideMark/>
          </w:tcPr>
          <w:p w14:paraId="7461EA85"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Product quality</w:t>
            </w:r>
            <w:r>
              <w:rPr>
                <w:rFonts w:ascii="Calibri" w:eastAsia="Times New Roman" w:hAnsi="Calibri" w:cs="Calibri"/>
                <w:color w:val="000000"/>
                <w:lang w:val="en-ZA" w:eastAsia="en-ZA"/>
              </w:rPr>
              <w:t xml:space="preserve"> (n=2)</w:t>
            </w:r>
          </w:p>
        </w:tc>
        <w:tc>
          <w:tcPr>
            <w:tcW w:w="3078" w:type="dxa"/>
            <w:noWrap/>
            <w:hideMark/>
          </w:tcPr>
          <w:p w14:paraId="6B6EED25"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198C95D0"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15BF94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Training and education needs</w:t>
            </w:r>
            <w:r>
              <w:rPr>
                <w:rFonts w:ascii="Calibri" w:eastAsia="Times New Roman" w:hAnsi="Calibri" w:cs="Calibri"/>
                <w:color w:val="000000"/>
                <w:lang w:val="en-ZA" w:eastAsia="en-ZA"/>
              </w:rPr>
              <w:t xml:space="preserve"> (n=1)</w:t>
            </w:r>
          </w:p>
        </w:tc>
      </w:tr>
      <w:tr w:rsidR="000F6CC7" w:rsidRPr="00CF5C5C" w14:paraId="4761C537" w14:textId="77777777" w:rsidTr="00EF0211">
        <w:trPr>
          <w:trHeight w:val="328"/>
        </w:trPr>
        <w:tc>
          <w:tcPr>
            <w:tcW w:w="3078" w:type="dxa"/>
            <w:noWrap/>
            <w:hideMark/>
          </w:tcPr>
          <w:p w14:paraId="07CCBC92"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Data capture</w:t>
            </w:r>
            <w:r>
              <w:rPr>
                <w:rFonts w:ascii="Calibri" w:eastAsia="Times New Roman" w:hAnsi="Calibri" w:cs="Calibri"/>
                <w:color w:val="000000"/>
                <w:lang w:val="en-ZA" w:eastAsia="en-ZA"/>
              </w:rPr>
              <w:t xml:space="preserve"> (n=3)</w:t>
            </w:r>
          </w:p>
        </w:tc>
        <w:tc>
          <w:tcPr>
            <w:tcW w:w="3078" w:type="dxa"/>
            <w:noWrap/>
            <w:hideMark/>
          </w:tcPr>
          <w:p w14:paraId="546AD98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PK target efficacy</w:t>
            </w:r>
            <w:r>
              <w:rPr>
                <w:rFonts w:ascii="Calibri" w:eastAsia="Times New Roman" w:hAnsi="Calibri" w:cs="Calibri"/>
                <w:color w:val="000000"/>
                <w:lang w:val="en-ZA" w:eastAsia="en-ZA"/>
              </w:rPr>
              <w:t xml:space="preserve"> (n=2)</w:t>
            </w:r>
          </w:p>
        </w:tc>
        <w:tc>
          <w:tcPr>
            <w:tcW w:w="3078" w:type="dxa"/>
            <w:noWrap/>
            <w:hideMark/>
          </w:tcPr>
          <w:p w14:paraId="2228B128"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0E210CDF"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4F7897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Data output</w:t>
            </w:r>
            <w:r>
              <w:rPr>
                <w:rFonts w:ascii="Calibri" w:eastAsia="Times New Roman" w:hAnsi="Calibri" w:cs="Calibri"/>
                <w:color w:val="000000"/>
                <w:lang w:val="en-ZA" w:eastAsia="en-ZA"/>
              </w:rPr>
              <w:t xml:space="preserve"> (n=1)</w:t>
            </w:r>
          </w:p>
        </w:tc>
      </w:tr>
      <w:tr w:rsidR="000F6CC7" w:rsidRPr="00CF5C5C" w14:paraId="28C8E548" w14:textId="77777777" w:rsidTr="00EF0211">
        <w:trPr>
          <w:trHeight w:val="328"/>
        </w:trPr>
        <w:tc>
          <w:tcPr>
            <w:tcW w:w="3078" w:type="dxa"/>
            <w:hideMark/>
          </w:tcPr>
          <w:p w14:paraId="0CD7BC28"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Testing outcome</w:t>
            </w:r>
            <w:r>
              <w:rPr>
                <w:rFonts w:ascii="Calibri" w:eastAsia="Times New Roman" w:hAnsi="Calibri" w:cs="Calibri"/>
                <w:color w:val="000000"/>
                <w:lang w:val="en-ZA" w:eastAsia="en-ZA"/>
              </w:rPr>
              <w:t xml:space="preserve"> (n=2)</w:t>
            </w:r>
          </w:p>
        </w:tc>
        <w:tc>
          <w:tcPr>
            <w:tcW w:w="3078" w:type="dxa"/>
            <w:noWrap/>
            <w:hideMark/>
          </w:tcPr>
          <w:p w14:paraId="4B59F09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Percentage friability</w:t>
            </w:r>
            <w:r>
              <w:rPr>
                <w:rFonts w:ascii="Calibri" w:eastAsia="Times New Roman" w:hAnsi="Calibri" w:cs="Calibri"/>
                <w:color w:val="000000"/>
                <w:lang w:val="en-ZA" w:eastAsia="en-ZA"/>
              </w:rPr>
              <w:t xml:space="preserve"> (n=2)</w:t>
            </w:r>
          </w:p>
        </w:tc>
        <w:tc>
          <w:tcPr>
            <w:tcW w:w="3078" w:type="dxa"/>
            <w:noWrap/>
            <w:hideMark/>
          </w:tcPr>
          <w:p w14:paraId="546FDB8C"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62466C03"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2AAAD5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Safety (for individuals)</w:t>
            </w:r>
            <w:r>
              <w:rPr>
                <w:rFonts w:ascii="Calibri" w:eastAsia="Times New Roman" w:hAnsi="Calibri" w:cs="Calibri"/>
                <w:color w:val="000000"/>
                <w:lang w:val="en-ZA" w:eastAsia="en-ZA"/>
              </w:rPr>
              <w:t xml:space="preserve"> (n=1)</w:t>
            </w:r>
          </w:p>
        </w:tc>
      </w:tr>
      <w:tr w:rsidR="000F6CC7" w:rsidRPr="00CF5C5C" w14:paraId="06F12390" w14:textId="77777777" w:rsidTr="00EF0211">
        <w:trPr>
          <w:trHeight w:val="328"/>
        </w:trPr>
        <w:tc>
          <w:tcPr>
            <w:tcW w:w="3078" w:type="dxa"/>
            <w:hideMark/>
          </w:tcPr>
          <w:p w14:paraId="3E10CC9B"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 xml:space="preserve"> Stability/shelf life</w:t>
            </w:r>
            <w:r>
              <w:rPr>
                <w:rFonts w:ascii="Calibri" w:eastAsia="Times New Roman" w:hAnsi="Calibri" w:cs="Calibri"/>
                <w:color w:val="000000"/>
                <w:lang w:val="en-ZA" w:eastAsia="en-ZA"/>
              </w:rPr>
              <w:t xml:space="preserve"> (n=2)</w:t>
            </w:r>
          </w:p>
        </w:tc>
        <w:tc>
          <w:tcPr>
            <w:tcW w:w="3078" w:type="dxa"/>
            <w:noWrap/>
            <w:hideMark/>
          </w:tcPr>
          <w:p w14:paraId="25861AC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Drug content</w:t>
            </w:r>
            <w:r>
              <w:rPr>
                <w:rFonts w:ascii="Calibri" w:eastAsia="Times New Roman" w:hAnsi="Calibri" w:cs="Calibri"/>
                <w:color w:val="000000"/>
                <w:lang w:val="en-ZA" w:eastAsia="en-ZA"/>
              </w:rPr>
              <w:t xml:space="preserve"> (n=2)</w:t>
            </w:r>
          </w:p>
        </w:tc>
        <w:tc>
          <w:tcPr>
            <w:tcW w:w="3078" w:type="dxa"/>
            <w:noWrap/>
            <w:hideMark/>
          </w:tcPr>
          <w:p w14:paraId="24BEB856"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3B285DF"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2C6928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(Drug-drug) Interactions</w:t>
            </w:r>
            <w:r>
              <w:rPr>
                <w:rFonts w:ascii="Calibri" w:eastAsia="Times New Roman" w:hAnsi="Calibri" w:cs="Calibri"/>
                <w:color w:val="000000"/>
                <w:lang w:val="en-ZA" w:eastAsia="en-ZA"/>
              </w:rPr>
              <w:t xml:space="preserve"> (n=1)</w:t>
            </w:r>
          </w:p>
        </w:tc>
      </w:tr>
      <w:tr w:rsidR="000F6CC7" w:rsidRPr="00CF5C5C" w14:paraId="3CC705BF" w14:textId="77777777" w:rsidTr="00EF0211">
        <w:trPr>
          <w:trHeight w:val="328"/>
        </w:trPr>
        <w:tc>
          <w:tcPr>
            <w:tcW w:w="3078" w:type="dxa"/>
            <w:hideMark/>
          </w:tcPr>
          <w:p w14:paraId="6BEDF3D9"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External control</w:t>
            </w:r>
            <w:r>
              <w:rPr>
                <w:rFonts w:ascii="Calibri" w:eastAsia="Times New Roman" w:hAnsi="Calibri" w:cs="Calibri"/>
                <w:color w:val="000000"/>
                <w:lang w:val="en-ZA" w:eastAsia="en-ZA"/>
              </w:rPr>
              <w:t xml:space="preserve"> (n=2)</w:t>
            </w:r>
          </w:p>
        </w:tc>
        <w:tc>
          <w:tcPr>
            <w:tcW w:w="3078" w:type="dxa"/>
            <w:noWrap/>
            <w:hideMark/>
          </w:tcPr>
          <w:p w14:paraId="22B0AFF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Product registration and WHO prequalification</w:t>
            </w:r>
            <w:r>
              <w:rPr>
                <w:rFonts w:ascii="Calibri" w:eastAsia="Times New Roman" w:hAnsi="Calibri" w:cs="Calibri"/>
                <w:color w:val="000000"/>
                <w:lang w:val="en-ZA" w:eastAsia="en-ZA"/>
              </w:rPr>
              <w:t xml:space="preserve"> (n=2)</w:t>
            </w:r>
          </w:p>
        </w:tc>
        <w:tc>
          <w:tcPr>
            <w:tcW w:w="3078" w:type="dxa"/>
            <w:noWrap/>
            <w:hideMark/>
          </w:tcPr>
          <w:p w14:paraId="6F5A5770"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7D947F0"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5A9C3B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Yield (%)</w:t>
            </w:r>
            <w:r>
              <w:rPr>
                <w:rFonts w:ascii="Calibri" w:eastAsia="Times New Roman" w:hAnsi="Calibri" w:cs="Calibri"/>
                <w:color w:val="000000"/>
                <w:lang w:val="en-ZA" w:eastAsia="en-ZA"/>
              </w:rPr>
              <w:t xml:space="preserve"> (n=1)</w:t>
            </w:r>
          </w:p>
        </w:tc>
      </w:tr>
      <w:tr w:rsidR="000F6CC7" w:rsidRPr="00CF5C5C" w14:paraId="0C08E462" w14:textId="77777777" w:rsidTr="00EF0211">
        <w:trPr>
          <w:trHeight w:val="328"/>
        </w:trPr>
        <w:tc>
          <w:tcPr>
            <w:tcW w:w="3078" w:type="dxa"/>
            <w:hideMark/>
          </w:tcPr>
          <w:p w14:paraId="3A34534B"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Ideal diagnostic marker</w:t>
            </w:r>
            <w:r>
              <w:rPr>
                <w:rFonts w:ascii="Calibri" w:eastAsia="Times New Roman" w:hAnsi="Calibri" w:cs="Calibri"/>
                <w:color w:val="000000"/>
                <w:lang w:val="en-ZA" w:eastAsia="en-ZA"/>
              </w:rPr>
              <w:t xml:space="preserve"> (n=2)</w:t>
            </w:r>
          </w:p>
        </w:tc>
        <w:tc>
          <w:tcPr>
            <w:tcW w:w="3078" w:type="dxa"/>
            <w:noWrap/>
            <w:hideMark/>
          </w:tcPr>
          <w:p w14:paraId="046C3519"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Disintegration</w:t>
            </w:r>
            <w:r>
              <w:rPr>
                <w:rFonts w:ascii="Calibri" w:eastAsia="Times New Roman" w:hAnsi="Calibri" w:cs="Calibri"/>
                <w:color w:val="000000"/>
                <w:lang w:val="en-ZA" w:eastAsia="en-ZA"/>
              </w:rPr>
              <w:t xml:space="preserve"> (n=2)</w:t>
            </w:r>
          </w:p>
        </w:tc>
        <w:tc>
          <w:tcPr>
            <w:tcW w:w="3078" w:type="dxa"/>
            <w:noWrap/>
            <w:hideMark/>
          </w:tcPr>
          <w:p w14:paraId="463DB32F"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80FE744"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52809B3"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Mechanism of action</w:t>
            </w:r>
            <w:r>
              <w:rPr>
                <w:rFonts w:ascii="Calibri" w:eastAsia="Times New Roman" w:hAnsi="Calibri" w:cs="Calibri"/>
                <w:color w:val="000000"/>
                <w:lang w:val="en-ZA" w:eastAsia="en-ZA"/>
              </w:rPr>
              <w:t xml:space="preserve"> (n=1)</w:t>
            </w:r>
          </w:p>
        </w:tc>
      </w:tr>
      <w:tr w:rsidR="000F6CC7" w:rsidRPr="00CF5C5C" w14:paraId="22F8CAFF" w14:textId="77777777" w:rsidTr="00EF0211">
        <w:trPr>
          <w:trHeight w:val="328"/>
        </w:trPr>
        <w:tc>
          <w:tcPr>
            <w:tcW w:w="3078" w:type="dxa"/>
            <w:hideMark/>
          </w:tcPr>
          <w:p w14:paraId="4C2E3A99"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Presence of internal controls</w:t>
            </w:r>
            <w:r>
              <w:rPr>
                <w:rFonts w:ascii="Calibri" w:eastAsia="Times New Roman" w:hAnsi="Calibri" w:cs="Calibri"/>
                <w:color w:val="000000"/>
                <w:lang w:val="en-ZA" w:eastAsia="en-ZA"/>
              </w:rPr>
              <w:t xml:space="preserve"> (n=2)</w:t>
            </w:r>
          </w:p>
        </w:tc>
        <w:tc>
          <w:tcPr>
            <w:tcW w:w="3078" w:type="dxa"/>
            <w:noWrap/>
            <w:hideMark/>
          </w:tcPr>
          <w:p w14:paraId="248AE5D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Residual solvent</w:t>
            </w:r>
            <w:r>
              <w:rPr>
                <w:rFonts w:ascii="Calibri" w:eastAsia="Times New Roman" w:hAnsi="Calibri" w:cs="Calibri"/>
                <w:color w:val="000000"/>
                <w:lang w:val="en-ZA" w:eastAsia="en-ZA"/>
              </w:rPr>
              <w:t xml:space="preserve"> (n=2)</w:t>
            </w:r>
          </w:p>
        </w:tc>
        <w:tc>
          <w:tcPr>
            <w:tcW w:w="3078" w:type="dxa"/>
            <w:noWrap/>
            <w:hideMark/>
          </w:tcPr>
          <w:p w14:paraId="7FA1006F"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E9AA885"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E3FDC7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Posology</w:t>
            </w:r>
            <w:r>
              <w:rPr>
                <w:rFonts w:ascii="Calibri" w:eastAsia="Times New Roman" w:hAnsi="Calibri" w:cs="Calibri"/>
                <w:color w:val="000000"/>
                <w:lang w:val="en-ZA" w:eastAsia="en-ZA"/>
              </w:rPr>
              <w:t xml:space="preserve"> (n=1)</w:t>
            </w:r>
          </w:p>
        </w:tc>
      </w:tr>
      <w:tr w:rsidR="000F6CC7" w:rsidRPr="00CF5C5C" w14:paraId="28736014" w14:textId="77777777" w:rsidTr="00EF0211">
        <w:trPr>
          <w:trHeight w:val="656"/>
        </w:trPr>
        <w:tc>
          <w:tcPr>
            <w:tcW w:w="3078" w:type="dxa"/>
            <w:hideMark/>
          </w:tcPr>
          <w:p w14:paraId="3D905A59"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Ability to test for other diseases/multiuse platform</w:t>
            </w:r>
            <w:r>
              <w:rPr>
                <w:rFonts w:ascii="Calibri" w:eastAsia="Times New Roman" w:hAnsi="Calibri" w:cs="Calibri"/>
                <w:color w:val="000000"/>
                <w:lang w:val="en-ZA" w:eastAsia="en-ZA"/>
              </w:rPr>
              <w:t xml:space="preserve"> (n=2)</w:t>
            </w:r>
          </w:p>
        </w:tc>
        <w:tc>
          <w:tcPr>
            <w:tcW w:w="3078" w:type="dxa"/>
            <w:noWrap/>
            <w:hideMark/>
          </w:tcPr>
          <w:p w14:paraId="65E6EDA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Weight</w:t>
            </w:r>
            <w:r>
              <w:rPr>
                <w:rFonts w:ascii="Calibri" w:eastAsia="Times New Roman" w:hAnsi="Calibri" w:cs="Calibri"/>
                <w:color w:val="000000"/>
                <w:lang w:val="en-ZA" w:eastAsia="en-ZA"/>
              </w:rPr>
              <w:t xml:space="preserve"> (n=2)</w:t>
            </w:r>
          </w:p>
        </w:tc>
        <w:tc>
          <w:tcPr>
            <w:tcW w:w="3078" w:type="dxa"/>
            <w:noWrap/>
            <w:hideMark/>
          </w:tcPr>
          <w:p w14:paraId="67374FDE"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FFFE6B1"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741F57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Therapeutic (antimalarial) effects</w:t>
            </w:r>
            <w:r>
              <w:rPr>
                <w:rFonts w:ascii="Calibri" w:eastAsia="Times New Roman" w:hAnsi="Calibri" w:cs="Calibri"/>
                <w:color w:val="000000"/>
                <w:lang w:val="en-ZA" w:eastAsia="en-ZA"/>
              </w:rPr>
              <w:t xml:space="preserve"> (n=1)</w:t>
            </w:r>
          </w:p>
        </w:tc>
      </w:tr>
      <w:tr w:rsidR="000F6CC7" w:rsidRPr="00CF5C5C" w14:paraId="7CD604D2" w14:textId="77777777" w:rsidTr="00EF0211">
        <w:trPr>
          <w:trHeight w:val="328"/>
        </w:trPr>
        <w:tc>
          <w:tcPr>
            <w:tcW w:w="3078" w:type="dxa"/>
            <w:hideMark/>
          </w:tcPr>
          <w:p w14:paraId="6D39A46C"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Operating altitude</w:t>
            </w:r>
            <w:r>
              <w:rPr>
                <w:rFonts w:ascii="Calibri" w:eastAsia="Times New Roman" w:hAnsi="Calibri" w:cs="Calibri"/>
                <w:color w:val="000000"/>
                <w:lang w:val="en-ZA" w:eastAsia="en-ZA"/>
              </w:rPr>
              <w:t xml:space="preserve"> (n=2)</w:t>
            </w:r>
          </w:p>
        </w:tc>
        <w:tc>
          <w:tcPr>
            <w:tcW w:w="3078" w:type="dxa"/>
            <w:noWrap/>
            <w:hideMark/>
          </w:tcPr>
          <w:p w14:paraId="5765B62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Identity</w:t>
            </w:r>
            <w:r>
              <w:rPr>
                <w:rFonts w:ascii="Calibri" w:eastAsia="Times New Roman" w:hAnsi="Calibri" w:cs="Calibri"/>
                <w:color w:val="000000"/>
                <w:lang w:val="en-ZA" w:eastAsia="en-ZA"/>
              </w:rPr>
              <w:t xml:space="preserve"> (n=2)</w:t>
            </w:r>
          </w:p>
        </w:tc>
        <w:tc>
          <w:tcPr>
            <w:tcW w:w="3078" w:type="dxa"/>
            <w:noWrap/>
            <w:hideMark/>
          </w:tcPr>
          <w:p w14:paraId="740AA83F"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7E5792A"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196618E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Clinical efficacy</w:t>
            </w:r>
            <w:r>
              <w:rPr>
                <w:rFonts w:ascii="Calibri" w:eastAsia="Times New Roman" w:hAnsi="Calibri" w:cs="Calibri"/>
                <w:color w:val="000000"/>
                <w:lang w:val="en-ZA" w:eastAsia="en-ZA"/>
              </w:rPr>
              <w:t xml:space="preserve"> (n=1)</w:t>
            </w:r>
          </w:p>
        </w:tc>
      </w:tr>
      <w:tr w:rsidR="000F6CC7" w:rsidRPr="00CF5C5C" w14:paraId="5484110E" w14:textId="77777777" w:rsidTr="00EF0211">
        <w:trPr>
          <w:trHeight w:val="328"/>
        </w:trPr>
        <w:tc>
          <w:tcPr>
            <w:tcW w:w="3078" w:type="dxa"/>
            <w:hideMark/>
          </w:tcPr>
          <w:p w14:paraId="3983E141"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Reagent reconstitution</w:t>
            </w:r>
            <w:r>
              <w:rPr>
                <w:rFonts w:ascii="Calibri" w:eastAsia="Times New Roman" w:hAnsi="Calibri" w:cs="Calibri"/>
                <w:color w:val="000000"/>
                <w:lang w:val="en-ZA" w:eastAsia="en-ZA"/>
              </w:rPr>
              <w:t xml:space="preserve"> (n=2)</w:t>
            </w:r>
          </w:p>
        </w:tc>
        <w:tc>
          <w:tcPr>
            <w:tcW w:w="3078" w:type="dxa"/>
            <w:noWrap/>
            <w:hideMark/>
          </w:tcPr>
          <w:p w14:paraId="136542E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Isotonicity</w:t>
            </w:r>
            <w:r>
              <w:rPr>
                <w:rFonts w:ascii="Calibri" w:eastAsia="Times New Roman" w:hAnsi="Calibri" w:cs="Calibri"/>
                <w:color w:val="000000"/>
                <w:lang w:val="en-ZA" w:eastAsia="en-ZA"/>
              </w:rPr>
              <w:t xml:space="preserve"> (n=2)</w:t>
            </w:r>
          </w:p>
        </w:tc>
        <w:tc>
          <w:tcPr>
            <w:tcW w:w="3078" w:type="dxa"/>
            <w:noWrap/>
            <w:hideMark/>
          </w:tcPr>
          <w:p w14:paraId="2EC51613"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9ECB589"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8FD326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Source DNA</w:t>
            </w:r>
            <w:r>
              <w:rPr>
                <w:rFonts w:ascii="Calibri" w:eastAsia="Times New Roman" w:hAnsi="Calibri" w:cs="Calibri"/>
                <w:color w:val="000000"/>
                <w:lang w:val="en-ZA" w:eastAsia="en-ZA"/>
              </w:rPr>
              <w:t xml:space="preserve"> (n=1)</w:t>
            </w:r>
          </w:p>
        </w:tc>
      </w:tr>
      <w:tr w:rsidR="000F6CC7" w:rsidRPr="00CF5C5C" w14:paraId="3C4DAEFA" w14:textId="77777777" w:rsidTr="00EF0211">
        <w:trPr>
          <w:trHeight w:val="328"/>
        </w:trPr>
        <w:tc>
          <w:tcPr>
            <w:tcW w:w="3078" w:type="dxa"/>
            <w:hideMark/>
          </w:tcPr>
          <w:p w14:paraId="698F2C49"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In use stability</w:t>
            </w:r>
            <w:r>
              <w:rPr>
                <w:rFonts w:ascii="Calibri" w:eastAsia="Times New Roman" w:hAnsi="Calibri" w:cs="Calibri"/>
                <w:color w:val="000000"/>
                <w:lang w:val="en-ZA" w:eastAsia="en-ZA"/>
              </w:rPr>
              <w:t xml:space="preserve"> (n=2)</w:t>
            </w:r>
          </w:p>
        </w:tc>
        <w:tc>
          <w:tcPr>
            <w:tcW w:w="3078" w:type="dxa"/>
            <w:noWrap/>
            <w:hideMark/>
          </w:tcPr>
          <w:p w14:paraId="34A2E36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Proportional reduction in parasite load</w:t>
            </w:r>
            <w:r>
              <w:rPr>
                <w:rFonts w:ascii="Calibri" w:eastAsia="Times New Roman" w:hAnsi="Calibri" w:cs="Calibri"/>
                <w:color w:val="000000"/>
                <w:lang w:val="en-ZA" w:eastAsia="en-ZA"/>
              </w:rPr>
              <w:t xml:space="preserve"> (n=2)</w:t>
            </w:r>
          </w:p>
        </w:tc>
        <w:tc>
          <w:tcPr>
            <w:tcW w:w="3078" w:type="dxa"/>
            <w:noWrap/>
            <w:hideMark/>
          </w:tcPr>
          <w:p w14:paraId="67FBD6EA"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370B4B0"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55D08A1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Complexity</w:t>
            </w:r>
            <w:r>
              <w:rPr>
                <w:rFonts w:ascii="Calibri" w:eastAsia="Times New Roman" w:hAnsi="Calibri" w:cs="Calibri"/>
                <w:color w:val="000000"/>
                <w:lang w:val="en-ZA" w:eastAsia="en-ZA"/>
              </w:rPr>
              <w:t xml:space="preserve"> (n=1)</w:t>
            </w:r>
          </w:p>
        </w:tc>
      </w:tr>
      <w:tr w:rsidR="000F6CC7" w:rsidRPr="00CF5C5C" w14:paraId="6A22E0F4" w14:textId="77777777" w:rsidTr="00EF0211">
        <w:trPr>
          <w:trHeight w:val="328"/>
        </w:trPr>
        <w:tc>
          <w:tcPr>
            <w:tcW w:w="3078" w:type="dxa"/>
            <w:hideMark/>
          </w:tcPr>
          <w:p w14:paraId="0B3E8FE1"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Language</w:t>
            </w:r>
            <w:r>
              <w:rPr>
                <w:rFonts w:ascii="Calibri" w:eastAsia="Times New Roman" w:hAnsi="Calibri" w:cs="Calibri"/>
                <w:color w:val="000000"/>
                <w:lang w:val="en-ZA" w:eastAsia="en-ZA"/>
              </w:rPr>
              <w:t xml:space="preserve"> (n=2)</w:t>
            </w:r>
          </w:p>
        </w:tc>
        <w:tc>
          <w:tcPr>
            <w:tcW w:w="3078" w:type="dxa"/>
            <w:noWrap/>
            <w:hideMark/>
          </w:tcPr>
          <w:p w14:paraId="7A22632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(Relapse) prevention</w:t>
            </w:r>
            <w:r>
              <w:rPr>
                <w:rFonts w:ascii="Calibri" w:eastAsia="Times New Roman" w:hAnsi="Calibri" w:cs="Calibri"/>
                <w:color w:val="000000"/>
                <w:lang w:val="en-ZA" w:eastAsia="en-ZA"/>
              </w:rPr>
              <w:t xml:space="preserve"> (n=2)</w:t>
            </w:r>
          </w:p>
        </w:tc>
        <w:tc>
          <w:tcPr>
            <w:tcW w:w="3078" w:type="dxa"/>
            <w:noWrap/>
            <w:hideMark/>
          </w:tcPr>
          <w:p w14:paraId="1442ED1F"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668F6DD7"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775B80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Drive target locus</w:t>
            </w:r>
            <w:r>
              <w:rPr>
                <w:rFonts w:ascii="Calibri" w:eastAsia="Times New Roman" w:hAnsi="Calibri" w:cs="Calibri"/>
                <w:color w:val="000000"/>
                <w:lang w:val="en-ZA" w:eastAsia="en-ZA"/>
              </w:rPr>
              <w:t xml:space="preserve"> (n=1)</w:t>
            </w:r>
          </w:p>
        </w:tc>
      </w:tr>
      <w:tr w:rsidR="000F6CC7" w:rsidRPr="00CF5C5C" w14:paraId="710F16CC" w14:textId="77777777" w:rsidTr="00EF0211">
        <w:trPr>
          <w:trHeight w:val="328"/>
        </w:trPr>
        <w:tc>
          <w:tcPr>
            <w:tcW w:w="3078" w:type="dxa"/>
            <w:noWrap/>
            <w:hideMark/>
          </w:tcPr>
          <w:p w14:paraId="571CD1BF"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Pathogen identification</w:t>
            </w:r>
            <w:r>
              <w:rPr>
                <w:rFonts w:ascii="Calibri" w:eastAsia="Times New Roman" w:hAnsi="Calibri" w:cs="Calibri"/>
                <w:color w:val="000000"/>
                <w:lang w:val="en-ZA" w:eastAsia="en-ZA"/>
              </w:rPr>
              <w:t xml:space="preserve"> (n=2)</w:t>
            </w:r>
          </w:p>
        </w:tc>
        <w:tc>
          <w:tcPr>
            <w:tcW w:w="3078" w:type="dxa"/>
            <w:noWrap/>
            <w:hideMark/>
          </w:tcPr>
          <w:p w14:paraId="07A775D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Product container type/size</w:t>
            </w:r>
            <w:r>
              <w:rPr>
                <w:rFonts w:ascii="Calibri" w:eastAsia="Times New Roman" w:hAnsi="Calibri" w:cs="Calibri"/>
                <w:color w:val="000000"/>
                <w:lang w:val="en-ZA" w:eastAsia="en-ZA"/>
              </w:rPr>
              <w:t xml:space="preserve"> (n=2)</w:t>
            </w:r>
          </w:p>
        </w:tc>
        <w:tc>
          <w:tcPr>
            <w:tcW w:w="3078" w:type="dxa"/>
            <w:noWrap/>
            <w:hideMark/>
          </w:tcPr>
          <w:p w14:paraId="3E5F75D8"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6F38ABAB"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C1EB4E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Male competitiveness</w:t>
            </w:r>
            <w:r>
              <w:rPr>
                <w:rFonts w:ascii="Calibri" w:eastAsia="Times New Roman" w:hAnsi="Calibri" w:cs="Calibri"/>
                <w:color w:val="000000"/>
                <w:lang w:val="en-ZA" w:eastAsia="en-ZA"/>
              </w:rPr>
              <w:t xml:space="preserve"> (n=1)</w:t>
            </w:r>
          </w:p>
        </w:tc>
      </w:tr>
      <w:tr w:rsidR="000F6CC7" w:rsidRPr="00CF5C5C" w14:paraId="3AD10262" w14:textId="77777777" w:rsidTr="00EF0211">
        <w:trPr>
          <w:trHeight w:val="328"/>
        </w:trPr>
        <w:tc>
          <w:tcPr>
            <w:tcW w:w="3078" w:type="dxa"/>
            <w:noWrap/>
            <w:hideMark/>
          </w:tcPr>
          <w:p w14:paraId="6AEA8D50"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Interfering substance</w:t>
            </w:r>
            <w:r>
              <w:rPr>
                <w:rFonts w:ascii="Calibri" w:eastAsia="Times New Roman" w:hAnsi="Calibri" w:cs="Calibri"/>
                <w:color w:val="000000"/>
                <w:lang w:val="en-ZA" w:eastAsia="en-ZA"/>
              </w:rPr>
              <w:t xml:space="preserve"> (n=2)</w:t>
            </w:r>
          </w:p>
        </w:tc>
        <w:tc>
          <w:tcPr>
            <w:tcW w:w="3078" w:type="dxa"/>
            <w:noWrap/>
            <w:hideMark/>
          </w:tcPr>
          <w:p w14:paraId="433C23F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Oil globule size</w:t>
            </w:r>
            <w:r>
              <w:rPr>
                <w:rFonts w:ascii="Calibri" w:eastAsia="Times New Roman" w:hAnsi="Calibri" w:cs="Calibri"/>
                <w:color w:val="000000"/>
                <w:lang w:val="en-ZA" w:eastAsia="en-ZA"/>
              </w:rPr>
              <w:t xml:space="preserve"> (n=2)</w:t>
            </w:r>
          </w:p>
        </w:tc>
        <w:tc>
          <w:tcPr>
            <w:tcW w:w="3078" w:type="dxa"/>
            <w:noWrap/>
            <w:hideMark/>
          </w:tcPr>
          <w:p w14:paraId="753D4001"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9CD4ED0"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455635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Female fecundity</w:t>
            </w:r>
            <w:r>
              <w:rPr>
                <w:rFonts w:ascii="Calibri" w:eastAsia="Times New Roman" w:hAnsi="Calibri" w:cs="Calibri"/>
                <w:color w:val="000000"/>
                <w:lang w:val="en-ZA" w:eastAsia="en-ZA"/>
              </w:rPr>
              <w:t xml:space="preserve"> (n=1)</w:t>
            </w:r>
          </w:p>
        </w:tc>
      </w:tr>
      <w:tr w:rsidR="000F6CC7" w:rsidRPr="00CF5C5C" w14:paraId="36958800" w14:textId="77777777" w:rsidTr="00EF0211">
        <w:trPr>
          <w:trHeight w:val="328"/>
        </w:trPr>
        <w:tc>
          <w:tcPr>
            <w:tcW w:w="3078" w:type="dxa"/>
            <w:noWrap/>
            <w:hideMark/>
          </w:tcPr>
          <w:p w14:paraId="7F553427"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Data analysis requirements</w:t>
            </w:r>
            <w:r>
              <w:rPr>
                <w:rFonts w:ascii="Calibri" w:eastAsia="Times New Roman" w:hAnsi="Calibri" w:cs="Calibri"/>
                <w:color w:val="000000"/>
                <w:lang w:val="en-ZA" w:eastAsia="en-ZA"/>
              </w:rPr>
              <w:t xml:space="preserve"> (n=2)</w:t>
            </w:r>
          </w:p>
        </w:tc>
        <w:tc>
          <w:tcPr>
            <w:tcW w:w="3078" w:type="dxa"/>
            <w:noWrap/>
            <w:hideMark/>
          </w:tcPr>
          <w:p w14:paraId="02BEB21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Preservatives content</w:t>
            </w:r>
            <w:r>
              <w:rPr>
                <w:rFonts w:ascii="Calibri" w:eastAsia="Times New Roman" w:hAnsi="Calibri" w:cs="Calibri"/>
                <w:color w:val="000000"/>
                <w:lang w:val="en-ZA" w:eastAsia="en-ZA"/>
              </w:rPr>
              <w:t xml:space="preserve"> (n=2)</w:t>
            </w:r>
          </w:p>
        </w:tc>
        <w:tc>
          <w:tcPr>
            <w:tcW w:w="3078" w:type="dxa"/>
            <w:noWrap/>
            <w:hideMark/>
          </w:tcPr>
          <w:p w14:paraId="68C38BE6"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0DAEB72"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59874CA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Strain maintenance</w:t>
            </w:r>
            <w:r>
              <w:rPr>
                <w:rFonts w:ascii="Calibri" w:eastAsia="Times New Roman" w:hAnsi="Calibri" w:cs="Calibri"/>
                <w:color w:val="000000"/>
                <w:lang w:val="en-ZA" w:eastAsia="en-ZA"/>
              </w:rPr>
              <w:t xml:space="preserve"> (n=1)</w:t>
            </w:r>
          </w:p>
        </w:tc>
      </w:tr>
      <w:tr w:rsidR="000F6CC7" w:rsidRPr="00CF5C5C" w14:paraId="5466785A" w14:textId="77777777" w:rsidTr="00EF0211">
        <w:trPr>
          <w:trHeight w:val="328"/>
        </w:trPr>
        <w:tc>
          <w:tcPr>
            <w:tcW w:w="3078" w:type="dxa"/>
            <w:noWrap/>
            <w:hideMark/>
          </w:tcPr>
          <w:p w14:paraId="218F4B35"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Kit configuration</w:t>
            </w:r>
            <w:r>
              <w:rPr>
                <w:rFonts w:ascii="Calibri" w:eastAsia="Times New Roman" w:hAnsi="Calibri" w:cs="Calibri"/>
                <w:color w:val="000000"/>
                <w:lang w:val="en-ZA" w:eastAsia="en-ZA"/>
              </w:rPr>
              <w:t xml:space="preserve"> (n=2)</w:t>
            </w:r>
          </w:p>
        </w:tc>
        <w:tc>
          <w:tcPr>
            <w:tcW w:w="3078" w:type="dxa"/>
            <w:noWrap/>
            <w:hideMark/>
          </w:tcPr>
          <w:p w14:paraId="1144F69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Administration/ Concurrence with labelling</w:t>
            </w:r>
            <w:r>
              <w:rPr>
                <w:rFonts w:ascii="Calibri" w:eastAsia="Times New Roman" w:hAnsi="Calibri" w:cs="Calibri"/>
                <w:color w:val="000000"/>
                <w:lang w:val="en-ZA" w:eastAsia="en-ZA"/>
              </w:rPr>
              <w:t xml:space="preserve"> (n=2)</w:t>
            </w:r>
          </w:p>
        </w:tc>
        <w:tc>
          <w:tcPr>
            <w:tcW w:w="3078" w:type="dxa"/>
            <w:noWrap/>
            <w:hideMark/>
          </w:tcPr>
          <w:p w14:paraId="1DB5AE05"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DE1A625"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4AFB95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Drive inheritance</w:t>
            </w:r>
            <w:r>
              <w:rPr>
                <w:rFonts w:ascii="Calibri" w:eastAsia="Times New Roman" w:hAnsi="Calibri" w:cs="Calibri"/>
                <w:color w:val="000000"/>
                <w:lang w:val="en-ZA" w:eastAsia="en-ZA"/>
              </w:rPr>
              <w:t xml:space="preserve"> (n=1)</w:t>
            </w:r>
          </w:p>
        </w:tc>
      </w:tr>
      <w:tr w:rsidR="000F6CC7" w:rsidRPr="00CF5C5C" w14:paraId="53EF2149" w14:textId="77777777" w:rsidTr="00EF0211">
        <w:trPr>
          <w:trHeight w:val="328"/>
        </w:trPr>
        <w:tc>
          <w:tcPr>
            <w:tcW w:w="3078" w:type="dxa"/>
            <w:noWrap/>
            <w:hideMark/>
          </w:tcPr>
          <w:p w14:paraId="7A23F98C"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lastRenderedPageBreak/>
              <w:t>Process control</w:t>
            </w:r>
            <w:r>
              <w:rPr>
                <w:rFonts w:ascii="Calibri" w:eastAsia="Times New Roman" w:hAnsi="Calibri" w:cs="Calibri"/>
                <w:color w:val="000000"/>
                <w:lang w:val="en-ZA" w:eastAsia="en-ZA"/>
              </w:rPr>
              <w:t xml:space="preserve"> (n=2)</w:t>
            </w:r>
          </w:p>
        </w:tc>
        <w:tc>
          <w:tcPr>
            <w:tcW w:w="3078" w:type="dxa"/>
            <w:noWrap/>
            <w:hideMark/>
          </w:tcPr>
          <w:p w14:paraId="51295C6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Drug delivery system/type</w:t>
            </w:r>
            <w:r>
              <w:rPr>
                <w:rFonts w:ascii="Calibri" w:eastAsia="Times New Roman" w:hAnsi="Calibri" w:cs="Calibri"/>
                <w:color w:val="000000"/>
                <w:lang w:val="en-ZA" w:eastAsia="en-ZA"/>
              </w:rPr>
              <w:t xml:space="preserve"> (n=2)</w:t>
            </w:r>
          </w:p>
        </w:tc>
        <w:tc>
          <w:tcPr>
            <w:tcW w:w="3078" w:type="dxa"/>
            <w:noWrap/>
            <w:hideMark/>
          </w:tcPr>
          <w:p w14:paraId="3ACBC971"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6FBD9F4"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6E540A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Efficacy (percent population carrying gene)</w:t>
            </w:r>
            <w:r>
              <w:rPr>
                <w:rFonts w:ascii="Calibri" w:eastAsia="Times New Roman" w:hAnsi="Calibri" w:cs="Calibri"/>
                <w:color w:val="000000"/>
                <w:lang w:val="en-ZA" w:eastAsia="en-ZA"/>
              </w:rPr>
              <w:t xml:space="preserve"> (n=1)</w:t>
            </w:r>
          </w:p>
        </w:tc>
      </w:tr>
      <w:tr w:rsidR="000F6CC7" w:rsidRPr="00CF5C5C" w14:paraId="7AD02643" w14:textId="77777777" w:rsidTr="00EF0211">
        <w:trPr>
          <w:trHeight w:val="328"/>
        </w:trPr>
        <w:tc>
          <w:tcPr>
            <w:tcW w:w="3078" w:type="dxa"/>
            <w:noWrap/>
            <w:hideMark/>
          </w:tcPr>
          <w:p w14:paraId="17DCD1B4"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Hands on time</w:t>
            </w:r>
            <w:r>
              <w:rPr>
                <w:rFonts w:ascii="Calibri" w:eastAsia="Times New Roman" w:hAnsi="Calibri" w:cs="Calibri"/>
                <w:color w:val="000000"/>
                <w:lang w:val="en-ZA" w:eastAsia="en-ZA"/>
              </w:rPr>
              <w:t xml:space="preserve"> (n=2)</w:t>
            </w:r>
          </w:p>
        </w:tc>
        <w:tc>
          <w:tcPr>
            <w:tcW w:w="3078" w:type="dxa"/>
            <w:noWrap/>
            <w:hideMark/>
          </w:tcPr>
          <w:p w14:paraId="0D65944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Osmotic pressure/osmolarity</w:t>
            </w:r>
            <w:r>
              <w:rPr>
                <w:rFonts w:ascii="Calibri" w:eastAsia="Times New Roman" w:hAnsi="Calibri" w:cs="Calibri"/>
                <w:color w:val="000000"/>
                <w:lang w:val="en-ZA" w:eastAsia="en-ZA"/>
              </w:rPr>
              <w:t xml:space="preserve"> (n=2)</w:t>
            </w:r>
          </w:p>
        </w:tc>
        <w:tc>
          <w:tcPr>
            <w:tcW w:w="3078" w:type="dxa"/>
            <w:noWrap/>
            <w:hideMark/>
          </w:tcPr>
          <w:p w14:paraId="0CF51506"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1343C61"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BFD2DB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Time to full introduction</w:t>
            </w:r>
            <w:r>
              <w:rPr>
                <w:rFonts w:ascii="Calibri" w:eastAsia="Times New Roman" w:hAnsi="Calibri" w:cs="Calibri"/>
                <w:color w:val="000000"/>
                <w:lang w:val="en-ZA" w:eastAsia="en-ZA"/>
              </w:rPr>
              <w:t xml:space="preserve"> (n=1)</w:t>
            </w:r>
          </w:p>
        </w:tc>
      </w:tr>
      <w:tr w:rsidR="000F6CC7" w:rsidRPr="00CF5C5C" w14:paraId="64C2E4CC" w14:textId="77777777" w:rsidTr="00EF0211">
        <w:trPr>
          <w:trHeight w:val="328"/>
        </w:trPr>
        <w:tc>
          <w:tcPr>
            <w:tcW w:w="3078" w:type="dxa"/>
            <w:noWrap/>
            <w:hideMark/>
          </w:tcPr>
          <w:p w14:paraId="1E58D58C"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PPVs and NPVs</w:t>
            </w:r>
            <w:r>
              <w:rPr>
                <w:rFonts w:ascii="Calibri" w:eastAsia="Times New Roman" w:hAnsi="Calibri" w:cs="Calibri"/>
                <w:color w:val="000000"/>
                <w:lang w:val="en-ZA" w:eastAsia="en-ZA"/>
              </w:rPr>
              <w:t xml:space="preserve"> (n=2)</w:t>
            </w:r>
          </w:p>
        </w:tc>
        <w:tc>
          <w:tcPr>
            <w:tcW w:w="3078" w:type="dxa"/>
            <w:noWrap/>
            <w:hideMark/>
          </w:tcPr>
          <w:p w14:paraId="5105236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Medication size/shape</w:t>
            </w:r>
            <w:r>
              <w:rPr>
                <w:rFonts w:ascii="Calibri" w:eastAsia="Times New Roman" w:hAnsi="Calibri" w:cs="Calibri"/>
                <w:color w:val="000000"/>
                <w:lang w:val="en-ZA" w:eastAsia="en-ZA"/>
              </w:rPr>
              <w:t xml:space="preserve"> (n=2)</w:t>
            </w:r>
          </w:p>
        </w:tc>
        <w:tc>
          <w:tcPr>
            <w:tcW w:w="3078" w:type="dxa"/>
            <w:noWrap/>
            <w:hideMark/>
          </w:tcPr>
          <w:p w14:paraId="4D2C8541"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000F018"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F07AE9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Impact of resistant drive targets</w:t>
            </w:r>
            <w:r>
              <w:rPr>
                <w:rFonts w:ascii="Calibri" w:eastAsia="Times New Roman" w:hAnsi="Calibri" w:cs="Calibri"/>
                <w:color w:val="000000"/>
                <w:lang w:val="en-ZA" w:eastAsia="en-ZA"/>
              </w:rPr>
              <w:t xml:space="preserve"> (n=1)</w:t>
            </w:r>
          </w:p>
        </w:tc>
      </w:tr>
      <w:tr w:rsidR="000F6CC7" w:rsidRPr="00CF5C5C" w14:paraId="4C7CBEAA" w14:textId="77777777" w:rsidTr="00EF0211">
        <w:trPr>
          <w:trHeight w:val="328"/>
        </w:trPr>
        <w:tc>
          <w:tcPr>
            <w:tcW w:w="3078" w:type="dxa"/>
            <w:noWrap/>
            <w:hideMark/>
          </w:tcPr>
          <w:p w14:paraId="23D05AA0"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Accuracy</w:t>
            </w:r>
            <w:r>
              <w:rPr>
                <w:rFonts w:ascii="Calibri" w:eastAsia="Times New Roman" w:hAnsi="Calibri" w:cs="Calibri"/>
                <w:color w:val="000000"/>
                <w:lang w:val="en-ZA" w:eastAsia="en-ZA"/>
              </w:rPr>
              <w:t xml:space="preserve"> (n=2)</w:t>
            </w:r>
          </w:p>
        </w:tc>
        <w:tc>
          <w:tcPr>
            <w:tcW w:w="3078" w:type="dxa"/>
            <w:noWrap/>
            <w:hideMark/>
          </w:tcPr>
          <w:p w14:paraId="0B3170E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Potency</w:t>
            </w:r>
            <w:r>
              <w:rPr>
                <w:rFonts w:ascii="Calibri" w:eastAsia="Times New Roman" w:hAnsi="Calibri" w:cs="Calibri"/>
                <w:color w:val="000000"/>
                <w:lang w:val="en-ZA" w:eastAsia="en-ZA"/>
              </w:rPr>
              <w:t xml:space="preserve"> (n=2)</w:t>
            </w:r>
          </w:p>
        </w:tc>
        <w:tc>
          <w:tcPr>
            <w:tcW w:w="3078" w:type="dxa"/>
            <w:noWrap/>
            <w:hideMark/>
          </w:tcPr>
          <w:p w14:paraId="02C56ABF"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6A9CDB87"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1E9EC874"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Off-target drive effects</w:t>
            </w:r>
            <w:r>
              <w:rPr>
                <w:rFonts w:ascii="Calibri" w:eastAsia="Times New Roman" w:hAnsi="Calibri" w:cs="Calibri"/>
                <w:color w:val="000000"/>
                <w:lang w:val="en-ZA" w:eastAsia="en-ZA"/>
              </w:rPr>
              <w:t xml:space="preserve"> (n=1)</w:t>
            </w:r>
          </w:p>
        </w:tc>
      </w:tr>
      <w:tr w:rsidR="000F6CC7" w:rsidRPr="00CF5C5C" w14:paraId="244A6ED7" w14:textId="77777777" w:rsidTr="00EF0211">
        <w:trPr>
          <w:trHeight w:val="328"/>
        </w:trPr>
        <w:tc>
          <w:tcPr>
            <w:tcW w:w="3078" w:type="dxa"/>
            <w:noWrap/>
            <w:hideMark/>
          </w:tcPr>
          <w:p w14:paraId="68AB6642"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Packaging</w:t>
            </w:r>
            <w:r>
              <w:rPr>
                <w:rFonts w:ascii="Calibri" w:eastAsia="Times New Roman" w:hAnsi="Calibri" w:cs="Calibri"/>
                <w:color w:val="000000"/>
                <w:lang w:val="en-ZA" w:eastAsia="en-ZA"/>
              </w:rPr>
              <w:t xml:space="preserve"> (n=2)</w:t>
            </w:r>
          </w:p>
        </w:tc>
        <w:tc>
          <w:tcPr>
            <w:tcW w:w="3078" w:type="dxa"/>
            <w:noWrap/>
            <w:hideMark/>
          </w:tcPr>
          <w:p w14:paraId="127EDE6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Human abuse/dependence</w:t>
            </w:r>
            <w:r>
              <w:rPr>
                <w:rFonts w:ascii="Calibri" w:eastAsia="Times New Roman" w:hAnsi="Calibri" w:cs="Calibri"/>
                <w:color w:val="000000"/>
                <w:lang w:val="en-ZA" w:eastAsia="en-ZA"/>
              </w:rPr>
              <w:t xml:space="preserve"> (n=2)</w:t>
            </w:r>
          </w:p>
        </w:tc>
        <w:tc>
          <w:tcPr>
            <w:tcW w:w="3078" w:type="dxa"/>
            <w:noWrap/>
            <w:hideMark/>
          </w:tcPr>
          <w:p w14:paraId="2826C287"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20175DA"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D1330F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Nontarget drive effects</w:t>
            </w:r>
            <w:r>
              <w:rPr>
                <w:rFonts w:ascii="Calibri" w:eastAsia="Times New Roman" w:hAnsi="Calibri" w:cs="Calibri"/>
                <w:color w:val="000000"/>
                <w:lang w:val="en-ZA" w:eastAsia="en-ZA"/>
              </w:rPr>
              <w:t xml:space="preserve"> (n=1)</w:t>
            </w:r>
          </w:p>
        </w:tc>
      </w:tr>
      <w:tr w:rsidR="000F6CC7" w:rsidRPr="00CF5C5C" w14:paraId="32F28015" w14:textId="77777777" w:rsidTr="00EF0211">
        <w:trPr>
          <w:trHeight w:val="328"/>
        </w:trPr>
        <w:tc>
          <w:tcPr>
            <w:tcW w:w="3078" w:type="dxa"/>
            <w:noWrap/>
            <w:hideMark/>
          </w:tcPr>
          <w:p w14:paraId="568AF24A"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Data storage</w:t>
            </w:r>
            <w:r>
              <w:rPr>
                <w:rFonts w:ascii="Calibri" w:eastAsia="Times New Roman" w:hAnsi="Calibri" w:cs="Calibri"/>
                <w:color w:val="000000"/>
                <w:lang w:val="en-ZA" w:eastAsia="en-ZA"/>
              </w:rPr>
              <w:t xml:space="preserve"> (n=2)</w:t>
            </w:r>
          </w:p>
        </w:tc>
        <w:tc>
          <w:tcPr>
            <w:tcW w:w="3078" w:type="dxa"/>
            <w:noWrap/>
            <w:hideMark/>
          </w:tcPr>
          <w:p w14:paraId="2B7DE5F6"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Site of action</w:t>
            </w:r>
            <w:r>
              <w:rPr>
                <w:rFonts w:ascii="Calibri" w:eastAsia="Times New Roman" w:hAnsi="Calibri" w:cs="Calibri"/>
                <w:color w:val="000000"/>
                <w:lang w:val="en-ZA" w:eastAsia="en-ZA"/>
              </w:rPr>
              <w:t xml:space="preserve"> (n=2)</w:t>
            </w:r>
          </w:p>
        </w:tc>
        <w:tc>
          <w:tcPr>
            <w:tcW w:w="3078" w:type="dxa"/>
            <w:noWrap/>
            <w:hideMark/>
          </w:tcPr>
          <w:p w14:paraId="17EBE97C"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068E8BA"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3B507A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Bioequivalence</w:t>
            </w:r>
            <w:r>
              <w:rPr>
                <w:rFonts w:ascii="Calibri" w:eastAsia="Times New Roman" w:hAnsi="Calibri" w:cs="Calibri"/>
                <w:color w:val="000000"/>
                <w:lang w:val="en-ZA" w:eastAsia="en-ZA"/>
              </w:rPr>
              <w:t xml:space="preserve"> (n=1)</w:t>
            </w:r>
          </w:p>
        </w:tc>
      </w:tr>
      <w:tr w:rsidR="000F6CC7" w:rsidRPr="00CF5C5C" w14:paraId="3ECDC2A3" w14:textId="77777777" w:rsidTr="00EF0211">
        <w:trPr>
          <w:trHeight w:val="328"/>
        </w:trPr>
        <w:tc>
          <w:tcPr>
            <w:tcW w:w="3078" w:type="dxa"/>
            <w:hideMark/>
          </w:tcPr>
          <w:p w14:paraId="1C28823E"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Specimen location of preparation</w:t>
            </w:r>
            <w:r>
              <w:rPr>
                <w:rFonts w:ascii="Calibri" w:eastAsia="Times New Roman" w:hAnsi="Calibri" w:cs="Calibri"/>
                <w:color w:val="000000"/>
                <w:lang w:val="en-ZA" w:eastAsia="en-ZA"/>
              </w:rPr>
              <w:t xml:space="preserve"> (n=1)</w:t>
            </w:r>
          </w:p>
        </w:tc>
        <w:tc>
          <w:tcPr>
            <w:tcW w:w="3078" w:type="dxa"/>
            <w:noWrap/>
            <w:hideMark/>
          </w:tcPr>
          <w:p w14:paraId="59194B7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Excipients compendial</w:t>
            </w:r>
            <w:r>
              <w:rPr>
                <w:rFonts w:ascii="Calibri" w:eastAsia="Times New Roman" w:hAnsi="Calibri" w:cs="Calibri"/>
                <w:color w:val="000000"/>
                <w:lang w:val="en-ZA" w:eastAsia="en-ZA"/>
              </w:rPr>
              <w:t xml:space="preserve"> (n=2)</w:t>
            </w:r>
          </w:p>
        </w:tc>
        <w:tc>
          <w:tcPr>
            <w:tcW w:w="3078" w:type="dxa"/>
            <w:noWrap/>
            <w:hideMark/>
          </w:tcPr>
          <w:p w14:paraId="3A71880C"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07D1073"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8ECC85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Aerodynamic particles properties</w:t>
            </w:r>
            <w:r>
              <w:rPr>
                <w:rFonts w:ascii="Calibri" w:eastAsia="Times New Roman" w:hAnsi="Calibri" w:cs="Calibri"/>
                <w:color w:val="000000"/>
                <w:lang w:val="en-ZA" w:eastAsia="en-ZA"/>
              </w:rPr>
              <w:t xml:space="preserve"> (n=1)</w:t>
            </w:r>
          </w:p>
        </w:tc>
      </w:tr>
      <w:tr w:rsidR="000F6CC7" w:rsidRPr="00CF5C5C" w14:paraId="59DC6287" w14:textId="77777777" w:rsidTr="00EF0211">
        <w:trPr>
          <w:trHeight w:val="328"/>
        </w:trPr>
        <w:tc>
          <w:tcPr>
            <w:tcW w:w="3078" w:type="dxa"/>
            <w:hideMark/>
          </w:tcPr>
          <w:p w14:paraId="76B0C0AD"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Result determination</w:t>
            </w:r>
            <w:r>
              <w:rPr>
                <w:rFonts w:ascii="Calibri" w:eastAsia="Times New Roman" w:hAnsi="Calibri" w:cs="Calibri"/>
                <w:color w:val="000000"/>
                <w:lang w:val="en-ZA" w:eastAsia="en-ZA"/>
              </w:rPr>
              <w:t xml:space="preserve"> (n=1)</w:t>
            </w:r>
          </w:p>
        </w:tc>
        <w:tc>
          <w:tcPr>
            <w:tcW w:w="3078" w:type="dxa"/>
            <w:noWrap/>
            <w:hideMark/>
          </w:tcPr>
          <w:p w14:paraId="75DCA86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Water content</w:t>
            </w:r>
            <w:r>
              <w:rPr>
                <w:rFonts w:ascii="Calibri" w:eastAsia="Times New Roman" w:hAnsi="Calibri" w:cs="Calibri"/>
                <w:color w:val="000000"/>
                <w:lang w:val="en-ZA" w:eastAsia="en-ZA"/>
              </w:rPr>
              <w:t xml:space="preserve"> (n=2)</w:t>
            </w:r>
          </w:p>
        </w:tc>
        <w:tc>
          <w:tcPr>
            <w:tcW w:w="3078" w:type="dxa"/>
            <w:noWrap/>
            <w:hideMark/>
          </w:tcPr>
          <w:p w14:paraId="2D35657D"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4833FCD"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A33A20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Alternative available dosage form</w:t>
            </w:r>
            <w:r>
              <w:rPr>
                <w:rFonts w:ascii="Calibri" w:eastAsia="Times New Roman" w:hAnsi="Calibri" w:cs="Calibri"/>
                <w:color w:val="000000"/>
                <w:lang w:val="en-ZA" w:eastAsia="en-ZA"/>
              </w:rPr>
              <w:t xml:space="preserve"> (n=1)</w:t>
            </w:r>
          </w:p>
        </w:tc>
      </w:tr>
      <w:tr w:rsidR="000F6CC7" w:rsidRPr="00CF5C5C" w14:paraId="78371043" w14:textId="77777777" w:rsidTr="00EF0211">
        <w:trPr>
          <w:trHeight w:val="328"/>
        </w:trPr>
        <w:tc>
          <w:tcPr>
            <w:tcW w:w="3078" w:type="dxa"/>
            <w:hideMark/>
          </w:tcPr>
          <w:p w14:paraId="76BCA969"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Diagnostic data reported</w:t>
            </w:r>
            <w:r>
              <w:rPr>
                <w:rFonts w:ascii="Calibri" w:eastAsia="Times New Roman" w:hAnsi="Calibri" w:cs="Calibri"/>
                <w:color w:val="000000"/>
                <w:lang w:val="en-ZA" w:eastAsia="en-ZA"/>
              </w:rPr>
              <w:t xml:space="preserve"> (n=1)</w:t>
            </w:r>
          </w:p>
        </w:tc>
        <w:tc>
          <w:tcPr>
            <w:tcW w:w="3078" w:type="dxa"/>
            <w:noWrap/>
            <w:hideMark/>
          </w:tcPr>
          <w:p w14:paraId="3EBC0F3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Molecular weight of Active Pharmaceutical Ingredient (API)</w:t>
            </w:r>
            <w:r>
              <w:rPr>
                <w:rFonts w:ascii="Calibri" w:eastAsia="Times New Roman" w:hAnsi="Calibri" w:cs="Calibri"/>
                <w:color w:val="000000"/>
                <w:lang w:val="en-ZA" w:eastAsia="en-ZA"/>
              </w:rPr>
              <w:t xml:space="preserve"> (n=2)</w:t>
            </w:r>
          </w:p>
        </w:tc>
        <w:tc>
          <w:tcPr>
            <w:tcW w:w="3078" w:type="dxa"/>
            <w:noWrap/>
            <w:hideMark/>
          </w:tcPr>
          <w:p w14:paraId="4FA08460"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C033715"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0265032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Cumulative drug release</w:t>
            </w:r>
            <w:r>
              <w:rPr>
                <w:rFonts w:ascii="Calibri" w:eastAsia="Times New Roman" w:hAnsi="Calibri" w:cs="Calibri"/>
                <w:color w:val="000000"/>
                <w:lang w:val="en-ZA" w:eastAsia="en-ZA"/>
              </w:rPr>
              <w:t xml:space="preserve"> (n=1)</w:t>
            </w:r>
          </w:p>
        </w:tc>
      </w:tr>
      <w:tr w:rsidR="000F6CC7" w:rsidRPr="00CF5C5C" w14:paraId="22CCB2E4" w14:textId="77777777" w:rsidTr="00EF0211">
        <w:trPr>
          <w:trHeight w:val="328"/>
        </w:trPr>
        <w:tc>
          <w:tcPr>
            <w:tcW w:w="3078" w:type="dxa"/>
            <w:hideMark/>
          </w:tcPr>
          <w:p w14:paraId="7377C869"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Patient/case data reported</w:t>
            </w:r>
            <w:r>
              <w:rPr>
                <w:rFonts w:ascii="Calibri" w:eastAsia="Times New Roman" w:hAnsi="Calibri" w:cs="Calibri"/>
                <w:color w:val="000000"/>
                <w:lang w:val="en-ZA" w:eastAsia="en-ZA"/>
              </w:rPr>
              <w:t xml:space="preserve"> (n=1)</w:t>
            </w:r>
          </w:p>
        </w:tc>
        <w:tc>
          <w:tcPr>
            <w:tcW w:w="3078" w:type="dxa"/>
            <w:noWrap/>
            <w:hideMark/>
          </w:tcPr>
          <w:p w14:paraId="55504E7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Log P</w:t>
            </w:r>
            <w:r>
              <w:rPr>
                <w:rFonts w:ascii="Calibri" w:eastAsia="Times New Roman" w:hAnsi="Calibri" w:cs="Calibri"/>
                <w:color w:val="000000"/>
                <w:lang w:val="en-ZA" w:eastAsia="en-ZA"/>
              </w:rPr>
              <w:t xml:space="preserve"> (n=2)</w:t>
            </w:r>
          </w:p>
        </w:tc>
        <w:tc>
          <w:tcPr>
            <w:tcW w:w="3078" w:type="dxa"/>
            <w:noWrap/>
            <w:hideMark/>
          </w:tcPr>
          <w:p w14:paraId="04DF21D9"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F22238C"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5BBAA805"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In vivo performance</w:t>
            </w:r>
            <w:r>
              <w:rPr>
                <w:rFonts w:ascii="Calibri" w:eastAsia="Times New Roman" w:hAnsi="Calibri" w:cs="Calibri"/>
                <w:color w:val="000000"/>
                <w:lang w:val="en-ZA" w:eastAsia="en-ZA"/>
              </w:rPr>
              <w:t xml:space="preserve"> (n=1)</w:t>
            </w:r>
          </w:p>
        </w:tc>
      </w:tr>
      <w:tr w:rsidR="000F6CC7" w:rsidRPr="00CF5C5C" w14:paraId="4616D50C" w14:textId="77777777" w:rsidTr="00EF0211">
        <w:trPr>
          <w:trHeight w:val="328"/>
        </w:trPr>
        <w:tc>
          <w:tcPr>
            <w:tcW w:w="3078" w:type="dxa"/>
            <w:hideMark/>
          </w:tcPr>
          <w:p w14:paraId="21F79DF6"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Contextual data reported</w:t>
            </w:r>
            <w:r>
              <w:rPr>
                <w:rFonts w:ascii="Calibri" w:eastAsia="Times New Roman" w:hAnsi="Calibri" w:cs="Calibri"/>
                <w:color w:val="000000"/>
                <w:lang w:val="en-ZA" w:eastAsia="en-ZA"/>
              </w:rPr>
              <w:t xml:space="preserve"> (n=1)</w:t>
            </w:r>
          </w:p>
        </w:tc>
        <w:tc>
          <w:tcPr>
            <w:tcW w:w="3078" w:type="dxa"/>
            <w:noWrap/>
            <w:hideMark/>
          </w:tcPr>
          <w:p w14:paraId="3373A4A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Rheological properties: Yield stress</w:t>
            </w:r>
            <w:r>
              <w:rPr>
                <w:rFonts w:ascii="Calibri" w:eastAsia="Times New Roman" w:hAnsi="Calibri" w:cs="Calibri"/>
                <w:color w:val="000000"/>
                <w:lang w:val="en-ZA" w:eastAsia="en-ZA"/>
              </w:rPr>
              <w:t xml:space="preserve"> (n=2)</w:t>
            </w:r>
          </w:p>
        </w:tc>
        <w:tc>
          <w:tcPr>
            <w:tcW w:w="3078" w:type="dxa"/>
            <w:noWrap/>
            <w:hideMark/>
          </w:tcPr>
          <w:p w14:paraId="767FB284"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1BF05FBA"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F951A17" w14:textId="77777777" w:rsidR="000F6CC7" w:rsidRPr="00CF5C5C" w:rsidRDefault="000F6CC7" w:rsidP="00EF0211">
            <w:pPr>
              <w:jc w:val="center"/>
              <w:rPr>
                <w:rFonts w:ascii="Calibri" w:eastAsia="Times New Roman" w:hAnsi="Calibri" w:cs="Calibri"/>
                <w:color w:val="000000"/>
                <w:lang w:val="en-ZA" w:eastAsia="en-ZA"/>
              </w:rPr>
            </w:pPr>
            <w:proofErr w:type="spellStart"/>
            <w:r w:rsidRPr="00CF5C5C">
              <w:rPr>
                <w:rFonts w:ascii="Calibri" w:eastAsia="Times New Roman" w:hAnsi="Calibri" w:cs="Calibri"/>
                <w:color w:val="000000"/>
                <w:lang w:val="en-ZA" w:eastAsia="en-ZA"/>
              </w:rPr>
              <w:t>Pharmacopoeial</w:t>
            </w:r>
            <w:proofErr w:type="spellEnd"/>
            <w:r w:rsidRPr="00CF5C5C">
              <w:rPr>
                <w:rFonts w:ascii="Calibri" w:eastAsia="Times New Roman" w:hAnsi="Calibri" w:cs="Calibri"/>
                <w:color w:val="000000"/>
                <w:lang w:val="en-ZA" w:eastAsia="en-ZA"/>
              </w:rPr>
              <w:t xml:space="preserve"> compliance</w:t>
            </w:r>
            <w:r>
              <w:rPr>
                <w:rFonts w:ascii="Calibri" w:eastAsia="Times New Roman" w:hAnsi="Calibri" w:cs="Calibri"/>
                <w:color w:val="000000"/>
                <w:lang w:val="en-ZA" w:eastAsia="en-ZA"/>
              </w:rPr>
              <w:t xml:space="preserve"> (n=1)</w:t>
            </w:r>
          </w:p>
        </w:tc>
      </w:tr>
      <w:tr w:rsidR="000F6CC7" w:rsidRPr="00CF5C5C" w14:paraId="388DAB0F" w14:textId="77777777" w:rsidTr="00EF0211">
        <w:trPr>
          <w:trHeight w:val="328"/>
        </w:trPr>
        <w:tc>
          <w:tcPr>
            <w:tcW w:w="3078" w:type="dxa"/>
            <w:hideMark/>
          </w:tcPr>
          <w:p w14:paraId="74F80E63"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Availability of ideal diagnostic marker</w:t>
            </w:r>
            <w:r>
              <w:rPr>
                <w:rFonts w:ascii="Calibri" w:eastAsia="Times New Roman" w:hAnsi="Calibri" w:cs="Calibri"/>
                <w:color w:val="000000"/>
                <w:lang w:val="en-ZA" w:eastAsia="en-ZA"/>
              </w:rPr>
              <w:t xml:space="preserve"> (n=1)</w:t>
            </w:r>
          </w:p>
        </w:tc>
        <w:tc>
          <w:tcPr>
            <w:tcW w:w="3078" w:type="dxa"/>
            <w:noWrap/>
            <w:hideMark/>
          </w:tcPr>
          <w:p w14:paraId="6B4CF4C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Warnings and precautions</w:t>
            </w:r>
            <w:r>
              <w:rPr>
                <w:rFonts w:ascii="Calibri" w:eastAsia="Times New Roman" w:hAnsi="Calibri" w:cs="Calibri"/>
                <w:color w:val="000000"/>
                <w:lang w:val="en-ZA" w:eastAsia="en-ZA"/>
              </w:rPr>
              <w:t xml:space="preserve"> (n=2)</w:t>
            </w:r>
          </w:p>
        </w:tc>
        <w:tc>
          <w:tcPr>
            <w:tcW w:w="3078" w:type="dxa"/>
            <w:noWrap/>
            <w:hideMark/>
          </w:tcPr>
          <w:p w14:paraId="0257906D"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44C4B22"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DEB57A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Uniformity of dosage units</w:t>
            </w:r>
            <w:r>
              <w:rPr>
                <w:rFonts w:ascii="Calibri" w:eastAsia="Times New Roman" w:hAnsi="Calibri" w:cs="Calibri"/>
                <w:color w:val="000000"/>
                <w:lang w:val="en-ZA" w:eastAsia="en-ZA"/>
              </w:rPr>
              <w:t xml:space="preserve"> (n=1)</w:t>
            </w:r>
          </w:p>
        </w:tc>
      </w:tr>
      <w:tr w:rsidR="000F6CC7" w:rsidRPr="00CF5C5C" w14:paraId="2D208A3E" w14:textId="77777777" w:rsidTr="00EF0211">
        <w:trPr>
          <w:trHeight w:val="328"/>
        </w:trPr>
        <w:tc>
          <w:tcPr>
            <w:tcW w:w="3078" w:type="dxa"/>
            <w:hideMark/>
          </w:tcPr>
          <w:p w14:paraId="2DE823AF"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Cost of diagnosis per sample</w:t>
            </w:r>
            <w:r>
              <w:rPr>
                <w:rFonts w:ascii="Calibri" w:eastAsia="Times New Roman" w:hAnsi="Calibri" w:cs="Calibri"/>
                <w:color w:val="000000"/>
                <w:lang w:val="en-ZA" w:eastAsia="en-ZA"/>
              </w:rPr>
              <w:t xml:space="preserve"> (n=1)</w:t>
            </w:r>
          </w:p>
        </w:tc>
        <w:tc>
          <w:tcPr>
            <w:tcW w:w="3078" w:type="dxa"/>
            <w:noWrap/>
            <w:hideMark/>
          </w:tcPr>
          <w:p w14:paraId="3DADC41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Dose flexibility</w:t>
            </w:r>
            <w:r>
              <w:rPr>
                <w:rFonts w:ascii="Calibri" w:eastAsia="Times New Roman" w:hAnsi="Calibri" w:cs="Calibri"/>
                <w:color w:val="000000"/>
                <w:lang w:val="en-ZA" w:eastAsia="en-ZA"/>
              </w:rPr>
              <w:t xml:space="preserve"> (n=2)</w:t>
            </w:r>
          </w:p>
        </w:tc>
        <w:tc>
          <w:tcPr>
            <w:tcW w:w="3078" w:type="dxa"/>
            <w:noWrap/>
            <w:hideMark/>
          </w:tcPr>
          <w:p w14:paraId="4E49A10B"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9B3FD48"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0908AEA4"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Manufacturability</w:t>
            </w:r>
            <w:r>
              <w:rPr>
                <w:rFonts w:ascii="Calibri" w:eastAsia="Times New Roman" w:hAnsi="Calibri" w:cs="Calibri"/>
                <w:color w:val="000000"/>
                <w:lang w:val="en-ZA" w:eastAsia="en-ZA"/>
              </w:rPr>
              <w:t xml:space="preserve"> (n=1)</w:t>
            </w:r>
          </w:p>
        </w:tc>
      </w:tr>
      <w:tr w:rsidR="000F6CC7" w:rsidRPr="00CF5C5C" w14:paraId="3824B9CC" w14:textId="77777777" w:rsidTr="00EF0211">
        <w:trPr>
          <w:trHeight w:val="328"/>
        </w:trPr>
        <w:tc>
          <w:tcPr>
            <w:tcW w:w="3078" w:type="dxa"/>
            <w:hideMark/>
          </w:tcPr>
          <w:p w14:paraId="54643CFF"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Instrument &amp; test supply reliability</w:t>
            </w:r>
            <w:r>
              <w:rPr>
                <w:rFonts w:ascii="Calibri" w:eastAsia="Times New Roman" w:hAnsi="Calibri" w:cs="Calibri"/>
                <w:color w:val="000000"/>
                <w:lang w:val="en-ZA" w:eastAsia="en-ZA"/>
              </w:rPr>
              <w:t xml:space="preserve"> (n=1)</w:t>
            </w:r>
          </w:p>
        </w:tc>
        <w:tc>
          <w:tcPr>
            <w:tcW w:w="3078" w:type="dxa"/>
            <w:noWrap/>
            <w:hideMark/>
          </w:tcPr>
          <w:p w14:paraId="2484DFA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Patient acceptability</w:t>
            </w:r>
            <w:r>
              <w:rPr>
                <w:rFonts w:ascii="Calibri" w:eastAsia="Times New Roman" w:hAnsi="Calibri" w:cs="Calibri"/>
                <w:color w:val="000000"/>
                <w:lang w:val="en-ZA" w:eastAsia="en-ZA"/>
              </w:rPr>
              <w:t xml:space="preserve"> (n=2)</w:t>
            </w:r>
          </w:p>
        </w:tc>
        <w:tc>
          <w:tcPr>
            <w:tcW w:w="3078" w:type="dxa"/>
            <w:noWrap/>
            <w:hideMark/>
          </w:tcPr>
          <w:p w14:paraId="1883C090"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117F1A13"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5418028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Identification of telmisartan</w:t>
            </w:r>
            <w:r>
              <w:rPr>
                <w:rFonts w:ascii="Calibri" w:eastAsia="Times New Roman" w:hAnsi="Calibri" w:cs="Calibri"/>
                <w:color w:val="000000"/>
                <w:lang w:val="en-ZA" w:eastAsia="en-ZA"/>
              </w:rPr>
              <w:t xml:space="preserve"> (n=1)</w:t>
            </w:r>
          </w:p>
        </w:tc>
      </w:tr>
      <w:tr w:rsidR="000F6CC7" w:rsidRPr="00CF5C5C" w14:paraId="0492716A" w14:textId="77777777" w:rsidTr="00EF0211">
        <w:trPr>
          <w:trHeight w:val="328"/>
        </w:trPr>
        <w:tc>
          <w:tcPr>
            <w:tcW w:w="3078" w:type="dxa"/>
            <w:hideMark/>
          </w:tcPr>
          <w:p w14:paraId="73F8A405"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Test robustness requirements</w:t>
            </w:r>
            <w:r>
              <w:rPr>
                <w:rFonts w:ascii="Calibri" w:eastAsia="Times New Roman" w:hAnsi="Calibri" w:cs="Calibri"/>
                <w:color w:val="000000"/>
                <w:lang w:val="en-ZA" w:eastAsia="en-ZA"/>
              </w:rPr>
              <w:t xml:space="preserve"> (n=1)</w:t>
            </w:r>
          </w:p>
        </w:tc>
        <w:tc>
          <w:tcPr>
            <w:tcW w:w="3078" w:type="dxa"/>
            <w:noWrap/>
            <w:hideMark/>
          </w:tcPr>
          <w:p w14:paraId="24B936A6"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Dose preparation/manipulation</w:t>
            </w:r>
            <w:r>
              <w:rPr>
                <w:rFonts w:ascii="Calibri" w:eastAsia="Times New Roman" w:hAnsi="Calibri" w:cs="Calibri"/>
                <w:color w:val="000000"/>
                <w:lang w:val="en-ZA" w:eastAsia="en-ZA"/>
              </w:rPr>
              <w:t xml:space="preserve"> (n=2)</w:t>
            </w:r>
          </w:p>
        </w:tc>
        <w:tc>
          <w:tcPr>
            <w:tcW w:w="3078" w:type="dxa"/>
            <w:noWrap/>
            <w:hideMark/>
          </w:tcPr>
          <w:p w14:paraId="70724842"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6B4AF087"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4FA621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Appearance and colour of pellets</w:t>
            </w:r>
            <w:r>
              <w:rPr>
                <w:rFonts w:ascii="Calibri" w:eastAsia="Times New Roman" w:hAnsi="Calibri" w:cs="Calibri"/>
                <w:color w:val="000000"/>
                <w:lang w:val="en-ZA" w:eastAsia="en-ZA"/>
              </w:rPr>
              <w:t xml:space="preserve"> (n=1)</w:t>
            </w:r>
          </w:p>
        </w:tc>
      </w:tr>
      <w:tr w:rsidR="000F6CC7" w:rsidRPr="00CF5C5C" w14:paraId="4DC50B61" w14:textId="77777777" w:rsidTr="00EF0211">
        <w:trPr>
          <w:trHeight w:val="328"/>
        </w:trPr>
        <w:tc>
          <w:tcPr>
            <w:tcW w:w="3078" w:type="dxa"/>
            <w:hideMark/>
          </w:tcPr>
          <w:p w14:paraId="0115AD8D"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Supply: channels to marker</w:t>
            </w:r>
            <w:r>
              <w:rPr>
                <w:rFonts w:ascii="Calibri" w:eastAsia="Times New Roman" w:hAnsi="Calibri" w:cs="Calibri"/>
                <w:color w:val="000000"/>
                <w:lang w:val="en-ZA" w:eastAsia="en-ZA"/>
              </w:rPr>
              <w:t xml:space="preserve"> (n=1)</w:t>
            </w:r>
          </w:p>
        </w:tc>
        <w:tc>
          <w:tcPr>
            <w:tcW w:w="3078" w:type="dxa"/>
            <w:noWrap/>
            <w:hideMark/>
          </w:tcPr>
          <w:p w14:paraId="37AFBCF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Setting</w:t>
            </w:r>
            <w:r>
              <w:rPr>
                <w:rFonts w:ascii="Calibri" w:eastAsia="Times New Roman" w:hAnsi="Calibri" w:cs="Calibri"/>
                <w:color w:val="000000"/>
                <w:lang w:val="en-ZA" w:eastAsia="en-ZA"/>
              </w:rPr>
              <w:t xml:space="preserve"> (n=1)</w:t>
            </w:r>
          </w:p>
        </w:tc>
        <w:tc>
          <w:tcPr>
            <w:tcW w:w="3078" w:type="dxa"/>
            <w:noWrap/>
            <w:hideMark/>
          </w:tcPr>
          <w:p w14:paraId="6BF1E351"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9AA8294"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5D602DA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Pellet size</w:t>
            </w:r>
            <w:r>
              <w:rPr>
                <w:rFonts w:ascii="Calibri" w:eastAsia="Times New Roman" w:hAnsi="Calibri" w:cs="Calibri"/>
                <w:color w:val="000000"/>
                <w:lang w:val="en-ZA" w:eastAsia="en-ZA"/>
              </w:rPr>
              <w:t xml:space="preserve"> (n=1)</w:t>
            </w:r>
          </w:p>
        </w:tc>
      </w:tr>
      <w:tr w:rsidR="000F6CC7" w:rsidRPr="00CF5C5C" w14:paraId="594AB693" w14:textId="77777777" w:rsidTr="00EF0211">
        <w:trPr>
          <w:trHeight w:val="328"/>
        </w:trPr>
        <w:tc>
          <w:tcPr>
            <w:tcW w:w="3078" w:type="dxa"/>
            <w:hideMark/>
          </w:tcPr>
          <w:p w14:paraId="1B5277A9"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Capacity for drug susceptibility testing</w:t>
            </w:r>
            <w:r>
              <w:rPr>
                <w:rFonts w:ascii="Calibri" w:eastAsia="Times New Roman" w:hAnsi="Calibri" w:cs="Calibri"/>
                <w:color w:val="000000"/>
                <w:lang w:val="en-ZA" w:eastAsia="en-ZA"/>
              </w:rPr>
              <w:t xml:space="preserve"> (n=1)</w:t>
            </w:r>
          </w:p>
        </w:tc>
        <w:tc>
          <w:tcPr>
            <w:tcW w:w="3078" w:type="dxa"/>
            <w:noWrap/>
            <w:hideMark/>
          </w:tcPr>
          <w:p w14:paraId="45C545B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Overdose</w:t>
            </w:r>
            <w:r>
              <w:rPr>
                <w:rFonts w:ascii="Calibri" w:eastAsia="Times New Roman" w:hAnsi="Calibri" w:cs="Calibri"/>
                <w:color w:val="000000"/>
                <w:lang w:val="en-ZA" w:eastAsia="en-ZA"/>
              </w:rPr>
              <w:t xml:space="preserve"> (n=1)</w:t>
            </w:r>
          </w:p>
        </w:tc>
        <w:tc>
          <w:tcPr>
            <w:tcW w:w="3078" w:type="dxa"/>
            <w:noWrap/>
            <w:hideMark/>
          </w:tcPr>
          <w:p w14:paraId="3C0F7317"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7BF0063"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57EB74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Pellet shape</w:t>
            </w:r>
            <w:r>
              <w:rPr>
                <w:rFonts w:ascii="Calibri" w:eastAsia="Times New Roman" w:hAnsi="Calibri" w:cs="Calibri"/>
                <w:color w:val="000000"/>
                <w:lang w:val="en-ZA" w:eastAsia="en-ZA"/>
              </w:rPr>
              <w:t xml:space="preserve"> (n=1)</w:t>
            </w:r>
          </w:p>
        </w:tc>
      </w:tr>
      <w:tr w:rsidR="000F6CC7" w:rsidRPr="00CF5C5C" w14:paraId="0CB4B79F" w14:textId="77777777" w:rsidTr="00EF0211">
        <w:trPr>
          <w:trHeight w:val="328"/>
        </w:trPr>
        <w:tc>
          <w:tcPr>
            <w:tcW w:w="3078" w:type="dxa"/>
            <w:hideMark/>
          </w:tcPr>
          <w:p w14:paraId="224B08AF"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lastRenderedPageBreak/>
              <w:t>Technology/platform type</w:t>
            </w:r>
            <w:r>
              <w:rPr>
                <w:rFonts w:ascii="Calibri" w:eastAsia="Times New Roman" w:hAnsi="Calibri" w:cs="Calibri"/>
                <w:color w:val="000000"/>
                <w:lang w:val="en-ZA" w:eastAsia="en-ZA"/>
              </w:rPr>
              <w:t xml:space="preserve"> (n=1)</w:t>
            </w:r>
          </w:p>
        </w:tc>
        <w:tc>
          <w:tcPr>
            <w:tcW w:w="3078" w:type="dxa"/>
            <w:noWrap/>
            <w:hideMark/>
          </w:tcPr>
          <w:p w14:paraId="3398EEE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Target countries</w:t>
            </w:r>
            <w:r>
              <w:rPr>
                <w:rFonts w:ascii="Calibri" w:eastAsia="Times New Roman" w:hAnsi="Calibri" w:cs="Calibri"/>
                <w:color w:val="000000"/>
                <w:lang w:val="en-ZA" w:eastAsia="en-ZA"/>
              </w:rPr>
              <w:t xml:space="preserve"> (n=1)</w:t>
            </w:r>
          </w:p>
        </w:tc>
        <w:tc>
          <w:tcPr>
            <w:tcW w:w="3078" w:type="dxa"/>
            <w:noWrap/>
            <w:hideMark/>
          </w:tcPr>
          <w:p w14:paraId="0D11D8C8"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00B6215D"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62AA2C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Surface texture</w:t>
            </w:r>
            <w:r>
              <w:rPr>
                <w:rFonts w:ascii="Calibri" w:eastAsia="Times New Roman" w:hAnsi="Calibri" w:cs="Calibri"/>
                <w:color w:val="000000"/>
                <w:lang w:val="en-ZA" w:eastAsia="en-ZA"/>
              </w:rPr>
              <w:t xml:space="preserve"> (n=1)</w:t>
            </w:r>
          </w:p>
        </w:tc>
      </w:tr>
      <w:tr w:rsidR="000F6CC7" w:rsidRPr="00CF5C5C" w14:paraId="7C99D3D7" w14:textId="77777777" w:rsidTr="00EF0211">
        <w:trPr>
          <w:trHeight w:val="328"/>
        </w:trPr>
        <w:tc>
          <w:tcPr>
            <w:tcW w:w="3078" w:type="dxa"/>
            <w:hideMark/>
          </w:tcPr>
          <w:p w14:paraId="0BF4F43B"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Lighting of the operating environment</w:t>
            </w:r>
            <w:r>
              <w:rPr>
                <w:rFonts w:ascii="Calibri" w:eastAsia="Times New Roman" w:hAnsi="Calibri" w:cs="Calibri"/>
                <w:color w:val="000000"/>
                <w:lang w:val="en-ZA" w:eastAsia="en-ZA"/>
              </w:rPr>
              <w:t xml:space="preserve"> (n=1)</w:t>
            </w:r>
          </w:p>
        </w:tc>
        <w:tc>
          <w:tcPr>
            <w:tcW w:w="3078" w:type="dxa"/>
            <w:noWrap/>
            <w:hideMark/>
          </w:tcPr>
          <w:p w14:paraId="4F4A2804"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Pregnancy</w:t>
            </w:r>
            <w:r>
              <w:rPr>
                <w:rFonts w:ascii="Calibri" w:eastAsia="Times New Roman" w:hAnsi="Calibri" w:cs="Calibri"/>
                <w:color w:val="000000"/>
                <w:lang w:val="en-ZA" w:eastAsia="en-ZA"/>
              </w:rPr>
              <w:t xml:space="preserve"> (n=1)</w:t>
            </w:r>
          </w:p>
        </w:tc>
        <w:tc>
          <w:tcPr>
            <w:tcW w:w="3078" w:type="dxa"/>
            <w:noWrap/>
            <w:hideMark/>
          </w:tcPr>
          <w:p w14:paraId="6AEDFE36"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73E58E0"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DE45B9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Flowability and compressibility</w:t>
            </w:r>
            <w:r>
              <w:rPr>
                <w:rFonts w:ascii="Calibri" w:eastAsia="Times New Roman" w:hAnsi="Calibri" w:cs="Calibri"/>
                <w:color w:val="000000"/>
                <w:lang w:val="en-ZA" w:eastAsia="en-ZA"/>
              </w:rPr>
              <w:t xml:space="preserve"> (n=1)</w:t>
            </w:r>
          </w:p>
        </w:tc>
      </w:tr>
      <w:tr w:rsidR="000F6CC7" w:rsidRPr="00CF5C5C" w14:paraId="749EB36D" w14:textId="77777777" w:rsidTr="00EF0211">
        <w:trPr>
          <w:trHeight w:val="328"/>
        </w:trPr>
        <w:tc>
          <w:tcPr>
            <w:tcW w:w="3078" w:type="dxa"/>
            <w:hideMark/>
          </w:tcPr>
          <w:p w14:paraId="3460DD36"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Geographic working range</w:t>
            </w:r>
            <w:r>
              <w:rPr>
                <w:rFonts w:ascii="Calibri" w:eastAsia="Times New Roman" w:hAnsi="Calibri" w:cs="Calibri"/>
                <w:color w:val="000000"/>
                <w:lang w:val="en-ZA" w:eastAsia="en-ZA"/>
              </w:rPr>
              <w:t xml:space="preserve"> (n=1)</w:t>
            </w:r>
          </w:p>
        </w:tc>
        <w:tc>
          <w:tcPr>
            <w:tcW w:w="3078" w:type="dxa"/>
            <w:noWrap/>
            <w:hideMark/>
          </w:tcPr>
          <w:p w14:paraId="03132F1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Mass median aerodynamic diameter (MMD)</w:t>
            </w:r>
            <w:r>
              <w:rPr>
                <w:rFonts w:ascii="Calibri" w:eastAsia="Times New Roman" w:hAnsi="Calibri" w:cs="Calibri"/>
                <w:color w:val="000000"/>
                <w:lang w:val="en-ZA" w:eastAsia="en-ZA"/>
              </w:rPr>
              <w:t xml:space="preserve"> (n=1)</w:t>
            </w:r>
          </w:p>
        </w:tc>
        <w:tc>
          <w:tcPr>
            <w:tcW w:w="3078" w:type="dxa"/>
            <w:noWrap/>
            <w:hideMark/>
          </w:tcPr>
          <w:p w14:paraId="12017FD6"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E91F45B"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058401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Drug content</w:t>
            </w:r>
            <w:r>
              <w:rPr>
                <w:rFonts w:ascii="Calibri" w:eastAsia="Times New Roman" w:hAnsi="Calibri" w:cs="Calibri"/>
                <w:color w:val="000000"/>
                <w:lang w:val="en-ZA" w:eastAsia="en-ZA"/>
              </w:rPr>
              <w:t xml:space="preserve"> (n=1)</w:t>
            </w:r>
          </w:p>
        </w:tc>
      </w:tr>
      <w:tr w:rsidR="000F6CC7" w:rsidRPr="00CF5C5C" w14:paraId="7C6BB1A6" w14:textId="77777777" w:rsidTr="00EF0211">
        <w:trPr>
          <w:trHeight w:val="328"/>
        </w:trPr>
        <w:tc>
          <w:tcPr>
            <w:tcW w:w="3078" w:type="dxa"/>
            <w:hideMark/>
          </w:tcPr>
          <w:p w14:paraId="075641FB"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Type of test</w:t>
            </w:r>
            <w:r>
              <w:rPr>
                <w:rFonts w:ascii="Calibri" w:eastAsia="Times New Roman" w:hAnsi="Calibri" w:cs="Calibri"/>
                <w:color w:val="000000"/>
                <w:lang w:val="en-ZA" w:eastAsia="en-ZA"/>
              </w:rPr>
              <w:t xml:space="preserve"> (n=1)</w:t>
            </w:r>
          </w:p>
        </w:tc>
        <w:tc>
          <w:tcPr>
            <w:tcW w:w="3078" w:type="dxa"/>
            <w:noWrap/>
            <w:hideMark/>
          </w:tcPr>
          <w:p w14:paraId="132DE485"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Yield (%)</w:t>
            </w:r>
            <w:r>
              <w:rPr>
                <w:rFonts w:ascii="Calibri" w:eastAsia="Times New Roman" w:hAnsi="Calibri" w:cs="Calibri"/>
                <w:color w:val="000000"/>
                <w:lang w:val="en-ZA" w:eastAsia="en-ZA"/>
              </w:rPr>
              <w:t xml:space="preserve"> (n=1)</w:t>
            </w:r>
          </w:p>
        </w:tc>
        <w:tc>
          <w:tcPr>
            <w:tcW w:w="3078" w:type="dxa"/>
            <w:noWrap/>
            <w:hideMark/>
          </w:tcPr>
          <w:p w14:paraId="62A48DD8"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DE274E7"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53ABAF2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Algorithm access</w:t>
            </w:r>
            <w:r>
              <w:rPr>
                <w:rFonts w:ascii="Calibri" w:eastAsia="Times New Roman" w:hAnsi="Calibri" w:cs="Calibri"/>
                <w:color w:val="000000"/>
                <w:lang w:val="en-ZA" w:eastAsia="en-ZA"/>
              </w:rPr>
              <w:t xml:space="preserve"> (n=1)</w:t>
            </w:r>
          </w:p>
        </w:tc>
      </w:tr>
      <w:tr w:rsidR="000F6CC7" w:rsidRPr="00CF5C5C" w14:paraId="0FF0C568" w14:textId="77777777" w:rsidTr="00EF0211">
        <w:trPr>
          <w:trHeight w:val="328"/>
        </w:trPr>
        <w:tc>
          <w:tcPr>
            <w:tcW w:w="3078" w:type="dxa"/>
            <w:hideMark/>
          </w:tcPr>
          <w:p w14:paraId="4A8B33E0"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Speed</w:t>
            </w:r>
            <w:r>
              <w:rPr>
                <w:rFonts w:ascii="Calibri" w:eastAsia="Times New Roman" w:hAnsi="Calibri" w:cs="Calibri"/>
                <w:color w:val="000000"/>
                <w:lang w:val="en-ZA" w:eastAsia="en-ZA"/>
              </w:rPr>
              <w:t xml:space="preserve"> (n=1)</w:t>
            </w:r>
          </w:p>
        </w:tc>
        <w:tc>
          <w:tcPr>
            <w:tcW w:w="3078" w:type="dxa"/>
            <w:noWrap/>
            <w:hideMark/>
          </w:tcPr>
          <w:p w14:paraId="5951FAE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Relative moisture content (%)</w:t>
            </w:r>
            <w:r>
              <w:rPr>
                <w:rFonts w:ascii="Calibri" w:eastAsia="Times New Roman" w:hAnsi="Calibri" w:cs="Calibri"/>
                <w:color w:val="000000"/>
                <w:lang w:val="en-ZA" w:eastAsia="en-ZA"/>
              </w:rPr>
              <w:t xml:space="preserve"> (n=1)</w:t>
            </w:r>
          </w:p>
        </w:tc>
        <w:tc>
          <w:tcPr>
            <w:tcW w:w="3078" w:type="dxa"/>
            <w:noWrap/>
            <w:hideMark/>
          </w:tcPr>
          <w:p w14:paraId="39136AA7"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8EF5060"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FEB463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Algorithm content</w:t>
            </w:r>
            <w:r>
              <w:rPr>
                <w:rFonts w:ascii="Calibri" w:eastAsia="Times New Roman" w:hAnsi="Calibri" w:cs="Calibri"/>
                <w:color w:val="000000"/>
                <w:lang w:val="en-ZA" w:eastAsia="en-ZA"/>
              </w:rPr>
              <w:t xml:space="preserve"> (n=1)</w:t>
            </w:r>
          </w:p>
        </w:tc>
      </w:tr>
      <w:tr w:rsidR="000F6CC7" w:rsidRPr="00CF5C5C" w14:paraId="2D162D1C" w14:textId="77777777" w:rsidTr="00EF0211">
        <w:trPr>
          <w:trHeight w:val="328"/>
        </w:trPr>
        <w:tc>
          <w:tcPr>
            <w:tcW w:w="3078" w:type="dxa"/>
            <w:hideMark/>
          </w:tcPr>
          <w:p w14:paraId="22D1E712"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Number of samples</w:t>
            </w:r>
            <w:r>
              <w:rPr>
                <w:rFonts w:ascii="Calibri" w:eastAsia="Times New Roman" w:hAnsi="Calibri" w:cs="Calibri"/>
                <w:color w:val="000000"/>
                <w:lang w:val="en-ZA" w:eastAsia="en-ZA"/>
              </w:rPr>
              <w:t xml:space="preserve"> (n=1)</w:t>
            </w:r>
          </w:p>
        </w:tc>
        <w:tc>
          <w:tcPr>
            <w:tcW w:w="3078" w:type="dxa"/>
            <w:noWrap/>
            <w:hideMark/>
          </w:tcPr>
          <w:p w14:paraId="699A718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Mass</w:t>
            </w:r>
            <w:r>
              <w:rPr>
                <w:rFonts w:ascii="Calibri" w:eastAsia="Times New Roman" w:hAnsi="Calibri" w:cs="Calibri"/>
                <w:color w:val="000000"/>
                <w:lang w:val="en-ZA" w:eastAsia="en-ZA"/>
              </w:rPr>
              <w:t xml:space="preserve"> (n=1)</w:t>
            </w:r>
          </w:p>
        </w:tc>
        <w:tc>
          <w:tcPr>
            <w:tcW w:w="3078" w:type="dxa"/>
            <w:noWrap/>
            <w:hideMark/>
          </w:tcPr>
          <w:p w14:paraId="65025FFF"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2729A190"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0327E8A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Algorithm treatment recommendations</w:t>
            </w:r>
            <w:r>
              <w:rPr>
                <w:rFonts w:ascii="Calibri" w:eastAsia="Times New Roman" w:hAnsi="Calibri" w:cs="Calibri"/>
                <w:color w:val="000000"/>
                <w:lang w:val="en-ZA" w:eastAsia="en-ZA"/>
              </w:rPr>
              <w:t xml:space="preserve"> (n=1)</w:t>
            </w:r>
          </w:p>
        </w:tc>
      </w:tr>
      <w:tr w:rsidR="000F6CC7" w:rsidRPr="00CF5C5C" w14:paraId="06247C6E" w14:textId="77777777" w:rsidTr="00EF0211">
        <w:trPr>
          <w:trHeight w:val="656"/>
        </w:trPr>
        <w:tc>
          <w:tcPr>
            <w:tcW w:w="3078" w:type="dxa"/>
            <w:hideMark/>
          </w:tcPr>
          <w:p w14:paraId="46CD531B"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Timing of sampling (of the first posttreatment sample)</w:t>
            </w:r>
            <w:r>
              <w:rPr>
                <w:rFonts w:ascii="Calibri" w:eastAsia="Times New Roman" w:hAnsi="Calibri" w:cs="Calibri"/>
                <w:color w:val="000000"/>
                <w:lang w:val="en-ZA" w:eastAsia="en-ZA"/>
              </w:rPr>
              <w:t xml:space="preserve"> (n=1)</w:t>
            </w:r>
          </w:p>
        </w:tc>
        <w:tc>
          <w:tcPr>
            <w:tcW w:w="3078" w:type="dxa"/>
            <w:noWrap/>
            <w:hideMark/>
          </w:tcPr>
          <w:p w14:paraId="4DFA0BA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Distribution territory</w:t>
            </w:r>
            <w:r>
              <w:rPr>
                <w:rFonts w:ascii="Calibri" w:eastAsia="Times New Roman" w:hAnsi="Calibri" w:cs="Calibri"/>
                <w:color w:val="000000"/>
                <w:lang w:val="en-ZA" w:eastAsia="en-ZA"/>
              </w:rPr>
              <w:t xml:space="preserve"> (n=1)</w:t>
            </w:r>
          </w:p>
        </w:tc>
        <w:tc>
          <w:tcPr>
            <w:tcW w:w="3078" w:type="dxa"/>
            <w:noWrap/>
            <w:hideMark/>
          </w:tcPr>
          <w:p w14:paraId="0C9EAFA9"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EC5A8A2"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FE31835"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Compatible POC/test tools</w:t>
            </w:r>
            <w:r>
              <w:rPr>
                <w:rFonts w:ascii="Calibri" w:eastAsia="Times New Roman" w:hAnsi="Calibri" w:cs="Calibri"/>
                <w:color w:val="000000"/>
                <w:lang w:val="en-ZA" w:eastAsia="en-ZA"/>
              </w:rPr>
              <w:t xml:space="preserve"> (n=1)</w:t>
            </w:r>
          </w:p>
        </w:tc>
      </w:tr>
      <w:tr w:rsidR="000F6CC7" w:rsidRPr="00CF5C5C" w14:paraId="61289ED8" w14:textId="77777777" w:rsidTr="00EF0211">
        <w:trPr>
          <w:trHeight w:val="328"/>
        </w:trPr>
        <w:tc>
          <w:tcPr>
            <w:tcW w:w="3078" w:type="dxa"/>
            <w:hideMark/>
          </w:tcPr>
          <w:p w14:paraId="40C62CE7"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Other</w:t>
            </w:r>
            <w:r>
              <w:rPr>
                <w:rFonts w:ascii="Calibri" w:eastAsia="Times New Roman" w:hAnsi="Calibri" w:cs="Calibri"/>
                <w:color w:val="000000"/>
                <w:lang w:val="en-ZA" w:eastAsia="en-ZA"/>
              </w:rPr>
              <w:t xml:space="preserve"> (n=1)</w:t>
            </w:r>
          </w:p>
        </w:tc>
        <w:tc>
          <w:tcPr>
            <w:tcW w:w="3078" w:type="dxa"/>
            <w:noWrap/>
            <w:hideMark/>
          </w:tcPr>
          <w:p w14:paraId="0DB56274"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Posology</w:t>
            </w:r>
            <w:r>
              <w:rPr>
                <w:rFonts w:ascii="Calibri" w:eastAsia="Times New Roman" w:hAnsi="Calibri" w:cs="Calibri"/>
                <w:color w:val="000000"/>
                <w:lang w:val="en-ZA" w:eastAsia="en-ZA"/>
              </w:rPr>
              <w:t xml:space="preserve"> (n=1)</w:t>
            </w:r>
          </w:p>
        </w:tc>
        <w:tc>
          <w:tcPr>
            <w:tcW w:w="3078" w:type="dxa"/>
            <w:noWrap/>
            <w:hideMark/>
          </w:tcPr>
          <w:p w14:paraId="028EA907"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5F71D74"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431AF8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Regulated toolkit components</w:t>
            </w:r>
            <w:r>
              <w:rPr>
                <w:rFonts w:ascii="Calibri" w:eastAsia="Times New Roman" w:hAnsi="Calibri" w:cs="Calibri"/>
                <w:color w:val="000000"/>
                <w:lang w:val="en-ZA" w:eastAsia="en-ZA"/>
              </w:rPr>
              <w:t xml:space="preserve"> (n=1)</w:t>
            </w:r>
          </w:p>
        </w:tc>
      </w:tr>
      <w:tr w:rsidR="000F6CC7" w:rsidRPr="00CF5C5C" w14:paraId="5FFA5A9C" w14:textId="77777777" w:rsidTr="00EF0211">
        <w:trPr>
          <w:trHeight w:val="328"/>
        </w:trPr>
        <w:tc>
          <w:tcPr>
            <w:tcW w:w="3078" w:type="dxa"/>
            <w:hideMark/>
          </w:tcPr>
          <w:p w14:paraId="6E62B083"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Scale of manufacture</w:t>
            </w:r>
            <w:r>
              <w:rPr>
                <w:rFonts w:ascii="Calibri" w:eastAsia="Times New Roman" w:hAnsi="Calibri" w:cs="Calibri"/>
                <w:color w:val="000000"/>
                <w:lang w:val="en-ZA" w:eastAsia="en-ZA"/>
              </w:rPr>
              <w:t xml:space="preserve"> (n=1)</w:t>
            </w:r>
          </w:p>
        </w:tc>
        <w:tc>
          <w:tcPr>
            <w:tcW w:w="3078" w:type="dxa"/>
            <w:noWrap/>
            <w:hideMark/>
          </w:tcPr>
          <w:p w14:paraId="5B1A8EF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Therapeutic (antimalarial) effects</w:t>
            </w:r>
            <w:r>
              <w:rPr>
                <w:rFonts w:ascii="Calibri" w:eastAsia="Times New Roman" w:hAnsi="Calibri" w:cs="Calibri"/>
                <w:color w:val="000000"/>
                <w:lang w:val="en-ZA" w:eastAsia="en-ZA"/>
              </w:rPr>
              <w:t xml:space="preserve"> (n=1)</w:t>
            </w:r>
          </w:p>
        </w:tc>
        <w:tc>
          <w:tcPr>
            <w:tcW w:w="3078" w:type="dxa"/>
            <w:noWrap/>
            <w:hideMark/>
          </w:tcPr>
          <w:p w14:paraId="24EAAF69"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A580C49"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EDC2EB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Compatible devices</w:t>
            </w:r>
            <w:r>
              <w:rPr>
                <w:rFonts w:ascii="Calibri" w:eastAsia="Times New Roman" w:hAnsi="Calibri" w:cs="Calibri"/>
                <w:color w:val="000000"/>
                <w:lang w:val="en-ZA" w:eastAsia="en-ZA"/>
              </w:rPr>
              <w:t xml:space="preserve"> (n=1)</w:t>
            </w:r>
          </w:p>
        </w:tc>
      </w:tr>
      <w:tr w:rsidR="000F6CC7" w:rsidRPr="00CF5C5C" w14:paraId="72B15E56" w14:textId="77777777" w:rsidTr="00EF0211">
        <w:trPr>
          <w:trHeight w:val="328"/>
        </w:trPr>
        <w:tc>
          <w:tcPr>
            <w:tcW w:w="3078" w:type="dxa"/>
            <w:noWrap/>
            <w:hideMark/>
          </w:tcPr>
          <w:p w14:paraId="2272EADD"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Delayed entry</w:t>
            </w:r>
            <w:r>
              <w:rPr>
                <w:rFonts w:ascii="Calibri" w:eastAsia="Times New Roman" w:hAnsi="Calibri" w:cs="Calibri"/>
                <w:color w:val="000000"/>
                <w:lang w:val="en-ZA" w:eastAsia="en-ZA"/>
              </w:rPr>
              <w:t xml:space="preserve"> (n=1)</w:t>
            </w:r>
          </w:p>
        </w:tc>
        <w:tc>
          <w:tcPr>
            <w:tcW w:w="3078" w:type="dxa"/>
            <w:noWrap/>
            <w:hideMark/>
          </w:tcPr>
          <w:p w14:paraId="2DA8F21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Use in patients with reduced G6PD activity</w:t>
            </w:r>
            <w:r>
              <w:rPr>
                <w:rFonts w:ascii="Calibri" w:eastAsia="Times New Roman" w:hAnsi="Calibri" w:cs="Calibri"/>
                <w:color w:val="000000"/>
                <w:lang w:val="en-ZA" w:eastAsia="en-ZA"/>
              </w:rPr>
              <w:t xml:space="preserve"> (n=1)</w:t>
            </w:r>
          </w:p>
        </w:tc>
        <w:tc>
          <w:tcPr>
            <w:tcW w:w="3078" w:type="dxa"/>
            <w:noWrap/>
            <w:hideMark/>
          </w:tcPr>
          <w:p w14:paraId="455CDD22"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169C4DB3"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055D988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Compatible operating systems</w:t>
            </w:r>
            <w:r>
              <w:rPr>
                <w:rFonts w:ascii="Calibri" w:eastAsia="Times New Roman" w:hAnsi="Calibri" w:cs="Calibri"/>
                <w:color w:val="000000"/>
                <w:lang w:val="en-ZA" w:eastAsia="en-ZA"/>
              </w:rPr>
              <w:t xml:space="preserve"> (n=1)</w:t>
            </w:r>
          </w:p>
        </w:tc>
      </w:tr>
      <w:tr w:rsidR="000F6CC7" w:rsidRPr="00CF5C5C" w14:paraId="0388E5AD" w14:textId="77777777" w:rsidTr="00EF0211">
        <w:trPr>
          <w:trHeight w:val="328"/>
        </w:trPr>
        <w:tc>
          <w:tcPr>
            <w:tcW w:w="3078" w:type="dxa"/>
            <w:noWrap/>
            <w:hideMark/>
          </w:tcPr>
          <w:p w14:paraId="197D0DA5"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Assay design</w:t>
            </w:r>
            <w:r>
              <w:rPr>
                <w:rFonts w:ascii="Calibri" w:eastAsia="Times New Roman" w:hAnsi="Calibri" w:cs="Calibri"/>
                <w:color w:val="000000"/>
                <w:lang w:val="en-ZA" w:eastAsia="en-ZA"/>
              </w:rPr>
              <w:t xml:space="preserve"> (n=1) </w:t>
            </w:r>
          </w:p>
        </w:tc>
        <w:tc>
          <w:tcPr>
            <w:tcW w:w="3078" w:type="dxa"/>
            <w:noWrap/>
            <w:hideMark/>
          </w:tcPr>
          <w:p w14:paraId="6D8124E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Use in infants/children</w:t>
            </w:r>
            <w:r>
              <w:rPr>
                <w:rFonts w:ascii="Calibri" w:eastAsia="Times New Roman" w:hAnsi="Calibri" w:cs="Calibri"/>
                <w:color w:val="000000"/>
                <w:lang w:val="en-ZA" w:eastAsia="en-ZA"/>
              </w:rPr>
              <w:t xml:space="preserve"> (n=1)</w:t>
            </w:r>
          </w:p>
        </w:tc>
        <w:tc>
          <w:tcPr>
            <w:tcW w:w="3078" w:type="dxa"/>
            <w:noWrap/>
            <w:hideMark/>
          </w:tcPr>
          <w:p w14:paraId="0E722B22"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CED7012"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BF14FA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Content transparency</w:t>
            </w:r>
            <w:r>
              <w:rPr>
                <w:rFonts w:ascii="Calibri" w:eastAsia="Times New Roman" w:hAnsi="Calibri" w:cs="Calibri"/>
                <w:color w:val="000000"/>
                <w:lang w:val="en-ZA" w:eastAsia="en-ZA"/>
              </w:rPr>
              <w:t xml:space="preserve"> (n=1)</w:t>
            </w:r>
          </w:p>
        </w:tc>
      </w:tr>
      <w:tr w:rsidR="000F6CC7" w:rsidRPr="00CF5C5C" w14:paraId="1A98A99A" w14:textId="77777777" w:rsidTr="00EF0211">
        <w:trPr>
          <w:trHeight w:val="328"/>
        </w:trPr>
        <w:tc>
          <w:tcPr>
            <w:tcW w:w="3078" w:type="dxa"/>
            <w:noWrap/>
            <w:hideMark/>
          </w:tcPr>
          <w:p w14:paraId="35DFDFEF"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Daily throughput</w:t>
            </w:r>
            <w:r>
              <w:rPr>
                <w:rFonts w:ascii="Calibri" w:eastAsia="Times New Roman" w:hAnsi="Calibri" w:cs="Calibri"/>
                <w:color w:val="000000"/>
                <w:lang w:val="en-ZA" w:eastAsia="en-ZA"/>
              </w:rPr>
              <w:t xml:space="preserve"> (n=1)</w:t>
            </w:r>
          </w:p>
        </w:tc>
        <w:tc>
          <w:tcPr>
            <w:tcW w:w="3078" w:type="dxa"/>
            <w:noWrap/>
            <w:hideMark/>
          </w:tcPr>
          <w:p w14:paraId="689EB59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Dosage type</w:t>
            </w:r>
            <w:r>
              <w:rPr>
                <w:rFonts w:ascii="Calibri" w:eastAsia="Times New Roman" w:hAnsi="Calibri" w:cs="Calibri"/>
                <w:color w:val="000000"/>
                <w:lang w:val="en-ZA" w:eastAsia="en-ZA"/>
              </w:rPr>
              <w:t xml:space="preserve"> (n=1)</w:t>
            </w:r>
          </w:p>
        </w:tc>
        <w:tc>
          <w:tcPr>
            <w:tcW w:w="3078" w:type="dxa"/>
            <w:noWrap/>
            <w:hideMark/>
          </w:tcPr>
          <w:p w14:paraId="2BA9D6B9"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2D9F41C3"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51AAA56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Algorithm validation</w:t>
            </w:r>
            <w:r>
              <w:rPr>
                <w:rFonts w:ascii="Calibri" w:eastAsia="Times New Roman" w:hAnsi="Calibri" w:cs="Calibri"/>
                <w:color w:val="000000"/>
                <w:lang w:val="en-ZA" w:eastAsia="en-ZA"/>
              </w:rPr>
              <w:t xml:space="preserve"> (n=1)</w:t>
            </w:r>
          </w:p>
        </w:tc>
      </w:tr>
      <w:tr w:rsidR="000F6CC7" w:rsidRPr="00CF5C5C" w14:paraId="3456784F" w14:textId="77777777" w:rsidTr="00EF0211">
        <w:trPr>
          <w:trHeight w:val="328"/>
        </w:trPr>
        <w:tc>
          <w:tcPr>
            <w:tcW w:w="3078" w:type="dxa"/>
            <w:noWrap/>
            <w:hideMark/>
          </w:tcPr>
          <w:p w14:paraId="6DAF4778"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Walkaway operation</w:t>
            </w:r>
            <w:r>
              <w:rPr>
                <w:rFonts w:ascii="Calibri" w:eastAsia="Times New Roman" w:hAnsi="Calibri" w:cs="Calibri"/>
                <w:color w:val="000000"/>
                <w:lang w:val="en-ZA" w:eastAsia="en-ZA"/>
              </w:rPr>
              <w:t xml:space="preserve"> (n=1)</w:t>
            </w:r>
          </w:p>
        </w:tc>
        <w:tc>
          <w:tcPr>
            <w:tcW w:w="3078" w:type="dxa"/>
            <w:noWrap/>
            <w:hideMark/>
          </w:tcPr>
          <w:p w14:paraId="7855AE3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Bioequivalence</w:t>
            </w:r>
            <w:r>
              <w:rPr>
                <w:rFonts w:ascii="Calibri" w:eastAsia="Times New Roman" w:hAnsi="Calibri" w:cs="Calibri"/>
                <w:color w:val="000000"/>
                <w:lang w:val="en-ZA" w:eastAsia="en-ZA"/>
              </w:rPr>
              <w:t xml:space="preserve"> (n=1)</w:t>
            </w:r>
          </w:p>
        </w:tc>
        <w:tc>
          <w:tcPr>
            <w:tcW w:w="3078" w:type="dxa"/>
            <w:noWrap/>
            <w:hideMark/>
          </w:tcPr>
          <w:p w14:paraId="0A097C47"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28F172DB"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51D004D6"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Machine learning</w:t>
            </w:r>
            <w:r>
              <w:rPr>
                <w:rFonts w:ascii="Calibri" w:eastAsia="Times New Roman" w:hAnsi="Calibri" w:cs="Calibri"/>
                <w:color w:val="000000"/>
                <w:lang w:val="en-ZA" w:eastAsia="en-ZA"/>
              </w:rPr>
              <w:t xml:space="preserve"> (n=1)</w:t>
            </w:r>
          </w:p>
        </w:tc>
      </w:tr>
      <w:tr w:rsidR="000F6CC7" w:rsidRPr="00CF5C5C" w14:paraId="066070F9" w14:textId="77777777" w:rsidTr="00EF0211">
        <w:trPr>
          <w:trHeight w:val="328"/>
        </w:trPr>
        <w:tc>
          <w:tcPr>
            <w:tcW w:w="3078" w:type="dxa"/>
            <w:noWrap/>
            <w:hideMark/>
          </w:tcPr>
          <w:p w14:paraId="74523E1F"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Software</w:t>
            </w:r>
            <w:r>
              <w:rPr>
                <w:rFonts w:ascii="Calibri" w:eastAsia="Times New Roman" w:hAnsi="Calibri" w:cs="Calibri"/>
                <w:color w:val="000000"/>
                <w:lang w:val="en-ZA" w:eastAsia="en-ZA"/>
              </w:rPr>
              <w:t xml:space="preserve"> (n=1)</w:t>
            </w:r>
          </w:p>
        </w:tc>
        <w:tc>
          <w:tcPr>
            <w:tcW w:w="3078" w:type="dxa"/>
            <w:noWrap/>
            <w:hideMark/>
          </w:tcPr>
          <w:p w14:paraId="122619C9"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PK target safety</w:t>
            </w:r>
            <w:r>
              <w:rPr>
                <w:rFonts w:ascii="Calibri" w:eastAsia="Times New Roman" w:hAnsi="Calibri" w:cs="Calibri"/>
                <w:color w:val="000000"/>
                <w:lang w:val="en-ZA" w:eastAsia="en-ZA"/>
              </w:rPr>
              <w:t xml:space="preserve"> (n=1)</w:t>
            </w:r>
          </w:p>
        </w:tc>
        <w:tc>
          <w:tcPr>
            <w:tcW w:w="3078" w:type="dxa"/>
            <w:noWrap/>
            <w:hideMark/>
          </w:tcPr>
          <w:p w14:paraId="5AB7E47F"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BC5C9FB"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DE286F6"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Data input</w:t>
            </w:r>
            <w:r>
              <w:rPr>
                <w:rFonts w:ascii="Calibri" w:eastAsia="Times New Roman" w:hAnsi="Calibri" w:cs="Calibri"/>
                <w:color w:val="000000"/>
                <w:lang w:val="en-ZA" w:eastAsia="en-ZA"/>
              </w:rPr>
              <w:t xml:space="preserve"> (n=1)</w:t>
            </w:r>
          </w:p>
        </w:tc>
      </w:tr>
      <w:tr w:rsidR="000F6CC7" w:rsidRPr="00CF5C5C" w14:paraId="69BAD2AB" w14:textId="77777777" w:rsidTr="00EF0211">
        <w:trPr>
          <w:trHeight w:val="328"/>
        </w:trPr>
        <w:tc>
          <w:tcPr>
            <w:tcW w:w="3078" w:type="dxa"/>
            <w:noWrap/>
            <w:hideMark/>
          </w:tcPr>
          <w:p w14:paraId="3CDABF9F"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Assay type</w:t>
            </w:r>
            <w:r>
              <w:rPr>
                <w:rFonts w:ascii="Calibri" w:eastAsia="Times New Roman" w:hAnsi="Calibri" w:cs="Calibri"/>
                <w:color w:val="000000"/>
                <w:lang w:val="en-ZA" w:eastAsia="en-ZA"/>
              </w:rPr>
              <w:t xml:space="preserve"> (n=1)</w:t>
            </w:r>
          </w:p>
        </w:tc>
        <w:tc>
          <w:tcPr>
            <w:tcW w:w="3078" w:type="dxa"/>
            <w:noWrap/>
            <w:hideMark/>
          </w:tcPr>
          <w:p w14:paraId="2EF61553"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Manufacturability</w:t>
            </w:r>
            <w:r>
              <w:rPr>
                <w:rFonts w:ascii="Calibri" w:eastAsia="Times New Roman" w:hAnsi="Calibri" w:cs="Calibri"/>
                <w:color w:val="000000"/>
                <w:lang w:val="en-ZA" w:eastAsia="en-ZA"/>
              </w:rPr>
              <w:t xml:space="preserve"> (n=1)</w:t>
            </w:r>
          </w:p>
        </w:tc>
        <w:tc>
          <w:tcPr>
            <w:tcW w:w="3078" w:type="dxa"/>
            <w:noWrap/>
            <w:hideMark/>
          </w:tcPr>
          <w:p w14:paraId="319CCD79"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678356E6"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4A99B6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Disease likelihood</w:t>
            </w:r>
            <w:r>
              <w:rPr>
                <w:rFonts w:ascii="Calibri" w:eastAsia="Times New Roman" w:hAnsi="Calibri" w:cs="Calibri"/>
                <w:color w:val="000000"/>
                <w:lang w:val="en-ZA" w:eastAsia="en-ZA"/>
              </w:rPr>
              <w:t xml:space="preserve"> (n=1)</w:t>
            </w:r>
          </w:p>
        </w:tc>
      </w:tr>
      <w:tr w:rsidR="000F6CC7" w:rsidRPr="00CF5C5C" w14:paraId="48652F76" w14:textId="77777777" w:rsidTr="00EF0211">
        <w:trPr>
          <w:trHeight w:val="328"/>
        </w:trPr>
        <w:tc>
          <w:tcPr>
            <w:tcW w:w="3078" w:type="dxa"/>
            <w:noWrap/>
            <w:hideMark/>
          </w:tcPr>
          <w:p w14:paraId="3F30E2AE"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Operation conditions</w:t>
            </w:r>
            <w:r>
              <w:rPr>
                <w:rFonts w:ascii="Calibri" w:eastAsia="Times New Roman" w:hAnsi="Calibri" w:cs="Calibri"/>
                <w:color w:val="000000"/>
                <w:lang w:val="en-ZA" w:eastAsia="en-ZA"/>
              </w:rPr>
              <w:t xml:space="preserve"> (n=1)</w:t>
            </w:r>
          </w:p>
        </w:tc>
        <w:tc>
          <w:tcPr>
            <w:tcW w:w="3078" w:type="dxa"/>
            <w:noWrap/>
            <w:hideMark/>
          </w:tcPr>
          <w:p w14:paraId="51751104"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Flowability and compressibility</w:t>
            </w:r>
            <w:r>
              <w:rPr>
                <w:rFonts w:ascii="Calibri" w:eastAsia="Times New Roman" w:hAnsi="Calibri" w:cs="Calibri"/>
                <w:color w:val="000000"/>
                <w:lang w:val="en-ZA" w:eastAsia="en-ZA"/>
              </w:rPr>
              <w:t xml:space="preserve"> (n=1)</w:t>
            </w:r>
          </w:p>
        </w:tc>
        <w:tc>
          <w:tcPr>
            <w:tcW w:w="3078" w:type="dxa"/>
            <w:noWrap/>
            <w:hideMark/>
          </w:tcPr>
          <w:p w14:paraId="131A9E32"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F33B289"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D5531D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System validation</w:t>
            </w:r>
            <w:r>
              <w:rPr>
                <w:rFonts w:ascii="Calibri" w:eastAsia="Times New Roman" w:hAnsi="Calibri" w:cs="Calibri"/>
                <w:color w:val="000000"/>
                <w:lang w:val="en-ZA" w:eastAsia="en-ZA"/>
              </w:rPr>
              <w:t xml:space="preserve"> (n=1)</w:t>
            </w:r>
          </w:p>
        </w:tc>
      </w:tr>
      <w:tr w:rsidR="000F6CC7" w:rsidRPr="00CF5C5C" w14:paraId="7734C70B" w14:textId="77777777" w:rsidTr="00EF0211">
        <w:trPr>
          <w:trHeight w:val="328"/>
        </w:trPr>
        <w:tc>
          <w:tcPr>
            <w:tcW w:w="3078" w:type="dxa"/>
            <w:noWrap/>
            <w:hideMark/>
          </w:tcPr>
          <w:p w14:paraId="6CDAAA8A"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Shipping conditions</w:t>
            </w:r>
            <w:r>
              <w:rPr>
                <w:rFonts w:ascii="Calibri" w:eastAsia="Times New Roman" w:hAnsi="Calibri" w:cs="Calibri"/>
                <w:color w:val="000000"/>
                <w:lang w:val="en-ZA" w:eastAsia="en-ZA"/>
              </w:rPr>
              <w:t xml:space="preserve"> (n=1)</w:t>
            </w:r>
          </w:p>
        </w:tc>
        <w:tc>
          <w:tcPr>
            <w:tcW w:w="3078" w:type="dxa"/>
            <w:noWrap/>
            <w:hideMark/>
          </w:tcPr>
          <w:p w14:paraId="1BCD66D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Dose Range</w:t>
            </w:r>
            <w:r>
              <w:rPr>
                <w:rFonts w:ascii="Calibri" w:eastAsia="Times New Roman" w:hAnsi="Calibri" w:cs="Calibri"/>
                <w:color w:val="000000"/>
                <w:lang w:val="en-ZA" w:eastAsia="en-ZA"/>
              </w:rPr>
              <w:t xml:space="preserve"> (n=1)</w:t>
            </w:r>
          </w:p>
        </w:tc>
        <w:tc>
          <w:tcPr>
            <w:tcW w:w="3078" w:type="dxa"/>
            <w:noWrap/>
            <w:hideMark/>
          </w:tcPr>
          <w:p w14:paraId="31EE5557"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1F4CB649"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5CF9D38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System access (public API)</w:t>
            </w:r>
            <w:r>
              <w:rPr>
                <w:rFonts w:ascii="Calibri" w:eastAsia="Times New Roman" w:hAnsi="Calibri" w:cs="Calibri"/>
                <w:color w:val="000000"/>
                <w:lang w:val="en-ZA" w:eastAsia="en-ZA"/>
              </w:rPr>
              <w:t xml:space="preserve"> (n=1)</w:t>
            </w:r>
          </w:p>
        </w:tc>
      </w:tr>
      <w:tr w:rsidR="000F6CC7" w:rsidRPr="00CF5C5C" w14:paraId="06BFAFB4" w14:textId="77777777" w:rsidTr="00EF0211">
        <w:trPr>
          <w:trHeight w:val="328"/>
        </w:trPr>
        <w:tc>
          <w:tcPr>
            <w:tcW w:w="3078" w:type="dxa"/>
            <w:noWrap/>
            <w:hideMark/>
          </w:tcPr>
          <w:p w14:paraId="3EC4EB81"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Duration of valid result</w:t>
            </w:r>
            <w:r>
              <w:rPr>
                <w:rFonts w:ascii="Calibri" w:eastAsia="Times New Roman" w:hAnsi="Calibri" w:cs="Calibri"/>
                <w:color w:val="000000"/>
                <w:lang w:val="en-ZA" w:eastAsia="en-ZA"/>
              </w:rPr>
              <w:t xml:space="preserve"> (n=1)</w:t>
            </w:r>
          </w:p>
        </w:tc>
        <w:tc>
          <w:tcPr>
            <w:tcW w:w="3078" w:type="dxa"/>
            <w:noWrap/>
            <w:hideMark/>
          </w:tcPr>
          <w:p w14:paraId="238B8D1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Suitable pharmaceutical properties for intended market product</w:t>
            </w:r>
            <w:r>
              <w:rPr>
                <w:rFonts w:ascii="Calibri" w:eastAsia="Times New Roman" w:hAnsi="Calibri" w:cs="Calibri"/>
                <w:color w:val="000000"/>
                <w:lang w:val="en-ZA" w:eastAsia="en-ZA"/>
              </w:rPr>
              <w:t xml:space="preserve"> (n=1)</w:t>
            </w:r>
          </w:p>
        </w:tc>
        <w:tc>
          <w:tcPr>
            <w:tcW w:w="3078" w:type="dxa"/>
            <w:noWrap/>
            <w:hideMark/>
          </w:tcPr>
          <w:p w14:paraId="3BB10519"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111D6414"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F951E7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Context configuration</w:t>
            </w:r>
            <w:r>
              <w:rPr>
                <w:rFonts w:ascii="Calibri" w:eastAsia="Times New Roman" w:hAnsi="Calibri" w:cs="Calibri"/>
                <w:color w:val="000000"/>
                <w:lang w:val="en-ZA" w:eastAsia="en-ZA"/>
              </w:rPr>
              <w:t xml:space="preserve"> (n=1)</w:t>
            </w:r>
          </w:p>
        </w:tc>
      </w:tr>
      <w:tr w:rsidR="000F6CC7" w:rsidRPr="00CF5C5C" w14:paraId="3C187A0D" w14:textId="77777777" w:rsidTr="00EF0211">
        <w:trPr>
          <w:trHeight w:val="328"/>
        </w:trPr>
        <w:tc>
          <w:tcPr>
            <w:tcW w:w="3078" w:type="dxa"/>
            <w:noWrap/>
            <w:hideMark/>
          </w:tcPr>
          <w:p w14:paraId="02C43D66"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Cross-reactivity</w:t>
            </w:r>
            <w:r>
              <w:rPr>
                <w:rFonts w:ascii="Calibri" w:eastAsia="Times New Roman" w:hAnsi="Calibri" w:cs="Calibri"/>
                <w:color w:val="000000"/>
                <w:lang w:val="en-ZA" w:eastAsia="en-ZA"/>
              </w:rPr>
              <w:t xml:space="preserve"> (n=1)</w:t>
            </w:r>
          </w:p>
        </w:tc>
        <w:tc>
          <w:tcPr>
            <w:tcW w:w="3078" w:type="dxa"/>
            <w:noWrap/>
            <w:hideMark/>
          </w:tcPr>
          <w:p w14:paraId="3D741D9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Bacteriological efficacy</w:t>
            </w:r>
            <w:r>
              <w:rPr>
                <w:rFonts w:ascii="Calibri" w:eastAsia="Times New Roman" w:hAnsi="Calibri" w:cs="Calibri"/>
                <w:color w:val="000000"/>
                <w:lang w:val="en-ZA" w:eastAsia="en-ZA"/>
              </w:rPr>
              <w:t xml:space="preserve"> (n=1)</w:t>
            </w:r>
          </w:p>
        </w:tc>
        <w:tc>
          <w:tcPr>
            <w:tcW w:w="3078" w:type="dxa"/>
            <w:noWrap/>
            <w:hideMark/>
          </w:tcPr>
          <w:p w14:paraId="2A9FF1CA"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50BAB3F"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BB57A1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Customisation</w:t>
            </w:r>
            <w:r>
              <w:rPr>
                <w:rFonts w:ascii="Calibri" w:eastAsia="Times New Roman" w:hAnsi="Calibri" w:cs="Calibri"/>
                <w:color w:val="000000"/>
                <w:lang w:val="en-ZA" w:eastAsia="en-ZA"/>
              </w:rPr>
              <w:t xml:space="preserve"> (n=1)</w:t>
            </w:r>
          </w:p>
        </w:tc>
      </w:tr>
      <w:tr w:rsidR="000F6CC7" w:rsidRPr="00CF5C5C" w14:paraId="4DCB80E6" w14:textId="77777777" w:rsidTr="00EF0211">
        <w:trPr>
          <w:trHeight w:val="328"/>
        </w:trPr>
        <w:tc>
          <w:tcPr>
            <w:tcW w:w="3078" w:type="dxa"/>
            <w:noWrap/>
            <w:hideMark/>
          </w:tcPr>
          <w:p w14:paraId="120F0E15"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lastRenderedPageBreak/>
              <w:t>Medical decision to be influenced</w:t>
            </w:r>
            <w:r>
              <w:rPr>
                <w:rFonts w:ascii="Calibri" w:eastAsia="Times New Roman" w:hAnsi="Calibri" w:cs="Calibri"/>
                <w:color w:val="000000"/>
                <w:lang w:val="en-ZA" w:eastAsia="en-ZA"/>
              </w:rPr>
              <w:t xml:space="preserve"> (n=1)</w:t>
            </w:r>
          </w:p>
        </w:tc>
        <w:tc>
          <w:tcPr>
            <w:tcW w:w="3078" w:type="dxa"/>
            <w:noWrap/>
            <w:hideMark/>
          </w:tcPr>
          <w:p w14:paraId="669BE86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Ex vivo permeation</w:t>
            </w:r>
            <w:r>
              <w:rPr>
                <w:rFonts w:ascii="Calibri" w:eastAsia="Times New Roman" w:hAnsi="Calibri" w:cs="Calibri"/>
                <w:color w:val="000000"/>
                <w:lang w:val="en-ZA" w:eastAsia="en-ZA"/>
              </w:rPr>
              <w:t xml:space="preserve"> (n=1)</w:t>
            </w:r>
          </w:p>
        </w:tc>
        <w:tc>
          <w:tcPr>
            <w:tcW w:w="3078" w:type="dxa"/>
            <w:noWrap/>
            <w:hideMark/>
          </w:tcPr>
          <w:p w14:paraId="0630DBFF"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1B7467CE"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5BBF1D14"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User access rights</w:t>
            </w:r>
            <w:r>
              <w:rPr>
                <w:rFonts w:ascii="Calibri" w:eastAsia="Times New Roman" w:hAnsi="Calibri" w:cs="Calibri"/>
                <w:color w:val="000000"/>
                <w:lang w:val="en-ZA" w:eastAsia="en-ZA"/>
              </w:rPr>
              <w:t xml:space="preserve"> (n=1)</w:t>
            </w:r>
          </w:p>
        </w:tc>
      </w:tr>
      <w:tr w:rsidR="000F6CC7" w:rsidRPr="00CF5C5C" w14:paraId="1ABD0C71" w14:textId="77777777" w:rsidTr="00EF0211">
        <w:trPr>
          <w:trHeight w:val="656"/>
        </w:trPr>
        <w:tc>
          <w:tcPr>
            <w:tcW w:w="3078" w:type="dxa"/>
            <w:hideMark/>
          </w:tcPr>
          <w:p w14:paraId="131CE255"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Requirement for precise volume (sample / reagent)</w:t>
            </w:r>
            <w:r>
              <w:rPr>
                <w:rFonts w:ascii="Calibri" w:eastAsia="Times New Roman" w:hAnsi="Calibri" w:cs="Calibri"/>
                <w:color w:val="000000"/>
                <w:lang w:val="en-ZA" w:eastAsia="en-ZA"/>
              </w:rPr>
              <w:t xml:space="preserve"> (n=1)</w:t>
            </w:r>
          </w:p>
        </w:tc>
        <w:tc>
          <w:tcPr>
            <w:tcW w:w="3078" w:type="dxa"/>
            <w:noWrap/>
            <w:hideMark/>
          </w:tcPr>
          <w:p w14:paraId="5623842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Drug entrapment efficiency</w:t>
            </w:r>
            <w:r>
              <w:rPr>
                <w:rFonts w:ascii="Calibri" w:eastAsia="Times New Roman" w:hAnsi="Calibri" w:cs="Calibri"/>
                <w:color w:val="000000"/>
                <w:lang w:val="en-ZA" w:eastAsia="en-ZA"/>
              </w:rPr>
              <w:t xml:space="preserve"> (n=1)</w:t>
            </w:r>
          </w:p>
        </w:tc>
        <w:tc>
          <w:tcPr>
            <w:tcW w:w="3078" w:type="dxa"/>
            <w:noWrap/>
            <w:hideMark/>
          </w:tcPr>
          <w:p w14:paraId="2B910177"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4F20865"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0439068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Expert support</w:t>
            </w:r>
            <w:r>
              <w:rPr>
                <w:rFonts w:ascii="Calibri" w:eastAsia="Times New Roman" w:hAnsi="Calibri" w:cs="Calibri"/>
                <w:color w:val="000000"/>
                <w:lang w:val="en-ZA" w:eastAsia="en-ZA"/>
              </w:rPr>
              <w:t xml:space="preserve"> (n=1)</w:t>
            </w:r>
          </w:p>
        </w:tc>
      </w:tr>
      <w:tr w:rsidR="000F6CC7" w:rsidRPr="00CF5C5C" w14:paraId="66024FCE" w14:textId="77777777" w:rsidTr="00EF0211">
        <w:trPr>
          <w:trHeight w:val="328"/>
        </w:trPr>
        <w:tc>
          <w:tcPr>
            <w:tcW w:w="3078" w:type="dxa"/>
            <w:noWrap/>
            <w:hideMark/>
          </w:tcPr>
          <w:p w14:paraId="61930DE3"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Test requirements</w:t>
            </w:r>
            <w:r>
              <w:rPr>
                <w:rFonts w:ascii="Calibri" w:eastAsia="Times New Roman" w:hAnsi="Calibri" w:cs="Calibri"/>
                <w:color w:val="000000"/>
                <w:lang w:val="en-ZA" w:eastAsia="en-ZA"/>
              </w:rPr>
              <w:t xml:space="preserve"> (n=1)</w:t>
            </w:r>
          </w:p>
        </w:tc>
        <w:tc>
          <w:tcPr>
            <w:tcW w:w="3078" w:type="dxa"/>
            <w:noWrap/>
            <w:hideMark/>
          </w:tcPr>
          <w:p w14:paraId="61889834"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Infusion volume (deliverable)</w:t>
            </w:r>
            <w:r>
              <w:rPr>
                <w:rFonts w:ascii="Calibri" w:eastAsia="Times New Roman" w:hAnsi="Calibri" w:cs="Calibri"/>
                <w:color w:val="000000"/>
                <w:lang w:val="en-ZA" w:eastAsia="en-ZA"/>
              </w:rPr>
              <w:t xml:space="preserve"> (n=1)</w:t>
            </w:r>
          </w:p>
        </w:tc>
        <w:tc>
          <w:tcPr>
            <w:tcW w:w="3078" w:type="dxa"/>
            <w:noWrap/>
            <w:hideMark/>
          </w:tcPr>
          <w:p w14:paraId="5043DB75"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646E5CE"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8EAE28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Patient management recommendation</w:t>
            </w:r>
            <w:r>
              <w:rPr>
                <w:rFonts w:ascii="Calibri" w:eastAsia="Times New Roman" w:hAnsi="Calibri" w:cs="Calibri"/>
                <w:color w:val="000000"/>
                <w:lang w:val="en-ZA" w:eastAsia="en-ZA"/>
              </w:rPr>
              <w:t xml:space="preserve"> (n=1)</w:t>
            </w:r>
          </w:p>
        </w:tc>
      </w:tr>
      <w:tr w:rsidR="000F6CC7" w:rsidRPr="00CF5C5C" w14:paraId="7AD7CF3D" w14:textId="77777777" w:rsidTr="00EF0211">
        <w:trPr>
          <w:trHeight w:val="328"/>
        </w:trPr>
        <w:tc>
          <w:tcPr>
            <w:tcW w:w="3078" w:type="dxa"/>
            <w:noWrap/>
            <w:hideMark/>
          </w:tcPr>
          <w:p w14:paraId="01BC732C"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Cost of manufacturing single use device</w:t>
            </w:r>
            <w:r>
              <w:rPr>
                <w:rFonts w:ascii="Calibri" w:eastAsia="Times New Roman" w:hAnsi="Calibri" w:cs="Calibri"/>
                <w:color w:val="000000"/>
                <w:lang w:val="en-ZA" w:eastAsia="en-ZA"/>
              </w:rPr>
              <w:t xml:space="preserve"> (n=1)</w:t>
            </w:r>
          </w:p>
        </w:tc>
        <w:tc>
          <w:tcPr>
            <w:tcW w:w="3078" w:type="dxa"/>
            <w:noWrap/>
            <w:hideMark/>
          </w:tcPr>
          <w:p w14:paraId="359B1096"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Concentration after reconstitution</w:t>
            </w:r>
            <w:r>
              <w:rPr>
                <w:rFonts w:ascii="Calibri" w:eastAsia="Times New Roman" w:hAnsi="Calibri" w:cs="Calibri"/>
                <w:color w:val="000000"/>
                <w:lang w:val="en-ZA" w:eastAsia="en-ZA"/>
              </w:rPr>
              <w:t xml:space="preserve"> (n=1)</w:t>
            </w:r>
          </w:p>
        </w:tc>
        <w:tc>
          <w:tcPr>
            <w:tcW w:w="3078" w:type="dxa"/>
            <w:noWrap/>
            <w:hideMark/>
          </w:tcPr>
          <w:p w14:paraId="18D82DC7"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860E942"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8E16B2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Navigation</w:t>
            </w:r>
            <w:r>
              <w:rPr>
                <w:rFonts w:ascii="Calibri" w:eastAsia="Times New Roman" w:hAnsi="Calibri" w:cs="Calibri"/>
                <w:color w:val="000000"/>
                <w:lang w:val="en-ZA" w:eastAsia="en-ZA"/>
              </w:rPr>
              <w:t xml:space="preserve"> (n=1)</w:t>
            </w:r>
          </w:p>
        </w:tc>
      </w:tr>
      <w:tr w:rsidR="000F6CC7" w:rsidRPr="00CF5C5C" w14:paraId="0E3EDC4B" w14:textId="77777777" w:rsidTr="00EF0211">
        <w:trPr>
          <w:trHeight w:val="328"/>
        </w:trPr>
        <w:tc>
          <w:tcPr>
            <w:tcW w:w="3078" w:type="dxa"/>
            <w:noWrap/>
            <w:hideMark/>
          </w:tcPr>
          <w:p w14:paraId="443659E9"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Competitive landscape</w:t>
            </w:r>
            <w:r>
              <w:rPr>
                <w:rFonts w:ascii="Calibri" w:eastAsia="Times New Roman" w:hAnsi="Calibri" w:cs="Calibri"/>
                <w:color w:val="000000"/>
                <w:lang w:val="en-ZA" w:eastAsia="en-ZA"/>
              </w:rPr>
              <w:t xml:space="preserve"> (n=1)</w:t>
            </w:r>
          </w:p>
        </w:tc>
        <w:tc>
          <w:tcPr>
            <w:tcW w:w="3078" w:type="dxa"/>
            <w:noWrap/>
            <w:hideMark/>
          </w:tcPr>
          <w:p w14:paraId="7424182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Reconstitution time</w:t>
            </w:r>
            <w:r>
              <w:rPr>
                <w:rFonts w:ascii="Calibri" w:eastAsia="Times New Roman" w:hAnsi="Calibri" w:cs="Calibri"/>
                <w:color w:val="000000"/>
                <w:lang w:val="en-ZA" w:eastAsia="en-ZA"/>
              </w:rPr>
              <w:t xml:space="preserve"> (n=1)</w:t>
            </w:r>
          </w:p>
        </w:tc>
        <w:tc>
          <w:tcPr>
            <w:tcW w:w="3078" w:type="dxa"/>
            <w:noWrap/>
            <w:hideMark/>
          </w:tcPr>
          <w:p w14:paraId="27BEBE0C"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B8DA933"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4A0F75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Workflow requirements to enable time delayed POC data input </w:t>
            </w:r>
            <w:r>
              <w:rPr>
                <w:rFonts w:ascii="Calibri" w:eastAsia="Times New Roman" w:hAnsi="Calibri" w:cs="Calibri"/>
                <w:color w:val="000000"/>
                <w:lang w:val="en-ZA" w:eastAsia="en-ZA"/>
              </w:rPr>
              <w:t>(n=1)</w:t>
            </w:r>
          </w:p>
        </w:tc>
      </w:tr>
      <w:tr w:rsidR="000F6CC7" w:rsidRPr="00CF5C5C" w14:paraId="47A63096" w14:textId="77777777" w:rsidTr="00EF0211">
        <w:trPr>
          <w:trHeight w:val="328"/>
        </w:trPr>
        <w:tc>
          <w:tcPr>
            <w:tcW w:w="3078" w:type="dxa"/>
            <w:noWrap/>
            <w:hideMark/>
          </w:tcPr>
          <w:p w14:paraId="1C95E87D"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Commercial channels</w:t>
            </w:r>
            <w:r>
              <w:rPr>
                <w:rFonts w:ascii="Calibri" w:eastAsia="Times New Roman" w:hAnsi="Calibri" w:cs="Calibri"/>
                <w:color w:val="000000"/>
                <w:lang w:val="en-ZA" w:eastAsia="en-ZA"/>
              </w:rPr>
              <w:t xml:space="preserve"> (n=1)</w:t>
            </w:r>
          </w:p>
        </w:tc>
        <w:tc>
          <w:tcPr>
            <w:tcW w:w="3078" w:type="dxa"/>
            <w:noWrap/>
            <w:hideMark/>
          </w:tcPr>
          <w:p w14:paraId="3E04C293"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Reconstitution</w:t>
            </w:r>
            <w:r>
              <w:rPr>
                <w:rFonts w:ascii="Calibri" w:eastAsia="Times New Roman" w:hAnsi="Calibri" w:cs="Calibri"/>
                <w:color w:val="000000"/>
                <w:lang w:val="en-ZA" w:eastAsia="en-ZA"/>
              </w:rPr>
              <w:t xml:space="preserve"> (n=1)</w:t>
            </w:r>
          </w:p>
        </w:tc>
        <w:tc>
          <w:tcPr>
            <w:tcW w:w="3078" w:type="dxa"/>
            <w:noWrap/>
            <w:hideMark/>
          </w:tcPr>
          <w:p w14:paraId="57A95FF6"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17D3430D"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1EC005A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Task management</w:t>
            </w:r>
            <w:r>
              <w:rPr>
                <w:rFonts w:ascii="Calibri" w:eastAsia="Times New Roman" w:hAnsi="Calibri" w:cs="Calibri"/>
                <w:color w:val="000000"/>
                <w:lang w:val="en-ZA" w:eastAsia="en-ZA"/>
              </w:rPr>
              <w:t xml:space="preserve"> (n=1)</w:t>
            </w:r>
          </w:p>
        </w:tc>
      </w:tr>
      <w:tr w:rsidR="000F6CC7" w:rsidRPr="00CF5C5C" w14:paraId="0540E3C6" w14:textId="77777777" w:rsidTr="00EF0211">
        <w:trPr>
          <w:trHeight w:val="328"/>
        </w:trPr>
        <w:tc>
          <w:tcPr>
            <w:tcW w:w="3078" w:type="dxa"/>
            <w:hideMark/>
          </w:tcPr>
          <w:p w14:paraId="4DA2BE90"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Region(s) of commercialisation</w:t>
            </w:r>
            <w:r>
              <w:rPr>
                <w:rFonts w:ascii="Calibri" w:eastAsia="Times New Roman" w:hAnsi="Calibri" w:cs="Calibri"/>
                <w:color w:val="000000"/>
                <w:lang w:val="en-ZA" w:eastAsia="en-ZA"/>
              </w:rPr>
              <w:t xml:space="preserve"> (n=1)</w:t>
            </w:r>
          </w:p>
        </w:tc>
        <w:tc>
          <w:tcPr>
            <w:tcW w:w="3078" w:type="dxa"/>
            <w:noWrap/>
            <w:hideMark/>
          </w:tcPr>
          <w:p w14:paraId="77756C8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(Particle) aggregation</w:t>
            </w:r>
            <w:r>
              <w:rPr>
                <w:rFonts w:ascii="Calibri" w:eastAsia="Times New Roman" w:hAnsi="Calibri" w:cs="Calibri"/>
                <w:color w:val="000000"/>
                <w:lang w:val="en-ZA" w:eastAsia="en-ZA"/>
              </w:rPr>
              <w:t xml:space="preserve"> (n=1)</w:t>
            </w:r>
          </w:p>
        </w:tc>
        <w:tc>
          <w:tcPr>
            <w:tcW w:w="3078" w:type="dxa"/>
            <w:noWrap/>
            <w:hideMark/>
          </w:tcPr>
          <w:p w14:paraId="6ED09B07"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3D859A5"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DF403C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Follow-up</w:t>
            </w:r>
            <w:r>
              <w:rPr>
                <w:rFonts w:ascii="Calibri" w:eastAsia="Times New Roman" w:hAnsi="Calibri" w:cs="Calibri"/>
                <w:color w:val="000000"/>
                <w:lang w:val="en-ZA" w:eastAsia="en-ZA"/>
              </w:rPr>
              <w:t xml:space="preserve"> (n=1)</w:t>
            </w:r>
          </w:p>
        </w:tc>
      </w:tr>
      <w:tr w:rsidR="000F6CC7" w:rsidRPr="00CF5C5C" w14:paraId="5DD32A21" w14:textId="77777777" w:rsidTr="00EF0211">
        <w:trPr>
          <w:trHeight w:val="328"/>
        </w:trPr>
        <w:tc>
          <w:tcPr>
            <w:tcW w:w="3078" w:type="dxa"/>
            <w:noWrap/>
            <w:hideMark/>
          </w:tcPr>
          <w:p w14:paraId="256EE28C"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Market Segmentation</w:t>
            </w:r>
            <w:r>
              <w:rPr>
                <w:rFonts w:ascii="Calibri" w:eastAsia="Times New Roman" w:hAnsi="Calibri" w:cs="Calibri"/>
                <w:color w:val="000000"/>
                <w:lang w:val="en-ZA" w:eastAsia="en-ZA"/>
              </w:rPr>
              <w:t xml:space="preserve"> (n=1)</w:t>
            </w:r>
          </w:p>
        </w:tc>
        <w:tc>
          <w:tcPr>
            <w:tcW w:w="3078" w:type="dxa"/>
            <w:noWrap/>
            <w:hideMark/>
          </w:tcPr>
          <w:p w14:paraId="29F5D08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Process performance</w:t>
            </w:r>
            <w:r>
              <w:rPr>
                <w:rFonts w:ascii="Calibri" w:eastAsia="Times New Roman" w:hAnsi="Calibri" w:cs="Calibri"/>
                <w:color w:val="000000"/>
                <w:lang w:val="en-ZA" w:eastAsia="en-ZA"/>
              </w:rPr>
              <w:t xml:space="preserve"> (n=1)</w:t>
            </w:r>
          </w:p>
        </w:tc>
        <w:tc>
          <w:tcPr>
            <w:tcW w:w="3078" w:type="dxa"/>
            <w:noWrap/>
            <w:hideMark/>
          </w:tcPr>
          <w:p w14:paraId="564CAED1"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6DB6C7A"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ADD7B6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System malfunction protection</w:t>
            </w:r>
            <w:r>
              <w:rPr>
                <w:rFonts w:ascii="Calibri" w:eastAsia="Times New Roman" w:hAnsi="Calibri" w:cs="Calibri"/>
                <w:color w:val="000000"/>
                <w:lang w:val="en-ZA" w:eastAsia="en-ZA"/>
              </w:rPr>
              <w:t xml:space="preserve"> (n=1)</w:t>
            </w:r>
          </w:p>
        </w:tc>
      </w:tr>
      <w:tr w:rsidR="000F6CC7" w:rsidRPr="00CF5C5C" w14:paraId="6BCF67AB" w14:textId="77777777" w:rsidTr="00EF0211">
        <w:trPr>
          <w:trHeight w:val="328"/>
        </w:trPr>
        <w:tc>
          <w:tcPr>
            <w:tcW w:w="3078" w:type="dxa"/>
            <w:hideMark/>
          </w:tcPr>
          <w:p w14:paraId="0904116D"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Taxonomic diagnosis</w:t>
            </w:r>
            <w:r>
              <w:rPr>
                <w:rFonts w:ascii="Calibri" w:eastAsia="Times New Roman" w:hAnsi="Calibri" w:cs="Calibri"/>
                <w:color w:val="000000"/>
                <w:lang w:val="en-ZA" w:eastAsia="en-ZA"/>
              </w:rPr>
              <w:t xml:space="preserve"> (n=1)</w:t>
            </w:r>
          </w:p>
        </w:tc>
        <w:tc>
          <w:tcPr>
            <w:tcW w:w="3078" w:type="dxa"/>
            <w:noWrap/>
            <w:hideMark/>
          </w:tcPr>
          <w:p w14:paraId="7C1D497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Parasite-free (day 7)</w:t>
            </w:r>
            <w:r>
              <w:rPr>
                <w:rFonts w:ascii="Calibri" w:eastAsia="Times New Roman" w:hAnsi="Calibri" w:cs="Calibri"/>
                <w:color w:val="000000"/>
                <w:lang w:val="en-ZA" w:eastAsia="en-ZA"/>
              </w:rPr>
              <w:t xml:space="preserve"> (n=1)</w:t>
            </w:r>
          </w:p>
        </w:tc>
        <w:tc>
          <w:tcPr>
            <w:tcW w:w="3078" w:type="dxa"/>
            <w:noWrap/>
            <w:hideMark/>
          </w:tcPr>
          <w:p w14:paraId="0A98C715"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221A2A8D"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0DF265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Scalability</w:t>
            </w:r>
            <w:r>
              <w:rPr>
                <w:rFonts w:ascii="Calibri" w:eastAsia="Times New Roman" w:hAnsi="Calibri" w:cs="Calibri"/>
                <w:color w:val="000000"/>
                <w:lang w:val="en-ZA" w:eastAsia="en-ZA"/>
              </w:rPr>
              <w:t xml:space="preserve"> (n=1)</w:t>
            </w:r>
          </w:p>
        </w:tc>
      </w:tr>
      <w:tr w:rsidR="000F6CC7" w:rsidRPr="00CF5C5C" w14:paraId="708A7404" w14:textId="77777777" w:rsidTr="00EF0211">
        <w:trPr>
          <w:trHeight w:val="328"/>
        </w:trPr>
        <w:tc>
          <w:tcPr>
            <w:tcW w:w="3078" w:type="dxa"/>
            <w:noWrap/>
            <w:hideMark/>
          </w:tcPr>
          <w:p w14:paraId="0EC8F992"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Rapidly assayed</w:t>
            </w:r>
            <w:r>
              <w:rPr>
                <w:rFonts w:ascii="Calibri" w:eastAsia="Times New Roman" w:hAnsi="Calibri" w:cs="Calibri"/>
                <w:color w:val="000000"/>
                <w:lang w:val="en-ZA" w:eastAsia="en-ZA"/>
              </w:rPr>
              <w:t xml:space="preserve"> (n=1)</w:t>
            </w:r>
          </w:p>
        </w:tc>
        <w:tc>
          <w:tcPr>
            <w:tcW w:w="3078" w:type="dxa"/>
            <w:noWrap/>
            <w:hideMark/>
          </w:tcPr>
          <w:p w14:paraId="4F1AFF79"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Transmission blocking</w:t>
            </w:r>
            <w:r>
              <w:rPr>
                <w:rFonts w:ascii="Calibri" w:eastAsia="Times New Roman" w:hAnsi="Calibri" w:cs="Calibri"/>
                <w:color w:val="000000"/>
                <w:lang w:val="en-ZA" w:eastAsia="en-ZA"/>
              </w:rPr>
              <w:t xml:space="preserve"> (n=1)</w:t>
            </w:r>
          </w:p>
        </w:tc>
        <w:tc>
          <w:tcPr>
            <w:tcW w:w="3078" w:type="dxa"/>
            <w:noWrap/>
            <w:hideMark/>
          </w:tcPr>
          <w:p w14:paraId="59C7AFF4"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CB60C2A"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EFD900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Updates and versioning</w:t>
            </w:r>
            <w:r>
              <w:rPr>
                <w:rFonts w:ascii="Calibri" w:eastAsia="Times New Roman" w:hAnsi="Calibri" w:cs="Calibri"/>
                <w:color w:val="000000"/>
                <w:lang w:val="en-ZA" w:eastAsia="en-ZA"/>
              </w:rPr>
              <w:t xml:space="preserve"> (n=1)</w:t>
            </w:r>
          </w:p>
        </w:tc>
      </w:tr>
      <w:tr w:rsidR="000F6CC7" w:rsidRPr="00CF5C5C" w14:paraId="7641E727" w14:textId="77777777" w:rsidTr="00EF0211">
        <w:trPr>
          <w:trHeight w:val="328"/>
        </w:trPr>
        <w:tc>
          <w:tcPr>
            <w:tcW w:w="3078" w:type="dxa"/>
            <w:noWrap/>
            <w:hideMark/>
          </w:tcPr>
          <w:p w14:paraId="0A91AEC0"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Feasibility of assay</w:t>
            </w:r>
            <w:r>
              <w:rPr>
                <w:rFonts w:ascii="Calibri" w:eastAsia="Times New Roman" w:hAnsi="Calibri" w:cs="Calibri"/>
                <w:color w:val="000000"/>
                <w:lang w:val="en-ZA" w:eastAsia="en-ZA"/>
              </w:rPr>
              <w:t xml:space="preserve"> (n=1)</w:t>
            </w:r>
          </w:p>
        </w:tc>
        <w:tc>
          <w:tcPr>
            <w:tcW w:w="3078" w:type="dxa"/>
            <w:noWrap/>
            <w:hideMark/>
          </w:tcPr>
          <w:p w14:paraId="11E9A17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Bioavailability/food effect</w:t>
            </w:r>
            <w:r>
              <w:rPr>
                <w:rFonts w:ascii="Calibri" w:eastAsia="Times New Roman" w:hAnsi="Calibri" w:cs="Calibri"/>
                <w:color w:val="000000"/>
                <w:lang w:val="en-ZA" w:eastAsia="en-ZA"/>
              </w:rPr>
              <w:t xml:space="preserve"> (n=1)</w:t>
            </w:r>
          </w:p>
        </w:tc>
        <w:tc>
          <w:tcPr>
            <w:tcW w:w="3078" w:type="dxa"/>
            <w:noWrap/>
            <w:hideMark/>
          </w:tcPr>
          <w:p w14:paraId="4AE32D8A"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0856D789"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0697526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Data capture</w:t>
            </w:r>
            <w:r>
              <w:rPr>
                <w:rFonts w:ascii="Calibri" w:eastAsia="Times New Roman" w:hAnsi="Calibri" w:cs="Calibri"/>
                <w:color w:val="000000"/>
                <w:lang w:val="en-ZA" w:eastAsia="en-ZA"/>
              </w:rPr>
              <w:t xml:space="preserve"> (n=1)</w:t>
            </w:r>
          </w:p>
        </w:tc>
      </w:tr>
      <w:tr w:rsidR="000F6CC7" w:rsidRPr="00CF5C5C" w14:paraId="5A583E7F" w14:textId="77777777" w:rsidTr="00EF0211">
        <w:trPr>
          <w:trHeight w:val="328"/>
        </w:trPr>
        <w:tc>
          <w:tcPr>
            <w:tcW w:w="3078" w:type="dxa"/>
            <w:noWrap/>
            <w:hideMark/>
          </w:tcPr>
          <w:p w14:paraId="594DAEEA"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Invasiveness</w:t>
            </w:r>
            <w:r>
              <w:rPr>
                <w:rFonts w:ascii="Calibri" w:eastAsia="Times New Roman" w:hAnsi="Calibri" w:cs="Calibri"/>
                <w:color w:val="000000"/>
                <w:lang w:val="en-ZA" w:eastAsia="en-ZA"/>
              </w:rPr>
              <w:t xml:space="preserve"> (n=1)</w:t>
            </w:r>
          </w:p>
        </w:tc>
        <w:tc>
          <w:tcPr>
            <w:tcW w:w="3078" w:type="dxa"/>
            <w:noWrap/>
            <w:hideMark/>
          </w:tcPr>
          <w:p w14:paraId="143C287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Cells per product unit</w:t>
            </w:r>
            <w:r>
              <w:rPr>
                <w:rFonts w:ascii="Calibri" w:eastAsia="Times New Roman" w:hAnsi="Calibri" w:cs="Calibri"/>
                <w:color w:val="000000"/>
                <w:lang w:val="en-ZA" w:eastAsia="en-ZA"/>
              </w:rPr>
              <w:t xml:space="preserve"> (n=1)</w:t>
            </w:r>
          </w:p>
        </w:tc>
        <w:tc>
          <w:tcPr>
            <w:tcW w:w="3078" w:type="dxa"/>
            <w:noWrap/>
            <w:hideMark/>
          </w:tcPr>
          <w:p w14:paraId="62EA2950"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C3FBD1A"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4465C85"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Data validation</w:t>
            </w:r>
          </w:p>
        </w:tc>
      </w:tr>
      <w:tr w:rsidR="000F6CC7" w:rsidRPr="00CF5C5C" w14:paraId="7AC83577" w14:textId="77777777" w:rsidTr="00EF0211">
        <w:trPr>
          <w:trHeight w:val="656"/>
        </w:trPr>
        <w:tc>
          <w:tcPr>
            <w:tcW w:w="3078" w:type="dxa"/>
            <w:hideMark/>
          </w:tcPr>
          <w:p w14:paraId="0662625C"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Conserved (translational) across in vitro models, in vivo models</w:t>
            </w:r>
            <w:r>
              <w:rPr>
                <w:rFonts w:ascii="Calibri" w:eastAsia="Times New Roman" w:hAnsi="Calibri" w:cs="Calibri"/>
                <w:color w:val="000000"/>
                <w:lang w:val="en-ZA" w:eastAsia="en-ZA"/>
              </w:rPr>
              <w:t xml:space="preserve">, </w:t>
            </w:r>
            <w:r w:rsidRPr="00CF5C5C">
              <w:rPr>
                <w:rFonts w:ascii="Calibri" w:eastAsia="Times New Roman" w:hAnsi="Calibri" w:cs="Calibri"/>
                <w:color w:val="000000"/>
                <w:lang w:val="en-ZA" w:eastAsia="en-ZA"/>
              </w:rPr>
              <w:t>and humans</w:t>
            </w:r>
            <w:r>
              <w:rPr>
                <w:rFonts w:ascii="Calibri" w:eastAsia="Times New Roman" w:hAnsi="Calibri" w:cs="Calibri"/>
                <w:color w:val="000000"/>
                <w:lang w:val="en-ZA" w:eastAsia="en-ZA"/>
              </w:rPr>
              <w:t xml:space="preserve"> (n=1)</w:t>
            </w:r>
          </w:p>
        </w:tc>
        <w:tc>
          <w:tcPr>
            <w:tcW w:w="3078" w:type="dxa"/>
            <w:noWrap/>
            <w:hideMark/>
          </w:tcPr>
          <w:p w14:paraId="07641D3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Product unit per dose</w:t>
            </w:r>
            <w:r>
              <w:rPr>
                <w:rFonts w:ascii="Calibri" w:eastAsia="Times New Roman" w:hAnsi="Calibri" w:cs="Calibri"/>
                <w:color w:val="000000"/>
                <w:lang w:val="en-ZA" w:eastAsia="en-ZA"/>
              </w:rPr>
              <w:t xml:space="preserve"> (n=1)</w:t>
            </w:r>
          </w:p>
        </w:tc>
        <w:tc>
          <w:tcPr>
            <w:tcW w:w="3078" w:type="dxa"/>
            <w:noWrap/>
            <w:hideMark/>
          </w:tcPr>
          <w:p w14:paraId="26C0BC5D"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B071446"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9A1AF1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Data ownership</w:t>
            </w:r>
            <w:r>
              <w:rPr>
                <w:rFonts w:ascii="Calibri" w:eastAsia="Times New Roman" w:hAnsi="Calibri" w:cs="Calibri"/>
                <w:color w:val="000000"/>
                <w:lang w:val="en-ZA" w:eastAsia="en-ZA"/>
              </w:rPr>
              <w:t xml:space="preserve"> (n=1)</w:t>
            </w:r>
          </w:p>
        </w:tc>
      </w:tr>
      <w:tr w:rsidR="000F6CC7" w:rsidRPr="00CF5C5C" w14:paraId="492285E4" w14:textId="77777777" w:rsidTr="00EF0211">
        <w:trPr>
          <w:trHeight w:val="656"/>
        </w:trPr>
        <w:tc>
          <w:tcPr>
            <w:tcW w:w="3078" w:type="dxa"/>
            <w:hideMark/>
          </w:tcPr>
          <w:p w14:paraId="6DB80413"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Time after overdose at which it is able</w:t>
            </w:r>
            <w:r w:rsidRPr="00CF5C5C">
              <w:rPr>
                <w:rFonts w:ascii="Calibri" w:eastAsia="Times New Roman" w:hAnsi="Calibri" w:cs="Calibri"/>
                <w:color w:val="000000"/>
                <w:lang w:val="en-ZA" w:eastAsia="en-ZA"/>
              </w:rPr>
              <w:br/>
              <w:t>to predict the onset of organ injury</w:t>
            </w:r>
            <w:r>
              <w:rPr>
                <w:rFonts w:ascii="Calibri" w:eastAsia="Times New Roman" w:hAnsi="Calibri" w:cs="Calibri"/>
                <w:color w:val="000000"/>
                <w:lang w:val="en-ZA" w:eastAsia="en-ZA"/>
              </w:rPr>
              <w:t xml:space="preserve"> (n=1)</w:t>
            </w:r>
          </w:p>
        </w:tc>
        <w:tc>
          <w:tcPr>
            <w:tcW w:w="3078" w:type="dxa"/>
            <w:noWrap/>
            <w:hideMark/>
          </w:tcPr>
          <w:p w14:paraId="478131A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Cell density</w:t>
            </w:r>
            <w:r>
              <w:rPr>
                <w:rFonts w:ascii="Calibri" w:eastAsia="Times New Roman" w:hAnsi="Calibri" w:cs="Calibri"/>
                <w:color w:val="000000"/>
                <w:lang w:val="en-ZA" w:eastAsia="en-ZA"/>
              </w:rPr>
              <w:t xml:space="preserve"> (n=1)</w:t>
            </w:r>
          </w:p>
        </w:tc>
        <w:tc>
          <w:tcPr>
            <w:tcW w:w="3078" w:type="dxa"/>
            <w:noWrap/>
            <w:hideMark/>
          </w:tcPr>
          <w:p w14:paraId="425BC5E4"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5C381F6"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85D94C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Data storage</w:t>
            </w:r>
            <w:r>
              <w:rPr>
                <w:rFonts w:ascii="Calibri" w:eastAsia="Times New Roman" w:hAnsi="Calibri" w:cs="Calibri"/>
                <w:color w:val="000000"/>
                <w:lang w:val="en-ZA" w:eastAsia="en-ZA"/>
              </w:rPr>
              <w:t xml:space="preserve"> (n=1)</w:t>
            </w:r>
          </w:p>
        </w:tc>
      </w:tr>
      <w:tr w:rsidR="000F6CC7" w:rsidRPr="00CF5C5C" w14:paraId="1A571824" w14:textId="77777777" w:rsidTr="00EF0211">
        <w:trPr>
          <w:trHeight w:val="328"/>
        </w:trPr>
        <w:tc>
          <w:tcPr>
            <w:tcW w:w="3078" w:type="dxa"/>
            <w:noWrap/>
            <w:hideMark/>
          </w:tcPr>
          <w:p w14:paraId="4C775A9D"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Signal to noise</w:t>
            </w:r>
            <w:r>
              <w:rPr>
                <w:rFonts w:ascii="Calibri" w:eastAsia="Times New Roman" w:hAnsi="Calibri" w:cs="Calibri"/>
                <w:color w:val="000000"/>
                <w:lang w:val="en-ZA" w:eastAsia="en-ZA"/>
              </w:rPr>
              <w:t xml:space="preserve"> (n=1)</w:t>
            </w:r>
          </w:p>
        </w:tc>
        <w:tc>
          <w:tcPr>
            <w:tcW w:w="3078" w:type="dxa"/>
            <w:noWrap/>
            <w:hideMark/>
          </w:tcPr>
          <w:p w14:paraId="19DC0A43"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Reserve stock</w:t>
            </w:r>
            <w:r>
              <w:rPr>
                <w:rFonts w:ascii="Calibri" w:eastAsia="Times New Roman" w:hAnsi="Calibri" w:cs="Calibri"/>
                <w:color w:val="000000"/>
                <w:lang w:val="en-ZA" w:eastAsia="en-ZA"/>
              </w:rPr>
              <w:t xml:space="preserve"> (n=1)</w:t>
            </w:r>
          </w:p>
        </w:tc>
        <w:tc>
          <w:tcPr>
            <w:tcW w:w="3078" w:type="dxa"/>
            <w:noWrap/>
            <w:hideMark/>
          </w:tcPr>
          <w:p w14:paraId="29825BEC"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090D2D54"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599092A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Data recovery</w:t>
            </w:r>
          </w:p>
        </w:tc>
      </w:tr>
      <w:tr w:rsidR="000F6CC7" w:rsidRPr="00CF5C5C" w14:paraId="16C0AD02" w14:textId="77777777" w:rsidTr="00EF0211">
        <w:trPr>
          <w:trHeight w:val="328"/>
        </w:trPr>
        <w:tc>
          <w:tcPr>
            <w:tcW w:w="3078" w:type="dxa"/>
            <w:hideMark/>
          </w:tcPr>
          <w:p w14:paraId="1A45E024"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Quantitative relationship with disease severity</w:t>
            </w:r>
            <w:r>
              <w:rPr>
                <w:rFonts w:ascii="Calibri" w:eastAsia="Times New Roman" w:hAnsi="Calibri" w:cs="Calibri"/>
                <w:color w:val="000000"/>
                <w:lang w:val="en-ZA" w:eastAsia="en-ZA"/>
              </w:rPr>
              <w:t xml:space="preserve"> (n=1)</w:t>
            </w:r>
          </w:p>
        </w:tc>
        <w:tc>
          <w:tcPr>
            <w:tcW w:w="3078" w:type="dxa"/>
            <w:noWrap/>
            <w:hideMark/>
          </w:tcPr>
          <w:p w14:paraId="05B48E5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Cryopreserved or fresh</w:t>
            </w:r>
            <w:r>
              <w:rPr>
                <w:rFonts w:ascii="Calibri" w:eastAsia="Times New Roman" w:hAnsi="Calibri" w:cs="Calibri"/>
                <w:color w:val="000000"/>
                <w:lang w:val="en-ZA" w:eastAsia="en-ZA"/>
              </w:rPr>
              <w:t xml:space="preserve"> (n=1)</w:t>
            </w:r>
          </w:p>
        </w:tc>
        <w:tc>
          <w:tcPr>
            <w:tcW w:w="3078" w:type="dxa"/>
            <w:noWrap/>
            <w:hideMark/>
          </w:tcPr>
          <w:p w14:paraId="7AC62B9F"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1F84688D"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5ABB16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Data flow</w:t>
            </w:r>
            <w:r>
              <w:rPr>
                <w:rFonts w:ascii="Calibri" w:eastAsia="Times New Roman" w:hAnsi="Calibri" w:cs="Calibri"/>
                <w:color w:val="000000"/>
                <w:lang w:val="en-ZA" w:eastAsia="en-ZA"/>
              </w:rPr>
              <w:t xml:space="preserve"> (n=1)</w:t>
            </w:r>
          </w:p>
        </w:tc>
      </w:tr>
      <w:tr w:rsidR="000F6CC7" w:rsidRPr="00CF5C5C" w14:paraId="27C5B3DE" w14:textId="77777777" w:rsidTr="00EF0211">
        <w:trPr>
          <w:trHeight w:val="656"/>
        </w:trPr>
        <w:tc>
          <w:tcPr>
            <w:tcW w:w="3078" w:type="dxa"/>
            <w:hideMark/>
          </w:tcPr>
          <w:p w14:paraId="78B9E63D"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lastRenderedPageBreak/>
              <w:t>Distinguish benign and clinical</w:t>
            </w:r>
            <w:r>
              <w:rPr>
                <w:rFonts w:ascii="Calibri" w:eastAsia="Times New Roman" w:hAnsi="Calibri" w:cs="Calibri"/>
                <w:color w:val="000000"/>
                <w:lang w:val="en-ZA" w:eastAsia="en-ZA"/>
              </w:rPr>
              <w:t>ly</w:t>
            </w:r>
            <w:r w:rsidRPr="00CF5C5C">
              <w:rPr>
                <w:rFonts w:ascii="Calibri" w:eastAsia="Times New Roman" w:hAnsi="Calibri" w:cs="Calibri"/>
                <w:color w:val="000000"/>
                <w:lang w:val="en-ZA" w:eastAsia="en-ZA"/>
              </w:rPr>
              <w:t xml:space="preserve"> relevant increase </w:t>
            </w:r>
            <w:r>
              <w:rPr>
                <w:rFonts w:ascii="Calibri" w:eastAsia="Times New Roman" w:hAnsi="Calibri" w:cs="Calibri"/>
                <w:color w:val="000000"/>
                <w:lang w:val="en-ZA" w:eastAsia="en-ZA"/>
              </w:rPr>
              <w:t>(n=1)</w:t>
            </w:r>
          </w:p>
        </w:tc>
        <w:tc>
          <w:tcPr>
            <w:tcW w:w="3078" w:type="dxa"/>
            <w:noWrap/>
            <w:hideMark/>
          </w:tcPr>
          <w:p w14:paraId="0EC29B1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Phase I–III specific lot size</w:t>
            </w:r>
            <w:r>
              <w:rPr>
                <w:rFonts w:ascii="Calibri" w:eastAsia="Times New Roman" w:hAnsi="Calibri" w:cs="Calibri"/>
                <w:color w:val="000000"/>
                <w:lang w:val="en-ZA" w:eastAsia="en-ZA"/>
              </w:rPr>
              <w:t xml:space="preserve"> (n=1)</w:t>
            </w:r>
          </w:p>
        </w:tc>
        <w:tc>
          <w:tcPr>
            <w:tcW w:w="3078" w:type="dxa"/>
            <w:noWrap/>
            <w:hideMark/>
          </w:tcPr>
          <w:p w14:paraId="5AC373AD"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17399CE6"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1844F05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Data reporting</w:t>
            </w:r>
            <w:r>
              <w:rPr>
                <w:rFonts w:ascii="Calibri" w:eastAsia="Times New Roman" w:hAnsi="Calibri" w:cs="Calibri"/>
                <w:color w:val="000000"/>
                <w:lang w:val="en-ZA" w:eastAsia="en-ZA"/>
              </w:rPr>
              <w:t xml:space="preserve"> (n=1)</w:t>
            </w:r>
          </w:p>
        </w:tc>
      </w:tr>
      <w:tr w:rsidR="000F6CC7" w:rsidRPr="00CF5C5C" w14:paraId="7CA39911" w14:textId="77777777" w:rsidTr="00EF0211">
        <w:trPr>
          <w:trHeight w:val="328"/>
        </w:trPr>
        <w:tc>
          <w:tcPr>
            <w:tcW w:w="3078" w:type="dxa"/>
            <w:noWrap/>
            <w:hideMark/>
          </w:tcPr>
          <w:p w14:paraId="66921932"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Mediator of organ injury</w:t>
            </w:r>
            <w:r>
              <w:rPr>
                <w:rFonts w:ascii="Calibri" w:eastAsia="Times New Roman" w:hAnsi="Calibri" w:cs="Calibri"/>
                <w:color w:val="000000"/>
                <w:lang w:val="en-ZA" w:eastAsia="en-ZA"/>
              </w:rPr>
              <w:t xml:space="preserve"> (n=1)</w:t>
            </w:r>
          </w:p>
        </w:tc>
        <w:tc>
          <w:tcPr>
            <w:tcW w:w="3078" w:type="dxa"/>
            <w:noWrap/>
            <w:hideMark/>
          </w:tcPr>
          <w:p w14:paraId="0DDD934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Commercial lot size</w:t>
            </w:r>
            <w:r>
              <w:rPr>
                <w:rFonts w:ascii="Calibri" w:eastAsia="Times New Roman" w:hAnsi="Calibri" w:cs="Calibri"/>
                <w:color w:val="000000"/>
                <w:lang w:val="en-ZA" w:eastAsia="en-ZA"/>
              </w:rPr>
              <w:t xml:space="preserve"> (n=1)</w:t>
            </w:r>
          </w:p>
        </w:tc>
        <w:tc>
          <w:tcPr>
            <w:tcW w:w="3078" w:type="dxa"/>
            <w:noWrap/>
            <w:hideMark/>
          </w:tcPr>
          <w:p w14:paraId="08686EF4"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29753DCA"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11D03C3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Data provenance</w:t>
            </w:r>
            <w:r>
              <w:rPr>
                <w:rFonts w:ascii="Calibri" w:eastAsia="Times New Roman" w:hAnsi="Calibri" w:cs="Calibri"/>
                <w:color w:val="000000"/>
                <w:lang w:val="en-ZA" w:eastAsia="en-ZA"/>
              </w:rPr>
              <w:t xml:space="preserve"> (n=1)</w:t>
            </w:r>
          </w:p>
        </w:tc>
      </w:tr>
      <w:tr w:rsidR="000F6CC7" w:rsidRPr="00CF5C5C" w14:paraId="70A474C0" w14:textId="77777777" w:rsidTr="00EF0211">
        <w:trPr>
          <w:trHeight w:val="328"/>
        </w:trPr>
        <w:tc>
          <w:tcPr>
            <w:tcW w:w="3078" w:type="dxa"/>
            <w:noWrap/>
            <w:hideMark/>
          </w:tcPr>
          <w:p w14:paraId="2B342820"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Product presentation</w:t>
            </w:r>
            <w:r>
              <w:rPr>
                <w:rFonts w:ascii="Calibri" w:eastAsia="Times New Roman" w:hAnsi="Calibri" w:cs="Calibri"/>
                <w:color w:val="000000"/>
                <w:lang w:val="en-ZA" w:eastAsia="en-ZA"/>
              </w:rPr>
              <w:t xml:space="preserve"> (n=1)</w:t>
            </w:r>
          </w:p>
        </w:tc>
        <w:tc>
          <w:tcPr>
            <w:tcW w:w="3078" w:type="dxa"/>
            <w:noWrap/>
            <w:hideMark/>
          </w:tcPr>
          <w:p w14:paraId="0AF40C59"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Market size</w:t>
            </w:r>
            <w:r>
              <w:rPr>
                <w:rFonts w:ascii="Calibri" w:eastAsia="Times New Roman" w:hAnsi="Calibri" w:cs="Calibri"/>
                <w:color w:val="000000"/>
                <w:lang w:val="en-ZA" w:eastAsia="en-ZA"/>
              </w:rPr>
              <w:t xml:space="preserve"> (n=1)</w:t>
            </w:r>
          </w:p>
        </w:tc>
        <w:tc>
          <w:tcPr>
            <w:tcW w:w="3078" w:type="dxa"/>
            <w:noWrap/>
            <w:hideMark/>
          </w:tcPr>
          <w:p w14:paraId="4F8A7910"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0E5346A3"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BC99D4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Data dictionary</w:t>
            </w:r>
            <w:r>
              <w:rPr>
                <w:rFonts w:ascii="Calibri" w:eastAsia="Times New Roman" w:hAnsi="Calibri" w:cs="Calibri"/>
                <w:color w:val="000000"/>
                <w:lang w:val="en-ZA" w:eastAsia="en-ZA"/>
              </w:rPr>
              <w:t xml:space="preserve"> (n=1)</w:t>
            </w:r>
          </w:p>
        </w:tc>
      </w:tr>
      <w:tr w:rsidR="000F6CC7" w:rsidRPr="00CF5C5C" w14:paraId="063E8936" w14:textId="77777777" w:rsidTr="00EF0211">
        <w:trPr>
          <w:trHeight w:val="328"/>
        </w:trPr>
        <w:tc>
          <w:tcPr>
            <w:tcW w:w="3078" w:type="dxa"/>
            <w:noWrap/>
            <w:hideMark/>
          </w:tcPr>
          <w:p w14:paraId="701FEB86"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Target countries</w:t>
            </w:r>
            <w:r>
              <w:rPr>
                <w:rFonts w:ascii="Calibri" w:eastAsia="Times New Roman" w:hAnsi="Calibri" w:cs="Calibri"/>
                <w:color w:val="000000"/>
                <w:lang w:val="en-ZA" w:eastAsia="en-ZA"/>
              </w:rPr>
              <w:t xml:space="preserve"> (n=1)</w:t>
            </w:r>
          </w:p>
        </w:tc>
        <w:tc>
          <w:tcPr>
            <w:tcW w:w="3078" w:type="dxa"/>
            <w:noWrap/>
            <w:hideMark/>
          </w:tcPr>
          <w:p w14:paraId="139B649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Cell stability</w:t>
            </w:r>
            <w:r>
              <w:rPr>
                <w:rFonts w:ascii="Calibri" w:eastAsia="Times New Roman" w:hAnsi="Calibri" w:cs="Calibri"/>
                <w:color w:val="000000"/>
                <w:lang w:val="en-ZA" w:eastAsia="en-ZA"/>
              </w:rPr>
              <w:t xml:space="preserve"> (n=1)</w:t>
            </w:r>
          </w:p>
        </w:tc>
        <w:tc>
          <w:tcPr>
            <w:tcW w:w="3078" w:type="dxa"/>
            <w:noWrap/>
            <w:hideMark/>
          </w:tcPr>
          <w:p w14:paraId="4B6F113B"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EF4E17E"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137B8F8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Data security and privacy</w:t>
            </w:r>
            <w:r>
              <w:rPr>
                <w:rFonts w:ascii="Calibri" w:eastAsia="Times New Roman" w:hAnsi="Calibri" w:cs="Calibri"/>
                <w:color w:val="000000"/>
                <w:lang w:val="en-ZA" w:eastAsia="en-ZA"/>
              </w:rPr>
              <w:t xml:space="preserve"> (n=1)</w:t>
            </w:r>
          </w:p>
        </w:tc>
      </w:tr>
      <w:tr w:rsidR="000F6CC7" w:rsidRPr="00CF5C5C" w14:paraId="349AF7E9" w14:textId="77777777" w:rsidTr="00EF0211">
        <w:trPr>
          <w:trHeight w:val="328"/>
        </w:trPr>
        <w:tc>
          <w:tcPr>
            <w:tcW w:w="3078" w:type="dxa"/>
            <w:noWrap/>
            <w:hideMark/>
          </w:tcPr>
          <w:p w14:paraId="28229B8F"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Funding/IP global issues</w:t>
            </w:r>
            <w:r>
              <w:rPr>
                <w:rFonts w:ascii="Calibri" w:eastAsia="Times New Roman" w:hAnsi="Calibri" w:cs="Calibri"/>
                <w:color w:val="000000"/>
                <w:lang w:val="en-ZA" w:eastAsia="en-ZA"/>
              </w:rPr>
              <w:t xml:space="preserve"> (n=1)</w:t>
            </w:r>
          </w:p>
        </w:tc>
        <w:tc>
          <w:tcPr>
            <w:tcW w:w="3078" w:type="dxa"/>
            <w:noWrap/>
            <w:hideMark/>
          </w:tcPr>
          <w:p w14:paraId="52B6869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Rheological behaviour</w:t>
            </w:r>
            <w:r>
              <w:rPr>
                <w:rFonts w:ascii="Calibri" w:eastAsia="Times New Roman" w:hAnsi="Calibri" w:cs="Calibri"/>
                <w:color w:val="000000"/>
                <w:lang w:val="en-ZA" w:eastAsia="en-ZA"/>
              </w:rPr>
              <w:t xml:space="preserve"> (n=1)</w:t>
            </w:r>
          </w:p>
        </w:tc>
        <w:tc>
          <w:tcPr>
            <w:tcW w:w="3078" w:type="dxa"/>
            <w:noWrap/>
            <w:hideMark/>
          </w:tcPr>
          <w:p w14:paraId="3F56B0FD"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BD0BB17"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11A651C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Dose Range</w:t>
            </w:r>
            <w:r>
              <w:rPr>
                <w:rFonts w:ascii="Calibri" w:eastAsia="Times New Roman" w:hAnsi="Calibri" w:cs="Calibri"/>
                <w:color w:val="000000"/>
                <w:lang w:val="en-ZA" w:eastAsia="en-ZA"/>
              </w:rPr>
              <w:t xml:space="preserve"> (n=1)</w:t>
            </w:r>
          </w:p>
        </w:tc>
      </w:tr>
      <w:tr w:rsidR="000F6CC7" w:rsidRPr="00CF5C5C" w14:paraId="7545C85C" w14:textId="77777777" w:rsidTr="00EF0211">
        <w:trPr>
          <w:trHeight w:val="328"/>
        </w:trPr>
        <w:tc>
          <w:tcPr>
            <w:tcW w:w="3078" w:type="dxa"/>
            <w:noWrap/>
            <w:hideMark/>
          </w:tcPr>
          <w:p w14:paraId="38257239"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Safety (for individuals)</w:t>
            </w:r>
            <w:r>
              <w:rPr>
                <w:rFonts w:ascii="Calibri" w:eastAsia="Times New Roman" w:hAnsi="Calibri" w:cs="Calibri"/>
                <w:color w:val="000000"/>
                <w:lang w:val="en-ZA" w:eastAsia="en-ZA"/>
              </w:rPr>
              <w:t xml:space="preserve"> (n=1)</w:t>
            </w:r>
          </w:p>
        </w:tc>
        <w:tc>
          <w:tcPr>
            <w:tcW w:w="3078" w:type="dxa"/>
            <w:noWrap/>
            <w:hideMark/>
          </w:tcPr>
          <w:p w14:paraId="0F9BC09D" w14:textId="77777777" w:rsidR="000F6CC7" w:rsidRPr="00CF5C5C" w:rsidRDefault="000F6CC7" w:rsidP="00EF0211">
            <w:pPr>
              <w:jc w:val="center"/>
              <w:rPr>
                <w:rFonts w:ascii="Calibri" w:eastAsia="Times New Roman" w:hAnsi="Calibri" w:cs="Calibri"/>
                <w:color w:val="000000"/>
                <w:lang w:val="en-ZA" w:eastAsia="en-ZA"/>
              </w:rPr>
            </w:pPr>
            <w:proofErr w:type="spellStart"/>
            <w:r w:rsidRPr="00CF5C5C">
              <w:rPr>
                <w:rFonts w:ascii="Calibri" w:eastAsia="Times New Roman" w:hAnsi="Calibri" w:cs="Calibri"/>
                <w:color w:val="000000"/>
                <w:lang w:val="en-ZA" w:eastAsia="en-ZA"/>
              </w:rPr>
              <w:t>Mucoadhesion</w:t>
            </w:r>
            <w:proofErr w:type="spellEnd"/>
            <w:r w:rsidRPr="00CF5C5C">
              <w:rPr>
                <w:rFonts w:ascii="Calibri" w:eastAsia="Times New Roman" w:hAnsi="Calibri" w:cs="Calibri"/>
                <w:color w:val="000000"/>
                <w:lang w:val="en-ZA" w:eastAsia="en-ZA"/>
              </w:rPr>
              <w:t xml:space="preserve"> time</w:t>
            </w:r>
            <w:r>
              <w:rPr>
                <w:rFonts w:ascii="Calibri" w:eastAsia="Times New Roman" w:hAnsi="Calibri" w:cs="Calibri"/>
                <w:color w:val="000000"/>
                <w:lang w:val="en-ZA" w:eastAsia="en-ZA"/>
              </w:rPr>
              <w:t xml:space="preserve"> (n=1)</w:t>
            </w:r>
          </w:p>
        </w:tc>
        <w:tc>
          <w:tcPr>
            <w:tcW w:w="3078" w:type="dxa"/>
            <w:noWrap/>
            <w:hideMark/>
          </w:tcPr>
          <w:p w14:paraId="6538FA95"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5F22522"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5875E9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Palatability</w:t>
            </w:r>
            <w:r>
              <w:rPr>
                <w:rFonts w:ascii="Calibri" w:eastAsia="Times New Roman" w:hAnsi="Calibri" w:cs="Calibri"/>
                <w:color w:val="000000"/>
                <w:lang w:val="en-ZA" w:eastAsia="en-ZA"/>
              </w:rPr>
              <w:t xml:space="preserve"> (n=1)</w:t>
            </w:r>
          </w:p>
        </w:tc>
      </w:tr>
      <w:tr w:rsidR="000F6CC7" w:rsidRPr="00CF5C5C" w14:paraId="646B3B1D" w14:textId="77777777" w:rsidTr="00EF0211">
        <w:trPr>
          <w:trHeight w:val="328"/>
        </w:trPr>
        <w:tc>
          <w:tcPr>
            <w:tcW w:w="3078" w:type="dxa"/>
            <w:noWrap/>
            <w:hideMark/>
          </w:tcPr>
          <w:p w14:paraId="11246005"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(Detection) range</w:t>
            </w:r>
            <w:r>
              <w:rPr>
                <w:rFonts w:ascii="Calibri" w:eastAsia="Times New Roman" w:hAnsi="Calibri" w:cs="Calibri"/>
                <w:color w:val="000000"/>
                <w:lang w:val="en-ZA" w:eastAsia="en-ZA"/>
              </w:rPr>
              <w:t xml:space="preserve"> (n=1)</w:t>
            </w:r>
          </w:p>
        </w:tc>
        <w:tc>
          <w:tcPr>
            <w:tcW w:w="3078" w:type="dxa"/>
            <w:noWrap/>
            <w:hideMark/>
          </w:tcPr>
          <w:p w14:paraId="3B84573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Lipid-polymer hybrid nanoparticles (LPNs) size ratio</w:t>
            </w:r>
            <w:r>
              <w:rPr>
                <w:rFonts w:ascii="Calibri" w:eastAsia="Times New Roman" w:hAnsi="Calibri" w:cs="Calibri"/>
                <w:color w:val="000000"/>
                <w:lang w:val="en-ZA" w:eastAsia="en-ZA"/>
              </w:rPr>
              <w:t xml:space="preserve"> (n=1)</w:t>
            </w:r>
          </w:p>
        </w:tc>
        <w:tc>
          <w:tcPr>
            <w:tcW w:w="3078" w:type="dxa"/>
            <w:noWrap/>
            <w:hideMark/>
          </w:tcPr>
          <w:p w14:paraId="5F11AF31"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47AD413"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726BE9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Additional information</w:t>
            </w:r>
            <w:r>
              <w:rPr>
                <w:rFonts w:ascii="Calibri" w:eastAsia="Times New Roman" w:hAnsi="Calibri" w:cs="Calibri"/>
                <w:color w:val="000000"/>
                <w:lang w:val="en-ZA" w:eastAsia="en-ZA"/>
              </w:rPr>
              <w:t xml:space="preserve"> (n=1)</w:t>
            </w:r>
          </w:p>
        </w:tc>
      </w:tr>
      <w:tr w:rsidR="000F6CC7" w:rsidRPr="00CF5C5C" w14:paraId="0826C847" w14:textId="77777777" w:rsidTr="00EF0211">
        <w:trPr>
          <w:trHeight w:val="328"/>
        </w:trPr>
        <w:tc>
          <w:tcPr>
            <w:tcW w:w="3078" w:type="dxa"/>
            <w:noWrap/>
            <w:hideMark/>
          </w:tcPr>
          <w:p w14:paraId="00C7BC94"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Test cartridge: Analytes/test menu</w:t>
            </w:r>
            <w:r>
              <w:rPr>
                <w:rFonts w:ascii="Calibri" w:eastAsia="Times New Roman" w:hAnsi="Calibri" w:cs="Calibri"/>
                <w:color w:val="000000"/>
                <w:lang w:val="en-ZA" w:eastAsia="en-ZA"/>
              </w:rPr>
              <w:t xml:space="preserve"> (n=1)</w:t>
            </w:r>
          </w:p>
        </w:tc>
        <w:tc>
          <w:tcPr>
            <w:tcW w:w="3078" w:type="dxa"/>
            <w:noWrap/>
            <w:hideMark/>
          </w:tcPr>
          <w:p w14:paraId="099A229B" w14:textId="77777777" w:rsidR="000F6CC7" w:rsidRPr="00CF5C5C" w:rsidRDefault="000F6CC7" w:rsidP="00EF0211">
            <w:pPr>
              <w:jc w:val="center"/>
              <w:rPr>
                <w:rFonts w:ascii="Calibri" w:eastAsia="Times New Roman" w:hAnsi="Calibri" w:cs="Calibri"/>
                <w:color w:val="000000"/>
                <w:lang w:val="en-ZA" w:eastAsia="en-ZA"/>
              </w:rPr>
            </w:pPr>
            <w:proofErr w:type="spellStart"/>
            <w:r w:rsidRPr="00CF5C5C">
              <w:rPr>
                <w:rFonts w:ascii="Calibri" w:eastAsia="Times New Roman" w:hAnsi="Calibri" w:cs="Calibri"/>
                <w:color w:val="000000"/>
                <w:lang w:val="en-ZA" w:eastAsia="en-ZA"/>
              </w:rPr>
              <w:t>Bioadhesion</w:t>
            </w:r>
            <w:proofErr w:type="spellEnd"/>
            <w:r w:rsidRPr="00CF5C5C">
              <w:rPr>
                <w:rFonts w:ascii="Calibri" w:eastAsia="Times New Roman" w:hAnsi="Calibri" w:cs="Calibri"/>
                <w:color w:val="000000"/>
                <w:lang w:val="en-ZA" w:eastAsia="en-ZA"/>
              </w:rPr>
              <w:t>/retention</w:t>
            </w:r>
            <w:r>
              <w:rPr>
                <w:rFonts w:ascii="Calibri" w:eastAsia="Times New Roman" w:hAnsi="Calibri" w:cs="Calibri"/>
                <w:color w:val="000000"/>
                <w:lang w:val="en-ZA" w:eastAsia="en-ZA"/>
              </w:rPr>
              <w:t xml:space="preserve"> (n=1)</w:t>
            </w:r>
          </w:p>
        </w:tc>
        <w:tc>
          <w:tcPr>
            <w:tcW w:w="3078" w:type="dxa"/>
            <w:noWrap/>
            <w:hideMark/>
          </w:tcPr>
          <w:p w14:paraId="792E478F"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F7C2794"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59074D2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Number of compounds in the regimen</w:t>
            </w:r>
            <w:r>
              <w:rPr>
                <w:rFonts w:ascii="Calibri" w:eastAsia="Times New Roman" w:hAnsi="Calibri" w:cs="Calibri"/>
                <w:color w:val="000000"/>
                <w:lang w:val="en-ZA" w:eastAsia="en-ZA"/>
              </w:rPr>
              <w:t xml:space="preserve"> (n=1)</w:t>
            </w:r>
          </w:p>
        </w:tc>
      </w:tr>
      <w:tr w:rsidR="000F6CC7" w:rsidRPr="00CF5C5C" w14:paraId="4767080E" w14:textId="77777777" w:rsidTr="00EF0211">
        <w:trPr>
          <w:trHeight w:val="328"/>
        </w:trPr>
        <w:tc>
          <w:tcPr>
            <w:tcW w:w="3078" w:type="dxa"/>
            <w:noWrap/>
            <w:hideMark/>
          </w:tcPr>
          <w:p w14:paraId="52DE04BD"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Test result (</w:t>
            </w:r>
            <w:r>
              <w:rPr>
                <w:rFonts w:ascii="Calibri" w:eastAsia="Times New Roman" w:hAnsi="Calibri" w:cs="Calibri"/>
                <w:color w:val="000000"/>
                <w:lang w:val="en-ZA" w:eastAsia="en-ZA"/>
              </w:rPr>
              <w:t>quantitative/qualitative</w:t>
            </w:r>
            <w:r w:rsidRPr="00CF5C5C">
              <w:rPr>
                <w:rFonts w:ascii="Calibri" w:eastAsia="Times New Roman" w:hAnsi="Calibri" w:cs="Calibri"/>
                <w:color w:val="000000"/>
                <w:lang w:val="en-ZA" w:eastAsia="en-ZA"/>
              </w:rPr>
              <w:t>)</w:t>
            </w:r>
            <w:r>
              <w:rPr>
                <w:rFonts w:ascii="Calibri" w:eastAsia="Times New Roman" w:hAnsi="Calibri" w:cs="Calibri"/>
                <w:color w:val="000000"/>
                <w:lang w:val="en-ZA" w:eastAsia="en-ZA"/>
              </w:rPr>
              <w:t xml:space="preserve"> (n=1)</w:t>
            </w:r>
          </w:p>
        </w:tc>
        <w:tc>
          <w:tcPr>
            <w:tcW w:w="3078" w:type="dxa"/>
            <w:noWrap/>
            <w:hideMark/>
          </w:tcPr>
          <w:p w14:paraId="2A68A24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Spreading</w:t>
            </w:r>
            <w:r>
              <w:rPr>
                <w:rFonts w:ascii="Calibri" w:eastAsia="Times New Roman" w:hAnsi="Calibri" w:cs="Calibri"/>
                <w:color w:val="000000"/>
                <w:lang w:val="en-ZA" w:eastAsia="en-ZA"/>
              </w:rPr>
              <w:t xml:space="preserve"> (n=1)</w:t>
            </w:r>
          </w:p>
        </w:tc>
        <w:tc>
          <w:tcPr>
            <w:tcW w:w="3078" w:type="dxa"/>
            <w:noWrap/>
            <w:hideMark/>
          </w:tcPr>
          <w:p w14:paraId="0B271D12"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692FEBF"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0043E2F9"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Availability of DST for the index case (if known)</w:t>
            </w:r>
            <w:r>
              <w:rPr>
                <w:rFonts w:ascii="Calibri" w:eastAsia="Times New Roman" w:hAnsi="Calibri" w:cs="Calibri"/>
                <w:color w:val="000000"/>
                <w:lang w:val="en-ZA" w:eastAsia="en-ZA"/>
              </w:rPr>
              <w:t xml:space="preserve"> (n=1)</w:t>
            </w:r>
          </w:p>
        </w:tc>
      </w:tr>
      <w:tr w:rsidR="000F6CC7" w:rsidRPr="00CF5C5C" w14:paraId="03587E56" w14:textId="77777777" w:rsidTr="00EF0211">
        <w:trPr>
          <w:trHeight w:val="328"/>
        </w:trPr>
        <w:tc>
          <w:tcPr>
            <w:tcW w:w="3078" w:type="dxa"/>
            <w:noWrap/>
            <w:hideMark/>
          </w:tcPr>
          <w:p w14:paraId="56ACD142"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Compatible POC/test tools</w:t>
            </w:r>
            <w:r>
              <w:rPr>
                <w:rFonts w:ascii="Calibri" w:eastAsia="Times New Roman" w:hAnsi="Calibri" w:cs="Calibri"/>
                <w:color w:val="000000"/>
                <w:lang w:val="en-ZA" w:eastAsia="en-ZA"/>
              </w:rPr>
              <w:t xml:space="preserve"> v</w:t>
            </w:r>
          </w:p>
        </w:tc>
        <w:tc>
          <w:tcPr>
            <w:tcW w:w="3078" w:type="dxa"/>
            <w:noWrap/>
            <w:hideMark/>
          </w:tcPr>
          <w:p w14:paraId="3EE4C6D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Medication colour</w:t>
            </w:r>
            <w:r>
              <w:rPr>
                <w:rFonts w:ascii="Calibri" w:eastAsia="Times New Roman" w:hAnsi="Calibri" w:cs="Calibri"/>
                <w:color w:val="000000"/>
                <w:lang w:val="en-ZA" w:eastAsia="en-ZA"/>
              </w:rPr>
              <w:t xml:space="preserve"> (n=1)</w:t>
            </w:r>
          </w:p>
        </w:tc>
        <w:tc>
          <w:tcPr>
            <w:tcW w:w="3078" w:type="dxa"/>
            <w:noWrap/>
            <w:hideMark/>
          </w:tcPr>
          <w:p w14:paraId="69ACF53A"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2B48AB15"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1DD80585"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Product presentation</w:t>
            </w:r>
            <w:r>
              <w:rPr>
                <w:rFonts w:ascii="Calibri" w:eastAsia="Times New Roman" w:hAnsi="Calibri" w:cs="Calibri"/>
                <w:color w:val="000000"/>
                <w:lang w:val="en-ZA" w:eastAsia="en-ZA"/>
              </w:rPr>
              <w:t xml:space="preserve"> (n=1)</w:t>
            </w:r>
          </w:p>
        </w:tc>
      </w:tr>
      <w:tr w:rsidR="000F6CC7" w:rsidRPr="00CF5C5C" w14:paraId="51FA160F" w14:textId="77777777" w:rsidTr="00EF0211">
        <w:trPr>
          <w:trHeight w:val="328"/>
        </w:trPr>
        <w:tc>
          <w:tcPr>
            <w:tcW w:w="3078" w:type="dxa"/>
            <w:noWrap/>
            <w:hideMark/>
          </w:tcPr>
          <w:p w14:paraId="74F35380"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In-app help</w:t>
            </w:r>
            <w:r>
              <w:rPr>
                <w:rFonts w:ascii="Calibri" w:eastAsia="Times New Roman" w:hAnsi="Calibri" w:cs="Calibri"/>
                <w:color w:val="000000"/>
                <w:lang w:val="en-ZA" w:eastAsia="en-ZA"/>
              </w:rPr>
              <w:t xml:space="preserve"> (n=1)</w:t>
            </w:r>
          </w:p>
        </w:tc>
        <w:tc>
          <w:tcPr>
            <w:tcW w:w="3078" w:type="dxa"/>
            <w:noWrap/>
            <w:hideMark/>
          </w:tcPr>
          <w:p w14:paraId="35D7406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Applicator</w:t>
            </w:r>
            <w:r>
              <w:rPr>
                <w:rFonts w:ascii="Calibri" w:eastAsia="Times New Roman" w:hAnsi="Calibri" w:cs="Calibri"/>
                <w:color w:val="000000"/>
                <w:lang w:val="en-ZA" w:eastAsia="en-ZA"/>
              </w:rPr>
              <w:t xml:space="preserve"> (n=1)</w:t>
            </w:r>
          </w:p>
        </w:tc>
        <w:tc>
          <w:tcPr>
            <w:tcW w:w="3078" w:type="dxa"/>
            <w:noWrap/>
            <w:hideMark/>
          </w:tcPr>
          <w:p w14:paraId="1DCF50DE"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55E2220"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74FF86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Product registration and WHO prequalification</w:t>
            </w:r>
            <w:r>
              <w:rPr>
                <w:rFonts w:ascii="Calibri" w:eastAsia="Times New Roman" w:hAnsi="Calibri" w:cs="Calibri"/>
                <w:color w:val="000000"/>
                <w:lang w:val="en-ZA" w:eastAsia="en-ZA"/>
              </w:rPr>
              <w:t xml:space="preserve"> (n=1)</w:t>
            </w:r>
          </w:p>
        </w:tc>
      </w:tr>
      <w:tr w:rsidR="000F6CC7" w:rsidRPr="00CF5C5C" w14:paraId="4C8558D4" w14:textId="77777777" w:rsidTr="00EF0211">
        <w:trPr>
          <w:trHeight w:val="328"/>
        </w:trPr>
        <w:tc>
          <w:tcPr>
            <w:tcW w:w="3078" w:type="dxa"/>
            <w:noWrap/>
            <w:hideMark/>
          </w:tcPr>
          <w:p w14:paraId="022D1A97"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Compatible devices</w:t>
            </w:r>
            <w:r>
              <w:rPr>
                <w:rFonts w:ascii="Calibri" w:eastAsia="Times New Roman" w:hAnsi="Calibri" w:cs="Calibri"/>
                <w:color w:val="000000"/>
                <w:lang w:val="en-ZA" w:eastAsia="en-ZA"/>
              </w:rPr>
              <w:t xml:space="preserve"> (n=1)</w:t>
            </w:r>
          </w:p>
        </w:tc>
        <w:tc>
          <w:tcPr>
            <w:tcW w:w="3078" w:type="dxa"/>
            <w:noWrap/>
            <w:hideMark/>
          </w:tcPr>
          <w:p w14:paraId="1761BDD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Rheology</w:t>
            </w:r>
            <w:r>
              <w:rPr>
                <w:rFonts w:ascii="Calibri" w:eastAsia="Times New Roman" w:hAnsi="Calibri" w:cs="Calibri"/>
                <w:color w:val="000000"/>
                <w:lang w:val="en-ZA" w:eastAsia="en-ZA"/>
              </w:rPr>
              <w:t xml:space="preserve"> (n=1)</w:t>
            </w:r>
          </w:p>
        </w:tc>
        <w:tc>
          <w:tcPr>
            <w:tcW w:w="3078" w:type="dxa"/>
            <w:noWrap/>
            <w:hideMark/>
          </w:tcPr>
          <w:p w14:paraId="1BBDAB2B"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65C5FF8"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0DA94A5"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Disintegration</w:t>
            </w:r>
            <w:r>
              <w:rPr>
                <w:rFonts w:ascii="Calibri" w:eastAsia="Times New Roman" w:hAnsi="Calibri" w:cs="Calibri"/>
                <w:color w:val="000000"/>
                <w:lang w:val="en-ZA" w:eastAsia="en-ZA"/>
              </w:rPr>
              <w:t xml:space="preserve"> (n=1)</w:t>
            </w:r>
          </w:p>
        </w:tc>
      </w:tr>
      <w:tr w:rsidR="000F6CC7" w:rsidRPr="00CF5C5C" w14:paraId="32359CF1" w14:textId="77777777" w:rsidTr="00EF0211">
        <w:trPr>
          <w:trHeight w:val="328"/>
        </w:trPr>
        <w:tc>
          <w:tcPr>
            <w:tcW w:w="3078" w:type="dxa"/>
            <w:noWrap/>
            <w:hideMark/>
          </w:tcPr>
          <w:p w14:paraId="32ADA385"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Data input</w:t>
            </w:r>
            <w:r>
              <w:rPr>
                <w:rFonts w:ascii="Calibri" w:eastAsia="Times New Roman" w:hAnsi="Calibri" w:cs="Calibri"/>
                <w:color w:val="000000"/>
                <w:lang w:val="en-ZA" w:eastAsia="en-ZA"/>
              </w:rPr>
              <w:t xml:space="preserve"> (n=1)</w:t>
            </w:r>
          </w:p>
        </w:tc>
        <w:tc>
          <w:tcPr>
            <w:tcW w:w="3078" w:type="dxa"/>
            <w:noWrap/>
            <w:hideMark/>
          </w:tcPr>
          <w:p w14:paraId="4A66EB6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Odour</w:t>
            </w:r>
            <w:r>
              <w:rPr>
                <w:rFonts w:ascii="Calibri" w:eastAsia="Times New Roman" w:hAnsi="Calibri" w:cs="Calibri"/>
                <w:color w:val="000000"/>
                <w:lang w:val="en-ZA" w:eastAsia="en-ZA"/>
              </w:rPr>
              <w:t xml:space="preserve"> (n=1)</w:t>
            </w:r>
          </w:p>
        </w:tc>
        <w:tc>
          <w:tcPr>
            <w:tcW w:w="3078" w:type="dxa"/>
            <w:noWrap/>
            <w:hideMark/>
          </w:tcPr>
          <w:p w14:paraId="69609558"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94E3825"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08CCC1D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Tensile strength</w:t>
            </w:r>
            <w:r>
              <w:rPr>
                <w:rFonts w:ascii="Calibri" w:eastAsia="Times New Roman" w:hAnsi="Calibri" w:cs="Calibri"/>
                <w:color w:val="000000"/>
                <w:lang w:val="en-ZA" w:eastAsia="en-ZA"/>
              </w:rPr>
              <w:t xml:space="preserve"> (n=1)</w:t>
            </w:r>
          </w:p>
        </w:tc>
      </w:tr>
      <w:tr w:rsidR="000F6CC7" w:rsidRPr="00CF5C5C" w14:paraId="4FE1209F" w14:textId="77777777" w:rsidTr="00EF0211">
        <w:trPr>
          <w:trHeight w:val="328"/>
        </w:trPr>
        <w:tc>
          <w:tcPr>
            <w:tcW w:w="3078" w:type="dxa"/>
            <w:noWrap/>
            <w:hideMark/>
          </w:tcPr>
          <w:p w14:paraId="4DD28DBC"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User access rights</w:t>
            </w:r>
            <w:r>
              <w:rPr>
                <w:rFonts w:ascii="Calibri" w:eastAsia="Times New Roman" w:hAnsi="Calibri" w:cs="Calibri"/>
                <w:color w:val="000000"/>
                <w:lang w:val="en-ZA" w:eastAsia="en-ZA"/>
              </w:rPr>
              <w:t xml:space="preserve"> (n=1)</w:t>
            </w:r>
          </w:p>
        </w:tc>
        <w:tc>
          <w:tcPr>
            <w:tcW w:w="3078" w:type="dxa"/>
            <w:noWrap/>
            <w:hideMark/>
          </w:tcPr>
          <w:p w14:paraId="21944A6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Unit dose</w:t>
            </w:r>
            <w:r>
              <w:rPr>
                <w:rFonts w:ascii="Calibri" w:eastAsia="Times New Roman" w:hAnsi="Calibri" w:cs="Calibri"/>
                <w:color w:val="000000"/>
                <w:lang w:val="en-ZA" w:eastAsia="en-ZA"/>
              </w:rPr>
              <w:t xml:space="preserve"> (n=1)</w:t>
            </w:r>
          </w:p>
        </w:tc>
        <w:tc>
          <w:tcPr>
            <w:tcW w:w="3078" w:type="dxa"/>
            <w:noWrap/>
            <w:hideMark/>
          </w:tcPr>
          <w:p w14:paraId="50F61FFD"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0D3601F5"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BF5CDB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Drug entrapment efficiency</w:t>
            </w:r>
            <w:r>
              <w:rPr>
                <w:rFonts w:ascii="Calibri" w:eastAsia="Times New Roman" w:hAnsi="Calibri" w:cs="Calibri"/>
                <w:color w:val="000000"/>
                <w:lang w:val="en-ZA" w:eastAsia="en-ZA"/>
              </w:rPr>
              <w:t xml:space="preserve"> (n=1)</w:t>
            </w:r>
          </w:p>
        </w:tc>
      </w:tr>
      <w:tr w:rsidR="000F6CC7" w:rsidRPr="00CF5C5C" w14:paraId="1CA3D306" w14:textId="77777777" w:rsidTr="00EF0211">
        <w:trPr>
          <w:trHeight w:val="328"/>
        </w:trPr>
        <w:tc>
          <w:tcPr>
            <w:tcW w:w="3078" w:type="dxa"/>
            <w:noWrap/>
            <w:hideMark/>
          </w:tcPr>
          <w:p w14:paraId="0AAD5074"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Service &amp; support response time</w:t>
            </w:r>
            <w:r>
              <w:rPr>
                <w:rFonts w:ascii="Calibri" w:eastAsia="Times New Roman" w:hAnsi="Calibri" w:cs="Calibri"/>
                <w:color w:val="000000"/>
                <w:lang w:val="en-ZA" w:eastAsia="en-ZA"/>
              </w:rPr>
              <w:t xml:space="preserve"> (n=1)</w:t>
            </w:r>
          </w:p>
        </w:tc>
        <w:tc>
          <w:tcPr>
            <w:tcW w:w="3078" w:type="dxa"/>
            <w:noWrap/>
            <w:hideMark/>
          </w:tcPr>
          <w:p w14:paraId="35F419B4"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Visual defects</w:t>
            </w:r>
            <w:r>
              <w:rPr>
                <w:rFonts w:ascii="Calibri" w:eastAsia="Times New Roman" w:hAnsi="Calibri" w:cs="Calibri"/>
                <w:color w:val="000000"/>
                <w:lang w:val="en-ZA" w:eastAsia="en-ZA"/>
              </w:rPr>
              <w:t xml:space="preserve"> (n=1)</w:t>
            </w:r>
          </w:p>
        </w:tc>
        <w:tc>
          <w:tcPr>
            <w:tcW w:w="3078" w:type="dxa"/>
            <w:noWrap/>
            <w:hideMark/>
          </w:tcPr>
          <w:p w14:paraId="708AE4A1"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1B71F751"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E29977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(Particle) aggregation</w:t>
            </w:r>
            <w:r>
              <w:rPr>
                <w:rFonts w:ascii="Calibri" w:eastAsia="Times New Roman" w:hAnsi="Calibri" w:cs="Calibri"/>
                <w:color w:val="000000"/>
                <w:lang w:val="en-ZA" w:eastAsia="en-ZA"/>
              </w:rPr>
              <w:t xml:space="preserve"> (n=1)</w:t>
            </w:r>
          </w:p>
        </w:tc>
      </w:tr>
      <w:tr w:rsidR="000F6CC7" w:rsidRPr="00CF5C5C" w14:paraId="2C676ABE" w14:textId="77777777" w:rsidTr="00EF0211">
        <w:trPr>
          <w:trHeight w:val="328"/>
        </w:trPr>
        <w:tc>
          <w:tcPr>
            <w:tcW w:w="3078" w:type="dxa"/>
            <w:noWrap/>
            <w:hideMark/>
          </w:tcPr>
          <w:p w14:paraId="53E34227"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Data ownership</w:t>
            </w:r>
            <w:r>
              <w:rPr>
                <w:rFonts w:ascii="Calibri" w:eastAsia="Times New Roman" w:hAnsi="Calibri" w:cs="Calibri"/>
                <w:color w:val="000000"/>
                <w:lang w:val="en-ZA" w:eastAsia="en-ZA"/>
              </w:rPr>
              <w:t xml:space="preserve"> (n=1)</w:t>
            </w:r>
          </w:p>
        </w:tc>
        <w:tc>
          <w:tcPr>
            <w:tcW w:w="3078" w:type="dxa"/>
            <w:noWrap/>
            <w:hideMark/>
          </w:tcPr>
          <w:p w14:paraId="506DBC1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Pharmaceutical ingredient (%)</w:t>
            </w:r>
            <w:r>
              <w:rPr>
                <w:rFonts w:ascii="Calibri" w:eastAsia="Times New Roman" w:hAnsi="Calibri" w:cs="Calibri"/>
                <w:color w:val="000000"/>
                <w:lang w:val="en-ZA" w:eastAsia="en-ZA"/>
              </w:rPr>
              <w:t xml:space="preserve"> (n=1)</w:t>
            </w:r>
          </w:p>
        </w:tc>
        <w:tc>
          <w:tcPr>
            <w:tcW w:w="3078" w:type="dxa"/>
            <w:noWrap/>
            <w:hideMark/>
          </w:tcPr>
          <w:p w14:paraId="1CD69E99"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08F02EF"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970833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Drug delivery system/type</w:t>
            </w:r>
            <w:r>
              <w:rPr>
                <w:rFonts w:ascii="Calibri" w:eastAsia="Times New Roman" w:hAnsi="Calibri" w:cs="Calibri"/>
                <w:color w:val="000000"/>
                <w:lang w:val="en-ZA" w:eastAsia="en-ZA"/>
              </w:rPr>
              <w:t xml:space="preserve"> (n=1)</w:t>
            </w:r>
          </w:p>
        </w:tc>
      </w:tr>
      <w:tr w:rsidR="000F6CC7" w:rsidRPr="00CF5C5C" w14:paraId="6A493E21" w14:textId="77777777" w:rsidTr="00EF0211">
        <w:trPr>
          <w:trHeight w:val="328"/>
        </w:trPr>
        <w:tc>
          <w:tcPr>
            <w:tcW w:w="3078" w:type="dxa"/>
            <w:noWrap/>
            <w:hideMark/>
          </w:tcPr>
          <w:p w14:paraId="1676BB9D"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Data flow</w:t>
            </w:r>
            <w:r>
              <w:rPr>
                <w:rFonts w:ascii="Calibri" w:eastAsia="Times New Roman" w:hAnsi="Calibri" w:cs="Calibri"/>
                <w:color w:val="000000"/>
                <w:lang w:val="en-ZA" w:eastAsia="en-ZA"/>
              </w:rPr>
              <w:t xml:space="preserve"> (n=1)</w:t>
            </w:r>
          </w:p>
        </w:tc>
        <w:tc>
          <w:tcPr>
            <w:tcW w:w="3078" w:type="dxa"/>
            <w:noWrap/>
            <w:hideMark/>
          </w:tcPr>
          <w:p w14:paraId="64083F8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Crushing resistance</w:t>
            </w:r>
            <w:r>
              <w:rPr>
                <w:rFonts w:ascii="Calibri" w:eastAsia="Times New Roman" w:hAnsi="Calibri" w:cs="Calibri"/>
                <w:color w:val="000000"/>
                <w:lang w:val="en-ZA" w:eastAsia="en-ZA"/>
              </w:rPr>
              <w:t xml:space="preserve"> (n=1)</w:t>
            </w:r>
          </w:p>
        </w:tc>
        <w:tc>
          <w:tcPr>
            <w:tcW w:w="3078" w:type="dxa"/>
            <w:noWrap/>
            <w:hideMark/>
          </w:tcPr>
          <w:p w14:paraId="2B7A723E"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137D7796"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F617EC5"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In vivo absorption</w:t>
            </w:r>
            <w:r>
              <w:rPr>
                <w:rFonts w:ascii="Calibri" w:eastAsia="Times New Roman" w:hAnsi="Calibri" w:cs="Calibri"/>
                <w:color w:val="000000"/>
                <w:lang w:val="en-ZA" w:eastAsia="en-ZA"/>
              </w:rPr>
              <w:t xml:space="preserve"> (n=1)</w:t>
            </w:r>
          </w:p>
        </w:tc>
      </w:tr>
      <w:tr w:rsidR="000F6CC7" w:rsidRPr="00CF5C5C" w14:paraId="7323E25F" w14:textId="77777777" w:rsidTr="00EF0211">
        <w:trPr>
          <w:trHeight w:val="328"/>
        </w:trPr>
        <w:tc>
          <w:tcPr>
            <w:tcW w:w="3078" w:type="dxa"/>
            <w:noWrap/>
            <w:hideMark/>
          </w:tcPr>
          <w:p w14:paraId="16E16DC7"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Data exchange standards</w:t>
            </w:r>
            <w:r>
              <w:rPr>
                <w:rFonts w:ascii="Calibri" w:eastAsia="Times New Roman" w:hAnsi="Calibri" w:cs="Calibri"/>
                <w:color w:val="000000"/>
                <w:lang w:val="en-ZA" w:eastAsia="en-ZA"/>
              </w:rPr>
              <w:t xml:space="preserve"> (n=1)</w:t>
            </w:r>
          </w:p>
        </w:tc>
        <w:tc>
          <w:tcPr>
            <w:tcW w:w="3078" w:type="dxa"/>
            <w:noWrap/>
            <w:hideMark/>
          </w:tcPr>
          <w:p w14:paraId="613D337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Kinetic drug release</w:t>
            </w:r>
            <w:r>
              <w:rPr>
                <w:rFonts w:ascii="Calibri" w:eastAsia="Times New Roman" w:hAnsi="Calibri" w:cs="Calibri"/>
                <w:color w:val="000000"/>
                <w:lang w:val="en-ZA" w:eastAsia="en-ZA"/>
              </w:rPr>
              <w:t xml:space="preserve"> (n=1)</w:t>
            </w:r>
          </w:p>
        </w:tc>
        <w:tc>
          <w:tcPr>
            <w:tcW w:w="3078" w:type="dxa"/>
            <w:noWrap/>
            <w:hideMark/>
          </w:tcPr>
          <w:p w14:paraId="03EB998C"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006E5060"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30E356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Osmotic pressure/osmolarity</w:t>
            </w:r>
            <w:r>
              <w:rPr>
                <w:rFonts w:ascii="Calibri" w:eastAsia="Times New Roman" w:hAnsi="Calibri" w:cs="Calibri"/>
                <w:color w:val="000000"/>
                <w:lang w:val="en-ZA" w:eastAsia="en-ZA"/>
              </w:rPr>
              <w:t xml:space="preserve"> (n=1)</w:t>
            </w:r>
          </w:p>
        </w:tc>
      </w:tr>
      <w:tr w:rsidR="000F6CC7" w:rsidRPr="00CF5C5C" w14:paraId="0D074F54" w14:textId="77777777" w:rsidTr="00EF0211">
        <w:trPr>
          <w:trHeight w:val="328"/>
        </w:trPr>
        <w:tc>
          <w:tcPr>
            <w:tcW w:w="3078" w:type="dxa"/>
            <w:noWrap/>
            <w:hideMark/>
          </w:tcPr>
          <w:p w14:paraId="42B04B10"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Data security and privacy</w:t>
            </w:r>
            <w:r>
              <w:rPr>
                <w:rFonts w:ascii="Calibri" w:eastAsia="Times New Roman" w:hAnsi="Calibri" w:cs="Calibri"/>
                <w:color w:val="000000"/>
                <w:lang w:val="en-ZA" w:eastAsia="en-ZA"/>
              </w:rPr>
              <w:t xml:space="preserve"> (n=1)</w:t>
            </w:r>
          </w:p>
        </w:tc>
        <w:tc>
          <w:tcPr>
            <w:tcW w:w="3078" w:type="dxa"/>
            <w:noWrap/>
            <w:hideMark/>
          </w:tcPr>
          <w:p w14:paraId="003C804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Floating lag time</w:t>
            </w:r>
            <w:r>
              <w:rPr>
                <w:rFonts w:ascii="Calibri" w:eastAsia="Times New Roman" w:hAnsi="Calibri" w:cs="Calibri"/>
                <w:color w:val="000000"/>
                <w:lang w:val="en-ZA" w:eastAsia="en-ZA"/>
              </w:rPr>
              <w:t xml:space="preserve"> (n=1)</w:t>
            </w:r>
          </w:p>
        </w:tc>
        <w:tc>
          <w:tcPr>
            <w:tcW w:w="3078" w:type="dxa"/>
            <w:noWrap/>
            <w:hideMark/>
          </w:tcPr>
          <w:p w14:paraId="2C12DB7F"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6A7B6297"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1A821FB6" w14:textId="77777777" w:rsidR="000F6CC7" w:rsidRPr="00CF5C5C" w:rsidRDefault="000F6CC7" w:rsidP="00EF0211">
            <w:pPr>
              <w:jc w:val="center"/>
              <w:rPr>
                <w:rFonts w:ascii="Calibri" w:eastAsia="Times New Roman" w:hAnsi="Calibri" w:cs="Calibri"/>
                <w:color w:val="000000"/>
                <w:lang w:val="en-ZA" w:eastAsia="en-ZA"/>
              </w:rPr>
            </w:pPr>
            <w:proofErr w:type="spellStart"/>
            <w:r w:rsidRPr="00CF5C5C">
              <w:rPr>
                <w:rFonts w:ascii="Calibri" w:eastAsia="Times New Roman" w:hAnsi="Calibri" w:cs="Calibri"/>
                <w:color w:val="000000"/>
                <w:lang w:val="en-ZA" w:eastAsia="en-ZA"/>
              </w:rPr>
              <w:t>Lysophospholipid</w:t>
            </w:r>
            <w:proofErr w:type="spellEnd"/>
            <w:r>
              <w:rPr>
                <w:rFonts w:ascii="Calibri" w:eastAsia="Times New Roman" w:hAnsi="Calibri" w:cs="Calibri"/>
                <w:color w:val="000000"/>
                <w:lang w:val="en-ZA" w:eastAsia="en-ZA"/>
              </w:rPr>
              <w:t xml:space="preserve"> (n=1)</w:t>
            </w:r>
          </w:p>
        </w:tc>
      </w:tr>
      <w:tr w:rsidR="000F6CC7" w:rsidRPr="00CF5C5C" w14:paraId="234B69E9" w14:textId="77777777" w:rsidTr="00EF0211">
        <w:trPr>
          <w:trHeight w:val="328"/>
        </w:trPr>
        <w:tc>
          <w:tcPr>
            <w:tcW w:w="3078" w:type="dxa"/>
            <w:noWrap/>
            <w:hideMark/>
          </w:tcPr>
          <w:p w14:paraId="6C7B048F"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Handling of intermittent connections</w:t>
            </w:r>
            <w:r>
              <w:rPr>
                <w:rFonts w:ascii="Calibri" w:eastAsia="Times New Roman" w:hAnsi="Calibri" w:cs="Calibri"/>
                <w:color w:val="000000"/>
                <w:lang w:val="en-ZA" w:eastAsia="en-ZA"/>
              </w:rPr>
              <w:t xml:space="preserve"> (n=1)</w:t>
            </w:r>
          </w:p>
        </w:tc>
        <w:tc>
          <w:tcPr>
            <w:tcW w:w="3078" w:type="dxa"/>
            <w:noWrap/>
            <w:hideMark/>
          </w:tcPr>
          <w:p w14:paraId="466AC0E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Symptoms reduction</w:t>
            </w:r>
            <w:r>
              <w:rPr>
                <w:rFonts w:ascii="Calibri" w:eastAsia="Times New Roman" w:hAnsi="Calibri" w:cs="Calibri"/>
                <w:color w:val="000000"/>
                <w:lang w:val="en-ZA" w:eastAsia="en-ZA"/>
              </w:rPr>
              <w:t xml:space="preserve"> (n=1)</w:t>
            </w:r>
          </w:p>
        </w:tc>
        <w:tc>
          <w:tcPr>
            <w:tcW w:w="3078" w:type="dxa"/>
            <w:noWrap/>
            <w:hideMark/>
          </w:tcPr>
          <w:p w14:paraId="08767D57"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4B320E9"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7026E3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F0</w:t>
            </w:r>
            <w:r>
              <w:rPr>
                <w:rFonts w:ascii="Calibri" w:eastAsia="Times New Roman" w:hAnsi="Calibri" w:cs="Calibri"/>
                <w:color w:val="000000"/>
                <w:lang w:val="en-ZA" w:eastAsia="en-ZA"/>
              </w:rPr>
              <w:t xml:space="preserve"> (n=1)</w:t>
            </w:r>
          </w:p>
        </w:tc>
      </w:tr>
      <w:tr w:rsidR="000F6CC7" w:rsidRPr="00CF5C5C" w14:paraId="021A7F96" w14:textId="77777777" w:rsidTr="00EF0211">
        <w:trPr>
          <w:trHeight w:val="328"/>
        </w:trPr>
        <w:tc>
          <w:tcPr>
            <w:tcW w:w="3078" w:type="dxa"/>
            <w:hideMark/>
          </w:tcPr>
          <w:p w14:paraId="1F2AC406"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lastRenderedPageBreak/>
              <w:t>Product registration and WHO prequalification</w:t>
            </w:r>
            <w:r>
              <w:rPr>
                <w:rFonts w:ascii="Calibri" w:eastAsia="Times New Roman" w:hAnsi="Calibri" w:cs="Calibri"/>
                <w:color w:val="000000"/>
                <w:lang w:val="en-ZA" w:eastAsia="en-ZA"/>
              </w:rPr>
              <w:t xml:space="preserve"> (n=1)</w:t>
            </w:r>
          </w:p>
        </w:tc>
        <w:tc>
          <w:tcPr>
            <w:tcW w:w="3078" w:type="dxa"/>
            <w:noWrap/>
            <w:hideMark/>
          </w:tcPr>
          <w:p w14:paraId="46AECC6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Cognitive restraint</w:t>
            </w:r>
            <w:r>
              <w:rPr>
                <w:rFonts w:ascii="Calibri" w:eastAsia="Times New Roman" w:hAnsi="Calibri" w:cs="Calibri"/>
                <w:color w:val="000000"/>
                <w:lang w:val="en-ZA" w:eastAsia="en-ZA"/>
              </w:rPr>
              <w:t xml:space="preserve"> (n=1)</w:t>
            </w:r>
          </w:p>
        </w:tc>
        <w:tc>
          <w:tcPr>
            <w:tcW w:w="3078" w:type="dxa"/>
            <w:noWrap/>
            <w:hideMark/>
          </w:tcPr>
          <w:p w14:paraId="3AE399E7"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89405A3"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1A92C6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Odour</w:t>
            </w:r>
            <w:r>
              <w:rPr>
                <w:rFonts w:ascii="Calibri" w:eastAsia="Times New Roman" w:hAnsi="Calibri" w:cs="Calibri"/>
                <w:color w:val="000000"/>
                <w:lang w:val="en-ZA" w:eastAsia="en-ZA"/>
              </w:rPr>
              <w:t xml:space="preserve"> (n=1)</w:t>
            </w:r>
          </w:p>
        </w:tc>
      </w:tr>
      <w:tr w:rsidR="000F6CC7" w:rsidRPr="00CF5C5C" w14:paraId="556761E3" w14:textId="77777777" w:rsidTr="00EF0211">
        <w:trPr>
          <w:trHeight w:val="328"/>
        </w:trPr>
        <w:tc>
          <w:tcPr>
            <w:tcW w:w="3078" w:type="dxa"/>
            <w:noWrap/>
            <w:hideMark/>
          </w:tcPr>
          <w:p w14:paraId="4D9D4820"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Marketing material allowed</w:t>
            </w:r>
            <w:r>
              <w:rPr>
                <w:rFonts w:ascii="Calibri" w:eastAsia="Times New Roman" w:hAnsi="Calibri" w:cs="Calibri"/>
                <w:color w:val="000000"/>
                <w:lang w:val="en-ZA" w:eastAsia="en-ZA"/>
              </w:rPr>
              <w:t xml:space="preserve"> (n=1)</w:t>
            </w:r>
          </w:p>
        </w:tc>
        <w:tc>
          <w:tcPr>
            <w:tcW w:w="3078" w:type="dxa"/>
            <w:noWrap/>
            <w:hideMark/>
          </w:tcPr>
          <w:p w14:paraId="25E4DB0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Restoration of healthy eating patterns</w:t>
            </w:r>
            <w:r>
              <w:rPr>
                <w:rFonts w:ascii="Calibri" w:eastAsia="Times New Roman" w:hAnsi="Calibri" w:cs="Calibri"/>
                <w:color w:val="000000"/>
                <w:lang w:val="en-ZA" w:eastAsia="en-ZA"/>
              </w:rPr>
              <w:t xml:space="preserve"> (n=1)</w:t>
            </w:r>
          </w:p>
        </w:tc>
        <w:tc>
          <w:tcPr>
            <w:tcW w:w="3078" w:type="dxa"/>
            <w:noWrap/>
            <w:hideMark/>
          </w:tcPr>
          <w:p w14:paraId="57B37F7F"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1C2F10D1"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54A4E80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Release profile</w:t>
            </w:r>
            <w:r>
              <w:rPr>
                <w:rFonts w:ascii="Calibri" w:eastAsia="Times New Roman" w:hAnsi="Calibri" w:cs="Calibri"/>
                <w:color w:val="000000"/>
                <w:lang w:val="en-ZA" w:eastAsia="en-ZA"/>
              </w:rPr>
              <w:t xml:space="preserve"> (n=1)</w:t>
            </w:r>
          </w:p>
        </w:tc>
      </w:tr>
      <w:tr w:rsidR="000F6CC7" w:rsidRPr="00CF5C5C" w14:paraId="615BF9E9" w14:textId="77777777" w:rsidTr="00EF0211">
        <w:trPr>
          <w:trHeight w:val="328"/>
        </w:trPr>
        <w:tc>
          <w:tcPr>
            <w:tcW w:w="3078" w:type="dxa"/>
            <w:noWrap/>
            <w:hideMark/>
          </w:tcPr>
          <w:p w14:paraId="7A232484"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Product container type/size</w:t>
            </w:r>
            <w:r>
              <w:rPr>
                <w:rFonts w:ascii="Calibri" w:eastAsia="Times New Roman" w:hAnsi="Calibri" w:cs="Calibri"/>
                <w:color w:val="000000"/>
                <w:lang w:val="en-ZA" w:eastAsia="en-ZA"/>
              </w:rPr>
              <w:t xml:space="preserve"> (n=1)</w:t>
            </w:r>
          </w:p>
        </w:tc>
        <w:tc>
          <w:tcPr>
            <w:tcW w:w="3078" w:type="dxa"/>
            <w:noWrap/>
            <w:hideMark/>
          </w:tcPr>
          <w:p w14:paraId="313CE11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Reduction of body weight</w:t>
            </w:r>
            <w:r>
              <w:rPr>
                <w:rFonts w:ascii="Calibri" w:eastAsia="Times New Roman" w:hAnsi="Calibri" w:cs="Calibri"/>
                <w:color w:val="000000"/>
                <w:lang w:val="en-ZA" w:eastAsia="en-ZA"/>
              </w:rPr>
              <w:t xml:space="preserve"> (n=1)</w:t>
            </w:r>
          </w:p>
        </w:tc>
        <w:tc>
          <w:tcPr>
            <w:tcW w:w="3078" w:type="dxa"/>
            <w:noWrap/>
            <w:hideMark/>
          </w:tcPr>
          <w:p w14:paraId="079473BF"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65291CEF"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547DFA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Floating lag time</w:t>
            </w:r>
            <w:r>
              <w:rPr>
                <w:rFonts w:ascii="Calibri" w:eastAsia="Times New Roman" w:hAnsi="Calibri" w:cs="Calibri"/>
                <w:color w:val="000000"/>
                <w:lang w:val="en-ZA" w:eastAsia="en-ZA"/>
              </w:rPr>
              <w:t xml:space="preserve"> (n=1)</w:t>
            </w:r>
          </w:p>
        </w:tc>
      </w:tr>
      <w:tr w:rsidR="000F6CC7" w:rsidRPr="00CF5C5C" w14:paraId="626C4E1F" w14:textId="77777777" w:rsidTr="00EF0211">
        <w:trPr>
          <w:trHeight w:val="328"/>
        </w:trPr>
        <w:tc>
          <w:tcPr>
            <w:tcW w:w="3078" w:type="dxa"/>
            <w:noWrap/>
            <w:hideMark/>
          </w:tcPr>
          <w:p w14:paraId="208F3D3B"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Administration/ Concurrence with labelling</w:t>
            </w:r>
            <w:r>
              <w:rPr>
                <w:rFonts w:ascii="Calibri" w:eastAsia="Times New Roman" w:hAnsi="Calibri" w:cs="Calibri"/>
                <w:color w:val="000000"/>
                <w:lang w:val="en-ZA" w:eastAsia="en-ZA"/>
              </w:rPr>
              <w:t xml:space="preserve"> (n=1)</w:t>
            </w:r>
          </w:p>
        </w:tc>
        <w:tc>
          <w:tcPr>
            <w:tcW w:w="3078" w:type="dxa"/>
            <w:noWrap/>
            <w:hideMark/>
          </w:tcPr>
          <w:p w14:paraId="322CD54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Weight loss effect</w:t>
            </w:r>
            <w:r>
              <w:rPr>
                <w:rFonts w:ascii="Calibri" w:eastAsia="Times New Roman" w:hAnsi="Calibri" w:cs="Calibri"/>
                <w:color w:val="000000"/>
                <w:lang w:val="en-ZA" w:eastAsia="en-ZA"/>
              </w:rPr>
              <w:t xml:space="preserve"> (n=1)</w:t>
            </w:r>
          </w:p>
        </w:tc>
        <w:tc>
          <w:tcPr>
            <w:tcW w:w="3078" w:type="dxa"/>
            <w:noWrap/>
            <w:hideMark/>
          </w:tcPr>
          <w:p w14:paraId="7CFDE9C3"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3FDE529"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E4D316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Freedom to operate</w:t>
            </w:r>
            <w:r>
              <w:rPr>
                <w:rFonts w:ascii="Calibri" w:eastAsia="Times New Roman" w:hAnsi="Calibri" w:cs="Calibri"/>
                <w:color w:val="000000"/>
                <w:lang w:val="en-ZA" w:eastAsia="en-ZA"/>
              </w:rPr>
              <w:t xml:space="preserve"> (n=1)</w:t>
            </w:r>
          </w:p>
        </w:tc>
      </w:tr>
      <w:tr w:rsidR="000F6CC7" w:rsidRPr="00CF5C5C" w14:paraId="539F7907" w14:textId="77777777" w:rsidTr="00EF0211">
        <w:trPr>
          <w:trHeight w:val="328"/>
        </w:trPr>
        <w:tc>
          <w:tcPr>
            <w:tcW w:w="3078" w:type="dxa"/>
            <w:noWrap/>
            <w:hideMark/>
          </w:tcPr>
          <w:p w14:paraId="6FFDED13"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Need for monitoring</w:t>
            </w:r>
            <w:r>
              <w:rPr>
                <w:rFonts w:ascii="Calibri" w:eastAsia="Times New Roman" w:hAnsi="Calibri" w:cs="Calibri"/>
                <w:color w:val="000000"/>
                <w:lang w:val="en-ZA" w:eastAsia="en-ZA"/>
              </w:rPr>
              <w:t xml:space="preserve"> (n=1)</w:t>
            </w:r>
          </w:p>
        </w:tc>
        <w:tc>
          <w:tcPr>
            <w:tcW w:w="3078" w:type="dxa"/>
            <w:noWrap/>
            <w:hideMark/>
          </w:tcPr>
          <w:p w14:paraId="7B7CEEB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Increasing satiety</w:t>
            </w:r>
            <w:r>
              <w:rPr>
                <w:rFonts w:ascii="Calibri" w:eastAsia="Times New Roman" w:hAnsi="Calibri" w:cs="Calibri"/>
                <w:color w:val="000000"/>
                <w:lang w:val="en-ZA" w:eastAsia="en-ZA"/>
              </w:rPr>
              <w:t xml:space="preserve"> (n=1)</w:t>
            </w:r>
          </w:p>
        </w:tc>
        <w:tc>
          <w:tcPr>
            <w:tcW w:w="3078" w:type="dxa"/>
            <w:noWrap/>
            <w:hideMark/>
          </w:tcPr>
          <w:p w14:paraId="02DF6D4E"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070F611"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189CD4E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Gene silencing efficiency</w:t>
            </w:r>
            <w:r>
              <w:rPr>
                <w:rFonts w:ascii="Calibri" w:eastAsia="Times New Roman" w:hAnsi="Calibri" w:cs="Calibri"/>
                <w:color w:val="000000"/>
                <w:lang w:val="en-ZA" w:eastAsia="en-ZA"/>
              </w:rPr>
              <w:t xml:space="preserve"> (n=1)</w:t>
            </w:r>
          </w:p>
        </w:tc>
      </w:tr>
      <w:tr w:rsidR="000F6CC7" w:rsidRPr="00CF5C5C" w14:paraId="77F2E8D9" w14:textId="77777777" w:rsidTr="00EF0211">
        <w:trPr>
          <w:trHeight w:val="328"/>
        </w:trPr>
        <w:tc>
          <w:tcPr>
            <w:tcW w:w="3078" w:type="dxa"/>
            <w:noWrap/>
            <w:hideMark/>
          </w:tcPr>
          <w:p w14:paraId="27F2F1B6"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Polyvalency</w:t>
            </w:r>
            <w:r>
              <w:rPr>
                <w:rFonts w:ascii="Calibri" w:eastAsia="Times New Roman" w:hAnsi="Calibri" w:cs="Calibri"/>
                <w:color w:val="000000"/>
                <w:lang w:val="en-ZA" w:eastAsia="en-ZA"/>
              </w:rPr>
              <w:t xml:space="preserve"> (n=1)</w:t>
            </w:r>
          </w:p>
        </w:tc>
        <w:tc>
          <w:tcPr>
            <w:tcW w:w="3078" w:type="dxa"/>
            <w:noWrap/>
            <w:hideMark/>
          </w:tcPr>
          <w:p w14:paraId="2E2FA9B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Pharmacological tolerance</w:t>
            </w:r>
            <w:r>
              <w:rPr>
                <w:rFonts w:ascii="Calibri" w:eastAsia="Times New Roman" w:hAnsi="Calibri" w:cs="Calibri"/>
                <w:color w:val="000000"/>
                <w:lang w:val="en-ZA" w:eastAsia="en-ZA"/>
              </w:rPr>
              <w:t xml:space="preserve"> (n=1)</w:t>
            </w:r>
          </w:p>
        </w:tc>
        <w:tc>
          <w:tcPr>
            <w:tcW w:w="3078" w:type="dxa"/>
            <w:noWrap/>
            <w:hideMark/>
          </w:tcPr>
          <w:p w14:paraId="758F6A3C"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19EB70F1"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8588BA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Toxicity</w:t>
            </w:r>
            <w:r>
              <w:rPr>
                <w:rFonts w:ascii="Calibri" w:eastAsia="Times New Roman" w:hAnsi="Calibri" w:cs="Calibri"/>
                <w:color w:val="000000"/>
                <w:lang w:val="en-ZA" w:eastAsia="en-ZA"/>
              </w:rPr>
              <w:t xml:space="preserve"> (n=1)</w:t>
            </w:r>
          </w:p>
        </w:tc>
      </w:tr>
      <w:tr w:rsidR="000F6CC7" w:rsidRPr="00CF5C5C" w14:paraId="54D98E4D" w14:textId="77777777" w:rsidTr="00EF0211">
        <w:trPr>
          <w:trHeight w:val="328"/>
        </w:trPr>
        <w:tc>
          <w:tcPr>
            <w:tcW w:w="3078" w:type="dxa"/>
            <w:noWrap/>
            <w:hideMark/>
          </w:tcPr>
          <w:p w14:paraId="3CDBC2D8"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Lancet</w:t>
            </w:r>
            <w:r>
              <w:rPr>
                <w:rFonts w:ascii="Calibri" w:eastAsia="Times New Roman" w:hAnsi="Calibri" w:cs="Calibri"/>
                <w:color w:val="000000"/>
                <w:lang w:val="en-ZA" w:eastAsia="en-ZA"/>
              </w:rPr>
              <w:t xml:space="preserve"> (n=1)</w:t>
            </w:r>
          </w:p>
        </w:tc>
        <w:tc>
          <w:tcPr>
            <w:tcW w:w="3078" w:type="dxa"/>
            <w:noWrap/>
            <w:hideMark/>
          </w:tcPr>
          <w:p w14:paraId="55CEB59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Psychological/physical dependence</w:t>
            </w:r>
            <w:r>
              <w:rPr>
                <w:rFonts w:ascii="Calibri" w:eastAsia="Times New Roman" w:hAnsi="Calibri" w:cs="Calibri"/>
                <w:color w:val="000000"/>
                <w:lang w:val="en-ZA" w:eastAsia="en-ZA"/>
              </w:rPr>
              <w:t xml:space="preserve"> (n=1)</w:t>
            </w:r>
          </w:p>
        </w:tc>
        <w:tc>
          <w:tcPr>
            <w:tcW w:w="3078" w:type="dxa"/>
            <w:noWrap/>
            <w:hideMark/>
          </w:tcPr>
          <w:p w14:paraId="7619CCAE"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6CE1317"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ABF3824"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Physical state</w:t>
            </w:r>
            <w:r>
              <w:rPr>
                <w:rFonts w:ascii="Calibri" w:eastAsia="Times New Roman" w:hAnsi="Calibri" w:cs="Calibri"/>
                <w:color w:val="000000"/>
                <w:lang w:val="en-ZA" w:eastAsia="en-ZA"/>
              </w:rPr>
              <w:t xml:space="preserve"> (n=1)</w:t>
            </w:r>
          </w:p>
        </w:tc>
      </w:tr>
      <w:tr w:rsidR="000F6CC7" w:rsidRPr="00CF5C5C" w14:paraId="2176636F" w14:textId="77777777" w:rsidTr="00EF0211">
        <w:trPr>
          <w:trHeight w:val="328"/>
        </w:trPr>
        <w:tc>
          <w:tcPr>
            <w:tcW w:w="3078" w:type="dxa"/>
            <w:noWrap/>
            <w:hideMark/>
          </w:tcPr>
          <w:p w14:paraId="3934F5EB" w14:textId="77777777" w:rsidR="000F6CC7" w:rsidRPr="00CF5C5C" w:rsidRDefault="000F6CC7" w:rsidP="00EF0211">
            <w:pPr>
              <w:jc w:val="center"/>
              <w:rPr>
                <w:rFonts w:ascii="Calibri" w:eastAsia="Times New Roman" w:hAnsi="Calibri" w:cs="Calibri"/>
                <w:b/>
                <w:bCs/>
                <w:color w:val="000000"/>
                <w:lang w:val="en-ZA" w:eastAsia="en-ZA"/>
              </w:rPr>
            </w:pPr>
            <w:r w:rsidRPr="00CF5C5C">
              <w:rPr>
                <w:rFonts w:ascii="Calibri" w:eastAsia="Times New Roman" w:hAnsi="Calibri" w:cs="Calibri"/>
                <w:color w:val="000000"/>
                <w:lang w:val="en-ZA" w:eastAsia="en-ZA"/>
              </w:rPr>
              <w:t>Transfer device</w:t>
            </w:r>
            <w:r>
              <w:rPr>
                <w:rFonts w:ascii="Calibri" w:eastAsia="Times New Roman" w:hAnsi="Calibri" w:cs="Calibri"/>
                <w:color w:val="000000"/>
                <w:lang w:val="en-ZA" w:eastAsia="en-ZA"/>
              </w:rPr>
              <w:t xml:space="preserve"> (n=1)</w:t>
            </w:r>
          </w:p>
        </w:tc>
        <w:tc>
          <w:tcPr>
            <w:tcW w:w="3078" w:type="dxa"/>
            <w:noWrap/>
            <w:hideMark/>
          </w:tcPr>
          <w:p w14:paraId="3FCAF8F6"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Controlled drug</w:t>
            </w:r>
            <w:r>
              <w:rPr>
                <w:rFonts w:ascii="Calibri" w:eastAsia="Times New Roman" w:hAnsi="Calibri" w:cs="Calibri"/>
                <w:color w:val="000000"/>
                <w:lang w:val="en-ZA" w:eastAsia="en-ZA"/>
              </w:rPr>
              <w:t xml:space="preserve"> (n=1)</w:t>
            </w:r>
          </w:p>
        </w:tc>
        <w:tc>
          <w:tcPr>
            <w:tcW w:w="3078" w:type="dxa"/>
            <w:noWrap/>
            <w:hideMark/>
          </w:tcPr>
          <w:p w14:paraId="68BDBEDF"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250521E"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E6B325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Degradation products</w:t>
            </w:r>
            <w:r>
              <w:rPr>
                <w:rFonts w:ascii="Calibri" w:eastAsia="Times New Roman" w:hAnsi="Calibri" w:cs="Calibri"/>
                <w:color w:val="000000"/>
                <w:lang w:val="en-ZA" w:eastAsia="en-ZA"/>
              </w:rPr>
              <w:t xml:space="preserve"> (n=1)</w:t>
            </w:r>
          </w:p>
        </w:tc>
      </w:tr>
      <w:tr w:rsidR="000F6CC7" w:rsidRPr="00CF5C5C" w14:paraId="18AED9EB" w14:textId="77777777" w:rsidTr="00EF0211">
        <w:trPr>
          <w:trHeight w:val="328"/>
        </w:trPr>
        <w:tc>
          <w:tcPr>
            <w:tcW w:w="3078" w:type="dxa"/>
            <w:noWrap/>
            <w:hideMark/>
          </w:tcPr>
          <w:p w14:paraId="55D16586"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D30BB7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Microbiologic efficacy</w:t>
            </w:r>
            <w:r>
              <w:rPr>
                <w:rFonts w:ascii="Calibri" w:eastAsia="Times New Roman" w:hAnsi="Calibri" w:cs="Calibri"/>
                <w:color w:val="000000"/>
                <w:lang w:val="en-ZA" w:eastAsia="en-ZA"/>
              </w:rPr>
              <w:t xml:space="preserve"> (n=1)</w:t>
            </w:r>
          </w:p>
        </w:tc>
        <w:tc>
          <w:tcPr>
            <w:tcW w:w="3078" w:type="dxa"/>
            <w:noWrap/>
            <w:hideMark/>
          </w:tcPr>
          <w:p w14:paraId="3194B2C0"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09A4685"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9901CD5"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Water content</w:t>
            </w:r>
            <w:r>
              <w:rPr>
                <w:rFonts w:ascii="Calibri" w:eastAsia="Times New Roman" w:hAnsi="Calibri" w:cs="Calibri"/>
                <w:color w:val="000000"/>
                <w:lang w:val="en-ZA" w:eastAsia="en-ZA"/>
              </w:rPr>
              <w:t xml:space="preserve"> (n=1)</w:t>
            </w:r>
          </w:p>
        </w:tc>
      </w:tr>
      <w:tr w:rsidR="000F6CC7" w:rsidRPr="00CF5C5C" w14:paraId="1311F071" w14:textId="77777777" w:rsidTr="00EF0211">
        <w:trPr>
          <w:trHeight w:val="328"/>
        </w:trPr>
        <w:tc>
          <w:tcPr>
            <w:tcW w:w="3078" w:type="dxa"/>
            <w:noWrap/>
            <w:hideMark/>
          </w:tcPr>
          <w:p w14:paraId="06EACB3D"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883A5D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Drug concentration</w:t>
            </w:r>
            <w:r>
              <w:rPr>
                <w:rFonts w:ascii="Calibri" w:eastAsia="Times New Roman" w:hAnsi="Calibri" w:cs="Calibri"/>
                <w:color w:val="000000"/>
                <w:lang w:val="en-ZA" w:eastAsia="en-ZA"/>
              </w:rPr>
              <w:t xml:space="preserve"> (n=1)</w:t>
            </w:r>
          </w:p>
        </w:tc>
        <w:tc>
          <w:tcPr>
            <w:tcW w:w="3078" w:type="dxa"/>
            <w:noWrap/>
            <w:hideMark/>
          </w:tcPr>
          <w:p w14:paraId="6D7E42A2"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1FCF21BC"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84DFDE4"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(Intermediate step) critical features/quality attributes</w:t>
            </w:r>
            <w:r>
              <w:rPr>
                <w:rFonts w:ascii="Calibri" w:eastAsia="Times New Roman" w:hAnsi="Calibri" w:cs="Calibri"/>
                <w:color w:val="000000"/>
                <w:lang w:val="en-ZA" w:eastAsia="en-ZA"/>
              </w:rPr>
              <w:t xml:space="preserve"> (n=1)</w:t>
            </w:r>
          </w:p>
        </w:tc>
      </w:tr>
      <w:tr w:rsidR="000F6CC7" w:rsidRPr="00CF5C5C" w14:paraId="2184F3BD" w14:textId="77777777" w:rsidTr="00EF0211">
        <w:trPr>
          <w:trHeight w:val="328"/>
        </w:trPr>
        <w:tc>
          <w:tcPr>
            <w:tcW w:w="3078" w:type="dxa"/>
            <w:noWrap/>
            <w:hideMark/>
          </w:tcPr>
          <w:p w14:paraId="3241E602"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2521B51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Dilution</w:t>
            </w:r>
            <w:r>
              <w:rPr>
                <w:rFonts w:ascii="Calibri" w:eastAsia="Times New Roman" w:hAnsi="Calibri" w:cs="Calibri"/>
                <w:color w:val="000000"/>
                <w:lang w:val="en-ZA" w:eastAsia="en-ZA"/>
              </w:rPr>
              <w:t xml:space="preserve"> (n=1)</w:t>
            </w:r>
          </w:p>
        </w:tc>
        <w:tc>
          <w:tcPr>
            <w:tcW w:w="3078" w:type="dxa"/>
            <w:noWrap/>
            <w:hideMark/>
          </w:tcPr>
          <w:p w14:paraId="192D0F72"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0B644F4"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1B803BD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Rheological properties: Viscosity/stiffness</w:t>
            </w:r>
            <w:r>
              <w:rPr>
                <w:rFonts w:ascii="Calibri" w:eastAsia="Times New Roman" w:hAnsi="Calibri" w:cs="Calibri"/>
                <w:color w:val="000000"/>
                <w:lang w:val="en-ZA" w:eastAsia="en-ZA"/>
              </w:rPr>
              <w:t xml:space="preserve"> (n=1)</w:t>
            </w:r>
          </w:p>
        </w:tc>
      </w:tr>
      <w:tr w:rsidR="000F6CC7" w:rsidRPr="00CF5C5C" w14:paraId="00702C83" w14:textId="77777777" w:rsidTr="00EF0211">
        <w:trPr>
          <w:trHeight w:val="328"/>
        </w:trPr>
        <w:tc>
          <w:tcPr>
            <w:tcW w:w="3078" w:type="dxa"/>
            <w:noWrap/>
            <w:hideMark/>
          </w:tcPr>
          <w:p w14:paraId="04874F76"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600256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Freedom to operate</w:t>
            </w:r>
            <w:r>
              <w:rPr>
                <w:rFonts w:ascii="Calibri" w:eastAsia="Times New Roman" w:hAnsi="Calibri" w:cs="Calibri"/>
                <w:color w:val="000000"/>
                <w:lang w:val="en-ZA" w:eastAsia="en-ZA"/>
              </w:rPr>
              <w:t xml:space="preserve"> (n=1)</w:t>
            </w:r>
          </w:p>
        </w:tc>
        <w:tc>
          <w:tcPr>
            <w:tcW w:w="3078" w:type="dxa"/>
            <w:noWrap/>
            <w:hideMark/>
          </w:tcPr>
          <w:p w14:paraId="5EA6C6F7"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F2BCB92"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0E2D71B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Product/pharmaceutical form</w:t>
            </w:r>
            <w:r>
              <w:rPr>
                <w:rFonts w:ascii="Calibri" w:eastAsia="Times New Roman" w:hAnsi="Calibri" w:cs="Calibri"/>
                <w:color w:val="000000"/>
                <w:lang w:val="en-ZA" w:eastAsia="en-ZA"/>
              </w:rPr>
              <w:t xml:space="preserve"> (n=1)</w:t>
            </w:r>
          </w:p>
        </w:tc>
      </w:tr>
      <w:tr w:rsidR="000F6CC7" w:rsidRPr="00CF5C5C" w14:paraId="08B6EA46" w14:textId="77777777" w:rsidTr="00EF0211">
        <w:trPr>
          <w:trHeight w:val="328"/>
        </w:trPr>
        <w:tc>
          <w:tcPr>
            <w:tcW w:w="3078" w:type="dxa"/>
            <w:noWrap/>
            <w:hideMark/>
          </w:tcPr>
          <w:p w14:paraId="6A684573"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D3D3EE5"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Intellectual property</w:t>
            </w:r>
            <w:r>
              <w:rPr>
                <w:rFonts w:ascii="Calibri" w:eastAsia="Times New Roman" w:hAnsi="Calibri" w:cs="Calibri"/>
                <w:color w:val="000000"/>
                <w:lang w:val="en-ZA" w:eastAsia="en-ZA"/>
              </w:rPr>
              <w:t xml:space="preserve"> (n=1)</w:t>
            </w:r>
          </w:p>
        </w:tc>
        <w:tc>
          <w:tcPr>
            <w:tcW w:w="3078" w:type="dxa"/>
            <w:noWrap/>
            <w:hideMark/>
          </w:tcPr>
          <w:p w14:paraId="71A2AEA1"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091255B8"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1F6F37A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Fibre diameter</w:t>
            </w:r>
            <w:r>
              <w:rPr>
                <w:rFonts w:ascii="Calibri" w:eastAsia="Times New Roman" w:hAnsi="Calibri" w:cs="Calibri"/>
                <w:color w:val="000000"/>
                <w:lang w:val="en-ZA" w:eastAsia="en-ZA"/>
              </w:rPr>
              <w:t xml:space="preserve"> (n=1)</w:t>
            </w:r>
          </w:p>
        </w:tc>
      </w:tr>
      <w:tr w:rsidR="000F6CC7" w:rsidRPr="00CF5C5C" w14:paraId="7189F65E" w14:textId="77777777" w:rsidTr="00EF0211">
        <w:trPr>
          <w:trHeight w:val="328"/>
        </w:trPr>
        <w:tc>
          <w:tcPr>
            <w:tcW w:w="3078" w:type="dxa"/>
            <w:noWrap/>
            <w:hideMark/>
          </w:tcPr>
          <w:p w14:paraId="6C46226B"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9A35C6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Equipment needed for manufacture</w:t>
            </w:r>
            <w:r>
              <w:rPr>
                <w:rFonts w:ascii="Calibri" w:eastAsia="Times New Roman" w:hAnsi="Calibri" w:cs="Calibri"/>
                <w:color w:val="000000"/>
                <w:lang w:val="en-ZA" w:eastAsia="en-ZA"/>
              </w:rPr>
              <w:t xml:space="preserve"> (n=1)</w:t>
            </w:r>
          </w:p>
        </w:tc>
        <w:tc>
          <w:tcPr>
            <w:tcW w:w="3078" w:type="dxa"/>
            <w:noWrap/>
            <w:hideMark/>
          </w:tcPr>
          <w:p w14:paraId="6B1CCD15"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AF48D86"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2E620E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Fibre quality</w:t>
            </w:r>
            <w:r>
              <w:rPr>
                <w:rFonts w:ascii="Calibri" w:eastAsia="Times New Roman" w:hAnsi="Calibri" w:cs="Calibri"/>
                <w:color w:val="000000"/>
                <w:lang w:val="en-ZA" w:eastAsia="en-ZA"/>
              </w:rPr>
              <w:t xml:space="preserve"> (n=1)</w:t>
            </w:r>
          </w:p>
        </w:tc>
      </w:tr>
      <w:tr w:rsidR="000F6CC7" w:rsidRPr="00CF5C5C" w14:paraId="05C0DC75" w14:textId="77777777" w:rsidTr="00EF0211">
        <w:trPr>
          <w:trHeight w:val="328"/>
        </w:trPr>
        <w:tc>
          <w:tcPr>
            <w:tcW w:w="3078" w:type="dxa"/>
            <w:noWrap/>
            <w:hideMark/>
          </w:tcPr>
          <w:p w14:paraId="54BD5EEC"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FEF576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Product processing time</w:t>
            </w:r>
            <w:r>
              <w:rPr>
                <w:rFonts w:ascii="Calibri" w:eastAsia="Times New Roman" w:hAnsi="Calibri" w:cs="Calibri"/>
                <w:color w:val="000000"/>
                <w:lang w:val="en-ZA" w:eastAsia="en-ZA"/>
              </w:rPr>
              <w:t xml:space="preserve"> (n=1)</w:t>
            </w:r>
          </w:p>
        </w:tc>
        <w:tc>
          <w:tcPr>
            <w:tcW w:w="3078" w:type="dxa"/>
            <w:noWrap/>
            <w:hideMark/>
          </w:tcPr>
          <w:p w14:paraId="1BF9ECAE"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DF9A142"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CAC36D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Porosity</w:t>
            </w:r>
            <w:r>
              <w:rPr>
                <w:rFonts w:ascii="Calibri" w:eastAsia="Times New Roman" w:hAnsi="Calibri" w:cs="Calibri"/>
                <w:color w:val="000000"/>
                <w:lang w:val="en-ZA" w:eastAsia="en-ZA"/>
              </w:rPr>
              <w:t xml:space="preserve"> (n=1)</w:t>
            </w:r>
          </w:p>
        </w:tc>
      </w:tr>
      <w:tr w:rsidR="000F6CC7" w:rsidRPr="00CF5C5C" w14:paraId="217B9280" w14:textId="77777777" w:rsidTr="00EF0211">
        <w:trPr>
          <w:trHeight w:val="328"/>
        </w:trPr>
        <w:tc>
          <w:tcPr>
            <w:tcW w:w="3078" w:type="dxa"/>
            <w:noWrap/>
            <w:hideMark/>
          </w:tcPr>
          <w:p w14:paraId="52D61BC4"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AF40EE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z-average (nm)</w:t>
            </w:r>
            <w:r>
              <w:rPr>
                <w:rFonts w:ascii="Calibri" w:eastAsia="Times New Roman" w:hAnsi="Calibri" w:cs="Calibri"/>
                <w:color w:val="000000"/>
                <w:lang w:val="en-ZA" w:eastAsia="en-ZA"/>
              </w:rPr>
              <w:t xml:space="preserve"> (n=1)</w:t>
            </w:r>
          </w:p>
        </w:tc>
        <w:tc>
          <w:tcPr>
            <w:tcW w:w="3078" w:type="dxa"/>
            <w:noWrap/>
            <w:hideMark/>
          </w:tcPr>
          <w:p w14:paraId="7FEDD3C4"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61E20A73"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7B7CE8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Surface tension</w:t>
            </w:r>
            <w:r>
              <w:rPr>
                <w:rFonts w:ascii="Calibri" w:eastAsia="Times New Roman" w:hAnsi="Calibri" w:cs="Calibri"/>
                <w:color w:val="000000"/>
                <w:lang w:val="en-ZA" w:eastAsia="en-ZA"/>
              </w:rPr>
              <w:t xml:space="preserve"> (n=1)</w:t>
            </w:r>
          </w:p>
        </w:tc>
      </w:tr>
      <w:tr w:rsidR="000F6CC7" w:rsidRPr="00CF5C5C" w14:paraId="7368B1D5" w14:textId="77777777" w:rsidTr="00EF0211">
        <w:trPr>
          <w:trHeight w:val="328"/>
        </w:trPr>
        <w:tc>
          <w:tcPr>
            <w:tcW w:w="3078" w:type="dxa"/>
            <w:noWrap/>
            <w:hideMark/>
          </w:tcPr>
          <w:p w14:paraId="1CAFF079"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24A91FB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Molecule loading</w:t>
            </w:r>
          </w:p>
        </w:tc>
        <w:tc>
          <w:tcPr>
            <w:tcW w:w="3078" w:type="dxa"/>
            <w:noWrap/>
            <w:hideMark/>
          </w:tcPr>
          <w:p w14:paraId="0733379B"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2E8F3A6"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DD805F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Electroconductivity</w:t>
            </w:r>
            <w:r>
              <w:rPr>
                <w:rFonts w:ascii="Calibri" w:eastAsia="Times New Roman" w:hAnsi="Calibri" w:cs="Calibri"/>
                <w:color w:val="000000"/>
                <w:lang w:val="en-ZA" w:eastAsia="en-ZA"/>
              </w:rPr>
              <w:t xml:space="preserve"> (n=1)</w:t>
            </w:r>
          </w:p>
        </w:tc>
      </w:tr>
      <w:tr w:rsidR="000F6CC7" w:rsidRPr="00CF5C5C" w14:paraId="2F11A2C3" w14:textId="77777777" w:rsidTr="00EF0211">
        <w:trPr>
          <w:trHeight w:val="328"/>
        </w:trPr>
        <w:tc>
          <w:tcPr>
            <w:tcW w:w="3078" w:type="dxa"/>
            <w:noWrap/>
            <w:hideMark/>
          </w:tcPr>
          <w:p w14:paraId="127B3CEE"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1CDD366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Frequency of discontinuation during therapy</w:t>
            </w:r>
            <w:r>
              <w:rPr>
                <w:rFonts w:ascii="Calibri" w:eastAsia="Times New Roman" w:hAnsi="Calibri" w:cs="Calibri"/>
                <w:color w:val="000000"/>
                <w:lang w:val="en-ZA" w:eastAsia="en-ZA"/>
              </w:rPr>
              <w:t xml:space="preserve"> (n=1)</w:t>
            </w:r>
          </w:p>
        </w:tc>
        <w:tc>
          <w:tcPr>
            <w:tcW w:w="3078" w:type="dxa"/>
            <w:noWrap/>
            <w:hideMark/>
          </w:tcPr>
          <w:p w14:paraId="6D7BD864"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3295429"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38E8F06"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Density</w:t>
            </w:r>
            <w:r>
              <w:rPr>
                <w:rFonts w:ascii="Calibri" w:eastAsia="Times New Roman" w:hAnsi="Calibri" w:cs="Calibri"/>
                <w:color w:val="000000"/>
                <w:lang w:val="en-ZA" w:eastAsia="en-ZA"/>
              </w:rPr>
              <w:t xml:space="preserve"> (n=1)</w:t>
            </w:r>
          </w:p>
        </w:tc>
      </w:tr>
      <w:tr w:rsidR="000F6CC7" w:rsidRPr="00CF5C5C" w14:paraId="4F03B237" w14:textId="77777777" w:rsidTr="00EF0211">
        <w:trPr>
          <w:trHeight w:val="328"/>
        </w:trPr>
        <w:tc>
          <w:tcPr>
            <w:tcW w:w="3078" w:type="dxa"/>
            <w:noWrap/>
            <w:hideMark/>
          </w:tcPr>
          <w:p w14:paraId="529DD48D"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0BF00A8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Frequency of significant irreversible adverse events</w:t>
            </w:r>
            <w:r>
              <w:rPr>
                <w:rFonts w:ascii="Calibri" w:eastAsia="Times New Roman" w:hAnsi="Calibri" w:cs="Calibri"/>
                <w:color w:val="000000"/>
                <w:lang w:val="en-ZA" w:eastAsia="en-ZA"/>
              </w:rPr>
              <w:t xml:space="preserve"> (n=1)</w:t>
            </w:r>
          </w:p>
        </w:tc>
        <w:tc>
          <w:tcPr>
            <w:tcW w:w="3078" w:type="dxa"/>
            <w:noWrap/>
            <w:hideMark/>
          </w:tcPr>
          <w:p w14:paraId="12D0A6B3"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6997E9B5"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03EDA5F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Instrument type</w:t>
            </w:r>
            <w:r>
              <w:rPr>
                <w:rFonts w:ascii="Calibri" w:eastAsia="Times New Roman" w:hAnsi="Calibri" w:cs="Calibri"/>
                <w:color w:val="000000"/>
                <w:lang w:val="en-ZA" w:eastAsia="en-ZA"/>
              </w:rPr>
              <w:t xml:space="preserve"> (n=1)</w:t>
            </w:r>
          </w:p>
        </w:tc>
      </w:tr>
      <w:tr w:rsidR="000F6CC7" w:rsidRPr="00CF5C5C" w14:paraId="605F4A56" w14:textId="77777777" w:rsidTr="00EF0211">
        <w:trPr>
          <w:trHeight w:val="328"/>
        </w:trPr>
        <w:tc>
          <w:tcPr>
            <w:tcW w:w="3078" w:type="dxa"/>
            <w:noWrap/>
            <w:hideMark/>
          </w:tcPr>
          <w:p w14:paraId="5BD8D380"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2836C87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Protection from reinfection</w:t>
            </w:r>
            <w:r>
              <w:rPr>
                <w:rFonts w:ascii="Calibri" w:eastAsia="Times New Roman" w:hAnsi="Calibri" w:cs="Calibri"/>
                <w:color w:val="000000"/>
                <w:lang w:val="en-ZA" w:eastAsia="en-ZA"/>
              </w:rPr>
              <w:t xml:space="preserve"> (n=1)</w:t>
            </w:r>
          </w:p>
        </w:tc>
        <w:tc>
          <w:tcPr>
            <w:tcW w:w="3078" w:type="dxa"/>
            <w:noWrap/>
            <w:hideMark/>
          </w:tcPr>
          <w:p w14:paraId="58B462F4"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1B45048F"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1CC943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Speed of high speed homogenizer</w:t>
            </w:r>
            <w:r>
              <w:rPr>
                <w:rFonts w:ascii="Calibri" w:eastAsia="Times New Roman" w:hAnsi="Calibri" w:cs="Calibri"/>
                <w:color w:val="000000"/>
                <w:lang w:val="en-ZA" w:eastAsia="en-ZA"/>
              </w:rPr>
              <w:t xml:space="preserve"> (n=1)</w:t>
            </w:r>
          </w:p>
        </w:tc>
      </w:tr>
      <w:tr w:rsidR="000F6CC7" w:rsidRPr="00CF5C5C" w14:paraId="5C5A4394" w14:textId="77777777" w:rsidTr="00EF0211">
        <w:trPr>
          <w:trHeight w:val="328"/>
        </w:trPr>
        <w:tc>
          <w:tcPr>
            <w:tcW w:w="3078" w:type="dxa"/>
            <w:noWrap/>
            <w:hideMark/>
          </w:tcPr>
          <w:p w14:paraId="42B3BA35"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03FB4B7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Special populations</w:t>
            </w:r>
            <w:r>
              <w:rPr>
                <w:rFonts w:ascii="Calibri" w:eastAsia="Times New Roman" w:hAnsi="Calibri" w:cs="Calibri"/>
                <w:color w:val="000000"/>
                <w:lang w:val="en-ZA" w:eastAsia="en-ZA"/>
              </w:rPr>
              <w:t xml:space="preserve"> (n=1)</w:t>
            </w:r>
          </w:p>
        </w:tc>
        <w:tc>
          <w:tcPr>
            <w:tcW w:w="3078" w:type="dxa"/>
            <w:noWrap/>
            <w:hideMark/>
          </w:tcPr>
          <w:p w14:paraId="5A8BB1C8"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C30286A"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1E8B2D6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Amount of surfactant (stabilizer)</w:t>
            </w:r>
            <w:r>
              <w:rPr>
                <w:rFonts w:ascii="Calibri" w:eastAsia="Times New Roman" w:hAnsi="Calibri" w:cs="Calibri"/>
                <w:color w:val="000000"/>
                <w:lang w:val="en-ZA" w:eastAsia="en-ZA"/>
              </w:rPr>
              <w:t xml:space="preserve"> (n=1)</w:t>
            </w:r>
          </w:p>
        </w:tc>
      </w:tr>
      <w:tr w:rsidR="000F6CC7" w:rsidRPr="00CF5C5C" w14:paraId="0A378D51" w14:textId="77777777" w:rsidTr="00EF0211">
        <w:trPr>
          <w:trHeight w:val="328"/>
        </w:trPr>
        <w:tc>
          <w:tcPr>
            <w:tcW w:w="3078" w:type="dxa"/>
            <w:noWrap/>
            <w:hideMark/>
          </w:tcPr>
          <w:p w14:paraId="0DDF5937"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C6E3B4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Adjunct treatment</w:t>
            </w:r>
            <w:r>
              <w:rPr>
                <w:rFonts w:ascii="Calibri" w:eastAsia="Times New Roman" w:hAnsi="Calibri" w:cs="Calibri"/>
                <w:color w:val="000000"/>
                <w:lang w:val="en-ZA" w:eastAsia="en-ZA"/>
              </w:rPr>
              <w:t xml:space="preserve"> (n=1)</w:t>
            </w:r>
          </w:p>
        </w:tc>
        <w:tc>
          <w:tcPr>
            <w:tcW w:w="3078" w:type="dxa"/>
            <w:noWrap/>
            <w:hideMark/>
          </w:tcPr>
          <w:p w14:paraId="3BE57B72"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6DBD9E07"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1E6455A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Crystallinity of drug</w:t>
            </w:r>
            <w:r>
              <w:rPr>
                <w:rFonts w:ascii="Calibri" w:eastAsia="Times New Roman" w:hAnsi="Calibri" w:cs="Calibri"/>
                <w:color w:val="000000"/>
                <w:lang w:val="en-ZA" w:eastAsia="en-ZA"/>
              </w:rPr>
              <w:t xml:space="preserve"> (n=1)</w:t>
            </w:r>
          </w:p>
        </w:tc>
      </w:tr>
      <w:tr w:rsidR="000F6CC7" w:rsidRPr="00CF5C5C" w14:paraId="056C11F0" w14:textId="77777777" w:rsidTr="00EF0211">
        <w:trPr>
          <w:trHeight w:val="328"/>
        </w:trPr>
        <w:tc>
          <w:tcPr>
            <w:tcW w:w="3078" w:type="dxa"/>
            <w:noWrap/>
            <w:hideMark/>
          </w:tcPr>
          <w:p w14:paraId="10350A23"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DD28C8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Need for screening</w:t>
            </w:r>
            <w:r>
              <w:rPr>
                <w:rFonts w:ascii="Calibri" w:eastAsia="Times New Roman" w:hAnsi="Calibri" w:cs="Calibri"/>
                <w:color w:val="000000"/>
                <w:lang w:val="en-ZA" w:eastAsia="en-ZA"/>
              </w:rPr>
              <w:t xml:space="preserve"> (n=1)</w:t>
            </w:r>
          </w:p>
        </w:tc>
        <w:tc>
          <w:tcPr>
            <w:tcW w:w="3078" w:type="dxa"/>
            <w:noWrap/>
            <w:hideMark/>
          </w:tcPr>
          <w:p w14:paraId="7166BAA9"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0D13E381"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F0B73F3"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Drug permeability study</w:t>
            </w:r>
            <w:r>
              <w:rPr>
                <w:rFonts w:ascii="Calibri" w:eastAsia="Times New Roman" w:hAnsi="Calibri" w:cs="Calibri"/>
                <w:color w:val="000000"/>
                <w:lang w:val="en-ZA" w:eastAsia="en-ZA"/>
              </w:rPr>
              <w:t xml:space="preserve"> (n=1)</w:t>
            </w:r>
          </w:p>
        </w:tc>
      </w:tr>
      <w:tr w:rsidR="000F6CC7" w:rsidRPr="00CF5C5C" w14:paraId="59A5361F" w14:textId="77777777" w:rsidTr="00EF0211">
        <w:trPr>
          <w:trHeight w:val="328"/>
        </w:trPr>
        <w:tc>
          <w:tcPr>
            <w:tcW w:w="3078" w:type="dxa"/>
            <w:noWrap/>
            <w:hideMark/>
          </w:tcPr>
          <w:p w14:paraId="1DF8E3CE"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048117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Need for monitoring</w:t>
            </w:r>
            <w:r>
              <w:rPr>
                <w:rFonts w:ascii="Calibri" w:eastAsia="Times New Roman" w:hAnsi="Calibri" w:cs="Calibri"/>
                <w:color w:val="000000"/>
                <w:lang w:val="en-ZA" w:eastAsia="en-ZA"/>
              </w:rPr>
              <w:t xml:space="preserve"> (n=1)</w:t>
            </w:r>
          </w:p>
        </w:tc>
        <w:tc>
          <w:tcPr>
            <w:tcW w:w="3078" w:type="dxa"/>
            <w:noWrap/>
            <w:hideMark/>
          </w:tcPr>
          <w:p w14:paraId="17D365A4"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23EF02D8"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34CF023"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Skin penetration</w:t>
            </w:r>
            <w:r>
              <w:rPr>
                <w:rFonts w:ascii="Calibri" w:eastAsia="Times New Roman" w:hAnsi="Calibri" w:cs="Calibri"/>
                <w:color w:val="000000"/>
                <w:lang w:val="en-ZA" w:eastAsia="en-ZA"/>
              </w:rPr>
              <w:t xml:space="preserve"> (n=1)</w:t>
            </w:r>
          </w:p>
        </w:tc>
      </w:tr>
      <w:tr w:rsidR="000F6CC7" w:rsidRPr="00CF5C5C" w14:paraId="4BBFE39E" w14:textId="77777777" w:rsidTr="00EF0211">
        <w:trPr>
          <w:trHeight w:val="328"/>
        </w:trPr>
        <w:tc>
          <w:tcPr>
            <w:tcW w:w="3078" w:type="dxa"/>
            <w:noWrap/>
            <w:hideMark/>
          </w:tcPr>
          <w:p w14:paraId="321A2113"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2F739944"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Need for booster</w:t>
            </w:r>
            <w:r>
              <w:rPr>
                <w:rFonts w:ascii="Calibri" w:eastAsia="Times New Roman" w:hAnsi="Calibri" w:cs="Calibri"/>
                <w:color w:val="000000"/>
                <w:lang w:val="en-ZA" w:eastAsia="en-ZA"/>
              </w:rPr>
              <w:t xml:space="preserve"> (n=1)</w:t>
            </w:r>
          </w:p>
        </w:tc>
        <w:tc>
          <w:tcPr>
            <w:tcW w:w="3078" w:type="dxa"/>
            <w:noWrap/>
            <w:hideMark/>
          </w:tcPr>
          <w:p w14:paraId="00CB847F"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1AA6B7DB"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08E81D7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EE</w:t>
            </w:r>
            <w:r>
              <w:rPr>
                <w:rFonts w:ascii="Calibri" w:eastAsia="Times New Roman" w:hAnsi="Calibri" w:cs="Calibri"/>
                <w:color w:val="000000"/>
                <w:lang w:val="en-ZA" w:eastAsia="en-ZA"/>
              </w:rPr>
              <w:t xml:space="preserve"> (n=1)</w:t>
            </w:r>
          </w:p>
        </w:tc>
      </w:tr>
      <w:tr w:rsidR="000F6CC7" w:rsidRPr="00CF5C5C" w14:paraId="2DCD2652" w14:textId="77777777" w:rsidTr="00EF0211">
        <w:trPr>
          <w:trHeight w:val="328"/>
        </w:trPr>
        <w:tc>
          <w:tcPr>
            <w:tcW w:w="3078" w:type="dxa"/>
            <w:noWrap/>
            <w:hideMark/>
          </w:tcPr>
          <w:p w14:paraId="1B8C041F"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6586E1B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Expected financing source</w:t>
            </w:r>
            <w:r>
              <w:rPr>
                <w:rFonts w:ascii="Calibri" w:eastAsia="Times New Roman" w:hAnsi="Calibri" w:cs="Calibri"/>
                <w:color w:val="000000"/>
                <w:lang w:val="en-ZA" w:eastAsia="en-ZA"/>
              </w:rPr>
              <w:t xml:space="preserve"> (n=1)</w:t>
            </w:r>
          </w:p>
        </w:tc>
        <w:tc>
          <w:tcPr>
            <w:tcW w:w="3078" w:type="dxa"/>
            <w:noWrap/>
            <w:hideMark/>
          </w:tcPr>
          <w:p w14:paraId="028E1C20"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20D9A7A8"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59019C1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Turbidity</w:t>
            </w:r>
            <w:r>
              <w:rPr>
                <w:rFonts w:ascii="Calibri" w:eastAsia="Times New Roman" w:hAnsi="Calibri" w:cs="Calibri"/>
                <w:color w:val="000000"/>
                <w:lang w:val="en-ZA" w:eastAsia="en-ZA"/>
              </w:rPr>
              <w:t xml:space="preserve"> (n=1)</w:t>
            </w:r>
          </w:p>
        </w:tc>
      </w:tr>
      <w:tr w:rsidR="000F6CC7" w:rsidRPr="00CF5C5C" w14:paraId="08D1BE42" w14:textId="77777777" w:rsidTr="00EF0211">
        <w:trPr>
          <w:trHeight w:val="328"/>
        </w:trPr>
        <w:tc>
          <w:tcPr>
            <w:tcW w:w="3078" w:type="dxa"/>
            <w:noWrap/>
            <w:hideMark/>
          </w:tcPr>
          <w:p w14:paraId="3243F214"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3AABE6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Taste</w:t>
            </w:r>
            <w:r>
              <w:rPr>
                <w:rFonts w:ascii="Calibri" w:eastAsia="Times New Roman" w:hAnsi="Calibri" w:cs="Calibri"/>
                <w:color w:val="000000"/>
                <w:lang w:val="en-ZA" w:eastAsia="en-ZA"/>
              </w:rPr>
              <w:t xml:space="preserve"> (n=1)</w:t>
            </w:r>
          </w:p>
        </w:tc>
        <w:tc>
          <w:tcPr>
            <w:tcW w:w="3078" w:type="dxa"/>
            <w:noWrap/>
            <w:hideMark/>
          </w:tcPr>
          <w:p w14:paraId="78569CA0"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2DC39D0A"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46C464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Structure</w:t>
            </w:r>
            <w:r>
              <w:rPr>
                <w:rFonts w:ascii="Calibri" w:eastAsia="Times New Roman" w:hAnsi="Calibri" w:cs="Calibri"/>
                <w:color w:val="000000"/>
                <w:lang w:val="en-ZA" w:eastAsia="en-ZA"/>
              </w:rPr>
              <w:t xml:space="preserve"> (n=1)</w:t>
            </w:r>
          </w:p>
        </w:tc>
      </w:tr>
      <w:tr w:rsidR="000F6CC7" w:rsidRPr="00CF5C5C" w14:paraId="47B19D3F" w14:textId="77777777" w:rsidTr="00EF0211">
        <w:trPr>
          <w:trHeight w:val="328"/>
        </w:trPr>
        <w:tc>
          <w:tcPr>
            <w:tcW w:w="3078" w:type="dxa"/>
            <w:noWrap/>
            <w:hideMark/>
          </w:tcPr>
          <w:p w14:paraId="717CABFC"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6DEE3B9"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(Intermediate step) critical features/quality attributes</w:t>
            </w:r>
            <w:r>
              <w:rPr>
                <w:rFonts w:ascii="Calibri" w:eastAsia="Times New Roman" w:hAnsi="Calibri" w:cs="Calibri"/>
                <w:color w:val="000000"/>
                <w:lang w:val="en-ZA" w:eastAsia="en-ZA"/>
              </w:rPr>
              <w:t xml:space="preserve"> (n=1)</w:t>
            </w:r>
          </w:p>
        </w:tc>
        <w:tc>
          <w:tcPr>
            <w:tcW w:w="3078" w:type="dxa"/>
            <w:noWrap/>
            <w:hideMark/>
          </w:tcPr>
          <w:p w14:paraId="3FD30FBE"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1F0FB634"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8CDBBF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Application method</w:t>
            </w:r>
            <w:r>
              <w:rPr>
                <w:rFonts w:ascii="Calibri" w:eastAsia="Times New Roman" w:hAnsi="Calibri" w:cs="Calibri"/>
                <w:color w:val="000000"/>
                <w:lang w:val="en-ZA" w:eastAsia="en-ZA"/>
              </w:rPr>
              <w:t xml:space="preserve"> (n=1)</w:t>
            </w:r>
          </w:p>
        </w:tc>
      </w:tr>
      <w:tr w:rsidR="000F6CC7" w:rsidRPr="00CF5C5C" w14:paraId="6EE610BD" w14:textId="77777777" w:rsidTr="00EF0211">
        <w:trPr>
          <w:trHeight w:val="328"/>
        </w:trPr>
        <w:tc>
          <w:tcPr>
            <w:tcW w:w="3078" w:type="dxa"/>
            <w:noWrap/>
            <w:hideMark/>
          </w:tcPr>
          <w:p w14:paraId="03EA468B"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DA0EF0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Polymorphism</w:t>
            </w:r>
            <w:r>
              <w:rPr>
                <w:rFonts w:ascii="Calibri" w:eastAsia="Times New Roman" w:hAnsi="Calibri" w:cs="Calibri"/>
                <w:color w:val="000000"/>
                <w:lang w:val="en-ZA" w:eastAsia="en-ZA"/>
              </w:rPr>
              <w:t xml:space="preserve"> (n=1)</w:t>
            </w:r>
          </w:p>
        </w:tc>
        <w:tc>
          <w:tcPr>
            <w:tcW w:w="3078" w:type="dxa"/>
            <w:noWrap/>
            <w:hideMark/>
          </w:tcPr>
          <w:p w14:paraId="31FDCF28"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1010A8B"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FFE6E9B"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Expected performance</w:t>
            </w:r>
            <w:r>
              <w:rPr>
                <w:rFonts w:ascii="Calibri" w:eastAsia="Times New Roman" w:hAnsi="Calibri" w:cs="Calibri"/>
                <w:color w:val="000000"/>
                <w:lang w:val="en-ZA" w:eastAsia="en-ZA"/>
              </w:rPr>
              <w:t xml:space="preserve"> (n=1)</w:t>
            </w:r>
          </w:p>
        </w:tc>
      </w:tr>
      <w:tr w:rsidR="000F6CC7" w:rsidRPr="00CF5C5C" w14:paraId="456901EF" w14:textId="77777777" w:rsidTr="00EF0211">
        <w:trPr>
          <w:trHeight w:val="328"/>
        </w:trPr>
        <w:tc>
          <w:tcPr>
            <w:tcW w:w="3078" w:type="dxa"/>
            <w:noWrap/>
            <w:hideMark/>
          </w:tcPr>
          <w:p w14:paraId="0B1D1A19"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67EF916"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Solubility</w:t>
            </w:r>
            <w:r>
              <w:rPr>
                <w:rFonts w:ascii="Calibri" w:eastAsia="Times New Roman" w:hAnsi="Calibri" w:cs="Calibri"/>
                <w:color w:val="000000"/>
                <w:lang w:val="en-ZA" w:eastAsia="en-ZA"/>
              </w:rPr>
              <w:t xml:space="preserve"> (n=1)</w:t>
            </w:r>
          </w:p>
        </w:tc>
        <w:tc>
          <w:tcPr>
            <w:tcW w:w="3078" w:type="dxa"/>
            <w:noWrap/>
            <w:hideMark/>
          </w:tcPr>
          <w:p w14:paraId="0026B031"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6741EA31"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6C241F3"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Nontarget organisms and environmental risk Assessment</w:t>
            </w:r>
            <w:r>
              <w:rPr>
                <w:rFonts w:ascii="Calibri" w:eastAsia="Times New Roman" w:hAnsi="Calibri" w:cs="Calibri"/>
                <w:color w:val="000000"/>
                <w:lang w:val="en-ZA" w:eastAsia="en-ZA"/>
              </w:rPr>
              <w:t xml:space="preserve"> (n=1)</w:t>
            </w:r>
          </w:p>
        </w:tc>
      </w:tr>
      <w:tr w:rsidR="000F6CC7" w:rsidRPr="00CF5C5C" w14:paraId="1C1027D4" w14:textId="77777777" w:rsidTr="00EF0211">
        <w:trPr>
          <w:trHeight w:val="328"/>
        </w:trPr>
        <w:tc>
          <w:tcPr>
            <w:tcW w:w="3078" w:type="dxa"/>
            <w:noWrap/>
            <w:hideMark/>
          </w:tcPr>
          <w:p w14:paraId="687C14EC"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B3B9F89"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Rheological properties: Storage modulus</w:t>
            </w:r>
            <w:r>
              <w:rPr>
                <w:rFonts w:ascii="Calibri" w:eastAsia="Times New Roman" w:hAnsi="Calibri" w:cs="Calibri"/>
                <w:color w:val="000000"/>
                <w:lang w:val="en-ZA" w:eastAsia="en-ZA"/>
              </w:rPr>
              <w:t xml:space="preserve"> (n=1)</w:t>
            </w:r>
          </w:p>
        </w:tc>
        <w:tc>
          <w:tcPr>
            <w:tcW w:w="3078" w:type="dxa"/>
            <w:noWrap/>
            <w:hideMark/>
          </w:tcPr>
          <w:p w14:paraId="39644A00"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777A5CF"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420DECD"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Challenges/risks</w:t>
            </w:r>
            <w:r>
              <w:rPr>
                <w:rFonts w:ascii="Calibri" w:eastAsia="Times New Roman" w:hAnsi="Calibri" w:cs="Calibri"/>
                <w:color w:val="000000"/>
                <w:lang w:val="en-ZA" w:eastAsia="en-ZA"/>
              </w:rPr>
              <w:t xml:space="preserve"> (n=1)</w:t>
            </w:r>
          </w:p>
        </w:tc>
      </w:tr>
      <w:tr w:rsidR="000F6CC7" w:rsidRPr="00CF5C5C" w14:paraId="52E46614" w14:textId="77777777" w:rsidTr="00EF0211">
        <w:trPr>
          <w:trHeight w:val="328"/>
        </w:trPr>
        <w:tc>
          <w:tcPr>
            <w:tcW w:w="3078" w:type="dxa"/>
            <w:noWrap/>
            <w:hideMark/>
          </w:tcPr>
          <w:p w14:paraId="32D4C330"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2750D3B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Rheological properties: G” (loss modulus)</w:t>
            </w:r>
            <w:r>
              <w:rPr>
                <w:rFonts w:ascii="Calibri" w:eastAsia="Times New Roman" w:hAnsi="Calibri" w:cs="Calibri"/>
                <w:color w:val="000000"/>
                <w:lang w:val="en-ZA" w:eastAsia="en-ZA"/>
              </w:rPr>
              <w:t xml:space="preserve"> (n=1)</w:t>
            </w:r>
          </w:p>
        </w:tc>
        <w:tc>
          <w:tcPr>
            <w:tcW w:w="3078" w:type="dxa"/>
            <w:noWrap/>
            <w:hideMark/>
          </w:tcPr>
          <w:p w14:paraId="62D7E88D"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100162D6"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03957A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Adhesion</w:t>
            </w:r>
            <w:r>
              <w:rPr>
                <w:rFonts w:ascii="Calibri" w:eastAsia="Times New Roman" w:hAnsi="Calibri" w:cs="Calibri"/>
                <w:color w:val="000000"/>
                <w:lang w:val="en-ZA" w:eastAsia="en-ZA"/>
              </w:rPr>
              <w:t xml:space="preserve"> (n=1)</w:t>
            </w:r>
          </w:p>
        </w:tc>
      </w:tr>
      <w:tr w:rsidR="000F6CC7" w:rsidRPr="00CF5C5C" w14:paraId="29D80BC5" w14:textId="77777777" w:rsidTr="00EF0211">
        <w:trPr>
          <w:trHeight w:val="328"/>
        </w:trPr>
        <w:tc>
          <w:tcPr>
            <w:tcW w:w="3078" w:type="dxa"/>
            <w:noWrap/>
            <w:hideMark/>
          </w:tcPr>
          <w:p w14:paraId="1F2CE0E3"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17BC333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Rheological properties: LVR region (linear viscoelastic region)</w:t>
            </w:r>
            <w:r>
              <w:rPr>
                <w:rFonts w:ascii="Calibri" w:eastAsia="Times New Roman" w:hAnsi="Calibri" w:cs="Calibri"/>
                <w:color w:val="000000"/>
                <w:lang w:val="en-ZA" w:eastAsia="en-ZA"/>
              </w:rPr>
              <w:t xml:space="preserve"> (n=1)</w:t>
            </w:r>
          </w:p>
        </w:tc>
        <w:tc>
          <w:tcPr>
            <w:tcW w:w="3078" w:type="dxa"/>
            <w:noWrap/>
            <w:hideMark/>
          </w:tcPr>
          <w:p w14:paraId="2A059B26"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41DD64D"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7B3051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Transfection efficiency</w:t>
            </w:r>
            <w:r>
              <w:rPr>
                <w:rFonts w:ascii="Calibri" w:eastAsia="Times New Roman" w:hAnsi="Calibri" w:cs="Calibri"/>
                <w:color w:val="000000"/>
                <w:lang w:val="en-ZA" w:eastAsia="en-ZA"/>
              </w:rPr>
              <w:t xml:space="preserve"> (n=1)</w:t>
            </w:r>
          </w:p>
        </w:tc>
      </w:tr>
      <w:tr w:rsidR="000F6CC7" w:rsidRPr="00CF5C5C" w14:paraId="2703B0D4" w14:textId="77777777" w:rsidTr="00EF0211">
        <w:trPr>
          <w:trHeight w:val="328"/>
        </w:trPr>
        <w:tc>
          <w:tcPr>
            <w:tcW w:w="3078" w:type="dxa"/>
            <w:noWrap/>
            <w:hideMark/>
          </w:tcPr>
          <w:p w14:paraId="60483D23"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E5E46E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Volatile materials content</w:t>
            </w:r>
            <w:r>
              <w:rPr>
                <w:rFonts w:ascii="Calibri" w:eastAsia="Times New Roman" w:hAnsi="Calibri" w:cs="Calibri"/>
                <w:color w:val="000000"/>
                <w:lang w:val="en-ZA" w:eastAsia="en-ZA"/>
              </w:rPr>
              <w:t xml:space="preserve"> (n=1)</w:t>
            </w:r>
          </w:p>
        </w:tc>
        <w:tc>
          <w:tcPr>
            <w:tcW w:w="3078" w:type="dxa"/>
            <w:noWrap/>
            <w:hideMark/>
          </w:tcPr>
          <w:p w14:paraId="11D1CD14"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8B5399B"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1B6FB1C6"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Cell cytotoxicity</w:t>
            </w:r>
            <w:r>
              <w:rPr>
                <w:rFonts w:ascii="Calibri" w:eastAsia="Times New Roman" w:hAnsi="Calibri" w:cs="Calibri"/>
                <w:color w:val="000000"/>
                <w:lang w:val="en-ZA" w:eastAsia="en-ZA"/>
              </w:rPr>
              <w:t xml:space="preserve"> (n=1)</w:t>
            </w:r>
          </w:p>
        </w:tc>
      </w:tr>
      <w:tr w:rsidR="000F6CC7" w:rsidRPr="00CF5C5C" w14:paraId="4713A797" w14:textId="77777777" w:rsidTr="00EF0211">
        <w:trPr>
          <w:trHeight w:val="328"/>
        </w:trPr>
        <w:tc>
          <w:tcPr>
            <w:tcW w:w="3078" w:type="dxa"/>
            <w:noWrap/>
            <w:hideMark/>
          </w:tcPr>
          <w:p w14:paraId="53A37BD2"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1D21A14"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Sterility</w:t>
            </w:r>
            <w:r>
              <w:rPr>
                <w:rFonts w:ascii="Calibri" w:eastAsia="Times New Roman" w:hAnsi="Calibri" w:cs="Calibri"/>
                <w:color w:val="000000"/>
                <w:lang w:val="en-ZA" w:eastAsia="en-ZA"/>
              </w:rPr>
              <w:t xml:space="preserve"> (n=1)</w:t>
            </w:r>
          </w:p>
        </w:tc>
        <w:tc>
          <w:tcPr>
            <w:tcW w:w="3078" w:type="dxa"/>
            <w:noWrap/>
            <w:hideMark/>
          </w:tcPr>
          <w:p w14:paraId="343F5598"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CC38A5F"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4A05CC3"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Splice correction (slope)</w:t>
            </w:r>
            <w:r>
              <w:rPr>
                <w:rFonts w:ascii="Calibri" w:eastAsia="Times New Roman" w:hAnsi="Calibri" w:cs="Calibri"/>
                <w:color w:val="000000"/>
                <w:lang w:val="en-ZA" w:eastAsia="en-ZA"/>
              </w:rPr>
              <w:t xml:space="preserve"> (n=1)</w:t>
            </w:r>
          </w:p>
        </w:tc>
      </w:tr>
      <w:tr w:rsidR="000F6CC7" w:rsidRPr="00CF5C5C" w14:paraId="36B5DE7B" w14:textId="77777777" w:rsidTr="00EF0211">
        <w:trPr>
          <w:trHeight w:val="328"/>
        </w:trPr>
        <w:tc>
          <w:tcPr>
            <w:tcW w:w="3078" w:type="dxa"/>
            <w:noWrap/>
            <w:hideMark/>
          </w:tcPr>
          <w:p w14:paraId="58112458"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24AC31AA"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Crystallinity of drug</w:t>
            </w:r>
            <w:r>
              <w:rPr>
                <w:rFonts w:ascii="Calibri" w:eastAsia="Times New Roman" w:hAnsi="Calibri" w:cs="Calibri"/>
                <w:color w:val="000000"/>
                <w:lang w:val="en-ZA" w:eastAsia="en-ZA"/>
              </w:rPr>
              <w:t xml:space="preserve"> (n=1)</w:t>
            </w:r>
          </w:p>
        </w:tc>
        <w:tc>
          <w:tcPr>
            <w:tcW w:w="3078" w:type="dxa"/>
            <w:noWrap/>
            <w:hideMark/>
          </w:tcPr>
          <w:p w14:paraId="7CFA1D99"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224E646E"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46F8E6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Phase separation under mechanical stress</w:t>
            </w:r>
            <w:r>
              <w:rPr>
                <w:rFonts w:ascii="Calibri" w:eastAsia="Times New Roman" w:hAnsi="Calibri" w:cs="Calibri"/>
                <w:color w:val="000000"/>
                <w:lang w:val="en-ZA" w:eastAsia="en-ZA"/>
              </w:rPr>
              <w:t xml:space="preserve"> (n=1)</w:t>
            </w:r>
          </w:p>
        </w:tc>
      </w:tr>
      <w:tr w:rsidR="000F6CC7" w:rsidRPr="00CF5C5C" w14:paraId="75DC8E41" w14:textId="77777777" w:rsidTr="00EF0211">
        <w:trPr>
          <w:trHeight w:val="328"/>
        </w:trPr>
        <w:tc>
          <w:tcPr>
            <w:tcW w:w="3078" w:type="dxa"/>
            <w:noWrap/>
            <w:hideMark/>
          </w:tcPr>
          <w:p w14:paraId="7A24D3D8"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71E00A64"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Heavy metals</w:t>
            </w:r>
            <w:r>
              <w:rPr>
                <w:rFonts w:ascii="Calibri" w:eastAsia="Times New Roman" w:hAnsi="Calibri" w:cs="Calibri"/>
                <w:color w:val="000000"/>
                <w:lang w:val="en-ZA" w:eastAsia="en-ZA"/>
              </w:rPr>
              <w:t xml:space="preserve"> (n=1)</w:t>
            </w:r>
          </w:p>
        </w:tc>
        <w:tc>
          <w:tcPr>
            <w:tcW w:w="3078" w:type="dxa"/>
            <w:noWrap/>
            <w:hideMark/>
          </w:tcPr>
          <w:p w14:paraId="3AFB8102"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D910C1B"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08A549B"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470A8F70" w14:textId="77777777" w:rsidTr="00EF0211">
        <w:trPr>
          <w:trHeight w:val="328"/>
        </w:trPr>
        <w:tc>
          <w:tcPr>
            <w:tcW w:w="3078" w:type="dxa"/>
            <w:noWrap/>
            <w:hideMark/>
          </w:tcPr>
          <w:p w14:paraId="294A4C8D"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2677725"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Key statement</w:t>
            </w:r>
            <w:r>
              <w:rPr>
                <w:rFonts w:ascii="Calibri" w:eastAsia="Times New Roman" w:hAnsi="Calibri" w:cs="Calibri"/>
                <w:color w:val="000000"/>
                <w:lang w:val="en-ZA" w:eastAsia="en-ZA"/>
              </w:rPr>
              <w:t xml:space="preserve"> (n=1)</w:t>
            </w:r>
          </w:p>
        </w:tc>
        <w:tc>
          <w:tcPr>
            <w:tcW w:w="3078" w:type="dxa"/>
            <w:noWrap/>
            <w:hideMark/>
          </w:tcPr>
          <w:p w14:paraId="76528993"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774C303"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56A389C"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7EA200B4" w14:textId="77777777" w:rsidTr="00EF0211">
        <w:trPr>
          <w:trHeight w:val="328"/>
        </w:trPr>
        <w:tc>
          <w:tcPr>
            <w:tcW w:w="3078" w:type="dxa"/>
            <w:noWrap/>
            <w:hideMark/>
          </w:tcPr>
          <w:p w14:paraId="7B2DA290"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0C2573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Reversibility</w:t>
            </w:r>
            <w:r>
              <w:rPr>
                <w:rFonts w:ascii="Calibri" w:eastAsia="Times New Roman" w:hAnsi="Calibri" w:cs="Calibri"/>
                <w:color w:val="000000"/>
                <w:lang w:val="en-ZA" w:eastAsia="en-ZA"/>
              </w:rPr>
              <w:t xml:space="preserve"> (n=1)</w:t>
            </w:r>
          </w:p>
        </w:tc>
        <w:tc>
          <w:tcPr>
            <w:tcW w:w="3078" w:type="dxa"/>
            <w:noWrap/>
            <w:hideMark/>
          </w:tcPr>
          <w:p w14:paraId="5A9897D8"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2B062285"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567151F"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3CE9A170" w14:textId="77777777" w:rsidTr="00EF0211">
        <w:trPr>
          <w:trHeight w:val="328"/>
        </w:trPr>
        <w:tc>
          <w:tcPr>
            <w:tcW w:w="3078" w:type="dxa"/>
            <w:noWrap/>
            <w:hideMark/>
          </w:tcPr>
          <w:p w14:paraId="2801ED4E"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CF9A32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Boxed warning</w:t>
            </w:r>
            <w:r>
              <w:rPr>
                <w:rFonts w:ascii="Calibri" w:eastAsia="Times New Roman" w:hAnsi="Calibri" w:cs="Calibri"/>
                <w:color w:val="000000"/>
                <w:lang w:val="en-ZA" w:eastAsia="en-ZA"/>
              </w:rPr>
              <w:t xml:space="preserve"> (n=1)</w:t>
            </w:r>
          </w:p>
        </w:tc>
        <w:tc>
          <w:tcPr>
            <w:tcW w:w="3078" w:type="dxa"/>
            <w:noWrap/>
            <w:hideMark/>
          </w:tcPr>
          <w:p w14:paraId="3FF5C705"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2E0E434"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189F937B"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12A2EF4C" w14:textId="77777777" w:rsidTr="00EF0211">
        <w:trPr>
          <w:trHeight w:val="328"/>
        </w:trPr>
        <w:tc>
          <w:tcPr>
            <w:tcW w:w="3078" w:type="dxa"/>
            <w:noWrap/>
            <w:hideMark/>
          </w:tcPr>
          <w:p w14:paraId="69E311AA"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72987A4"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Nonclinical toxicology</w:t>
            </w:r>
            <w:r>
              <w:rPr>
                <w:rFonts w:ascii="Calibri" w:eastAsia="Times New Roman" w:hAnsi="Calibri" w:cs="Calibri"/>
                <w:color w:val="000000"/>
                <w:lang w:val="en-ZA" w:eastAsia="en-ZA"/>
              </w:rPr>
              <w:t xml:space="preserve"> (n=1)</w:t>
            </w:r>
          </w:p>
        </w:tc>
        <w:tc>
          <w:tcPr>
            <w:tcW w:w="3078" w:type="dxa"/>
            <w:noWrap/>
            <w:hideMark/>
          </w:tcPr>
          <w:p w14:paraId="1F457319"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65D5BBA"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0694B9A7"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106CF32C" w14:textId="77777777" w:rsidTr="00EF0211">
        <w:trPr>
          <w:trHeight w:val="328"/>
        </w:trPr>
        <w:tc>
          <w:tcPr>
            <w:tcW w:w="3078" w:type="dxa"/>
            <w:noWrap/>
            <w:hideMark/>
          </w:tcPr>
          <w:p w14:paraId="0FC2EFDC"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47875B5"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Clinical studies</w:t>
            </w:r>
            <w:r>
              <w:rPr>
                <w:rFonts w:ascii="Calibri" w:eastAsia="Times New Roman" w:hAnsi="Calibri" w:cs="Calibri"/>
                <w:color w:val="000000"/>
                <w:lang w:val="en-ZA" w:eastAsia="en-ZA"/>
              </w:rPr>
              <w:t xml:space="preserve"> (n=1)</w:t>
            </w:r>
          </w:p>
        </w:tc>
        <w:tc>
          <w:tcPr>
            <w:tcW w:w="3078" w:type="dxa"/>
            <w:noWrap/>
            <w:hideMark/>
          </w:tcPr>
          <w:p w14:paraId="5C486FBA"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61F31DA4"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6C50C12"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05559FF7" w14:textId="77777777" w:rsidTr="00EF0211">
        <w:trPr>
          <w:trHeight w:val="328"/>
        </w:trPr>
        <w:tc>
          <w:tcPr>
            <w:tcW w:w="3078" w:type="dxa"/>
            <w:noWrap/>
            <w:hideMark/>
          </w:tcPr>
          <w:p w14:paraId="3EB9904A"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FE12E49"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Value proposition</w:t>
            </w:r>
            <w:r>
              <w:rPr>
                <w:rFonts w:ascii="Calibri" w:eastAsia="Times New Roman" w:hAnsi="Calibri" w:cs="Calibri"/>
                <w:color w:val="000000"/>
                <w:lang w:val="en-ZA" w:eastAsia="en-ZA"/>
              </w:rPr>
              <w:t xml:space="preserve"> (n=1)</w:t>
            </w:r>
          </w:p>
        </w:tc>
        <w:tc>
          <w:tcPr>
            <w:tcW w:w="3078" w:type="dxa"/>
            <w:noWrap/>
            <w:hideMark/>
          </w:tcPr>
          <w:p w14:paraId="2CB9AAB2"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69D63206"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5949F555"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11F6EA35" w14:textId="77777777" w:rsidTr="00EF0211">
        <w:trPr>
          <w:trHeight w:val="328"/>
        </w:trPr>
        <w:tc>
          <w:tcPr>
            <w:tcW w:w="3078" w:type="dxa"/>
            <w:noWrap/>
            <w:hideMark/>
          </w:tcPr>
          <w:p w14:paraId="40E6714A"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395045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Study design</w:t>
            </w:r>
            <w:r>
              <w:rPr>
                <w:rFonts w:ascii="Calibri" w:eastAsia="Times New Roman" w:hAnsi="Calibri" w:cs="Calibri"/>
                <w:color w:val="000000"/>
                <w:lang w:val="en-ZA" w:eastAsia="en-ZA"/>
              </w:rPr>
              <w:t xml:space="preserve"> (n=1)</w:t>
            </w:r>
          </w:p>
        </w:tc>
        <w:tc>
          <w:tcPr>
            <w:tcW w:w="3078" w:type="dxa"/>
            <w:noWrap/>
            <w:hideMark/>
          </w:tcPr>
          <w:p w14:paraId="66D3687F"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575CBE81"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1C054A0F"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00148F43" w14:textId="77777777" w:rsidTr="00EF0211">
        <w:trPr>
          <w:trHeight w:val="328"/>
        </w:trPr>
        <w:tc>
          <w:tcPr>
            <w:tcW w:w="3078" w:type="dxa"/>
            <w:noWrap/>
            <w:hideMark/>
          </w:tcPr>
          <w:p w14:paraId="4883B50A"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FC52CE7"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Patents and exclusivities</w:t>
            </w:r>
            <w:r>
              <w:rPr>
                <w:rFonts w:ascii="Calibri" w:eastAsia="Times New Roman" w:hAnsi="Calibri" w:cs="Calibri"/>
                <w:color w:val="000000"/>
                <w:lang w:val="en-ZA" w:eastAsia="en-ZA"/>
              </w:rPr>
              <w:t xml:space="preserve"> (n=1)</w:t>
            </w:r>
          </w:p>
        </w:tc>
        <w:tc>
          <w:tcPr>
            <w:tcW w:w="3078" w:type="dxa"/>
            <w:noWrap/>
            <w:hideMark/>
          </w:tcPr>
          <w:p w14:paraId="4A5885D0"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1126BFB"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AC559D7"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5F72D0C9" w14:textId="77777777" w:rsidTr="00EF0211">
        <w:trPr>
          <w:trHeight w:val="328"/>
        </w:trPr>
        <w:tc>
          <w:tcPr>
            <w:tcW w:w="3078" w:type="dxa"/>
            <w:noWrap/>
            <w:hideMark/>
          </w:tcPr>
          <w:p w14:paraId="2FC89E16"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E6573E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Patient share</w:t>
            </w:r>
            <w:r>
              <w:rPr>
                <w:rFonts w:ascii="Calibri" w:eastAsia="Times New Roman" w:hAnsi="Calibri" w:cs="Calibri"/>
                <w:color w:val="000000"/>
                <w:lang w:val="en-ZA" w:eastAsia="en-ZA"/>
              </w:rPr>
              <w:t xml:space="preserve"> (n=1)</w:t>
            </w:r>
          </w:p>
        </w:tc>
        <w:tc>
          <w:tcPr>
            <w:tcW w:w="3078" w:type="dxa"/>
            <w:noWrap/>
            <w:hideMark/>
          </w:tcPr>
          <w:p w14:paraId="551D52F1"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6103CD74"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9EDB62D"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46C449C4" w14:textId="77777777" w:rsidTr="00EF0211">
        <w:trPr>
          <w:trHeight w:val="328"/>
        </w:trPr>
        <w:tc>
          <w:tcPr>
            <w:tcW w:w="3078" w:type="dxa"/>
            <w:noWrap/>
            <w:hideMark/>
          </w:tcPr>
          <w:p w14:paraId="52C09333"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0DBDFBF"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Product valuation</w:t>
            </w:r>
            <w:r>
              <w:rPr>
                <w:rFonts w:ascii="Calibri" w:eastAsia="Times New Roman" w:hAnsi="Calibri" w:cs="Calibri"/>
                <w:color w:val="000000"/>
                <w:lang w:val="en-ZA" w:eastAsia="en-ZA"/>
              </w:rPr>
              <w:t xml:space="preserve"> (n=1)</w:t>
            </w:r>
          </w:p>
        </w:tc>
        <w:tc>
          <w:tcPr>
            <w:tcW w:w="3078" w:type="dxa"/>
            <w:noWrap/>
            <w:hideMark/>
          </w:tcPr>
          <w:p w14:paraId="4E238285"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35303E1"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2C8A73A"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175184EF" w14:textId="77777777" w:rsidTr="00EF0211">
        <w:trPr>
          <w:trHeight w:val="328"/>
        </w:trPr>
        <w:tc>
          <w:tcPr>
            <w:tcW w:w="3078" w:type="dxa"/>
            <w:noWrap/>
            <w:hideMark/>
          </w:tcPr>
          <w:p w14:paraId="734EBB0B"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E6A82D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Ejection force</w:t>
            </w:r>
            <w:r>
              <w:rPr>
                <w:rFonts w:ascii="Calibri" w:eastAsia="Times New Roman" w:hAnsi="Calibri" w:cs="Calibri"/>
                <w:color w:val="000000"/>
                <w:lang w:val="en-ZA" w:eastAsia="en-ZA"/>
              </w:rPr>
              <w:t xml:space="preserve"> (n=1)</w:t>
            </w:r>
          </w:p>
        </w:tc>
        <w:tc>
          <w:tcPr>
            <w:tcW w:w="3078" w:type="dxa"/>
            <w:noWrap/>
            <w:hideMark/>
          </w:tcPr>
          <w:p w14:paraId="472A56E2"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E5401B4"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7D23BEB"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191DB741" w14:textId="77777777" w:rsidTr="00EF0211">
        <w:trPr>
          <w:trHeight w:val="328"/>
        </w:trPr>
        <w:tc>
          <w:tcPr>
            <w:tcW w:w="3078" w:type="dxa"/>
            <w:noWrap/>
            <w:hideMark/>
          </w:tcPr>
          <w:p w14:paraId="2D658125"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A182463"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Tablet strength</w:t>
            </w:r>
            <w:r>
              <w:rPr>
                <w:rFonts w:ascii="Calibri" w:eastAsia="Times New Roman" w:hAnsi="Calibri" w:cs="Calibri"/>
                <w:color w:val="000000"/>
                <w:lang w:val="en-ZA" w:eastAsia="en-ZA"/>
              </w:rPr>
              <w:t xml:space="preserve"> (n=1)</w:t>
            </w:r>
          </w:p>
        </w:tc>
        <w:tc>
          <w:tcPr>
            <w:tcW w:w="3078" w:type="dxa"/>
            <w:noWrap/>
            <w:hideMark/>
          </w:tcPr>
          <w:p w14:paraId="7B38A96D"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7C8B508"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9D5C619"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4F8262AE" w14:textId="77777777" w:rsidTr="00EF0211">
        <w:trPr>
          <w:trHeight w:val="328"/>
        </w:trPr>
        <w:tc>
          <w:tcPr>
            <w:tcW w:w="3078" w:type="dxa"/>
            <w:noWrap/>
            <w:hideMark/>
          </w:tcPr>
          <w:p w14:paraId="240BE9FE"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81C83A5"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Empty capsid</w:t>
            </w:r>
            <w:r>
              <w:rPr>
                <w:rFonts w:ascii="Calibri" w:eastAsia="Times New Roman" w:hAnsi="Calibri" w:cs="Calibri"/>
                <w:color w:val="000000"/>
                <w:lang w:val="en-ZA" w:eastAsia="en-ZA"/>
              </w:rPr>
              <w:t xml:space="preserve"> (n=1)</w:t>
            </w:r>
          </w:p>
        </w:tc>
        <w:tc>
          <w:tcPr>
            <w:tcW w:w="3078" w:type="dxa"/>
            <w:noWrap/>
            <w:hideMark/>
          </w:tcPr>
          <w:p w14:paraId="78F350FE"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29770A73"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56D8A016"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6626E583" w14:textId="77777777" w:rsidTr="00EF0211">
        <w:trPr>
          <w:trHeight w:val="328"/>
        </w:trPr>
        <w:tc>
          <w:tcPr>
            <w:tcW w:w="3078" w:type="dxa"/>
            <w:noWrap/>
            <w:hideMark/>
          </w:tcPr>
          <w:p w14:paraId="58107C42"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0B7BE205"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Replication-competent adeno-associated virus</w:t>
            </w:r>
            <w:r>
              <w:rPr>
                <w:rFonts w:ascii="Calibri" w:eastAsia="Times New Roman" w:hAnsi="Calibri" w:cs="Calibri"/>
                <w:color w:val="000000"/>
                <w:lang w:val="en-ZA" w:eastAsia="en-ZA"/>
              </w:rPr>
              <w:t xml:space="preserve"> (n=1)</w:t>
            </w:r>
          </w:p>
        </w:tc>
        <w:tc>
          <w:tcPr>
            <w:tcW w:w="3078" w:type="dxa"/>
            <w:noWrap/>
            <w:hideMark/>
          </w:tcPr>
          <w:p w14:paraId="2A9A9ED4"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08CBE9A9"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11CFA62E"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43DBC18B" w14:textId="77777777" w:rsidTr="00EF0211">
        <w:trPr>
          <w:trHeight w:val="328"/>
        </w:trPr>
        <w:tc>
          <w:tcPr>
            <w:tcW w:w="3078" w:type="dxa"/>
            <w:noWrap/>
            <w:hideMark/>
          </w:tcPr>
          <w:p w14:paraId="7D3FB245"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0FA6FF8C"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 xml:space="preserve"> Adhesion</w:t>
            </w:r>
            <w:r>
              <w:rPr>
                <w:rFonts w:ascii="Calibri" w:eastAsia="Times New Roman" w:hAnsi="Calibri" w:cs="Calibri"/>
                <w:color w:val="000000"/>
                <w:lang w:val="en-ZA" w:eastAsia="en-ZA"/>
              </w:rPr>
              <w:t xml:space="preserve"> (n=1)</w:t>
            </w:r>
          </w:p>
        </w:tc>
        <w:tc>
          <w:tcPr>
            <w:tcW w:w="3078" w:type="dxa"/>
            <w:noWrap/>
            <w:hideMark/>
          </w:tcPr>
          <w:p w14:paraId="14A668B7"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F0BF990"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1971F549"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4AF8B9E3" w14:textId="77777777" w:rsidTr="00EF0211">
        <w:trPr>
          <w:trHeight w:val="328"/>
        </w:trPr>
        <w:tc>
          <w:tcPr>
            <w:tcW w:w="3078" w:type="dxa"/>
            <w:noWrap/>
            <w:hideMark/>
          </w:tcPr>
          <w:p w14:paraId="609CCB09"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A25F46E"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Mechanical strength</w:t>
            </w:r>
            <w:r>
              <w:rPr>
                <w:rFonts w:ascii="Calibri" w:eastAsia="Times New Roman" w:hAnsi="Calibri" w:cs="Calibri"/>
                <w:color w:val="000000"/>
                <w:lang w:val="en-ZA" w:eastAsia="en-ZA"/>
              </w:rPr>
              <w:t xml:space="preserve"> (n=1)</w:t>
            </w:r>
          </w:p>
        </w:tc>
        <w:tc>
          <w:tcPr>
            <w:tcW w:w="3078" w:type="dxa"/>
            <w:noWrap/>
            <w:hideMark/>
          </w:tcPr>
          <w:p w14:paraId="1D1F09D6"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AC9238B"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1656C4E"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173BB92F" w14:textId="77777777" w:rsidTr="00EF0211">
        <w:trPr>
          <w:trHeight w:val="328"/>
        </w:trPr>
        <w:tc>
          <w:tcPr>
            <w:tcW w:w="3078" w:type="dxa"/>
            <w:noWrap/>
            <w:hideMark/>
          </w:tcPr>
          <w:p w14:paraId="4300133B"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4EE892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Spectrum of activity</w:t>
            </w:r>
            <w:r>
              <w:rPr>
                <w:rFonts w:ascii="Calibri" w:eastAsia="Times New Roman" w:hAnsi="Calibri" w:cs="Calibri"/>
                <w:color w:val="000000"/>
                <w:lang w:val="en-ZA" w:eastAsia="en-ZA"/>
              </w:rPr>
              <w:t xml:space="preserve"> (n=1)</w:t>
            </w:r>
          </w:p>
        </w:tc>
        <w:tc>
          <w:tcPr>
            <w:tcW w:w="3078" w:type="dxa"/>
            <w:noWrap/>
            <w:hideMark/>
          </w:tcPr>
          <w:p w14:paraId="7E0FE139"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2403BEC"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5479C16"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1D25A33B" w14:textId="77777777" w:rsidTr="00EF0211">
        <w:trPr>
          <w:trHeight w:val="328"/>
        </w:trPr>
        <w:tc>
          <w:tcPr>
            <w:tcW w:w="3078" w:type="dxa"/>
            <w:noWrap/>
            <w:hideMark/>
          </w:tcPr>
          <w:p w14:paraId="693BF499"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C237816"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Convenience</w:t>
            </w:r>
            <w:r>
              <w:rPr>
                <w:rFonts w:ascii="Calibri" w:eastAsia="Times New Roman" w:hAnsi="Calibri" w:cs="Calibri"/>
                <w:color w:val="000000"/>
                <w:lang w:val="en-ZA" w:eastAsia="en-ZA"/>
              </w:rPr>
              <w:t xml:space="preserve"> (n=1)</w:t>
            </w:r>
          </w:p>
        </w:tc>
        <w:tc>
          <w:tcPr>
            <w:tcW w:w="3078" w:type="dxa"/>
            <w:noWrap/>
            <w:hideMark/>
          </w:tcPr>
          <w:p w14:paraId="37C2AA0D"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2028831"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62FA6F9"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716E0A0F" w14:textId="77777777" w:rsidTr="00EF0211">
        <w:trPr>
          <w:trHeight w:val="328"/>
        </w:trPr>
        <w:tc>
          <w:tcPr>
            <w:tcW w:w="3078" w:type="dxa"/>
            <w:noWrap/>
            <w:hideMark/>
          </w:tcPr>
          <w:p w14:paraId="47F3E32D"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25F1FE5"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Crystalline shape</w:t>
            </w:r>
            <w:r>
              <w:rPr>
                <w:rFonts w:ascii="Calibri" w:eastAsia="Times New Roman" w:hAnsi="Calibri" w:cs="Calibri"/>
                <w:color w:val="000000"/>
                <w:lang w:val="en-ZA" w:eastAsia="en-ZA"/>
              </w:rPr>
              <w:t xml:space="preserve"> (n=1)</w:t>
            </w:r>
          </w:p>
        </w:tc>
        <w:tc>
          <w:tcPr>
            <w:tcW w:w="3078" w:type="dxa"/>
            <w:noWrap/>
            <w:hideMark/>
          </w:tcPr>
          <w:p w14:paraId="46577945"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24D42742"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9F2C49F"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62AC7DD6" w14:textId="77777777" w:rsidTr="00EF0211">
        <w:trPr>
          <w:trHeight w:val="328"/>
        </w:trPr>
        <w:tc>
          <w:tcPr>
            <w:tcW w:w="3078" w:type="dxa"/>
            <w:noWrap/>
            <w:hideMark/>
          </w:tcPr>
          <w:p w14:paraId="2584DCDC"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5199DB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Contact angle</w:t>
            </w:r>
            <w:r>
              <w:rPr>
                <w:rFonts w:ascii="Calibri" w:eastAsia="Times New Roman" w:hAnsi="Calibri" w:cs="Calibri"/>
                <w:color w:val="000000"/>
                <w:lang w:val="en-ZA" w:eastAsia="en-ZA"/>
              </w:rPr>
              <w:t xml:space="preserve"> (n=1)</w:t>
            </w:r>
          </w:p>
        </w:tc>
        <w:tc>
          <w:tcPr>
            <w:tcW w:w="3078" w:type="dxa"/>
            <w:noWrap/>
            <w:hideMark/>
          </w:tcPr>
          <w:p w14:paraId="72C36ADC"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4DE778C6"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441131B3"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25511730" w14:textId="77777777" w:rsidTr="00EF0211">
        <w:trPr>
          <w:trHeight w:val="328"/>
        </w:trPr>
        <w:tc>
          <w:tcPr>
            <w:tcW w:w="3078" w:type="dxa"/>
            <w:noWrap/>
            <w:hideMark/>
          </w:tcPr>
          <w:p w14:paraId="0E646478"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C6F0E62"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Patient age</w:t>
            </w:r>
            <w:r>
              <w:rPr>
                <w:rFonts w:ascii="Calibri" w:eastAsia="Times New Roman" w:hAnsi="Calibri" w:cs="Calibri"/>
                <w:color w:val="000000"/>
                <w:lang w:val="en-ZA" w:eastAsia="en-ZA"/>
              </w:rPr>
              <w:t xml:space="preserve"> (n=1)</w:t>
            </w:r>
          </w:p>
        </w:tc>
        <w:tc>
          <w:tcPr>
            <w:tcW w:w="3078" w:type="dxa"/>
            <w:noWrap/>
            <w:hideMark/>
          </w:tcPr>
          <w:p w14:paraId="0B87A7B0"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6E38B57F"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1097A993"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5123E34D" w14:textId="77777777" w:rsidTr="00EF0211">
        <w:trPr>
          <w:trHeight w:val="328"/>
        </w:trPr>
        <w:tc>
          <w:tcPr>
            <w:tcW w:w="3078" w:type="dxa"/>
            <w:noWrap/>
            <w:hideMark/>
          </w:tcPr>
          <w:p w14:paraId="32F35B6A"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3D06B638"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Patient access</w:t>
            </w:r>
            <w:r>
              <w:rPr>
                <w:rFonts w:ascii="Calibri" w:eastAsia="Times New Roman" w:hAnsi="Calibri" w:cs="Calibri"/>
                <w:color w:val="000000"/>
                <w:lang w:val="en-ZA" w:eastAsia="en-ZA"/>
              </w:rPr>
              <w:t xml:space="preserve"> (n=1)</w:t>
            </w:r>
          </w:p>
        </w:tc>
        <w:tc>
          <w:tcPr>
            <w:tcW w:w="3078" w:type="dxa"/>
            <w:noWrap/>
            <w:hideMark/>
          </w:tcPr>
          <w:p w14:paraId="45894B79"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F214596"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7A776328"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4D206484" w14:textId="77777777" w:rsidTr="00EF0211">
        <w:trPr>
          <w:trHeight w:val="328"/>
        </w:trPr>
        <w:tc>
          <w:tcPr>
            <w:tcW w:w="3078" w:type="dxa"/>
            <w:noWrap/>
            <w:hideMark/>
          </w:tcPr>
          <w:p w14:paraId="68D3DEDB"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23196841"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Pain</w:t>
            </w:r>
            <w:r>
              <w:rPr>
                <w:rFonts w:ascii="Calibri" w:eastAsia="Times New Roman" w:hAnsi="Calibri" w:cs="Calibri"/>
                <w:color w:val="000000"/>
                <w:lang w:val="en-ZA" w:eastAsia="en-ZA"/>
              </w:rPr>
              <w:t xml:space="preserve"> (n=1)</w:t>
            </w:r>
          </w:p>
        </w:tc>
        <w:tc>
          <w:tcPr>
            <w:tcW w:w="3078" w:type="dxa"/>
            <w:noWrap/>
            <w:hideMark/>
          </w:tcPr>
          <w:p w14:paraId="20C14049"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30CBEC9D"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1A411070"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r w:rsidR="000F6CC7" w:rsidRPr="00CF5C5C" w14:paraId="3D06A18A" w14:textId="77777777" w:rsidTr="00EF0211">
        <w:trPr>
          <w:trHeight w:val="328"/>
        </w:trPr>
        <w:tc>
          <w:tcPr>
            <w:tcW w:w="3078" w:type="dxa"/>
            <w:noWrap/>
            <w:hideMark/>
          </w:tcPr>
          <w:p w14:paraId="6EBCEEE5"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6125CA50" w14:textId="77777777" w:rsidR="000F6CC7" w:rsidRPr="00CF5C5C" w:rsidRDefault="000F6CC7" w:rsidP="00EF0211">
            <w:pPr>
              <w:jc w:val="center"/>
              <w:rPr>
                <w:rFonts w:ascii="Calibri" w:eastAsia="Times New Roman" w:hAnsi="Calibri" w:cs="Calibri"/>
                <w:color w:val="000000"/>
                <w:lang w:val="en-ZA" w:eastAsia="en-ZA"/>
              </w:rPr>
            </w:pPr>
            <w:r w:rsidRPr="00CF5C5C">
              <w:rPr>
                <w:rFonts w:ascii="Calibri" w:eastAsia="Times New Roman" w:hAnsi="Calibri" w:cs="Calibri"/>
                <w:color w:val="000000"/>
                <w:lang w:val="en-ZA" w:eastAsia="en-ZA"/>
              </w:rPr>
              <w:t>Target user</w:t>
            </w:r>
            <w:r>
              <w:rPr>
                <w:rFonts w:ascii="Calibri" w:eastAsia="Times New Roman" w:hAnsi="Calibri" w:cs="Calibri"/>
                <w:color w:val="000000"/>
                <w:lang w:val="en-ZA" w:eastAsia="en-ZA"/>
              </w:rPr>
              <w:t xml:space="preserve"> (n=1)</w:t>
            </w:r>
          </w:p>
        </w:tc>
        <w:tc>
          <w:tcPr>
            <w:tcW w:w="3078" w:type="dxa"/>
            <w:noWrap/>
            <w:hideMark/>
          </w:tcPr>
          <w:p w14:paraId="01CF5A53" w14:textId="77777777" w:rsidR="000F6CC7" w:rsidRPr="00CF5C5C" w:rsidRDefault="000F6CC7" w:rsidP="00EF0211">
            <w:pPr>
              <w:jc w:val="center"/>
              <w:rPr>
                <w:rFonts w:ascii="Calibri" w:eastAsia="Times New Roman" w:hAnsi="Calibri" w:cs="Calibri"/>
                <w:color w:val="000000"/>
                <w:lang w:val="en-ZA" w:eastAsia="en-ZA"/>
              </w:rPr>
            </w:pPr>
          </w:p>
        </w:tc>
        <w:tc>
          <w:tcPr>
            <w:tcW w:w="3078" w:type="dxa"/>
            <w:noWrap/>
            <w:hideMark/>
          </w:tcPr>
          <w:p w14:paraId="0AC8CDEA"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c>
          <w:tcPr>
            <w:tcW w:w="3078" w:type="dxa"/>
            <w:noWrap/>
            <w:hideMark/>
          </w:tcPr>
          <w:p w14:paraId="5490407B" w14:textId="77777777" w:rsidR="000F6CC7" w:rsidRPr="00CF5C5C" w:rsidRDefault="000F6CC7" w:rsidP="00EF0211">
            <w:pPr>
              <w:jc w:val="center"/>
              <w:rPr>
                <w:rFonts w:ascii="Times New Roman" w:eastAsia="Times New Roman" w:hAnsi="Times New Roman" w:cs="Times New Roman"/>
                <w:sz w:val="20"/>
                <w:szCs w:val="20"/>
                <w:lang w:val="en-ZA" w:eastAsia="en-ZA"/>
              </w:rPr>
            </w:pPr>
          </w:p>
        </w:tc>
      </w:tr>
    </w:tbl>
    <w:p w14:paraId="6FE9BED9" w14:textId="77777777" w:rsidR="00C1161A" w:rsidRDefault="00C1161A" w:rsidP="00106C2C">
      <w:pPr>
        <w:spacing w:before="240" w:after="0" w:line="276" w:lineRule="auto"/>
        <w:jc w:val="both"/>
        <w:sectPr w:rsidR="00C1161A" w:rsidSect="00C1161A">
          <w:pgSz w:w="16838" w:h="11906" w:orient="landscape"/>
          <w:pgMar w:top="1080" w:right="1440" w:bottom="1440" w:left="1440" w:header="708" w:footer="708" w:gutter="0"/>
          <w:cols w:space="708"/>
          <w:docGrid w:linePitch="360"/>
        </w:sectPr>
      </w:pPr>
    </w:p>
    <w:p w14:paraId="60720DA6" w14:textId="77777777" w:rsidR="000F6CC7" w:rsidRDefault="000F6CC7" w:rsidP="00106C2C">
      <w:pPr>
        <w:spacing w:before="240" w:after="0" w:line="276" w:lineRule="auto"/>
        <w:jc w:val="both"/>
      </w:pPr>
    </w:p>
    <w:p w14:paraId="46360CF0" w14:textId="1845CE03" w:rsidR="00FF3324" w:rsidRDefault="00C746BC" w:rsidP="00106C2C">
      <w:pPr>
        <w:spacing w:before="240" w:after="0" w:line="276" w:lineRule="auto"/>
        <w:jc w:val="both"/>
      </w:pPr>
      <w:r>
        <w:t xml:space="preserve">Table </w:t>
      </w:r>
      <w:r w:rsidR="00106C2C">
        <w:t>S</w:t>
      </w:r>
      <w:r w:rsidR="006D0E45">
        <w:t>6</w:t>
      </w:r>
      <w:r>
        <w:t>: List</w:t>
      </w:r>
      <w:r w:rsidRPr="000B31F0">
        <w:t xml:space="preserve"> of categories of TPP features.</w:t>
      </w:r>
      <w:r>
        <w:t xml:space="preserve"> Each category contains a number of features (e.g., “scope” can contain features like indication, target population, target user, level of healthcare system implementation).</w:t>
      </w:r>
    </w:p>
    <w:p w14:paraId="289149DF" w14:textId="77777777" w:rsidR="00E666ED" w:rsidRDefault="00E666ED" w:rsidP="00106C2C">
      <w:pPr>
        <w:spacing w:before="240" w:after="0" w:line="276" w:lineRule="auto"/>
        <w:jc w:val="both"/>
      </w:pPr>
    </w:p>
    <w:tbl>
      <w:tblPr>
        <w:tblStyle w:val="TableGrid"/>
        <w:tblW w:w="0" w:type="auto"/>
        <w:tblLook w:val="04A0" w:firstRow="1" w:lastRow="0" w:firstColumn="1" w:lastColumn="0" w:noHBand="0" w:noVBand="1"/>
      </w:tblPr>
      <w:tblGrid>
        <w:gridCol w:w="3589"/>
        <w:gridCol w:w="2817"/>
      </w:tblGrid>
      <w:tr w:rsidR="00A865F0" w:rsidRPr="00EC0C6E" w14:paraId="5C305DAC" w14:textId="77777777" w:rsidTr="000E3B64">
        <w:trPr>
          <w:trHeight w:val="224"/>
        </w:trPr>
        <w:tc>
          <w:tcPr>
            <w:tcW w:w="0" w:type="auto"/>
          </w:tcPr>
          <w:p w14:paraId="7F35CAFE" w14:textId="77777777" w:rsidR="00A865F0" w:rsidRPr="0033262D" w:rsidRDefault="00A865F0" w:rsidP="000E3B64">
            <w:pPr>
              <w:jc w:val="center"/>
              <w:rPr>
                <w:rFonts w:ascii="Calibri" w:eastAsia="Times New Roman" w:hAnsi="Calibri" w:cs="Calibri"/>
                <w:b/>
                <w:bCs/>
                <w:color w:val="000000"/>
                <w:lang w:eastAsia="en-ZA"/>
              </w:rPr>
            </w:pPr>
            <w:r w:rsidRPr="0033262D">
              <w:rPr>
                <w:rFonts w:ascii="Calibri" w:eastAsia="Times New Roman" w:hAnsi="Calibri" w:cs="Calibri"/>
                <w:b/>
                <w:bCs/>
                <w:color w:val="000000"/>
                <w:lang w:eastAsia="en-ZA"/>
              </w:rPr>
              <w:t>Category</w:t>
            </w:r>
          </w:p>
        </w:tc>
        <w:tc>
          <w:tcPr>
            <w:tcW w:w="0" w:type="auto"/>
            <w:noWrap/>
            <w:hideMark/>
          </w:tcPr>
          <w:p w14:paraId="4DB963A4" w14:textId="77777777" w:rsidR="00A865F0" w:rsidRPr="0033262D" w:rsidRDefault="00A865F0" w:rsidP="000E3B64">
            <w:pPr>
              <w:jc w:val="center"/>
              <w:rPr>
                <w:rFonts w:ascii="Calibri" w:eastAsia="Times New Roman" w:hAnsi="Calibri" w:cs="Calibri"/>
                <w:b/>
                <w:bCs/>
                <w:color w:val="000000"/>
                <w:lang w:eastAsia="en-ZA"/>
              </w:rPr>
            </w:pPr>
            <w:r w:rsidRPr="0033262D">
              <w:rPr>
                <w:rFonts w:ascii="Calibri" w:eastAsia="Times New Roman" w:hAnsi="Calibri" w:cs="Calibri"/>
                <w:b/>
                <w:bCs/>
                <w:color w:val="000000"/>
                <w:lang w:eastAsia="en-ZA"/>
              </w:rPr>
              <w:t>Number of mentions in TPPs</w:t>
            </w:r>
          </w:p>
        </w:tc>
      </w:tr>
      <w:tr w:rsidR="00A865F0" w:rsidRPr="00EC0C6E" w14:paraId="10EF9772" w14:textId="77777777" w:rsidTr="000E3B64">
        <w:trPr>
          <w:trHeight w:val="224"/>
        </w:trPr>
        <w:tc>
          <w:tcPr>
            <w:tcW w:w="0" w:type="auto"/>
          </w:tcPr>
          <w:p w14:paraId="46867A2F"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Scope</w:t>
            </w:r>
          </w:p>
        </w:tc>
        <w:tc>
          <w:tcPr>
            <w:tcW w:w="0" w:type="auto"/>
            <w:noWrap/>
          </w:tcPr>
          <w:p w14:paraId="300A29BA" w14:textId="77777777" w:rsidR="00A865F0" w:rsidRPr="00EC0C6E"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19</w:t>
            </w:r>
          </w:p>
        </w:tc>
      </w:tr>
      <w:tr w:rsidR="00A865F0" w:rsidRPr="00EC0C6E" w14:paraId="286F38CC" w14:textId="77777777" w:rsidTr="000E3B64">
        <w:trPr>
          <w:trHeight w:val="224"/>
        </w:trPr>
        <w:tc>
          <w:tcPr>
            <w:tcW w:w="0" w:type="auto"/>
          </w:tcPr>
          <w:p w14:paraId="52919FD8" w14:textId="77777777" w:rsidR="00A865F0" w:rsidRPr="009057CA" w:rsidRDefault="00A865F0" w:rsidP="000E3B64">
            <w:pPr>
              <w:rPr>
                <w:rFonts w:ascii="Calibri" w:eastAsia="Times New Roman" w:hAnsi="Calibri" w:cs="Calibri"/>
                <w:b/>
                <w:bCs/>
                <w:color w:val="000000"/>
                <w:lang w:eastAsia="en-ZA"/>
              </w:rPr>
            </w:pPr>
            <w:bookmarkStart w:id="0" w:name="_Hlk153983231"/>
            <w:r w:rsidRPr="009057CA">
              <w:rPr>
                <w:rFonts w:ascii="Calibri" w:eastAsia="Times New Roman" w:hAnsi="Calibri" w:cs="Calibri"/>
                <w:color w:val="000000"/>
                <w:lang w:eastAsia="en-ZA"/>
              </w:rPr>
              <w:t>Operational characteristics</w:t>
            </w:r>
          </w:p>
        </w:tc>
        <w:tc>
          <w:tcPr>
            <w:tcW w:w="0" w:type="auto"/>
            <w:noWrap/>
          </w:tcPr>
          <w:p w14:paraId="37ADFA7C"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13</w:t>
            </w:r>
          </w:p>
        </w:tc>
      </w:tr>
      <w:bookmarkEnd w:id="0"/>
      <w:tr w:rsidR="00A865F0" w:rsidRPr="00EC0C6E" w14:paraId="45F20223" w14:textId="77777777" w:rsidTr="000E3B64">
        <w:trPr>
          <w:trHeight w:val="224"/>
        </w:trPr>
        <w:tc>
          <w:tcPr>
            <w:tcW w:w="0" w:type="auto"/>
          </w:tcPr>
          <w:p w14:paraId="4DE2A41A"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Performance characteristics</w:t>
            </w:r>
          </w:p>
        </w:tc>
        <w:tc>
          <w:tcPr>
            <w:tcW w:w="0" w:type="auto"/>
            <w:noWrap/>
          </w:tcPr>
          <w:p w14:paraId="0ABE69EB"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10</w:t>
            </w:r>
          </w:p>
        </w:tc>
      </w:tr>
      <w:tr w:rsidR="00A865F0" w:rsidRPr="00EC0C6E" w14:paraId="3096BDE2" w14:textId="77777777" w:rsidTr="000E3B64">
        <w:trPr>
          <w:trHeight w:val="224"/>
        </w:trPr>
        <w:tc>
          <w:tcPr>
            <w:tcW w:w="0" w:type="auto"/>
          </w:tcPr>
          <w:p w14:paraId="7048C12B"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Pricing/cost</w:t>
            </w:r>
          </w:p>
        </w:tc>
        <w:tc>
          <w:tcPr>
            <w:tcW w:w="0" w:type="auto"/>
            <w:noWrap/>
          </w:tcPr>
          <w:p w14:paraId="32278143"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4</w:t>
            </w:r>
          </w:p>
        </w:tc>
      </w:tr>
      <w:tr w:rsidR="00A865F0" w:rsidRPr="00EC0C6E" w14:paraId="5FD72893" w14:textId="77777777" w:rsidTr="000E3B64">
        <w:trPr>
          <w:trHeight w:val="224"/>
        </w:trPr>
        <w:tc>
          <w:tcPr>
            <w:tcW w:w="0" w:type="auto"/>
          </w:tcPr>
          <w:p w14:paraId="21FF5913" w14:textId="77777777" w:rsidR="00A865F0" w:rsidRPr="009057CA" w:rsidRDefault="00A865F0" w:rsidP="000E3B64">
            <w:pPr>
              <w:rPr>
                <w:rFonts w:ascii="Calibri" w:eastAsia="Times New Roman" w:hAnsi="Calibri" w:cs="Calibri"/>
                <w:b/>
                <w:bCs/>
                <w:color w:val="000000"/>
                <w:lang w:eastAsia="en-ZA"/>
              </w:rPr>
            </w:pPr>
            <w:bookmarkStart w:id="1" w:name="_Hlk153983295"/>
            <w:r w:rsidRPr="009057CA">
              <w:rPr>
                <w:rFonts w:ascii="Calibri" w:eastAsia="Times New Roman" w:hAnsi="Calibri" w:cs="Calibri"/>
                <w:color w:val="000000"/>
                <w:lang w:eastAsia="en-ZA"/>
              </w:rPr>
              <w:t>Test characteristics</w:t>
            </w:r>
          </w:p>
        </w:tc>
        <w:tc>
          <w:tcPr>
            <w:tcW w:w="0" w:type="auto"/>
            <w:noWrap/>
          </w:tcPr>
          <w:p w14:paraId="5C08FCCD"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2</w:t>
            </w:r>
          </w:p>
        </w:tc>
      </w:tr>
      <w:tr w:rsidR="00A865F0" w:rsidRPr="00EC0C6E" w14:paraId="44D63EF1" w14:textId="77777777" w:rsidTr="000E3B64">
        <w:trPr>
          <w:trHeight w:val="224"/>
        </w:trPr>
        <w:tc>
          <w:tcPr>
            <w:tcW w:w="0" w:type="auto"/>
          </w:tcPr>
          <w:p w14:paraId="5C3C8304"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Test performance</w:t>
            </w:r>
          </w:p>
        </w:tc>
        <w:tc>
          <w:tcPr>
            <w:tcW w:w="0" w:type="auto"/>
            <w:noWrap/>
          </w:tcPr>
          <w:p w14:paraId="187B14B6"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2</w:t>
            </w:r>
          </w:p>
        </w:tc>
      </w:tr>
      <w:tr w:rsidR="00A865F0" w:rsidRPr="00EC0C6E" w14:paraId="2E20D338" w14:textId="77777777" w:rsidTr="000E3B64">
        <w:trPr>
          <w:trHeight w:val="265"/>
        </w:trPr>
        <w:tc>
          <w:tcPr>
            <w:tcW w:w="0" w:type="auto"/>
          </w:tcPr>
          <w:p w14:paraId="6A397F8F"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Drug-related characteristics</w:t>
            </w:r>
          </w:p>
        </w:tc>
        <w:tc>
          <w:tcPr>
            <w:tcW w:w="0" w:type="auto"/>
            <w:noWrap/>
          </w:tcPr>
          <w:p w14:paraId="3ADF9340"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2</w:t>
            </w:r>
          </w:p>
        </w:tc>
      </w:tr>
      <w:tr w:rsidR="00A865F0" w:rsidRPr="00EC0C6E" w14:paraId="3E380EDF" w14:textId="77777777" w:rsidTr="000E3B64">
        <w:trPr>
          <w:trHeight w:val="224"/>
        </w:trPr>
        <w:tc>
          <w:tcPr>
            <w:tcW w:w="0" w:type="auto"/>
          </w:tcPr>
          <w:p w14:paraId="3C53E46F"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Product-related characteristics</w:t>
            </w:r>
          </w:p>
        </w:tc>
        <w:tc>
          <w:tcPr>
            <w:tcW w:w="0" w:type="auto"/>
            <w:noWrap/>
          </w:tcPr>
          <w:p w14:paraId="796F4F09"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2</w:t>
            </w:r>
          </w:p>
        </w:tc>
      </w:tr>
      <w:tr w:rsidR="00A865F0" w:rsidRPr="00EC0C6E" w14:paraId="228F7258" w14:textId="77777777" w:rsidTr="000E3B64">
        <w:trPr>
          <w:trHeight w:val="224"/>
        </w:trPr>
        <w:tc>
          <w:tcPr>
            <w:tcW w:w="0" w:type="auto"/>
          </w:tcPr>
          <w:p w14:paraId="079F4B92"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Test procedure</w:t>
            </w:r>
          </w:p>
        </w:tc>
        <w:tc>
          <w:tcPr>
            <w:tcW w:w="0" w:type="auto"/>
            <w:noWrap/>
          </w:tcPr>
          <w:p w14:paraId="0522C941"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2</w:t>
            </w:r>
          </w:p>
        </w:tc>
      </w:tr>
      <w:tr w:rsidR="00A865F0" w:rsidRPr="00EC0C6E" w14:paraId="5B49D7FC" w14:textId="77777777" w:rsidTr="000E3B64">
        <w:trPr>
          <w:trHeight w:val="224"/>
        </w:trPr>
        <w:tc>
          <w:tcPr>
            <w:tcW w:w="0" w:type="auto"/>
          </w:tcPr>
          <w:p w14:paraId="7422687E" w14:textId="7C083135"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Data</w:t>
            </w:r>
            <w:r w:rsidR="006F504F">
              <w:rPr>
                <w:rFonts w:ascii="Calibri" w:eastAsia="Times New Roman" w:hAnsi="Calibri" w:cs="Calibri"/>
                <w:color w:val="000000"/>
                <w:lang w:eastAsia="en-ZA"/>
              </w:rPr>
              <w:t xml:space="preserve"> output</w:t>
            </w:r>
          </w:p>
        </w:tc>
        <w:tc>
          <w:tcPr>
            <w:tcW w:w="0" w:type="auto"/>
            <w:noWrap/>
          </w:tcPr>
          <w:p w14:paraId="670F9166"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2</w:t>
            </w:r>
          </w:p>
        </w:tc>
      </w:tr>
      <w:bookmarkEnd w:id="1"/>
      <w:tr w:rsidR="00A865F0" w:rsidRPr="00EC0C6E" w14:paraId="42FA08F9" w14:textId="77777777" w:rsidTr="000E3B64">
        <w:trPr>
          <w:trHeight w:val="224"/>
        </w:trPr>
        <w:tc>
          <w:tcPr>
            <w:tcW w:w="0" w:type="auto"/>
          </w:tcPr>
          <w:p w14:paraId="3AEFC7E6"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Device characteristics</w:t>
            </w:r>
          </w:p>
        </w:tc>
        <w:tc>
          <w:tcPr>
            <w:tcW w:w="0" w:type="auto"/>
            <w:noWrap/>
          </w:tcPr>
          <w:p w14:paraId="1BD484DE"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79AC7649" w14:textId="77777777" w:rsidTr="000E3B64">
        <w:trPr>
          <w:trHeight w:val="224"/>
        </w:trPr>
        <w:tc>
          <w:tcPr>
            <w:tcW w:w="0" w:type="auto"/>
          </w:tcPr>
          <w:p w14:paraId="0D370783"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Test cartridge/strip</w:t>
            </w:r>
          </w:p>
        </w:tc>
        <w:tc>
          <w:tcPr>
            <w:tcW w:w="0" w:type="auto"/>
            <w:noWrap/>
          </w:tcPr>
          <w:p w14:paraId="1327D1E8"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0CEA12D7" w14:textId="77777777" w:rsidTr="000E3B64">
        <w:trPr>
          <w:trHeight w:val="224"/>
        </w:trPr>
        <w:tc>
          <w:tcPr>
            <w:tcW w:w="0" w:type="auto"/>
          </w:tcPr>
          <w:p w14:paraId="6842D9E2"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Process of production</w:t>
            </w:r>
          </w:p>
        </w:tc>
        <w:tc>
          <w:tcPr>
            <w:tcW w:w="0" w:type="auto"/>
            <w:noWrap/>
          </w:tcPr>
          <w:p w14:paraId="67ADAD9B"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11482356" w14:textId="77777777" w:rsidTr="000E3B64">
        <w:trPr>
          <w:trHeight w:val="224"/>
        </w:trPr>
        <w:tc>
          <w:tcPr>
            <w:tcW w:w="0" w:type="auto"/>
          </w:tcPr>
          <w:p w14:paraId="0AE17B6E"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Patient access/</w:t>
            </w:r>
            <w:proofErr w:type="spellStart"/>
            <w:r w:rsidRPr="009057CA">
              <w:rPr>
                <w:rFonts w:ascii="Calibri" w:eastAsia="Times New Roman" w:hAnsi="Calibri" w:cs="Calibri"/>
                <w:color w:val="000000"/>
                <w:lang w:eastAsia="en-ZA"/>
              </w:rPr>
              <w:t>commercialisation</w:t>
            </w:r>
            <w:proofErr w:type="spellEnd"/>
          </w:p>
        </w:tc>
        <w:tc>
          <w:tcPr>
            <w:tcW w:w="0" w:type="auto"/>
            <w:noWrap/>
          </w:tcPr>
          <w:p w14:paraId="0748DCB8"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51DD9EA6" w14:textId="77777777" w:rsidTr="000E3B64">
        <w:trPr>
          <w:trHeight w:val="224"/>
        </w:trPr>
        <w:tc>
          <w:tcPr>
            <w:tcW w:w="0" w:type="auto"/>
          </w:tcPr>
          <w:p w14:paraId="17805F54"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Legal-related characteristics</w:t>
            </w:r>
          </w:p>
        </w:tc>
        <w:tc>
          <w:tcPr>
            <w:tcW w:w="0" w:type="auto"/>
            <w:noWrap/>
          </w:tcPr>
          <w:p w14:paraId="32D5DF20"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5926735C" w14:textId="77777777" w:rsidTr="000E3B64">
        <w:trPr>
          <w:trHeight w:val="224"/>
        </w:trPr>
        <w:tc>
          <w:tcPr>
            <w:tcW w:w="0" w:type="auto"/>
          </w:tcPr>
          <w:p w14:paraId="3E1C1FD8"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 xml:space="preserve">Accessibility </w:t>
            </w:r>
          </w:p>
        </w:tc>
        <w:tc>
          <w:tcPr>
            <w:tcW w:w="0" w:type="auto"/>
            <w:noWrap/>
          </w:tcPr>
          <w:p w14:paraId="57FE7DA1"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218DD7A3" w14:textId="77777777" w:rsidTr="000E3B64">
        <w:trPr>
          <w:trHeight w:val="224"/>
        </w:trPr>
        <w:tc>
          <w:tcPr>
            <w:tcW w:w="0" w:type="auto"/>
          </w:tcPr>
          <w:p w14:paraId="33248383"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Manufacturing-related characteristics</w:t>
            </w:r>
          </w:p>
        </w:tc>
        <w:tc>
          <w:tcPr>
            <w:tcW w:w="0" w:type="auto"/>
            <w:noWrap/>
          </w:tcPr>
          <w:p w14:paraId="1AD6126E"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7F439C80" w14:textId="77777777" w:rsidTr="000E3B64">
        <w:trPr>
          <w:trHeight w:val="224"/>
        </w:trPr>
        <w:tc>
          <w:tcPr>
            <w:tcW w:w="0" w:type="auto"/>
          </w:tcPr>
          <w:p w14:paraId="59963B3D"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Miscellaneous characteristics</w:t>
            </w:r>
          </w:p>
        </w:tc>
        <w:tc>
          <w:tcPr>
            <w:tcW w:w="0" w:type="auto"/>
            <w:noWrap/>
          </w:tcPr>
          <w:p w14:paraId="736B87BF"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6078EC30" w14:textId="77777777" w:rsidTr="000E3B64">
        <w:trPr>
          <w:trHeight w:val="224"/>
        </w:trPr>
        <w:tc>
          <w:tcPr>
            <w:tcW w:w="0" w:type="auto"/>
          </w:tcPr>
          <w:p w14:paraId="5FD7CCEA"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Level of health care setting</w:t>
            </w:r>
          </w:p>
        </w:tc>
        <w:tc>
          <w:tcPr>
            <w:tcW w:w="0" w:type="auto"/>
            <w:noWrap/>
          </w:tcPr>
          <w:p w14:paraId="74DD14EE"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50D33203" w14:textId="77777777" w:rsidTr="000E3B64">
        <w:trPr>
          <w:trHeight w:val="224"/>
        </w:trPr>
        <w:tc>
          <w:tcPr>
            <w:tcW w:w="0" w:type="auto"/>
          </w:tcPr>
          <w:p w14:paraId="1A09E5DA"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healthcare system needs</w:t>
            </w:r>
          </w:p>
        </w:tc>
        <w:tc>
          <w:tcPr>
            <w:tcW w:w="0" w:type="auto"/>
            <w:noWrap/>
          </w:tcPr>
          <w:p w14:paraId="08C38BB4"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02FE3791" w14:textId="77777777" w:rsidTr="000E3B64">
        <w:trPr>
          <w:trHeight w:val="224"/>
        </w:trPr>
        <w:tc>
          <w:tcPr>
            <w:tcW w:w="0" w:type="auto"/>
          </w:tcPr>
          <w:p w14:paraId="51326AB7"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Target user</w:t>
            </w:r>
          </w:p>
        </w:tc>
        <w:tc>
          <w:tcPr>
            <w:tcW w:w="0" w:type="auto"/>
            <w:noWrap/>
          </w:tcPr>
          <w:p w14:paraId="1634CF37"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431254AB" w14:textId="77777777" w:rsidTr="000E3B64">
        <w:trPr>
          <w:trHeight w:val="224"/>
        </w:trPr>
        <w:tc>
          <w:tcPr>
            <w:tcW w:w="0" w:type="auto"/>
          </w:tcPr>
          <w:p w14:paraId="6DA66D32"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Diagnosis moment</w:t>
            </w:r>
          </w:p>
        </w:tc>
        <w:tc>
          <w:tcPr>
            <w:tcW w:w="0" w:type="auto"/>
            <w:noWrap/>
          </w:tcPr>
          <w:p w14:paraId="24B807DC"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32888D83" w14:textId="77777777" w:rsidTr="000E3B64">
        <w:trPr>
          <w:trHeight w:val="175"/>
        </w:trPr>
        <w:tc>
          <w:tcPr>
            <w:tcW w:w="0" w:type="auto"/>
          </w:tcPr>
          <w:p w14:paraId="3147047B" w14:textId="77777777" w:rsidR="00A865F0" w:rsidRPr="009057CA" w:rsidRDefault="00A865F0" w:rsidP="000E3B64">
            <w:pPr>
              <w:rPr>
                <w:b/>
                <w:bCs/>
              </w:rPr>
            </w:pPr>
            <w:r w:rsidRPr="009057CA">
              <w:rPr>
                <w:rFonts w:ascii="Calibri" w:eastAsia="Times New Roman" w:hAnsi="Calibri" w:cs="Calibri"/>
                <w:color w:val="000000"/>
                <w:lang w:eastAsia="en-ZA"/>
              </w:rPr>
              <w:t>Technical specification</w:t>
            </w:r>
          </w:p>
        </w:tc>
        <w:tc>
          <w:tcPr>
            <w:tcW w:w="0" w:type="auto"/>
            <w:noWrap/>
          </w:tcPr>
          <w:p w14:paraId="0C83ACCB"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4C8A769B" w14:textId="77777777" w:rsidTr="000E3B64">
        <w:trPr>
          <w:trHeight w:val="224"/>
        </w:trPr>
        <w:tc>
          <w:tcPr>
            <w:tcW w:w="0" w:type="auto"/>
          </w:tcPr>
          <w:p w14:paraId="3BA9A30C"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Reproducibility</w:t>
            </w:r>
          </w:p>
        </w:tc>
        <w:tc>
          <w:tcPr>
            <w:tcW w:w="0" w:type="auto"/>
            <w:noWrap/>
          </w:tcPr>
          <w:p w14:paraId="75E0CFA2"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1C568E71" w14:textId="77777777" w:rsidTr="000E3B64">
        <w:trPr>
          <w:trHeight w:val="54"/>
        </w:trPr>
        <w:tc>
          <w:tcPr>
            <w:tcW w:w="0" w:type="auto"/>
          </w:tcPr>
          <w:p w14:paraId="76F502C7"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Market overview</w:t>
            </w:r>
          </w:p>
        </w:tc>
        <w:tc>
          <w:tcPr>
            <w:tcW w:w="0" w:type="auto"/>
            <w:noWrap/>
          </w:tcPr>
          <w:p w14:paraId="307890C4"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64760F6A" w14:textId="77777777" w:rsidTr="000E3B64">
        <w:trPr>
          <w:trHeight w:val="224"/>
        </w:trPr>
        <w:tc>
          <w:tcPr>
            <w:tcW w:w="0" w:type="auto"/>
          </w:tcPr>
          <w:p w14:paraId="3FA3335B"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Patient/population needs</w:t>
            </w:r>
          </w:p>
        </w:tc>
        <w:tc>
          <w:tcPr>
            <w:tcW w:w="0" w:type="auto"/>
            <w:noWrap/>
          </w:tcPr>
          <w:p w14:paraId="72F60DA3"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542C6571" w14:textId="77777777" w:rsidTr="000E3B64">
        <w:trPr>
          <w:trHeight w:val="224"/>
        </w:trPr>
        <w:tc>
          <w:tcPr>
            <w:tcW w:w="0" w:type="auto"/>
          </w:tcPr>
          <w:p w14:paraId="203A3040"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Regulatory needs</w:t>
            </w:r>
          </w:p>
        </w:tc>
        <w:tc>
          <w:tcPr>
            <w:tcW w:w="0" w:type="auto"/>
            <w:noWrap/>
          </w:tcPr>
          <w:p w14:paraId="7359B973"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088EB32C" w14:textId="77777777" w:rsidTr="000E3B64">
        <w:trPr>
          <w:trHeight w:val="224"/>
        </w:trPr>
        <w:tc>
          <w:tcPr>
            <w:tcW w:w="0" w:type="auto"/>
          </w:tcPr>
          <w:p w14:paraId="463C72D9"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Commercial and sustainability needs</w:t>
            </w:r>
          </w:p>
        </w:tc>
        <w:tc>
          <w:tcPr>
            <w:tcW w:w="0" w:type="auto"/>
            <w:noWrap/>
          </w:tcPr>
          <w:p w14:paraId="180EBDA9"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7447ABE0" w14:textId="77777777" w:rsidTr="000E3B64">
        <w:trPr>
          <w:trHeight w:val="224"/>
        </w:trPr>
        <w:tc>
          <w:tcPr>
            <w:tcW w:w="0" w:type="auto"/>
          </w:tcPr>
          <w:p w14:paraId="657C49FE"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Scope of toolkit components</w:t>
            </w:r>
          </w:p>
        </w:tc>
        <w:tc>
          <w:tcPr>
            <w:tcW w:w="0" w:type="auto"/>
            <w:noWrap/>
          </w:tcPr>
          <w:p w14:paraId="6C2F7927"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2B164BC4" w14:textId="77777777" w:rsidTr="000E3B64">
        <w:trPr>
          <w:trHeight w:val="224"/>
        </w:trPr>
        <w:tc>
          <w:tcPr>
            <w:tcW w:w="0" w:type="auto"/>
          </w:tcPr>
          <w:p w14:paraId="7C99A0FD"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Clinical decision support algorithm,</w:t>
            </w:r>
          </w:p>
        </w:tc>
        <w:tc>
          <w:tcPr>
            <w:tcW w:w="0" w:type="auto"/>
            <w:noWrap/>
          </w:tcPr>
          <w:p w14:paraId="2CC20A6A"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64BFE90D" w14:textId="77777777" w:rsidTr="000E3B64">
        <w:trPr>
          <w:trHeight w:val="224"/>
        </w:trPr>
        <w:tc>
          <w:tcPr>
            <w:tcW w:w="0" w:type="auto"/>
          </w:tcPr>
          <w:p w14:paraId="11656E14"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 xml:space="preserve">Point of Care (POC) </w:t>
            </w:r>
          </w:p>
        </w:tc>
        <w:tc>
          <w:tcPr>
            <w:tcW w:w="0" w:type="auto"/>
            <w:noWrap/>
          </w:tcPr>
          <w:p w14:paraId="7B3CC0DD"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41CD68A2" w14:textId="77777777" w:rsidTr="000E3B64">
        <w:trPr>
          <w:trHeight w:val="224"/>
        </w:trPr>
        <w:tc>
          <w:tcPr>
            <w:tcW w:w="0" w:type="auto"/>
          </w:tcPr>
          <w:p w14:paraId="315C80D9"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App</w:t>
            </w:r>
          </w:p>
        </w:tc>
        <w:tc>
          <w:tcPr>
            <w:tcW w:w="0" w:type="auto"/>
            <w:noWrap/>
          </w:tcPr>
          <w:p w14:paraId="44C7D89A"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64B4283B" w14:textId="77777777" w:rsidTr="000E3B64">
        <w:trPr>
          <w:trHeight w:val="224"/>
        </w:trPr>
        <w:tc>
          <w:tcPr>
            <w:tcW w:w="0" w:type="auto"/>
          </w:tcPr>
          <w:p w14:paraId="0033DCC8"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System components</w:t>
            </w:r>
          </w:p>
        </w:tc>
        <w:tc>
          <w:tcPr>
            <w:tcW w:w="0" w:type="auto"/>
            <w:noWrap/>
          </w:tcPr>
          <w:p w14:paraId="60A99489"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r w:rsidR="00A865F0" w:rsidRPr="00EC0C6E" w14:paraId="02E639C1" w14:textId="77777777" w:rsidTr="000E3B64">
        <w:trPr>
          <w:trHeight w:val="224"/>
        </w:trPr>
        <w:tc>
          <w:tcPr>
            <w:tcW w:w="0" w:type="auto"/>
          </w:tcPr>
          <w:p w14:paraId="6E784D33" w14:textId="77777777" w:rsidR="00A865F0" w:rsidRPr="009057CA" w:rsidRDefault="00A865F0" w:rsidP="000E3B64">
            <w:pPr>
              <w:rPr>
                <w:rFonts w:ascii="Calibri" w:eastAsia="Times New Roman" w:hAnsi="Calibri" w:cs="Calibri"/>
                <w:b/>
                <w:bCs/>
                <w:color w:val="000000"/>
                <w:lang w:eastAsia="en-ZA"/>
              </w:rPr>
            </w:pPr>
            <w:r w:rsidRPr="009057CA">
              <w:rPr>
                <w:rFonts w:ascii="Calibri" w:eastAsia="Times New Roman" w:hAnsi="Calibri" w:cs="Calibri"/>
                <w:color w:val="000000"/>
                <w:lang w:eastAsia="en-ZA"/>
              </w:rPr>
              <w:t>Functional requirements</w:t>
            </w:r>
          </w:p>
        </w:tc>
        <w:tc>
          <w:tcPr>
            <w:tcW w:w="0" w:type="auto"/>
            <w:noWrap/>
          </w:tcPr>
          <w:p w14:paraId="1836A1B4" w14:textId="77777777" w:rsidR="00A865F0" w:rsidRDefault="00A865F0" w:rsidP="000E3B64">
            <w:pPr>
              <w:jc w:val="center"/>
              <w:rPr>
                <w:rFonts w:ascii="Calibri" w:eastAsia="Times New Roman" w:hAnsi="Calibri" w:cs="Calibri"/>
                <w:color w:val="000000"/>
                <w:lang w:eastAsia="en-ZA"/>
              </w:rPr>
            </w:pPr>
            <w:r>
              <w:rPr>
                <w:rFonts w:ascii="Calibri" w:eastAsia="Times New Roman" w:hAnsi="Calibri" w:cs="Calibri"/>
                <w:color w:val="000000"/>
                <w:lang w:eastAsia="en-ZA"/>
              </w:rPr>
              <w:t>1</w:t>
            </w:r>
          </w:p>
        </w:tc>
      </w:tr>
    </w:tbl>
    <w:p w14:paraId="16709680" w14:textId="77777777" w:rsidR="00C746BC" w:rsidRDefault="00C746BC" w:rsidP="00E34F53">
      <w:pPr>
        <w:spacing w:after="0" w:line="276" w:lineRule="auto"/>
        <w:jc w:val="both"/>
      </w:pPr>
    </w:p>
    <w:p w14:paraId="0DAF00E3" w14:textId="77777777" w:rsidR="009B411C" w:rsidRDefault="009B411C" w:rsidP="00E34F53">
      <w:pPr>
        <w:spacing w:after="0" w:line="276" w:lineRule="auto"/>
        <w:jc w:val="both"/>
      </w:pPr>
    </w:p>
    <w:p w14:paraId="66080356" w14:textId="48FD01E3" w:rsidR="009B411C" w:rsidRPr="009B411C" w:rsidRDefault="009B411C" w:rsidP="009B411C">
      <w:pPr>
        <w:pStyle w:val="Caption"/>
        <w:keepNext/>
        <w:rPr>
          <w:i w:val="0"/>
          <w:iCs w:val="0"/>
          <w:color w:val="auto"/>
          <w:sz w:val="22"/>
          <w:szCs w:val="22"/>
        </w:rPr>
      </w:pPr>
      <w:r w:rsidRPr="00BF6FD7">
        <w:rPr>
          <w:i w:val="0"/>
          <w:iCs w:val="0"/>
          <w:color w:val="auto"/>
          <w:sz w:val="22"/>
          <w:szCs w:val="22"/>
        </w:rPr>
        <w:lastRenderedPageBreak/>
        <w:t>Table S</w:t>
      </w:r>
      <w:r w:rsidR="006D0E45">
        <w:rPr>
          <w:i w:val="0"/>
          <w:iCs w:val="0"/>
          <w:color w:val="auto"/>
          <w:sz w:val="22"/>
          <w:szCs w:val="22"/>
        </w:rPr>
        <w:t>7</w:t>
      </w:r>
      <w:r w:rsidRPr="00BF6FD7">
        <w:rPr>
          <w:i w:val="0"/>
          <w:iCs w:val="0"/>
          <w:color w:val="auto"/>
          <w:sz w:val="22"/>
          <w:szCs w:val="22"/>
        </w:rPr>
        <w:t>: Description of categories of TPP features.</w:t>
      </w:r>
    </w:p>
    <w:tbl>
      <w:tblPr>
        <w:tblStyle w:val="TableGrid"/>
        <w:tblpPr w:leftFromText="180" w:rightFromText="180" w:vertAnchor="text" w:horzAnchor="margin" w:tblpXSpec="center" w:tblpY="389"/>
        <w:tblW w:w="8926" w:type="dxa"/>
        <w:tblLook w:val="04A0" w:firstRow="1" w:lastRow="0" w:firstColumn="1" w:lastColumn="0" w:noHBand="0" w:noVBand="1"/>
      </w:tblPr>
      <w:tblGrid>
        <w:gridCol w:w="1345"/>
        <w:gridCol w:w="6247"/>
        <w:gridCol w:w="1334"/>
      </w:tblGrid>
      <w:tr w:rsidR="00250555" w:rsidRPr="00EC0C6E" w14:paraId="46155123" w14:textId="77777777" w:rsidTr="009B411C">
        <w:trPr>
          <w:trHeight w:val="243"/>
        </w:trPr>
        <w:tc>
          <w:tcPr>
            <w:tcW w:w="1345" w:type="dxa"/>
            <w:noWrap/>
            <w:hideMark/>
          </w:tcPr>
          <w:p w14:paraId="4D6058D1" w14:textId="77777777" w:rsidR="00250555" w:rsidRPr="00250555" w:rsidRDefault="00250555" w:rsidP="00250555">
            <w:pPr>
              <w:rPr>
                <w:rFonts w:ascii="Calibri" w:eastAsia="Times New Roman" w:hAnsi="Calibri" w:cs="Calibri"/>
                <w:b/>
                <w:bCs/>
                <w:color w:val="000000"/>
                <w:lang w:eastAsia="en-ZA"/>
              </w:rPr>
            </w:pPr>
            <w:r w:rsidRPr="00250555">
              <w:rPr>
                <w:rFonts w:ascii="Calibri" w:eastAsia="Times New Roman" w:hAnsi="Calibri" w:cs="Calibri"/>
                <w:b/>
                <w:bCs/>
                <w:color w:val="000000"/>
                <w:lang w:eastAsia="en-ZA"/>
              </w:rPr>
              <w:t>Number of categories</w:t>
            </w:r>
          </w:p>
        </w:tc>
        <w:tc>
          <w:tcPr>
            <w:tcW w:w="6247" w:type="dxa"/>
          </w:tcPr>
          <w:p w14:paraId="043C1BFA" w14:textId="77777777" w:rsidR="00250555" w:rsidRPr="00250555" w:rsidRDefault="00250555" w:rsidP="00250555">
            <w:pPr>
              <w:jc w:val="center"/>
              <w:rPr>
                <w:rFonts w:ascii="Calibri" w:eastAsia="Times New Roman" w:hAnsi="Calibri" w:cs="Calibri"/>
                <w:b/>
                <w:bCs/>
                <w:color w:val="000000"/>
                <w:lang w:eastAsia="en-ZA"/>
              </w:rPr>
            </w:pPr>
            <w:r w:rsidRPr="00250555">
              <w:rPr>
                <w:rFonts w:ascii="Calibri" w:eastAsia="Times New Roman" w:hAnsi="Calibri" w:cs="Calibri"/>
                <w:b/>
                <w:bCs/>
                <w:color w:val="000000"/>
                <w:lang w:eastAsia="en-ZA"/>
              </w:rPr>
              <w:t>Description of categories</w:t>
            </w:r>
          </w:p>
        </w:tc>
        <w:tc>
          <w:tcPr>
            <w:tcW w:w="1334" w:type="dxa"/>
            <w:noWrap/>
            <w:hideMark/>
          </w:tcPr>
          <w:p w14:paraId="1109F554" w14:textId="77777777" w:rsidR="00250555" w:rsidRPr="00250555" w:rsidRDefault="00250555" w:rsidP="00250555">
            <w:pPr>
              <w:jc w:val="center"/>
              <w:rPr>
                <w:rFonts w:ascii="Calibri" w:eastAsia="Times New Roman" w:hAnsi="Calibri" w:cs="Calibri"/>
                <w:b/>
                <w:bCs/>
                <w:color w:val="000000"/>
                <w:lang w:eastAsia="en-ZA"/>
              </w:rPr>
            </w:pPr>
            <w:r w:rsidRPr="00250555">
              <w:rPr>
                <w:rFonts w:ascii="Calibri" w:eastAsia="Times New Roman" w:hAnsi="Calibri" w:cs="Calibri"/>
                <w:b/>
                <w:bCs/>
                <w:color w:val="000000"/>
                <w:lang w:eastAsia="en-ZA"/>
              </w:rPr>
              <w:t>Number of publications</w:t>
            </w:r>
          </w:p>
        </w:tc>
      </w:tr>
      <w:tr w:rsidR="00515B89" w:rsidRPr="00EC0C6E" w14:paraId="3727B653" w14:textId="77777777" w:rsidTr="009B411C">
        <w:trPr>
          <w:trHeight w:val="243"/>
        </w:trPr>
        <w:tc>
          <w:tcPr>
            <w:tcW w:w="1345" w:type="dxa"/>
            <w:vMerge w:val="restart"/>
            <w:noWrap/>
            <w:vAlign w:val="center"/>
          </w:tcPr>
          <w:p w14:paraId="3AD67957" w14:textId="77777777" w:rsidR="00515B89" w:rsidRPr="00515B89" w:rsidRDefault="00515B89" w:rsidP="00515B89">
            <w:pPr>
              <w:jc w:val="center"/>
              <w:rPr>
                <w:rFonts w:ascii="Calibri" w:eastAsia="Times New Roman" w:hAnsi="Calibri" w:cs="Calibri"/>
                <w:b/>
                <w:bCs/>
                <w:color w:val="000000"/>
                <w:lang w:eastAsia="en-ZA"/>
              </w:rPr>
            </w:pPr>
            <w:r w:rsidRPr="00654ACD">
              <w:rPr>
                <w:rFonts w:ascii="Calibri" w:eastAsia="Times New Roman" w:hAnsi="Calibri" w:cs="Calibri"/>
                <w:b/>
                <w:bCs/>
                <w:color w:val="000000"/>
                <w:lang w:eastAsia="en-ZA"/>
              </w:rPr>
              <w:t>3</w:t>
            </w:r>
          </w:p>
        </w:tc>
        <w:tc>
          <w:tcPr>
            <w:tcW w:w="6247" w:type="dxa"/>
          </w:tcPr>
          <w:p w14:paraId="50F9DF56" w14:textId="77777777" w:rsidR="00515B89" w:rsidRPr="00715749" w:rsidRDefault="00515B89" w:rsidP="00250555">
            <w:pPr>
              <w:rPr>
                <w:rFonts w:ascii="Calibri" w:eastAsia="Times New Roman" w:hAnsi="Calibri" w:cs="Calibri"/>
                <w:color w:val="000000"/>
                <w:lang w:eastAsia="en-ZA"/>
              </w:rPr>
            </w:pPr>
            <w:r>
              <w:rPr>
                <w:rFonts w:ascii="Calibri" w:eastAsia="Times New Roman" w:hAnsi="Calibri" w:cs="Calibri"/>
                <w:color w:val="000000"/>
                <w:lang w:eastAsia="en-ZA"/>
              </w:rPr>
              <w:t>S</w:t>
            </w:r>
            <w:r w:rsidRPr="00EC0C6E">
              <w:rPr>
                <w:rFonts w:ascii="Calibri" w:eastAsia="Times New Roman" w:hAnsi="Calibri" w:cs="Calibri"/>
                <w:color w:val="000000"/>
                <w:lang w:eastAsia="en-ZA"/>
              </w:rPr>
              <w:t>cope, performance, operational characteristics</w:t>
            </w:r>
          </w:p>
        </w:tc>
        <w:tc>
          <w:tcPr>
            <w:tcW w:w="1334" w:type="dxa"/>
            <w:noWrap/>
          </w:tcPr>
          <w:p w14:paraId="1CF9D331" w14:textId="77777777" w:rsidR="00515B89" w:rsidRPr="00EC0C6E" w:rsidRDefault="00515B89" w:rsidP="00250555">
            <w:pPr>
              <w:jc w:val="center"/>
              <w:rPr>
                <w:rFonts w:ascii="Calibri" w:eastAsia="Times New Roman" w:hAnsi="Calibri" w:cs="Calibri"/>
                <w:color w:val="000000"/>
                <w:lang w:eastAsia="en-ZA"/>
              </w:rPr>
            </w:pPr>
            <w:r>
              <w:rPr>
                <w:rFonts w:ascii="Calibri" w:eastAsia="Times New Roman" w:hAnsi="Calibri" w:cs="Calibri"/>
                <w:color w:val="000000"/>
                <w:lang w:eastAsia="en-ZA"/>
              </w:rPr>
              <w:t>4</w:t>
            </w:r>
          </w:p>
        </w:tc>
      </w:tr>
      <w:tr w:rsidR="00515B89" w:rsidRPr="00EC0C6E" w14:paraId="1AC4D997" w14:textId="77777777" w:rsidTr="009B411C">
        <w:trPr>
          <w:trHeight w:val="243"/>
        </w:trPr>
        <w:tc>
          <w:tcPr>
            <w:tcW w:w="1345" w:type="dxa"/>
            <w:vMerge/>
            <w:noWrap/>
          </w:tcPr>
          <w:p w14:paraId="098A587C" w14:textId="77777777" w:rsidR="00515B89" w:rsidRPr="00EC0C6E" w:rsidRDefault="00515B89" w:rsidP="00250555">
            <w:pPr>
              <w:jc w:val="center"/>
              <w:rPr>
                <w:rFonts w:ascii="Calibri" w:eastAsia="Times New Roman" w:hAnsi="Calibri" w:cs="Calibri"/>
                <w:b/>
                <w:bCs/>
                <w:color w:val="000000"/>
                <w:lang w:eastAsia="en-ZA"/>
              </w:rPr>
            </w:pPr>
          </w:p>
        </w:tc>
        <w:tc>
          <w:tcPr>
            <w:tcW w:w="6247" w:type="dxa"/>
          </w:tcPr>
          <w:p w14:paraId="1B7147B8" w14:textId="77777777" w:rsidR="00515B89" w:rsidRPr="00715749" w:rsidRDefault="00515B89" w:rsidP="00250555">
            <w:pPr>
              <w:rPr>
                <w:rFonts w:ascii="Calibri" w:eastAsia="Times New Roman" w:hAnsi="Calibri" w:cs="Calibri"/>
                <w:color w:val="000000"/>
                <w:lang w:eastAsia="en-ZA"/>
              </w:rPr>
            </w:pPr>
            <w:r>
              <w:rPr>
                <w:rFonts w:ascii="Calibri" w:eastAsia="Times New Roman" w:hAnsi="Calibri" w:cs="Calibri"/>
                <w:color w:val="000000"/>
                <w:lang w:eastAsia="en-ZA"/>
              </w:rPr>
              <w:t>S</w:t>
            </w:r>
            <w:r w:rsidRPr="00EC0C6E">
              <w:rPr>
                <w:rFonts w:ascii="Calibri" w:eastAsia="Times New Roman" w:hAnsi="Calibri" w:cs="Calibri"/>
                <w:color w:val="000000"/>
                <w:lang w:eastAsia="en-ZA"/>
              </w:rPr>
              <w:t>cope, device characteristics, test cartridge/strip</w:t>
            </w:r>
          </w:p>
        </w:tc>
        <w:tc>
          <w:tcPr>
            <w:tcW w:w="1334" w:type="dxa"/>
            <w:noWrap/>
            <w:hideMark/>
          </w:tcPr>
          <w:p w14:paraId="63D919EF" w14:textId="77777777" w:rsidR="00515B89" w:rsidRPr="00EC0C6E" w:rsidRDefault="00515B89" w:rsidP="00250555">
            <w:pPr>
              <w:jc w:val="center"/>
              <w:rPr>
                <w:rFonts w:ascii="Calibri" w:eastAsia="Times New Roman" w:hAnsi="Calibri" w:cs="Calibri"/>
                <w:color w:val="000000"/>
                <w:lang w:eastAsia="en-ZA"/>
              </w:rPr>
            </w:pPr>
            <w:r w:rsidRPr="00EC0C6E">
              <w:rPr>
                <w:rFonts w:ascii="Calibri" w:eastAsia="Times New Roman" w:hAnsi="Calibri" w:cs="Calibri"/>
                <w:color w:val="000000"/>
                <w:lang w:eastAsia="en-ZA"/>
              </w:rPr>
              <w:t>1</w:t>
            </w:r>
          </w:p>
        </w:tc>
      </w:tr>
      <w:tr w:rsidR="00515B89" w:rsidRPr="00EC0C6E" w14:paraId="53B5444F" w14:textId="77777777" w:rsidTr="009B411C">
        <w:trPr>
          <w:trHeight w:val="243"/>
        </w:trPr>
        <w:tc>
          <w:tcPr>
            <w:tcW w:w="1345" w:type="dxa"/>
            <w:vMerge/>
            <w:noWrap/>
          </w:tcPr>
          <w:p w14:paraId="0CDC41B0" w14:textId="77777777" w:rsidR="00515B89" w:rsidRPr="00EC0C6E" w:rsidRDefault="00515B89" w:rsidP="00250555">
            <w:pPr>
              <w:jc w:val="center"/>
              <w:rPr>
                <w:rFonts w:ascii="Calibri" w:eastAsia="Times New Roman" w:hAnsi="Calibri" w:cs="Calibri"/>
                <w:b/>
                <w:bCs/>
                <w:color w:val="000000"/>
                <w:lang w:eastAsia="en-ZA"/>
              </w:rPr>
            </w:pPr>
          </w:p>
        </w:tc>
        <w:tc>
          <w:tcPr>
            <w:tcW w:w="6247" w:type="dxa"/>
          </w:tcPr>
          <w:p w14:paraId="78D0A984" w14:textId="77777777" w:rsidR="00515B89" w:rsidRPr="00715749" w:rsidRDefault="00515B89" w:rsidP="00250555">
            <w:pPr>
              <w:rPr>
                <w:rFonts w:ascii="Calibri" w:eastAsia="Times New Roman" w:hAnsi="Calibri" w:cs="Calibri"/>
                <w:color w:val="000000"/>
                <w:lang w:eastAsia="en-ZA"/>
              </w:rPr>
            </w:pPr>
            <w:r>
              <w:rPr>
                <w:rFonts w:ascii="Calibri" w:eastAsia="Times New Roman" w:hAnsi="Calibri" w:cs="Calibri"/>
                <w:color w:val="000000"/>
                <w:lang w:eastAsia="en-ZA"/>
              </w:rPr>
              <w:t>S</w:t>
            </w:r>
            <w:r w:rsidRPr="00EC0C6E">
              <w:rPr>
                <w:rFonts w:ascii="Calibri" w:eastAsia="Times New Roman" w:hAnsi="Calibri" w:cs="Calibri"/>
                <w:color w:val="000000"/>
                <w:lang w:eastAsia="en-ZA"/>
              </w:rPr>
              <w:t xml:space="preserve">cope, test </w:t>
            </w:r>
            <w:r w:rsidRPr="00715749">
              <w:rPr>
                <w:rFonts w:ascii="Calibri" w:eastAsia="Times New Roman" w:hAnsi="Calibri" w:cs="Calibri"/>
                <w:color w:val="000000"/>
                <w:lang w:eastAsia="en-ZA"/>
              </w:rPr>
              <w:t>characteristics</w:t>
            </w:r>
            <w:r w:rsidRPr="00EC0C6E">
              <w:rPr>
                <w:rFonts w:ascii="Calibri" w:eastAsia="Times New Roman" w:hAnsi="Calibri" w:cs="Calibri"/>
                <w:color w:val="000000"/>
                <w:lang w:eastAsia="en-ZA"/>
              </w:rPr>
              <w:t>, operational characteristics</w:t>
            </w:r>
          </w:p>
        </w:tc>
        <w:tc>
          <w:tcPr>
            <w:tcW w:w="1334" w:type="dxa"/>
            <w:noWrap/>
            <w:hideMark/>
          </w:tcPr>
          <w:p w14:paraId="78043013" w14:textId="77777777" w:rsidR="00515B89" w:rsidRPr="00EC0C6E" w:rsidRDefault="00515B89" w:rsidP="00250555">
            <w:pPr>
              <w:jc w:val="center"/>
              <w:rPr>
                <w:rFonts w:ascii="Calibri" w:eastAsia="Times New Roman" w:hAnsi="Calibri" w:cs="Calibri"/>
                <w:color w:val="000000"/>
                <w:lang w:eastAsia="en-ZA"/>
              </w:rPr>
            </w:pPr>
            <w:r w:rsidRPr="00EC0C6E">
              <w:rPr>
                <w:rFonts w:ascii="Calibri" w:eastAsia="Times New Roman" w:hAnsi="Calibri" w:cs="Calibri"/>
                <w:color w:val="000000"/>
                <w:lang w:eastAsia="en-ZA"/>
              </w:rPr>
              <w:t>1</w:t>
            </w:r>
          </w:p>
        </w:tc>
      </w:tr>
      <w:tr w:rsidR="00515B89" w:rsidRPr="00EC0C6E" w14:paraId="7BBB1311" w14:textId="77777777" w:rsidTr="009B411C">
        <w:trPr>
          <w:trHeight w:val="243"/>
        </w:trPr>
        <w:tc>
          <w:tcPr>
            <w:tcW w:w="1345" w:type="dxa"/>
            <w:vMerge/>
            <w:noWrap/>
          </w:tcPr>
          <w:p w14:paraId="6C0A6AD4" w14:textId="77777777" w:rsidR="00515B89" w:rsidRPr="00EC0C6E" w:rsidRDefault="00515B89" w:rsidP="00250555">
            <w:pPr>
              <w:jc w:val="center"/>
              <w:rPr>
                <w:rFonts w:ascii="Calibri" w:eastAsia="Times New Roman" w:hAnsi="Calibri" w:cs="Calibri"/>
                <w:b/>
                <w:bCs/>
                <w:color w:val="000000"/>
                <w:lang w:eastAsia="en-ZA"/>
              </w:rPr>
            </w:pPr>
          </w:p>
        </w:tc>
        <w:tc>
          <w:tcPr>
            <w:tcW w:w="6247" w:type="dxa"/>
          </w:tcPr>
          <w:p w14:paraId="66B148F0" w14:textId="77777777" w:rsidR="00515B89" w:rsidRPr="00715749" w:rsidRDefault="00515B89" w:rsidP="00250555">
            <w:pPr>
              <w:rPr>
                <w:rFonts w:ascii="Calibri" w:eastAsia="Times New Roman" w:hAnsi="Calibri" w:cs="Calibri"/>
                <w:color w:val="000000"/>
                <w:lang w:eastAsia="en-ZA"/>
              </w:rPr>
            </w:pPr>
            <w:r>
              <w:rPr>
                <w:rFonts w:ascii="Calibri" w:eastAsia="Times New Roman" w:hAnsi="Calibri" w:cs="Calibri"/>
                <w:color w:val="000000"/>
                <w:lang w:eastAsia="en-ZA"/>
              </w:rPr>
              <w:t>S</w:t>
            </w:r>
            <w:r w:rsidRPr="00EC0C6E">
              <w:rPr>
                <w:rFonts w:ascii="Calibri" w:eastAsia="Times New Roman" w:hAnsi="Calibri" w:cs="Calibri"/>
                <w:color w:val="000000"/>
                <w:lang w:eastAsia="en-ZA"/>
              </w:rPr>
              <w:t xml:space="preserve">cope, test </w:t>
            </w:r>
            <w:r w:rsidRPr="00715749">
              <w:rPr>
                <w:rFonts w:ascii="Calibri" w:eastAsia="Times New Roman" w:hAnsi="Calibri" w:cs="Calibri"/>
                <w:color w:val="000000"/>
                <w:lang w:eastAsia="en-ZA"/>
              </w:rPr>
              <w:t>characteristics</w:t>
            </w:r>
            <w:r w:rsidRPr="00EC0C6E">
              <w:rPr>
                <w:rFonts w:ascii="Calibri" w:eastAsia="Times New Roman" w:hAnsi="Calibri" w:cs="Calibri"/>
                <w:color w:val="000000"/>
                <w:lang w:eastAsia="en-ZA"/>
              </w:rPr>
              <w:t xml:space="preserve">, test </w:t>
            </w:r>
            <w:r w:rsidRPr="00715749">
              <w:rPr>
                <w:rFonts w:ascii="Calibri" w:eastAsia="Times New Roman" w:hAnsi="Calibri" w:cs="Calibri"/>
                <w:color w:val="000000"/>
                <w:lang w:eastAsia="en-ZA"/>
              </w:rPr>
              <w:t>performance</w:t>
            </w:r>
          </w:p>
        </w:tc>
        <w:tc>
          <w:tcPr>
            <w:tcW w:w="1334" w:type="dxa"/>
            <w:noWrap/>
            <w:hideMark/>
          </w:tcPr>
          <w:p w14:paraId="3A481E31" w14:textId="77777777" w:rsidR="00515B89" w:rsidRPr="00EC0C6E" w:rsidRDefault="00515B89" w:rsidP="00250555">
            <w:pPr>
              <w:jc w:val="center"/>
              <w:rPr>
                <w:rFonts w:ascii="Calibri" w:eastAsia="Times New Roman" w:hAnsi="Calibri" w:cs="Calibri"/>
                <w:color w:val="000000"/>
                <w:lang w:eastAsia="en-ZA"/>
              </w:rPr>
            </w:pPr>
            <w:r w:rsidRPr="00EC0C6E">
              <w:rPr>
                <w:rFonts w:ascii="Calibri" w:eastAsia="Times New Roman" w:hAnsi="Calibri" w:cs="Calibri"/>
                <w:color w:val="000000"/>
                <w:lang w:eastAsia="en-ZA"/>
              </w:rPr>
              <w:t>1</w:t>
            </w:r>
          </w:p>
        </w:tc>
      </w:tr>
      <w:tr w:rsidR="00515B89" w:rsidRPr="00EC0C6E" w14:paraId="6B08AFF8" w14:textId="77777777" w:rsidTr="009B411C">
        <w:trPr>
          <w:trHeight w:val="243"/>
        </w:trPr>
        <w:tc>
          <w:tcPr>
            <w:tcW w:w="1345" w:type="dxa"/>
            <w:vMerge/>
            <w:noWrap/>
          </w:tcPr>
          <w:p w14:paraId="52D76823" w14:textId="77777777" w:rsidR="00515B89" w:rsidRPr="00EC0C6E" w:rsidRDefault="00515B89" w:rsidP="00250555">
            <w:pPr>
              <w:jc w:val="center"/>
              <w:rPr>
                <w:rFonts w:ascii="Calibri" w:eastAsia="Times New Roman" w:hAnsi="Calibri" w:cs="Calibri"/>
                <w:b/>
                <w:bCs/>
                <w:color w:val="000000"/>
                <w:lang w:eastAsia="en-ZA"/>
              </w:rPr>
            </w:pPr>
          </w:p>
        </w:tc>
        <w:tc>
          <w:tcPr>
            <w:tcW w:w="6247" w:type="dxa"/>
          </w:tcPr>
          <w:p w14:paraId="2CC2F563" w14:textId="77777777" w:rsidR="00515B89" w:rsidRPr="00715749" w:rsidRDefault="00515B89" w:rsidP="00250555">
            <w:pPr>
              <w:rPr>
                <w:rFonts w:ascii="Calibri" w:eastAsia="Times New Roman" w:hAnsi="Calibri" w:cs="Calibri"/>
                <w:color w:val="000000"/>
                <w:lang w:eastAsia="en-ZA"/>
              </w:rPr>
            </w:pPr>
            <w:r w:rsidRPr="00EC0C6E">
              <w:rPr>
                <w:rFonts w:ascii="Calibri" w:eastAsia="Times New Roman" w:hAnsi="Calibri" w:cs="Calibri"/>
                <w:color w:val="000000"/>
                <w:lang w:eastAsia="en-ZA"/>
              </w:rPr>
              <w:t>Process of production, drug-related</w:t>
            </w:r>
            <w:r>
              <w:rPr>
                <w:rFonts w:ascii="Calibri" w:eastAsia="Times New Roman" w:hAnsi="Calibri" w:cs="Calibri"/>
                <w:color w:val="000000"/>
                <w:lang w:eastAsia="en-ZA"/>
              </w:rPr>
              <w:t xml:space="preserve"> </w:t>
            </w:r>
            <w:r w:rsidRPr="00EC0C6E">
              <w:rPr>
                <w:rFonts w:ascii="Calibri" w:eastAsia="Times New Roman" w:hAnsi="Calibri" w:cs="Calibri"/>
                <w:color w:val="000000"/>
                <w:lang w:eastAsia="en-ZA"/>
              </w:rPr>
              <w:t>characteristics, product-related</w:t>
            </w:r>
            <w:r>
              <w:rPr>
                <w:rFonts w:ascii="Calibri" w:eastAsia="Times New Roman" w:hAnsi="Calibri" w:cs="Calibri"/>
                <w:color w:val="000000"/>
                <w:lang w:eastAsia="en-ZA"/>
              </w:rPr>
              <w:t xml:space="preserve"> </w:t>
            </w:r>
            <w:r w:rsidRPr="00EC0C6E">
              <w:rPr>
                <w:rFonts w:ascii="Calibri" w:eastAsia="Times New Roman" w:hAnsi="Calibri" w:cs="Calibri"/>
                <w:color w:val="000000"/>
                <w:lang w:eastAsia="en-ZA"/>
              </w:rPr>
              <w:t>characteristics</w:t>
            </w:r>
          </w:p>
        </w:tc>
        <w:tc>
          <w:tcPr>
            <w:tcW w:w="1334" w:type="dxa"/>
            <w:noWrap/>
            <w:hideMark/>
          </w:tcPr>
          <w:p w14:paraId="4E4C954E" w14:textId="77777777" w:rsidR="00515B89" w:rsidRPr="00EC0C6E" w:rsidRDefault="00515B89" w:rsidP="00250555">
            <w:pPr>
              <w:jc w:val="center"/>
              <w:rPr>
                <w:rFonts w:ascii="Calibri" w:eastAsia="Times New Roman" w:hAnsi="Calibri" w:cs="Calibri"/>
                <w:color w:val="000000"/>
                <w:lang w:eastAsia="en-ZA"/>
              </w:rPr>
            </w:pPr>
            <w:r w:rsidRPr="00EC0C6E">
              <w:rPr>
                <w:rFonts w:ascii="Calibri" w:eastAsia="Times New Roman" w:hAnsi="Calibri" w:cs="Calibri"/>
                <w:color w:val="000000"/>
                <w:lang w:eastAsia="en-ZA"/>
              </w:rPr>
              <w:t>1</w:t>
            </w:r>
          </w:p>
        </w:tc>
      </w:tr>
      <w:tr w:rsidR="00515B89" w:rsidRPr="00EC0C6E" w14:paraId="1F3605D6" w14:textId="77777777" w:rsidTr="009B411C">
        <w:trPr>
          <w:trHeight w:val="243"/>
        </w:trPr>
        <w:tc>
          <w:tcPr>
            <w:tcW w:w="1345" w:type="dxa"/>
            <w:vMerge w:val="restart"/>
            <w:noWrap/>
            <w:vAlign w:val="center"/>
            <w:hideMark/>
          </w:tcPr>
          <w:p w14:paraId="37DC93D3" w14:textId="7613214C" w:rsidR="00515B89" w:rsidRPr="00EC0C6E" w:rsidRDefault="00515B89" w:rsidP="00515B89">
            <w:pPr>
              <w:jc w:val="center"/>
              <w:rPr>
                <w:rFonts w:ascii="Calibri" w:eastAsia="Times New Roman" w:hAnsi="Calibri" w:cs="Calibri"/>
                <w:b/>
                <w:bCs/>
                <w:color w:val="000000"/>
                <w:lang w:eastAsia="en-ZA"/>
              </w:rPr>
            </w:pPr>
            <w:r>
              <w:rPr>
                <w:rFonts w:ascii="Calibri" w:eastAsia="Times New Roman" w:hAnsi="Calibri" w:cs="Calibri"/>
                <w:b/>
                <w:bCs/>
                <w:color w:val="000000"/>
                <w:lang w:eastAsia="en-ZA"/>
              </w:rPr>
              <w:t>4</w:t>
            </w:r>
          </w:p>
        </w:tc>
        <w:tc>
          <w:tcPr>
            <w:tcW w:w="6247" w:type="dxa"/>
          </w:tcPr>
          <w:p w14:paraId="241FDC0C" w14:textId="77777777" w:rsidR="00515B89" w:rsidRPr="00715749" w:rsidRDefault="00515B89" w:rsidP="00250555">
            <w:pPr>
              <w:rPr>
                <w:rFonts w:ascii="Calibri" w:eastAsia="Times New Roman" w:hAnsi="Calibri" w:cs="Calibri"/>
                <w:color w:val="000000"/>
                <w:lang w:eastAsia="en-ZA"/>
              </w:rPr>
            </w:pPr>
            <w:r w:rsidRPr="00EC0C6E">
              <w:rPr>
                <w:rFonts w:ascii="Calibri" w:eastAsia="Times New Roman" w:hAnsi="Calibri" w:cs="Calibri"/>
                <w:color w:val="000000"/>
                <w:lang w:eastAsia="en-ZA"/>
              </w:rPr>
              <w:t xml:space="preserve">Scope, </w:t>
            </w:r>
            <w:r>
              <w:rPr>
                <w:rFonts w:ascii="Calibri" w:eastAsia="Times New Roman" w:hAnsi="Calibri" w:cs="Calibri"/>
                <w:color w:val="000000"/>
                <w:lang w:eastAsia="en-ZA"/>
              </w:rPr>
              <w:t>p</w:t>
            </w:r>
            <w:r w:rsidRPr="00EC0C6E">
              <w:rPr>
                <w:rFonts w:ascii="Calibri" w:eastAsia="Times New Roman" w:hAnsi="Calibri" w:cs="Calibri"/>
                <w:color w:val="000000"/>
                <w:lang w:eastAsia="en-ZA"/>
              </w:rPr>
              <w:t xml:space="preserve">erformance characteristics, </w:t>
            </w:r>
            <w:r>
              <w:rPr>
                <w:rFonts w:ascii="Calibri" w:eastAsia="Times New Roman" w:hAnsi="Calibri" w:cs="Calibri"/>
                <w:color w:val="000000"/>
                <w:lang w:eastAsia="en-ZA"/>
              </w:rPr>
              <w:t>o</w:t>
            </w:r>
            <w:r w:rsidRPr="00EC0C6E">
              <w:rPr>
                <w:rFonts w:ascii="Calibri" w:eastAsia="Times New Roman" w:hAnsi="Calibri" w:cs="Calibri"/>
                <w:color w:val="000000"/>
                <w:lang w:eastAsia="en-ZA"/>
              </w:rPr>
              <w:t xml:space="preserve">perational Characteristics, </w:t>
            </w:r>
            <w:r>
              <w:rPr>
                <w:rFonts w:ascii="Calibri" w:eastAsia="Times New Roman" w:hAnsi="Calibri" w:cs="Calibri"/>
                <w:color w:val="000000"/>
                <w:lang w:eastAsia="en-ZA"/>
              </w:rPr>
              <w:t>p</w:t>
            </w:r>
            <w:r w:rsidRPr="00EC0C6E">
              <w:rPr>
                <w:rFonts w:ascii="Calibri" w:eastAsia="Times New Roman" w:hAnsi="Calibri" w:cs="Calibri"/>
                <w:color w:val="000000"/>
                <w:lang w:eastAsia="en-ZA"/>
              </w:rPr>
              <w:t>ricing</w:t>
            </w:r>
          </w:p>
        </w:tc>
        <w:tc>
          <w:tcPr>
            <w:tcW w:w="1334" w:type="dxa"/>
            <w:noWrap/>
            <w:hideMark/>
          </w:tcPr>
          <w:p w14:paraId="75497C64" w14:textId="77777777" w:rsidR="00515B89" w:rsidRPr="00EC0C6E" w:rsidRDefault="00515B89" w:rsidP="00250555">
            <w:pPr>
              <w:jc w:val="center"/>
              <w:rPr>
                <w:rFonts w:ascii="Calibri" w:eastAsia="Times New Roman" w:hAnsi="Calibri" w:cs="Calibri"/>
                <w:color w:val="000000"/>
                <w:lang w:eastAsia="en-ZA"/>
              </w:rPr>
            </w:pPr>
            <w:r>
              <w:rPr>
                <w:rFonts w:ascii="Calibri" w:eastAsia="Times New Roman" w:hAnsi="Calibri" w:cs="Calibri"/>
                <w:color w:val="000000"/>
                <w:lang w:eastAsia="en-ZA"/>
              </w:rPr>
              <w:t>3</w:t>
            </w:r>
          </w:p>
        </w:tc>
      </w:tr>
      <w:tr w:rsidR="00515B89" w:rsidRPr="00EC0C6E" w14:paraId="0293C465" w14:textId="77777777" w:rsidTr="009B411C">
        <w:trPr>
          <w:trHeight w:val="243"/>
        </w:trPr>
        <w:tc>
          <w:tcPr>
            <w:tcW w:w="1345" w:type="dxa"/>
            <w:vMerge/>
            <w:noWrap/>
          </w:tcPr>
          <w:p w14:paraId="768A9FCE" w14:textId="77777777" w:rsidR="00515B89" w:rsidRPr="00EC0C6E" w:rsidRDefault="00515B89" w:rsidP="00250555">
            <w:pPr>
              <w:jc w:val="center"/>
              <w:rPr>
                <w:rFonts w:ascii="Calibri" w:eastAsia="Times New Roman" w:hAnsi="Calibri" w:cs="Calibri"/>
                <w:b/>
                <w:bCs/>
                <w:color w:val="000000"/>
                <w:lang w:eastAsia="en-ZA"/>
              </w:rPr>
            </w:pPr>
          </w:p>
        </w:tc>
        <w:tc>
          <w:tcPr>
            <w:tcW w:w="6247" w:type="dxa"/>
          </w:tcPr>
          <w:p w14:paraId="3F21A376" w14:textId="77777777" w:rsidR="00515B89" w:rsidRPr="00715749" w:rsidRDefault="00515B89" w:rsidP="00250555">
            <w:pPr>
              <w:rPr>
                <w:rFonts w:ascii="Calibri" w:eastAsia="Times New Roman" w:hAnsi="Calibri" w:cs="Calibri"/>
                <w:color w:val="000000"/>
                <w:lang w:eastAsia="en-ZA"/>
              </w:rPr>
            </w:pPr>
            <w:r>
              <w:rPr>
                <w:rFonts w:ascii="Calibri" w:eastAsia="Times New Roman" w:hAnsi="Calibri" w:cs="Calibri"/>
                <w:color w:val="000000"/>
                <w:lang w:eastAsia="en-ZA"/>
              </w:rPr>
              <w:t>S</w:t>
            </w:r>
            <w:r w:rsidRPr="00EC0C6E">
              <w:rPr>
                <w:rFonts w:ascii="Calibri" w:eastAsia="Times New Roman" w:hAnsi="Calibri" w:cs="Calibri"/>
                <w:color w:val="000000"/>
                <w:lang w:eastAsia="en-ZA"/>
              </w:rPr>
              <w:t xml:space="preserve">cope, </w:t>
            </w:r>
            <w:r>
              <w:rPr>
                <w:rFonts w:ascii="Calibri" w:eastAsia="Times New Roman" w:hAnsi="Calibri" w:cs="Calibri"/>
                <w:color w:val="000000"/>
                <w:lang w:eastAsia="en-ZA"/>
              </w:rPr>
              <w:t>p</w:t>
            </w:r>
            <w:r w:rsidRPr="00EC0C6E">
              <w:rPr>
                <w:rFonts w:ascii="Calibri" w:eastAsia="Times New Roman" w:hAnsi="Calibri" w:cs="Calibri"/>
                <w:color w:val="000000"/>
                <w:lang w:eastAsia="en-ZA"/>
              </w:rPr>
              <w:t xml:space="preserve">erformance characteristics, </w:t>
            </w:r>
            <w:r>
              <w:rPr>
                <w:rFonts w:ascii="Calibri" w:eastAsia="Times New Roman" w:hAnsi="Calibri" w:cs="Calibri"/>
                <w:color w:val="000000"/>
                <w:lang w:eastAsia="en-ZA"/>
              </w:rPr>
              <w:t>o</w:t>
            </w:r>
            <w:r w:rsidRPr="00EC0C6E">
              <w:rPr>
                <w:rFonts w:ascii="Calibri" w:eastAsia="Times New Roman" w:hAnsi="Calibri" w:cs="Calibri"/>
                <w:color w:val="000000"/>
                <w:lang w:eastAsia="en-ZA"/>
              </w:rPr>
              <w:t xml:space="preserve">perational </w:t>
            </w:r>
            <w:r>
              <w:rPr>
                <w:rFonts w:ascii="Calibri" w:eastAsia="Times New Roman" w:hAnsi="Calibri" w:cs="Calibri"/>
                <w:color w:val="000000"/>
                <w:lang w:eastAsia="en-ZA"/>
              </w:rPr>
              <w:t>c</w:t>
            </w:r>
            <w:r w:rsidRPr="00EC0C6E">
              <w:rPr>
                <w:rFonts w:ascii="Calibri" w:eastAsia="Times New Roman" w:hAnsi="Calibri" w:cs="Calibri"/>
                <w:color w:val="000000"/>
                <w:lang w:eastAsia="en-ZA"/>
              </w:rPr>
              <w:t>haracteristics, patient access/</w:t>
            </w:r>
            <w:proofErr w:type="spellStart"/>
            <w:r w:rsidRPr="00EC0C6E">
              <w:rPr>
                <w:rFonts w:ascii="Calibri" w:eastAsia="Times New Roman" w:hAnsi="Calibri" w:cs="Calibri"/>
                <w:color w:val="000000"/>
                <w:lang w:eastAsia="en-ZA"/>
              </w:rPr>
              <w:t>commercialisation</w:t>
            </w:r>
            <w:proofErr w:type="spellEnd"/>
          </w:p>
        </w:tc>
        <w:tc>
          <w:tcPr>
            <w:tcW w:w="1334" w:type="dxa"/>
            <w:noWrap/>
            <w:hideMark/>
          </w:tcPr>
          <w:p w14:paraId="0888C900" w14:textId="77777777" w:rsidR="00515B89" w:rsidRPr="00EC0C6E" w:rsidRDefault="00515B89" w:rsidP="00250555">
            <w:pPr>
              <w:jc w:val="center"/>
              <w:rPr>
                <w:rFonts w:ascii="Calibri" w:eastAsia="Times New Roman" w:hAnsi="Calibri" w:cs="Calibri"/>
                <w:color w:val="000000"/>
                <w:lang w:eastAsia="en-ZA"/>
              </w:rPr>
            </w:pPr>
            <w:r w:rsidRPr="00EC0C6E">
              <w:rPr>
                <w:rFonts w:ascii="Calibri" w:eastAsia="Times New Roman" w:hAnsi="Calibri" w:cs="Calibri"/>
                <w:color w:val="000000"/>
                <w:lang w:eastAsia="en-ZA"/>
              </w:rPr>
              <w:t>1</w:t>
            </w:r>
          </w:p>
        </w:tc>
      </w:tr>
      <w:tr w:rsidR="00515B89" w:rsidRPr="00EC0C6E" w14:paraId="07C21C37" w14:textId="77777777" w:rsidTr="009B411C">
        <w:trPr>
          <w:trHeight w:val="243"/>
        </w:trPr>
        <w:tc>
          <w:tcPr>
            <w:tcW w:w="1345" w:type="dxa"/>
            <w:vMerge/>
            <w:noWrap/>
          </w:tcPr>
          <w:p w14:paraId="79E1FD6D" w14:textId="77777777" w:rsidR="00515B89" w:rsidRPr="00EC0C6E" w:rsidRDefault="00515B89" w:rsidP="00250555">
            <w:pPr>
              <w:jc w:val="center"/>
              <w:rPr>
                <w:rFonts w:ascii="Calibri" w:eastAsia="Times New Roman" w:hAnsi="Calibri" w:cs="Calibri"/>
                <w:b/>
                <w:bCs/>
                <w:color w:val="000000"/>
                <w:lang w:eastAsia="en-ZA"/>
              </w:rPr>
            </w:pPr>
          </w:p>
        </w:tc>
        <w:tc>
          <w:tcPr>
            <w:tcW w:w="6247" w:type="dxa"/>
          </w:tcPr>
          <w:p w14:paraId="6DC43B47" w14:textId="77777777" w:rsidR="00515B89" w:rsidRPr="00715749" w:rsidRDefault="00515B89" w:rsidP="00250555">
            <w:pPr>
              <w:rPr>
                <w:rFonts w:ascii="Calibri" w:eastAsia="Times New Roman" w:hAnsi="Calibri" w:cs="Calibri"/>
                <w:color w:val="000000"/>
                <w:lang w:eastAsia="en-ZA"/>
              </w:rPr>
            </w:pPr>
            <w:r>
              <w:rPr>
                <w:rFonts w:ascii="Calibri" w:eastAsia="Times New Roman" w:hAnsi="Calibri" w:cs="Calibri"/>
                <w:color w:val="000000"/>
                <w:lang w:eastAsia="en-ZA"/>
              </w:rPr>
              <w:t>D</w:t>
            </w:r>
            <w:r w:rsidRPr="00715749">
              <w:rPr>
                <w:rFonts w:ascii="Calibri" w:eastAsia="Times New Roman" w:hAnsi="Calibri" w:cs="Calibri"/>
                <w:color w:val="000000"/>
                <w:lang w:eastAsia="en-ZA"/>
              </w:rPr>
              <w:t>rug</w:t>
            </w:r>
            <w:r w:rsidRPr="00EC0C6E">
              <w:rPr>
                <w:rFonts w:ascii="Calibri" w:eastAsia="Times New Roman" w:hAnsi="Calibri" w:cs="Calibri"/>
                <w:color w:val="000000"/>
                <w:lang w:eastAsia="en-ZA"/>
              </w:rPr>
              <w:t>-related</w:t>
            </w:r>
            <w:r>
              <w:rPr>
                <w:rFonts w:ascii="Calibri" w:eastAsia="Times New Roman" w:hAnsi="Calibri" w:cs="Calibri"/>
                <w:color w:val="000000"/>
                <w:lang w:eastAsia="en-ZA"/>
              </w:rPr>
              <w:t xml:space="preserve"> </w:t>
            </w:r>
            <w:r w:rsidRPr="00EC0C6E">
              <w:rPr>
                <w:rFonts w:ascii="Calibri" w:eastAsia="Times New Roman" w:hAnsi="Calibri" w:cs="Calibri"/>
                <w:color w:val="000000"/>
                <w:lang w:eastAsia="en-ZA"/>
              </w:rPr>
              <w:t>characteristics, product-related</w:t>
            </w:r>
            <w:r>
              <w:rPr>
                <w:rFonts w:ascii="Calibri" w:eastAsia="Times New Roman" w:hAnsi="Calibri" w:cs="Calibri"/>
                <w:color w:val="000000"/>
                <w:lang w:eastAsia="en-ZA"/>
              </w:rPr>
              <w:t xml:space="preserve"> </w:t>
            </w:r>
            <w:r w:rsidRPr="00EC0C6E">
              <w:rPr>
                <w:rFonts w:ascii="Calibri" w:eastAsia="Times New Roman" w:hAnsi="Calibri" w:cs="Calibri"/>
                <w:color w:val="000000"/>
                <w:lang w:eastAsia="en-ZA"/>
              </w:rPr>
              <w:t>characteristics, legal-related</w:t>
            </w:r>
            <w:r>
              <w:rPr>
                <w:rFonts w:ascii="Calibri" w:eastAsia="Times New Roman" w:hAnsi="Calibri" w:cs="Calibri"/>
                <w:color w:val="000000"/>
                <w:lang w:eastAsia="en-ZA"/>
              </w:rPr>
              <w:t xml:space="preserve"> </w:t>
            </w:r>
            <w:r w:rsidRPr="00EC0C6E">
              <w:rPr>
                <w:rFonts w:ascii="Calibri" w:eastAsia="Times New Roman" w:hAnsi="Calibri" w:cs="Calibri"/>
                <w:color w:val="000000"/>
                <w:lang w:eastAsia="en-ZA"/>
              </w:rPr>
              <w:t xml:space="preserve">characteristics, </w:t>
            </w:r>
            <w:r w:rsidRPr="00715749">
              <w:rPr>
                <w:rFonts w:ascii="Calibri" w:eastAsia="Times New Roman" w:hAnsi="Calibri" w:cs="Calibri"/>
                <w:color w:val="000000"/>
                <w:lang w:eastAsia="en-ZA"/>
              </w:rPr>
              <w:t>manufacturing</w:t>
            </w:r>
            <w:r w:rsidRPr="00EC0C6E">
              <w:rPr>
                <w:rFonts w:ascii="Calibri" w:eastAsia="Times New Roman" w:hAnsi="Calibri" w:cs="Calibri"/>
                <w:color w:val="000000"/>
                <w:lang w:eastAsia="en-ZA"/>
              </w:rPr>
              <w:t>-related</w:t>
            </w:r>
            <w:r>
              <w:rPr>
                <w:rFonts w:ascii="Calibri" w:eastAsia="Times New Roman" w:hAnsi="Calibri" w:cs="Calibri"/>
                <w:color w:val="000000"/>
                <w:lang w:eastAsia="en-ZA"/>
              </w:rPr>
              <w:t xml:space="preserve"> </w:t>
            </w:r>
            <w:r w:rsidRPr="00EC0C6E">
              <w:rPr>
                <w:rFonts w:ascii="Calibri" w:eastAsia="Times New Roman" w:hAnsi="Calibri" w:cs="Calibri"/>
                <w:color w:val="000000"/>
                <w:lang w:eastAsia="en-ZA"/>
              </w:rPr>
              <w:t>characteristics</w:t>
            </w:r>
          </w:p>
        </w:tc>
        <w:tc>
          <w:tcPr>
            <w:tcW w:w="1334" w:type="dxa"/>
            <w:noWrap/>
            <w:hideMark/>
          </w:tcPr>
          <w:p w14:paraId="1C230D4E" w14:textId="77777777" w:rsidR="00515B89" w:rsidRPr="00EC0C6E" w:rsidRDefault="00515B89" w:rsidP="00250555">
            <w:pPr>
              <w:jc w:val="center"/>
              <w:rPr>
                <w:rFonts w:ascii="Calibri" w:eastAsia="Times New Roman" w:hAnsi="Calibri" w:cs="Calibri"/>
                <w:color w:val="000000"/>
                <w:lang w:eastAsia="en-ZA"/>
              </w:rPr>
            </w:pPr>
            <w:r w:rsidRPr="00EC0C6E">
              <w:rPr>
                <w:rFonts w:ascii="Calibri" w:eastAsia="Times New Roman" w:hAnsi="Calibri" w:cs="Calibri"/>
                <w:color w:val="000000"/>
                <w:lang w:eastAsia="en-ZA"/>
              </w:rPr>
              <w:t>1</w:t>
            </w:r>
          </w:p>
        </w:tc>
      </w:tr>
      <w:tr w:rsidR="00515B89" w:rsidRPr="00EC0C6E" w14:paraId="08D734DC" w14:textId="77777777" w:rsidTr="009B411C">
        <w:trPr>
          <w:trHeight w:val="243"/>
        </w:trPr>
        <w:tc>
          <w:tcPr>
            <w:tcW w:w="1345" w:type="dxa"/>
            <w:vMerge w:val="restart"/>
            <w:noWrap/>
            <w:vAlign w:val="center"/>
            <w:hideMark/>
          </w:tcPr>
          <w:p w14:paraId="3B674A51" w14:textId="46840DEB" w:rsidR="00515B89" w:rsidRPr="00EC0C6E" w:rsidRDefault="00515B89" w:rsidP="00515B89">
            <w:pPr>
              <w:jc w:val="center"/>
              <w:rPr>
                <w:rFonts w:ascii="Calibri" w:eastAsia="Times New Roman" w:hAnsi="Calibri" w:cs="Calibri"/>
                <w:b/>
                <w:bCs/>
                <w:color w:val="000000"/>
                <w:lang w:eastAsia="en-ZA"/>
              </w:rPr>
            </w:pPr>
            <w:r>
              <w:rPr>
                <w:rFonts w:ascii="Calibri" w:eastAsia="Times New Roman" w:hAnsi="Calibri" w:cs="Calibri"/>
                <w:b/>
                <w:bCs/>
                <w:color w:val="000000"/>
                <w:lang w:eastAsia="en-ZA"/>
              </w:rPr>
              <w:t>5</w:t>
            </w:r>
          </w:p>
        </w:tc>
        <w:tc>
          <w:tcPr>
            <w:tcW w:w="6247" w:type="dxa"/>
          </w:tcPr>
          <w:p w14:paraId="049AD754" w14:textId="77777777" w:rsidR="00515B89" w:rsidRPr="00715749" w:rsidRDefault="00515B89" w:rsidP="00250555">
            <w:pPr>
              <w:rPr>
                <w:rFonts w:ascii="Calibri" w:eastAsia="Times New Roman" w:hAnsi="Calibri" w:cs="Calibri"/>
                <w:color w:val="000000"/>
                <w:lang w:eastAsia="en-ZA"/>
              </w:rPr>
            </w:pPr>
            <w:r>
              <w:rPr>
                <w:rFonts w:ascii="Calibri" w:eastAsia="Times New Roman" w:hAnsi="Calibri" w:cs="Calibri"/>
                <w:color w:val="000000"/>
                <w:lang w:eastAsia="en-ZA"/>
              </w:rPr>
              <w:t>S</w:t>
            </w:r>
            <w:r w:rsidRPr="00EC0C6E">
              <w:rPr>
                <w:rFonts w:ascii="Calibri" w:eastAsia="Times New Roman" w:hAnsi="Calibri" w:cs="Calibri"/>
                <w:color w:val="000000"/>
                <w:lang w:eastAsia="en-ZA"/>
              </w:rPr>
              <w:t>cope, performance characteristics, operational characteristics, cost characteristics, miscellaneous characteristics</w:t>
            </w:r>
          </w:p>
        </w:tc>
        <w:tc>
          <w:tcPr>
            <w:tcW w:w="1334" w:type="dxa"/>
            <w:noWrap/>
            <w:hideMark/>
          </w:tcPr>
          <w:p w14:paraId="43435315" w14:textId="77777777" w:rsidR="00515B89" w:rsidRPr="00EC0C6E" w:rsidRDefault="00515B89" w:rsidP="00250555">
            <w:pPr>
              <w:jc w:val="center"/>
              <w:rPr>
                <w:rFonts w:ascii="Calibri" w:eastAsia="Times New Roman" w:hAnsi="Calibri" w:cs="Calibri"/>
                <w:color w:val="000000"/>
                <w:lang w:eastAsia="en-ZA"/>
              </w:rPr>
            </w:pPr>
            <w:r w:rsidRPr="00EC0C6E">
              <w:rPr>
                <w:rFonts w:ascii="Calibri" w:eastAsia="Times New Roman" w:hAnsi="Calibri" w:cs="Calibri"/>
                <w:color w:val="000000"/>
                <w:lang w:eastAsia="en-ZA"/>
              </w:rPr>
              <w:t>1</w:t>
            </w:r>
          </w:p>
        </w:tc>
      </w:tr>
      <w:tr w:rsidR="00515B89" w:rsidRPr="00EC0C6E" w14:paraId="2C168584" w14:textId="77777777" w:rsidTr="009B411C">
        <w:trPr>
          <w:trHeight w:val="243"/>
        </w:trPr>
        <w:tc>
          <w:tcPr>
            <w:tcW w:w="1345" w:type="dxa"/>
            <w:vMerge/>
            <w:noWrap/>
            <w:hideMark/>
          </w:tcPr>
          <w:p w14:paraId="4313826F" w14:textId="77777777" w:rsidR="00515B89" w:rsidRPr="00EC0C6E" w:rsidRDefault="00515B89" w:rsidP="00250555">
            <w:pPr>
              <w:jc w:val="center"/>
              <w:rPr>
                <w:rFonts w:ascii="Calibri" w:eastAsia="Times New Roman" w:hAnsi="Calibri" w:cs="Calibri"/>
                <w:b/>
                <w:bCs/>
                <w:color w:val="000000"/>
                <w:lang w:eastAsia="en-ZA"/>
              </w:rPr>
            </w:pPr>
          </w:p>
        </w:tc>
        <w:tc>
          <w:tcPr>
            <w:tcW w:w="6247" w:type="dxa"/>
          </w:tcPr>
          <w:p w14:paraId="5E7FC419" w14:textId="77777777" w:rsidR="00515B89" w:rsidRPr="00715749" w:rsidRDefault="00515B89" w:rsidP="00250555">
            <w:pPr>
              <w:rPr>
                <w:rFonts w:ascii="Calibri" w:eastAsia="Times New Roman" w:hAnsi="Calibri" w:cs="Calibri"/>
                <w:color w:val="000000"/>
                <w:lang w:eastAsia="en-ZA"/>
              </w:rPr>
            </w:pPr>
            <w:r>
              <w:rPr>
                <w:rFonts w:ascii="Calibri" w:eastAsia="Times New Roman" w:hAnsi="Calibri" w:cs="Calibri"/>
                <w:color w:val="000000"/>
                <w:lang w:eastAsia="en-ZA"/>
              </w:rPr>
              <w:t>S</w:t>
            </w:r>
            <w:r w:rsidRPr="00EC0C6E">
              <w:rPr>
                <w:rFonts w:ascii="Calibri" w:eastAsia="Times New Roman" w:hAnsi="Calibri" w:cs="Calibri"/>
                <w:color w:val="000000"/>
                <w:lang w:eastAsia="en-ZA"/>
              </w:rPr>
              <w:t>cope, level of health care setting, target user, diagnosis moment, operational characteristics</w:t>
            </w:r>
          </w:p>
        </w:tc>
        <w:tc>
          <w:tcPr>
            <w:tcW w:w="1334" w:type="dxa"/>
            <w:noWrap/>
            <w:hideMark/>
          </w:tcPr>
          <w:p w14:paraId="6692E2DF" w14:textId="77777777" w:rsidR="00515B89" w:rsidRPr="00EC0C6E" w:rsidRDefault="00515B89" w:rsidP="00250555">
            <w:pPr>
              <w:jc w:val="center"/>
              <w:rPr>
                <w:rFonts w:ascii="Calibri" w:eastAsia="Times New Roman" w:hAnsi="Calibri" w:cs="Calibri"/>
                <w:color w:val="000000"/>
                <w:lang w:eastAsia="en-ZA"/>
              </w:rPr>
            </w:pPr>
            <w:r w:rsidRPr="00EC0C6E">
              <w:rPr>
                <w:rFonts w:ascii="Calibri" w:eastAsia="Times New Roman" w:hAnsi="Calibri" w:cs="Calibri"/>
                <w:color w:val="000000"/>
                <w:lang w:eastAsia="en-ZA"/>
              </w:rPr>
              <w:t>1</w:t>
            </w:r>
          </w:p>
        </w:tc>
      </w:tr>
      <w:tr w:rsidR="00515B89" w:rsidRPr="00EC0C6E" w14:paraId="33366EF3" w14:textId="77777777" w:rsidTr="009B411C">
        <w:trPr>
          <w:trHeight w:val="243"/>
        </w:trPr>
        <w:tc>
          <w:tcPr>
            <w:tcW w:w="1345" w:type="dxa"/>
            <w:vMerge/>
            <w:noWrap/>
            <w:hideMark/>
          </w:tcPr>
          <w:p w14:paraId="770CE022" w14:textId="77777777" w:rsidR="00515B89" w:rsidRPr="00EC0C6E" w:rsidRDefault="00515B89" w:rsidP="00250555">
            <w:pPr>
              <w:jc w:val="center"/>
              <w:rPr>
                <w:rFonts w:ascii="Calibri" w:eastAsia="Times New Roman" w:hAnsi="Calibri" w:cs="Calibri"/>
                <w:b/>
                <w:bCs/>
                <w:color w:val="000000"/>
                <w:lang w:eastAsia="en-ZA"/>
              </w:rPr>
            </w:pPr>
          </w:p>
        </w:tc>
        <w:tc>
          <w:tcPr>
            <w:tcW w:w="6247" w:type="dxa"/>
          </w:tcPr>
          <w:p w14:paraId="43FF679F" w14:textId="77777777" w:rsidR="00515B89" w:rsidRPr="00715749" w:rsidRDefault="00515B89" w:rsidP="00250555">
            <w:pPr>
              <w:rPr>
                <w:rFonts w:ascii="Calibri" w:eastAsia="Times New Roman" w:hAnsi="Calibri" w:cs="Calibri"/>
                <w:color w:val="000000"/>
                <w:lang w:eastAsia="en-ZA"/>
              </w:rPr>
            </w:pPr>
            <w:r>
              <w:rPr>
                <w:rFonts w:ascii="Calibri" w:eastAsia="Times New Roman" w:hAnsi="Calibri" w:cs="Calibri"/>
                <w:color w:val="000000"/>
                <w:lang w:eastAsia="en-ZA"/>
              </w:rPr>
              <w:t>S</w:t>
            </w:r>
            <w:r w:rsidRPr="00EC0C6E">
              <w:rPr>
                <w:rFonts w:ascii="Calibri" w:eastAsia="Times New Roman" w:hAnsi="Calibri" w:cs="Calibri"/>
                <w:color w:val="000000"/>
                <w:lang w:eastAsia="en-ZA"/>
              </w:rPr>
              <w:t xml:space="preserve">cope, technical specification, </w:t>
            </w:r>
            <w:r w:rsidRPr="00715749">
              <w:rPr>
                <w:rFonts w:ascii="Calibri" w:eastAsia="Times New Roman" w:hAnsi="Calibri" w:cs="Calibri"/>
                <w:color w:val="000000"/>
                <w:lang w:eastAsia="en-ZA"/>
              </w:rPr>
              <w:t>reproducibility</w:t>
            </w:r>
            <w:r w:rsidRPr="00EC0C6E">
              <w:rPr>
                <w:rFonts w:ascii="Calibri" w:eastAsia="Times New Roman" w:hAnsi="Calibri" w:cs="Calibri"/>
                <w:color w:val="000000"/>
                <w:lang w:eastAsia="en-ZA"/>
              </w:rPr>
              <w:t xml:space="preserve">, operational characteristics, market </w:t>
            </w:r>
            <w:r w:rsidRPr="00715749">
              <w:rPr>
                <w:rFonts w:ascii="Calibri" w:eastAsia="Times New Roman" w:hAnsi="Calibri" w:cs="Calibri"/>
                <w:color w:val="000000"/>
                <w:lang w:eastAsia="en-ZA"/>
              </w:rPr>
              <w:t>overview</w:t>
            </w:r>
          </w:p>
        </w:tc>
        <w:tc>
          <w:tcPr>
            <w:tcW w:w="1334" w:type="dxa"/>
            <w:noWrap/>
            <w:hideMark/>
          </w:tcPr>
          <w:p w14:paraId="38370E90" w14:textId="77777777" w:rsidR="00515B89" w:rsidRPr="00EC0C6E" w:rsidRDefault="00515B89" w:rsidP="00250555">
            <w:pPr>
              <w:jc w:val="center"/>
              <w:rPr>
                <w:rFonts w:ascii="Calibri" w:eastAsia="Times New Roman" w:hAnsi="Calibri" w:cs="Calibri"/>
                <w:color w:val="000000"/>
                <w:lang w:eastAsia="en-ZA"/>
              </w:rPr>
            </w:pPr>
            <w:r w:rsidRPr="00EC0C6E">
              <w:rPr>
                <w:rFonts w:ascii="Calibri" w:eastAsia="Times New Roman" w:hAnsi="Calibri" w:cs="Calibri"/>
                <w:color w:val="000000"/>
                <w:lang w:eastAsia="en-ZA"/>
              </w:rPr>
              <w:t>1</w:t>
            </w:r>
          </w:p>
        </w:tc>
      </w:tr>
      <w:tr w:rsidR="00515B89" w:rsidRPr="00EC0C6E" w14:paraId="4B93CE1D" w14:textId="77777777" w:rsidTr="009B411C">
        <w:trPr>
          <w:trHeight w:val="243"/>
        </w:trPr>
        <w:tc>
          <w:tcPr>
            <w:tcW w:w="1345" w:type="dxa"/>
            <w:vMerge/>
            <w:noWrap/>
            <w:hideMark/>
          </w:tcPr>
          <w:p w14:paraId="4A4B2270" w14:textId="77777777" w:rsidR="00515B89" w:rsidRPr="00EC0C6E" w:rsidRDefault="00515B89" w:rsidP="00250555">
            <w:pPr>
              <w:jc w:val="center"/>
              <w:rPr>
                <w:rFonts w:ascii="Calibri" w:eastAsia="Times New Roman" w:hAnsi="Calibri" w:cs="Calibri"/>
                <w:b/>
                <w:bCs/>
                <w:color w:val="000000"/>
                <w:lang w:eastAsia="en-ZA"/>
              </w:rPr>
            </w:pPr>
          </w:p>
        </w:tc>
        <w:tc>
          <w:tcPr>
            <w:tcW w:w="6247" w:type="dxa"/>
          </w:tcPr>
          <w:p w14:paraId="3F750B70" w14:textId="77777777" w:rsidR="00515B89" w:rsidRPr="00715749" w:rsidRDefault="00515B89" w:rsidP="00250555">
            <w:pPr>
              <w:rPr>
                <w:rFonts w:ascii="Calibri" w:eastAsia="Times New Roman" w:hAnsi="Calibri" w:cs="Calibri"/>
                <w:color w:val="000000"/>
                <w:lang w:eastAsia="en-ZA"/>
              </w:rPr>
            </w:pPr>
            <w:r w:rsidRPr="00EC0C6E">
              <w:rPr>
                <w:rFonts w:ascii="Calibri" w:eastAsia="Times New Roman" w:hAnsi="Calibri" w:cs="Calibri"/>
                <w:color w:val="000000"/>
                <w:lang w:eastAsia="en-ZA"/>
              </w:rPr>
              <w:t xml:space="preserve">Scope, patient/population needs and </w:t>
            </w:r>
            <w:r w:rsidRPr="00715749">
              <w:rPr>
                <w:rFonts w:ascii="Calibri" w:eastAsia="Times New Roman" w:hAnsi="Calibri" w:cs="Calibri"/>
                <w:color w:val="000000"/>
                <w:lang w:eastAsia="en-ZA"/>
              </w:rPr>
              <w:t>performance</w:t>
            </w:r>
            <w:r w:rsidRPr="00EC0C6E">
              <w:rPr>
                <w:rFonts w:ascii="Calibri" w:eastAsia="Times New Roman" w:hAnsi="Calibri" w:cs="Calibri"/>
                <w:color w:val="000000"/>
                <w:lang w:eastAsia="en-ZA"/>
              </w:rPr>
              <w:t xml:space="preserve"> characteristics, regulatory needs, healthcare system needs, commercial and sustainability needs</w:t>
            </w:r>
          </w:p>
        </w:tc>
        <w:tc>
          <w:tcPr>
            <w:tcW w:w="1334" w:type="dxa"/>
            <w:noWrap/>
            <w:hideMark/>
          </w:tcPr>
          <w:p w14:paraId="08449EFC" w14:textId="77777777" w:rsidR="00515B89" w:rsidRPr="00EC0C6E" w:rsidRDefault="00515B89" w:rsidP="00250555">
            <w:pPr>
              <w:jc w:val="center"/>
              <w:rPr>
                <w:rFonts w:ascii="Calibri" w:eastAsia="Times New Roman" w:hAnsi="Calibri" w:cs="Calibri"/>
                <w:color w:val="000000"/>
                <w:lang w:eastAsia="en-ZA"/>
              </w:rPr>
            </w:pPr>
            <w:r w:rsidRPr="00EC0C6E">
              <w:rPr>
                <w:rFonts w:ascii="Calibri" w:eastAsia="Times New Roman" w:hAnsi="Calibri" w:cs="Calibri"/>
                <w:color w:val="000000"/>
                <w:lang w:eastAsia="en-ZA"/>
              </w:rPr>
              <w:t>1</w:t>
            </w:r>
          </w:p>
        </w:tc>
      </w:tr>
      <w:tr w:rsidR="00515B89" w:rsidRPr="00EC0C6E" w14:paraId="5EB1CE8D" w14:textId="77777777" w:rsidTr="009B411C">
        <w:trPr>
          <w:trHeight w:val="243"/>
        </w:trPr>
        <w:tc>
          <w:tcPr>
            <w:tcW w:w="1345" w:type="dxa"/>
            <w:vMerge/>
            <w:noWrap/>
            <w:hideMark/>
          </w:tcPr>
          <w:p w14:paraId="0056FA97" w14:textId="77777777" w:rsidR="00515B89" w:rsidRPr="00EC0C6E" w:rsidRDefault="00515B89" w:rsidP="00250555">
            <w:pPr>
              <w:jc w:val="center"/>
              <w:rPr>
                <w:rFonts w:ascii="Calibri" w:eastAsia="Times New Roman" w:hAnsi="Calibri" w:cs="Calibri"/>
                <w:b/>
                <w:bCs/>
                <w:color w:val="000000"/>
                <w:lang w:eastAsia="en-ZA"/>
              </w:rPr>
            </w:pPr>
          </w:p>
        </w:tc>
        <w:tc>
          <w:tcPr>
            <w:tcW w:w="6247" w:type="dxa"/>
          </w:tcPr>
          <w:p w14:paraId="23D83458" w14:textId="77777777" w:rsidR="00515B89" w:rsidRPr="00715749" w:rsidRDefault="00515B89" w:rsidP="00250555">
            <w:pPr>
              <w:rPr>
                <w:rFonts w:ascii="Calibri" w:eastAsia="Times New Roman" w:hAnsi="Calibri" w:cs="Calibri"/>
                <w:color w:val="000000"/>
                <w:lang w:eastAsia="en-ZA"/>
              </w:rPr>
            </w:pPr>
            <w:r>
              <w:rPr>
                <w:rFonts w:ascii="Calibri" w:eastAsia="Times New Roman" w:hAnsi="Calibri" w:cs="Calibri"/>
                <w:color w:val="000000"/>
                <w:lang w:eastAsia="en-ZA"/>
              </w:rPr>
              <w:t>S</w:t>
            </w:r>
            <w:r w:rsidRPr="00EC0C6E">
              <w:rPr>
                <w:rFonts w:ascii="Calibri" w:eastAsia="Times New Roman" w:hAnsi="Calibri" w:cs="Calibri"/>
                <w:color w:val="000000"/>
                <w:lang w:eastAsia="en-ZA"/>
              </w:rPr>
              <w:t xml:space="preserve">cope, performance </w:t>
            </w:r>
            <w:r w:rsidRPr="00715749">
              <w:rPr>
                <w:rFonts w:ascii="Calibri" w:eastAsia="Times New Roman" w:hAnsi="Calibri" w:cs="Calibri"/>
                <w:color w:val="000000"/>
                <w:lang w:eastAsia="en-ZA"/>
              </w:rPr>
              <w:t>characteristics</w:t>
            </w:r>
            <w:r w:rsidRPr="00EC0C6E">
              <w:rPr>
                <w:rFonts w:ascii="Calibri" w:eastAsia="Times New Roman" w:hAnsi="Calibri" w:cs="Calibri"/>
                <w:color w:val="000000"/>
                <w:lang w:eastAsia="en-ZA"/>
              </w:rPr>
              <w:t xml:space="preserve">, test procedure, operational characteristics, pricing </w:t>
            </w:r>
          </w:p>
        </w:tc>
        <w:tc>
          <w:tcPr>
            <w:tcW w:w="1334" w:type="dxa"/>
            <w:noWrap/>
            <w:hideMark/>
          </w:tcPr>
          <w:p w14:paraId="385CE45E" w14:textId="77777777" w:rsidR="00515B89" w:rsidRPr="00EC0C6E" w:rsidRDefault="00515B89" w:rsidP="00250555">
            <w:pPr>
              <w:jc w:val="center"/>
              <w:rPr>
                <w:rFonts w:ascii="Calibri" w:eastAsia="Times New Roman" w:hAnsi="Calibri" w:cs="Calibri"/>
                <w:color w:val="000000"/>
                <w:lang w:eastAsia="en-ZA"/>
              </w:rPr>
            </w:pPr>
            <w:r w:rsidRPr="00EC0C6E">
              <w:rPr>
                <w:rFonts w:ascii="Calibri" w:eastAsia="Times New Roman" w:hAnsi="Calibri" w:cs="Calibri"/>
                <w:color w:val="000000"/>
                <w:lang w:eastAsia="en-ZA"/>
              </w:rPr>
              <w:t>1</w:t>
            </w:r>
          </w:p>
        </w:tc>
      </w:tr>
      <w:tr w:rsidR="00515B89" w:rsidRPr="00EC0C6E" w14:paraId="2A541008" w14:textId="77777777" w:rsidTr="009B411C">
        <w:trPr>
          <w:trHeight w:val="243"/>
        </w:trPr>
        <w:tc>
          <w:tcPr>
            <w:tcW w:w="1345" w:type="dxa"/>
            <w:vMerge w:val="restart"/>
            <w:noWrap/>
            <w:vAlign w:val="center"/>
            <w:hideMark/>
          </w:tcPr>
          <w:p w14:paraId="67250C09" w14:textId="0DE1E40B" w:rsidR="00515B89" w:rsidRPr="00EC0C6E" w:rsidRDefault="00515B89" w:rsidP="00515B89">
            <w:pPr>
              <w:jc w:val="center"/>
              <w:rPr>
                <w:rFonts w:ascii="Calibri" w:eastAsia="Times New Roman" w:hAnsi="Calibri" w:cs="Calibri"/>
                <w:b/>
                <w:bCs/>
                <w:color w:val="000000"/>
                <w:lang w:eastAsia="en-ZA"/>
              </w:rPr>
            </w:pPr>
            <w:r>
              <w:rPr>
                <w:rFonts w:ascii="Calibri" w:eastAsia="Times New Roman" w:hAnsi="Calibri" w:cs="Calibri"/>
                <w:b/>
                <w:bCs/>
                <w:color w:val="000000"/>
                <w:lang w:eastAsia="en-ZA"/>
              </w:rPr>
              <w:t>6</w:t>
            </w:r>
          </w:p>
        </w:tc>
        <w:tc>
          <w:tcPr>
            <w:tcW w:w="6247" w:type="dxa"/>
          </w:tcPr>
          <w:p w14:paraId="134B91BC" w14:textId="77777777" w:rsidR="00515B89" w:rsidRPr="00715749" w:rsidRDefault="00515B89" w:rsidP="00250555">
            <w:pPr>
              <w:rPr>
                <w:rFonts w:ascii="Calibri" w:eastAsia="Times New Roman" w:hAnsi="Calibri" w:cs="Calibri"/>
                <w:color w:val="000000"/>
                <w:lang w:eastAsia="en-ZA"/>
              </w:rPr>
            </w:pPr>
            <w:r>
              <w:rPr>
                <w:rFonts w:ascii="Calibri" w:eastAsia="Times New Roman" w:hAnsi="Calibri" w:cs="Calibri"/>
                <w:color w:val="000000"/>
                <w:lang w:eastAsia="en-ZA"/>
              </w:rPr>
              <w:t>S</w:t>
            </w:r>
            <w:r w:rsidRPr="00EC0C6E">
              <w:rPr>
                <w:rFonts w:ascii="Calibri" w:eastAsia="Times New Roman" w:hAnsi="Calibri" w:cs="Calibri"/>
                <w:color w:val="000000"/>
                <w:lang w:eastAsia="en-ZA"/>
              </w:rPr>
              <w:t xml:space="preserve">cope, test </w:t>
            </w:r>
            <w:r w:rsidRPr="00715749">
              <w:rPr>
                <w:rFonts w:ascii="Calibri" w:eastAsia="Times New Roman" w:hAnsi="Calibri" w:cs="Calibri"/>
                <w:color w:val="000000"/>
                <w:lang w:eastAsia="en-ZA"/>
              </w:rPr>
              <w:t>performance</w:t>
            </w:r>
            <w:r w:rsidRPr="00EC0C6E">
              <w:rPr>
                <w:rFonts w:ascii="Calibri" w:eastAsia="Times New Roman" w:hAnsi="Calibri" w:cs="Calibri"/>
                <w:color w:val="000000"/>
                <w:lang w:eastAsia="en-ZA"/>
              </w:rPr>
              <w:t>, test procedure, test results, consumables, operational characteristics</w:t>
            </w:r>
          </w:p>
        </w:tc>
        <w:tc>
          <w:tcPr>
            <w:tcW w:w="1334" w:type="dxa"/>
            <w:noWrap/>
            <w:hideMark/>
          </w:tcPr>
          <w:p w14:paraId="55229251" w14:textId="77777777" w:rsidR="00515B89" w:rsidRPr="00EC0C6E" w:rsidRDefault="00515B89" w:rsidP="00250555">
            <w:pPr>
              <w:jc w:val="center"/>
              <w:rPr>
                <w:rFonts w:ascii="Calibri" w:eastAsia="Times New Roman" w:hAnsi="Calibri" w:cs="Calibri"/>
                <w:color w:val="000000"/>
                <w:lang w:eastAsia="en-ZA"/>
              </w:rPr>
            </w:pPr>
            <w:r w:rsidRPr="00EC0C6E">
              <w:rPr>
                <w:rFonts w:ascii="Calibri" w:eastAsia="Times New Roman" w:hAnsi="Calibri" w:cs="Calibri"/>
                <w:color w:val="000000"/>
                <w:lang w:eastAsia="en-ZA"/>
              </w:rPr>
              <w:t>1</w:t>
            </w:r>
          </w:p>
        </w:tc>
      </w:tr>
      <w:tr w:rsidR="00515B89" w:rsidRPr="00EC0C6E" w14:paraId="6FE2C720" w14:textId="77777777" w:rsidTr="009B411C">
        <w:trPr>
          <w:trHeight w:val="243"/>
        </w:trPr>
        <w:tc>
          <w:tcPr>
            <w:tcW w:w="1345" w:type="dxa"/>
            <w:vMerge/>
            <w:noWrap/>
            <w:hideMark/>
          </w:tcPr>
          <w:p w14:paraId="75F7DE3E" w14:textId="77777777" w:rsidR="00515B89" w:rsidRPr="00EC0C6E" w:rsidRDefault="00515B89" w:rsidP="00250555">
            <w:pPr>
              <w:jc w:val="center"/>
              <w:rPr>
                <w:rFonts w:ascii="Calibri" w:eastAsia="Times New Roman" w:hAnsi="Calibri" w:cs="Calibri"/>
                <w:b/>
                <w:bCs/>
                <w:color w:val="000000"/>
                <w:lang w:eastAsia="en-ZA"/>
              </w:rPr>
            </w:pPr>
          </w:p>
        </w:tc>
        <w:tc>
          <w:tcPr>
            <w:tcW w:w="6247" w:type="dxa"/>
          </w:tcPr>
          <w:p w14:paraId="4115DA79" w14:textId="77777777" w:rsidR="00515B89" w:rsidRPr="00715749" w:rsidRDefault="00515B89" w:rsidP="00250555">
            <w:pPr>
              <w:rPr>
                <w:rFonts w:ascii="Calibri" w:eastAsia="Times New Roman" w:hAnsi="Calibri" w:cs="Calibri"/>
                <w:color w:val="000000"/>
                <w:lang w:eastAsia="en-ZA"/>
              </w:rPr>
            </w:pPr>
            <w:r>
              <w:rPr>
                <w:rFonts w:ascii="Calibri" w:eastAsia="Times New Roman" w:hAnsi="Calibri" w:cs="Calibri"/>
                <w:color w:val="000000"/>
                <w:lang w:eastAsia="en-ZA"/>
              </w:rPr>
              <w:t>G</w:t>
            </w:r>
            <w:r w:rsidRPr="00EC0C6E">
              <w:rPr>
                <w:rFonts w:ascii="Calibri" w:eastAsia="Times New Roman" w:hAnsi="Calibri" w:cs="Calibri"/>
                <w:color w:val="000000"/>
                <w:lang w:eastAsia="en-ZA"/>
              </w:rPr>
              <w:t>eneral scope, scope of toolkit components, clinical decision support algorithm, POC, app, data</w:t>
            </w:r>
          </w:p>
        </w:tc>
        <w:tc>
          <w:tcPr>
            <w:tcW w:w="1334" w:type="dxa"/>
            <w:noWrap/>
            <w:hideMark/>
          </w:tcPr>
          <w:p w14:paraId="7E6B27CC" w14:textId="77777777" w:rsidR="00515B89" w:rsidRPr="00EC0C6E" w:rsidRDefault="00515B89" w:rsidP="00250555">
            <w:pPr>
              <w:jc w:val="center"/>
              <w:rPr>
                <w:rFonts w:ascii="Calibri" w:eastAsia="Times New Roman" w:hAnsi="Calibri" w:cs="Calibri"/>
                <w:color w:val="000000"/>
                <w:lang w:eastAsia="en-ZA"/>
              </w:rPr>
            </w:pPr>
            <w:r w:rsidRPr="00EC0C6E">
              <w:rPr>
                <w:rFonts w:ascii="Calibri" w:eastAsia="Times New Roman" w:hAnsi="Calibri" w:cs="Calibri"/>
                <w:color w:val="000000"/>
                <w:lang w:eastAsia="en-ZA"/>
              </w:rPr>
              <w:t>1</w:t>
            </w:r>
          </w:p>
        </w:tc>
      </w:tr>
      <w:tr w:rsidR="00250555" w:rsidRPr="00EC0C6E" w14:paraId="28395576" w14:textId="77777777" w:rsidTr="009B411C">
        <w:trPr>
          <w:trHeight w:val="243"/>
        </w:trPr>
        <w:tc>
          <w:tcPr>
            <w:tcW w:w="1345" w:type="dxa"/>
            <w:noWrap/>
          </w:tcPr>
          <w:p w14:paraId="0E8E33D4" w14:textId="4ABD73E3" w:rsidR="00250555" w:rsidRPr="00EC0C6E" w:rsidRDefault="00515B89" w:rsidP="00250555">
            <w:pPr>
              <w:jc w:val="center"/>
              <w:rPr>
                <w:rFonts w:ascii="Calibri" w:eastAsia="Times New Roman" w:hAnsi="Calibri" w:cs="Calibri"/>
                <w:b/>
                <w:bCs/>
                <w:color w:val="000000"/>
                <w:lang w:eastAsia="en-ZA"/>
              </w:rPr>
            </w:pPr>
            <w:r>
              <w:rPr>
                <w:rFonts w:ascii="Calibri" w:eastAsia="Times New Roman" w:hAnsi="Calibri" w:cs="Calibri"/>
                <w:b/>
                <w:bCs/>
                <w:color w:val="000000"/>
                <w:lang w:eastAsia="en-ZA"/>
              </w:rPr>
              <w:t>7</w:t>
            </w:r>
          </w:p>
        </w:tc>
        <w:tc>
          <w:tcPr>
            <w:tcW w:w="6247" w:type="dxa"/>
          </w:tcPr>
          <w:p w14:paraId="00671659" w14:textId="77777777" w:rsidR="00250555" w:rsidRPr="00715749" w:rsidRDefault="00250555" w:rsidP="00250555">
            <w:pPr>
              <w:rPr>
                <w:rFonts w:ascii="Calibri" w:eastAsia="Times New Roman" w:hAnsi="Calibri" w:cs="Calibri"/>
                <w:color w:val="000000"/>
                <w:lang w:eastAsia="en-ZA"/>
              </w:rPr>
            </w:pPr>
            <w:r>
              <w:rPr>
                <w:rFonts w:ascii="Calibri" w:eastAsia="Times New Roman" w:hAnsi="Calibri" w:cs="Calibri"/>
                <w:color w:val="000000"/>
                <w:lang w:eastAsia="en-ZA"/>
              </w:rPr>
              <w:t>S</w:t>
            </w:r>
            <w:r w:rsidRPr="00EC0C6E">
              <w:rPr>
                <w:rFonts w:ascii="Calibri" w:eastAsia="Times New Roman" w:hAnsi="Calibri" w:cs="Calibri"/>
                <w:color w:val="000000"/>
                <w:lang w:eastAsia="en-ZA"/>
              </w:rPr>
              <w:t xml:space="preserve">cope, system components, functional </w:t>
            </w:r>
            <w:r w:rsidRPr="00715749">
              <w:rPr>
                <w:rFonts w:ascii="Calibri" w:eastAsia="Times New Roman" w:hAnsi="Calibri" w:cs="Calibri"/>
                <w:color w:val="000000"/>
                <w:lang w:eastAsia="en-ZA"/>
              </w:rPr>
              <w:t>requirements</w:t>
            </w:r>
            <w:r w:rsidRPr="00EC0C6E">
              <w:rPr>
                <w:rFonts w:ascii="Calibri" w:eastAsia="Times New Roman" w:hAnsi="Calibri" w:cs="Calibri"/>
                <w:color w:val="000000"/>
                <w:lang w:eastAsia="en-ZA"/>
              </w:rPr>
              <w:t xml:space="preserve">, operational </w:t>
            </w:r>
            <w:r w:rsidRPr="00715749">
              <w:rPr>
                <w:rFonts w:ascii="Calibri" w:eastAsia="Times New Roman" w:hAnsi="Calibri" w:cs="Calibri"/>
                <w:color w:val="000000"/>
                <w:lang w:eastAsia="en-ZA"/>
              </w:rPr>
              <w:t>requirements</w:t>
            </w:r>
            <w:r w:rsidRPr="00EC0C6E">
              <w:rPr>
                <w:rFonts w:ascii="Calibri" w:eastAsia="Times New Roman" w:hAnsi="Calibri" w:cs="Calibri"/>
                <w:color w:val="000000"/>
                <w:lang w:eastAsia="en-ZA"/>
              </w:rPr>
              <w:t>, data characteristics, performance requirements, pricing and accessibility</w:t>
            </w:r>
          </w:p>
        </w:tc>
        <w:tc>
          <w:tcPr>
            <w:tcW w:w="1334" w:type="dxa"/>
            <w:noWrap/>
          </w:tcPr>
          <w:p w14:paraId="0DD10F01" w14:textId="77777777" w:rsidR="00250555" w:rsidRPr="00814F84" w:rsidRDefault="00250555" w:rsidP="00250555">
            <w:pPr>
              <w:jc w:val="center"/>
              <w:rPr>
                <w:rFonts w:ascii="Calibri" w:eastAsia="Times New Roman" w:hAnsi="Calibri" w:cs="Calibri"/>
                <w:color w:val="000000"/>
                <w:lang w:eastAsia="en-ZA"/>
              </w:rPr>
            </w:pPr>
            <w:r w:rsidRPr="00814F84">
              <w:rPr>
                <w:rFonts w:ascii="Calibri" w:eastAsia="Times New Roman" w:hAnsi="Calibri" w:cs="Calibri"/>
                <w:color w:val="000000"/>
                <w:lang w:eastAsia="en-ZA"/>
              </w:rPr>
              <w:t>1</w:t>
            </w:r>
          </w:p>
        </w:tc>
      </w:tr>
      <w:tr w:rsidR="00250555" w:rsidRPr="00EC0C6E" w14:paraId="21A1F804" w14:textId="77777777" w:rsidTr="009B411C">
        <w:trPr>
          <w:trHeight w:val="243"/>
        </w:trPr>
        <w:tc>
          <w:tcPr>
            <w:tcW w:w="1345" w:type="dxa"/>
            <w:noWrap/>
          </w:tcPr>
          <w:p w14:paraId="3A904546" w14:textId="77777777" w:rsidR="00250555" w:rsidRPr="00715749" w:rsidRDefault="00250555" w:rsidP="00250555">
            <w:pPr>
              <w:jc w:val="center"/>
              <w:rPr>
                <w:rFonts w:ascii="Calibri" w:eastAsia="Times New Roman" w:hAnsi="Calibri" w:cs="Calibri"/>
                <w:b/>
                <w:bCs/>
                <w:color w:val="000000"/>
                <w:lang w:eastAsia="en-ZA"/>
              </w:rPr>
            </w:pPr>
            <w:r w:rsidRPr="00EC0C6E">
              <w:rPr>
                <w:rFonts w:ascii="Calibri" w:eastAsia="Times New Roman" w:hAnsi="Calibri" w:cs="Calibri"/>
                <w:color w:val="000000"/>
                <w:lang w:eastAsia="en-ZA"/>
              </w:rPr>
              <w:t>NA</w:t>
            </w:r>
          </w:p>
        </w:tc>
        <w:tc>
          <w:tcPr>
            <w:tcW w:w="6247" w:type="dxa"/>
          </w:tcPr>
          <w:p w14:paraId="4BBE5D54" w14:textId="77777777" w:rsidR="00250555" w:rsidRDefault="00250555" w:rsidP="00250555">
            <w:pPr>
              <w:rPr>
                <w:rFonts w:ascii="Calibri" w:eastAsia="Times New Roman" w:hAnsi="Calibri" w:cs="Calibri"/>
                <w:color w:val="000000"/>
                <w:lang w:eastAsia="en-ZA"/>
              </w:rPr>
            </w:pPr>
            <w:r>
              <w:rPr>
                <w:rFonts w:ascii="Calibri" w:eastAsia="Times New Roman" w:hAnsi="Calibri" w:cs="Calibri"/>
                <w:color w:val="000000"/>
                <w:lang w:eastAsia="en-ZA"/>
              </w:rPr>
              <w:t>NA</w:t>
            </w:r>
          </w:p>
        </w:tc>
        <w:tc>
          <w:tcPr>
            <w:tcW w:w="1334" w:type="dxa"/>
            <w:noWrap/>
          </w:tcPr>
          <w:p w14:paraId="610F439E" w14:textId="77777777" w:rsidR="00250555" w:rsidRPr="00EC0C6E" w:rsidRDefault="00250555" w:rsidP="00250555">
            <w:pPr>
              <w:jc w:val="center"/>
              <w:rPr>
                <w:rFonts w:ascii="Calibri" w:eastAsia="Times New Roman" w:hAnsi="Calibri" w:cs="Calibri"/>
                <w:b/>
                <w:bCs/>
                <w:color w:val="000000"/>
                <w:lang w:eastAsia="en-ZA"/>
              </w:rPr>
            </w:pPr>
            <w:r w:rsidRPr="00EC0C6E">
              <w:rPr>
                <w:rFonts w:ascii="Calibri" w:eastAsia="Times New Roman" w:hAnsi="Calibri" w:cs="Calibri"/>
                <w:color w:val="000000"/>
                <w:lang w:eastAsia="en-ZA"/>
              </w:rPr>
              <w:t>117</w:t>
            </w:r>
          </w:p>
        </w:tc>
      </w:tr>
      <w:tr w:rsidR="00250555" w:rsidRPr="00EC0C6E" w14:paraId="3C26B06F" w14:textId="77777777" w:rsidTr="009B411C">
        <w:trPr>
          <w:trHeight w:val="243"/>
        </w:trPr>
        <w:tc>
          <w:tcPr>
            <w:tcW w:w="1345" w:type="dxa"/>
            <w:noWrap/>
          </w:tcPr>
          <w:p w14:paraId="5DB46F58" w14:textId="77777777" w:rsidR="00250555" w:rsidRPr="00EC0C6E" w:rsidRDefault="00250555" w:rsidP="00250555">
            <w:pPr>
              <w:jc w:val="center"/>
              <w:rPr>
                <w:rFonts w:ascii="Calibri" w:eastAsia="Times New Roman" w:hAnsi="Calibri" w:cs="Calibri"/>
                <w:b/>
                <w:bCs/>
                <w:color w:val="000000"/>
                <w:lang w:eastAsia="en-ZA"/>
              </w:rPr>
            </w:pPr>
            <w:r w:rsidRPr="00EC0C6E">
              <w:rPr>
                <w:rFonts w:ascii="Calibri" w:eastAsia="Times New Roman" w:hAnsi="Calibri" w:cs="Calibri"/>
                <w:color w:val="000000"/>
                <w:lang w:eastAsia="en-ZA"/>
              </w:rPr>
              <w:t>Total</w:t>
            </w:r>
          </w:p>
        </w:tc>
        <w:tc>
          <w:tcPr>
            <w:tcW w:w="6247" w:type="dxa"/>
          </w:tcPr>
          <w:p w14:paraId="6E205E27" w14:textId="77777777" w:rsidR="00250555" w:rsidRPr="00715749" w:rsidRDefault="00250555" w:rsidP="00250555">
            <w:pPr>
              <w:jc w:val="center"/>
              <w:rPr>
                <w:rFonts w:ascii="Calibri" w:eastAsia="Times New Roman" w:hAnsi="Calibri" w:cs="Calibri"/>
                <w:color w:val="000000"/>
                <w:lang w:eastAsia="en-ZA"/>
              </w:rPr>
            </w:pPr>
          </w:p>
        </w:tc>
        <w:tc>
          <w:tcPr>
            <w:tcW w:w="1334" w:type="dxa"/>
            <w:noWrap/>
          </w:tcPr>
          <w:p w14:paraId="6AC9008A" w14:textId="77777777" w:rsidR="00250555" w:rsidRPr="00EC0C6E" w:rsidRDefault="00250555" w:rsidP="00250555">
            <w:pPr>
              <w:jc w:val="center"/>
              <w:rPr>
                <w:rFonts w:ascii="Calibri" w:eastAsia="Times New Roman" w:hAnsi="Calibri" w:cs="Calibri"/>
                <w:b/>
                <w:bCs/>
                <w:color w:val="000000"/>
                <w:lang w:eastAsia="en-ZA"/>
              </w:rPr>
            </w:pPr>
            <w:r w:rsidRPr="00EC0C6E">
              <w:rPr>
                <w:rFonts w:ascii="Calibri" w:eastAsia="Times New Roman" w:hAnsi="Calibri" w:cs="Calibri"/>
                <w:b/>
                <w:bCs/>
                <w:color w:val="000000"/>
                <w:lang w:eastAsia="en-ZA"/>
              </w:rPr>
              <w:t>138</w:t>
            </w:r>
          </w:p>
        </w:tc>
      </w:tr>
    </w:tbl>
    <w:p w14:paraId="3611A58E" w14:textId="77777777" w:rsidR="009B411C" w:rsidRDefault="009B411C" w:rsidP="00031644">
      <w:pPr>
        <w:pStyle w:val="Caption"/>
        <w:keepNext/>
        <w:rPr>
          <w:i w:val="0"/>
          <w:iCs w:val="0"/>
          <w:color w:val="auto"/>
          <w:sz w:val="22"/>
          <w:szCs w:val="22"/>
        </w:rPr>
      </w:pPr>
    </w:p>
    <w:p w14:paraId="08A27587" w14:textId="77777777" w:rsidR="00545340" w:rsidRPr="00545340" w:rsidRDefault="00545340" w:rsidP="004750C1"/>
    <w:p w14:paraId="1C1DD6E4" w14:textId="77777777" w:rsidR="00EB5F27" w:rsidRDefault="00EB5F27" w:rsidP="00EB5F27"/>
    <w:p w14:paraId="15ADED52" w14:textId="77777777" w:rsidR="00545340" w:rsidRDefault="00545340" w:rsidP="00EB5F27"/>
    <w:p w14:paraId="4CDB035A" w14:textId="77777777" w:rsidR="00545340" w:rsidRDefault="00545340" w:rsidP="00EB5F27"/>
    <w:p w14:paraId="4851BD23" w14:textId="77777777" w:rsidR="00545340" w:rsidRDefault="00545340" w:rsidP="00EB5F27"/>
    <w:p w14:paraId="5DB2507C" w14:textId="77777777" w:rsidR="00144109" w:rsidRDefault="00144109" w:rsidP="00EB5F27"/>
    <w:p w14:paraId="4CE62EF2" w14:textId="77777777" w:rsidR="000762A0" w:rsidRPr="00EB5F27" w:rsidRDefault="000762A0" w:rsidP="00EB5F27"/>
    <w:p w14:paraId="0ADF5918" w14:textId="2D3E2F2B" w:rsidR="00031644" w:rsidRDefault="00031644" w:rsidP="00031644">
      <w:pPr>
        <w:pStyle w:val="Caption"/>
        <w:keepNext/>
        <w:rPr>
          <w:i w:val="0"/>
          <w:iCs w:val="0"/>
          <w:color w:val="auto"/>
          <w:sz w:val="22"/>
          <w:szCs w:val="22"/>
        </w:rPr>
      </w:pPr>
      <w:r w:rsidRPr="00031644">
        <w:rPr>
          <w:i w:val="0"/>
          <w:iCs w:val="0"/>
          <w:color w:val="auto"/>
          <w:sz w:val="22"/>
          <w:szCs w:val="22"/>
        </w:rPr>
        <w:lastRenderedPageBreak/>
        <w:t>Table S</w:t>
      </w:r>
      <w:r w:rsidR="00545340">
        <w:rPr>
          <w:i w:val="0"/>
          <w:iCs w:val="0"/>
          <w:color w:val="auto"/>
          <w:sz w:val="22"/>
          <w:szCs w:val="22"/>
        </w:rPr>
        <w:t>8</w:t>
      </w:r>
      <w:r w:rsidRPr="00031644">
        <w:rPr>
          <w:i w:val="0"/>
          <w:iCs w:val="0"/>
          <w:color w:val="auto"/>
          <w:sz w:val="22"/>
          <w:szCs w:val="22"/>
        </w:rPr>
        <w:t xml:space="preserve">: Overview of the consensus </w:t>
      </w:r>
      <w:r w:rsidR="00871809" w:rsidRPr="00031644">
        <w:rPr>
          <w:i w:val="0"/>
          <w:iCs w:val="0"/>
          <w:color w:val="auto"/>
          <w:sz w:val="22"/>
          <w:szCs w:val="22"/>
        </w:rPr>
        <w:t>approach</w:t>
      </w:r>
      <w:r w:rsidR="00871809">
        <w:rPr>
          <w:i w:val="0"/>
          <w:iCs w:val="0"/>
          <w:color w:val="auto"/>
          <w:sz w:val="22"/>
          <w:szCs w:val="22"/>
        </w:rPr>
        <w:t>es</w:t>
      </w:r>
      <w:r w:rsidRPr="00031644">
        <w:rPr>
          <w:i w:val="0"/>
          <w:iCs w:val="0"/>
          <w:color w:val="auto"/>
          <w:sz w:val="22"/>
          <w:szCs w:val="22"/>
        </w:rPr>
        <w:t xml:space="preserve"> used in TPP development.</w:t>
      </w:r>
    </w:p>
    <w:p w14:paraId="0D643C6D" w14:textId="77777777" w:rsidR="000762A0" w:rsidRPr="000762A0" w:rsidRDefault="000762A0" w:rsidP="0008328B"/>
    <w:tbl>
      <w:tblPr>
        <w:tblStyle w:val="TableGrid"/>
        <w:tblW w:w="8926" w:type="dxa"/>
        <w:tblLook w:val="04A0" w:firstRow="1" w:lastRow="0" w:firstColumn="1" w:lastColumn="0" w:noHBand="0" w:noVBand="1"/>
      </w:tblPr>
      <w:tblGrid>
        <w:gridCol w:w="1179"/>
        <w:gridCol w:w="1890"/>
        <w:gridCol w:w="772"/>
        <w:gridCol w:w="5085"/>
      </w:tblGrid>
      <w:tr w:rsidR="00250555" w:rsidRPr="00C739FF" w14:paraId="22B19578" w14:textId="77777777" w:rsidTr="001C0146">
        <w:trPr>
          <w:trHeight w:val="251"/>
        </w:trPr>
        <w:tc>
          <w:tcPr>
            <w:tcW w:w="1179" w:type="dxa"/>
          </w:tcPr>
          <w:p w14:paraId="2B0355B2" w14:textId="77777777" w:rsidR="00250555" w:rsidRPr="00250555" w:rsidRDefault="00250555" w:rsidP="00D3594C">
            <w:pPr>
              <w:jc w:val="center"/>
              <w:rPr>
                <w:rFonts w:ascii="Calibri" w:eastAsia="Times New Roman" w:hAnsi="Calibri" w:cs="Calibri"/>
                <w:b/>
                <w:bCs/>
                <w:color w:val="000000"/>
                <w:lang w:eastAsia="en-ZA"/>
              </w:rPr>
            </w:pPr>
            <w:r w:rsidRPr="00250555">
              <w:rPr>
                <w:rFonts w:ascii="Calibri" w:hAnsi="Calibri" w:cs="Calibri"/>
                <w:b/>
                <w:bCs/>
                <w:color w:val="000000"/>
              </w:rPr>
              <w:t>Consensus approach</w:t>
            </w:r>
          </w:p>
        </w:tc>
        <w:tc>
          <w:tcPr>
            <w:tcW w:w="1890" w:type="dxa"/>
            <w:noWrap/>
            <w:hideMark/>
          </w:tcPr>
          <w:p w14:paraId="7B5461D4" w14:textId="77777777" w:rsidR="00250555" w:rsidRPr="00250555" w:rsidRDefault="00250555" w:rsidP="00D3594C">
            <w:pPr>
              <w:jc w:val="center"/>
              <w:rPr>
                <w:rFonts w:ascii="Calibri" w:eastAsia="Times New Roman" w:hAnsi="Calibri" w:cs="Calibri"/>
                <w:b/>
                <w:bCs/>
                <w:color w:val="000000"/>
                <w:lang w:eastAsia="en-ZA"/>
              </w:rPr>
            </w:pPr>
            <w:r w:rsidRPr="00250555">
              <w:rPr>
                <w:rFonts w:ascii="Calibri" w:eastAsia="Times New Roman" w:hAnsi="Calibri" w:cs="Calibri"/>
                <w:b/>
                <w:bCs/>
                <w:color w:val="000000"/>
                <w:lang w:eastAsia="en-ZA"/>
              </w:rPr>
              <w:t>Authors</w:t>
            </w:r>
          </w:p>
        </w:tc>
        <w:tc>
          <w:tcPr>
            <w:tcW w:w="772" w:type="dxa"/>
            <w:noWrap/>
            <w:hideMark/>
          </w:tcPr>
          <w:p w14:paraId="6F39EFEF" w14:textId="77777777" w:rsidR="00250555" w:rsidRPr="00250555" w:rsidRDefault="00250555" w:rsidP="00D3594C">
            <w:pPr>
              <w:jc w:val="center"/>
              <w:rPr>
                <w:rFonts w:ascii="Calibri" w:eastAsia="Times New Roman" w:hAnsi="Calibri" w:cs="Calibri"/>
                <w:b/>
                <w:bCs/>
                <w:color w:val="000000"/>
                <w:lang w:eastAsia="en-ZA"/>
              </w:rPr>
            </w:pPr>
            <w:r w:rsidRPr="00250555">
              <w:rPr>
                <w:rFonts w:ascii="Calibri" w:eastAsia="Times New Roman" w:hAnsi="Calibri" w:cs="Calibri"/>
                <w:b/>
                <w:bCs/>
                <w:color w:val="000000"/>
                <w:lang w:eastAsia="en-ZA"/>
              </w:rPr>
              <w:t>Year</w:t>
            </w:r>
          </w:p>
        </w:tc>
        <w:tc>
          <w:tcPr>
            <w:tcW w:w="5085" w:type="dxa"/>
          </w:tcPr>
          <w:p w14:paraId="1CB68FA6" w14:textId="3E5D843C" w:rsidR="00250555" w:rsidRPr="00250555" w:rsidRDefault="00250555" w:rsidP="00D3594C">
            <w:pPr>
              <w:rPr>
                <w:rFonts w:ascii="Calibri" w:eastAsia="Times New Roman" w:hAnsi="Calibri" w:cs="Calibri"/>
                <w:b/>
                <w:bCs/>
                <w:color w:val="000000"/>
                <w:lang w:eastAsia="en-ZA"/>
              </w:rPr>
            </w:pPr>
            <w:r w:rsidRPr="00250555">
              <w:rPr>
                <w:rFonts w:ascii="Calibri" w:hAnsi="Calibri" w:cs="Calibri"/>
                <w:b/>
                <w:bCs/>
                <w:color w:val="000000"/>
              </w:rPr>
              <w:t>Method</w:t>
            </w:r>
            <w:r w:rsidR="00B76B43">
              <w:rPr>
                <w:rFonts w:ascii="Calibri" w:hAnsi="Calibri" w:cs="Calibri"/>
                <w:b/>
                <w:bCs/>
                <w:color w:val="000000"/>
              </w:rPr>
              <w:t>/</w:t>
            </w:r>
            <w:r w:rsidRPr="00250555">
              <w:rPr>
                <w:rFonts w:ascii="Calibri" w:hAnsi="Calibri" w:cs="Calibri"/>
                <w:b/>
                <w:bCs/>
                <w:color w:val="000000"/>
              </w:rPr>
              <w:t>Tools</w:t>
            </w:r>
          </w:p>
        </w:tc>
      </w:tr>
      <w:tr w:rsidR="00250555" w:rsidRPr="00C739FF" w14:paraId="6E76D033" w14:textId="77777777" w:rsidTr="001C0146">
        <w:trPr>
          <w:trHeight w:val="64"/>
        </w:trPr>
        <w:tc>
          <w:tcPr>
            <w:tcW w:w="1179" w:type="dxa"/>
            <w:vMerge w:val="restart"/>
          </w:tcPr>
          <w:p w14:paraId="11BFDEFC" w14:textId="77777777" w:rsidR="00250555" w:rsidRPr="00250555" w:rsidRDefault="00250555" w:rsidP="00250555">
            <w:pPr>
              <w:jc w:val="center"/>
              <w:rPr>
                <w:rFonts w:ascii="Calibri" w:eastAsia="Times New Roman" w:hAnsi="Calibri" w:cs="Calibri"/>
                <w:b/>
                <w:bCs/>
                <w:color w:val="000000"/>
                <w:lang w:eastAsia="en-ZA"/>
              </w:rPr>
            </w:pPr>
            <w:r w:rsidRPr="00250555">
              <w:rPr>
                <w:rFonts w:ascii="Calibri" w:hAnsi="Calibri" w:cs="Calibri"/>
                <w:b/>
                <w:bCs/>
                <w:color w:val="000000"/>
              </w:rPr>
              <w:t>Formal</w:t>
            </w:r>
          </w:p>
        </w:tc>
        <w:tc>
          <w:tcPr>
            <w:tcW w:w="1890" w:type="dxa"/>
            <w:noWrap/>
            <w:hideMark/>
          </w:tcPr>
          <w:p w14:paraId="32368540" w14:textId="13AAF369" w:rsidR="00250555" w:rsidRPr="00C739FF" w:rsidRDefault="00250555" w:rsidP="00D3594C">
            <w:pPr>
              <w:jc w:val="center"/>
              <w:rPr>
                <w:rFonts w:ascii="Calibri" w:eastAsia="Times New Roman" w:hAnsi="Calibri" w:cs="Calibri"/>
                <w:b/>
                <w:bCs/>
                <w:color w:val="000000"/>
                <w:lang w:eastAsia="en-ZA"/>
              </w:rPr>
            </w:pPr>
            <w:proofErr w:type="spellStart"/>
            <w:r w:rsidRPr="00C739FF">
              <w:rPr>
                <w:rFonts w:ascii="Calibri" w:eastAsia="Times New Roman" w:hAnsi="Calibri" w:cs="Calibri"/>
                <w:color w:val="000000"/>
                <w:lang w:eastAsia="en-ZA"/>
              </w:rPr>
              <w:t>Adepoyibi</w:t>
            </w:r>
            <w:proofErr w:type="spellEnd"/>
            <w:r w:rsidRPr="00C739FF">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772" w:type="dxa"/>
            <w:noWrap/>
            <w:hideMark/>
          </w:tcPr>
          <w:p w14:paraId="70A2B44D"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2018</w:t>
            </w:r>
          </w:p>
        </w:tc>
        <w:tc>
          <w:tcPr>
            <w:tcW w:w="5085" w:type="dxa"/>
          </w:tcPr>
          <w:p w14:paraId="2CEBD5D3"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Online survey, max-trade-off method.</w:t>
            </w:r>
          </w:p>
        </w:tc>
      </w:tr>
      <w:tr w:rsidR="00250555" w:rsidRPr="00C739FF" w14:paraId="5BCF4122" w14:textId="77777777" w:rsidTr="001C0146">
        <w:trPr>
          <w:trHeight w:val="233"/>
        </w:trPr>
        <w:tc>
          <w:tcPr>
            <w:tcW w:w="1179" w:type="dxa"/>
            <w:vMerge/>
          </w:tcPr>
          <w:p w14:paraId="5F1E187B"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6A52D1A8" w14:textId="2048C349" w:rsidR="00250555" w:rsidRPr="00C739FF" w:rsidRDefault="00250555" w:rsidP="00D3594C">
            <w:pPr>
              <w:jc w:val="center"/>
              <w:rPr>
                <w:rFonts w:ascii="Calibri" w:eastAsia="Times New Roman" w:hAnsi="Calibri" w:cs="Calibri"/>
                <w:b/>
                <w:bCs/>
                <w:color w:val="000000"/>
                <w:lang w:eastAsia="en-ZA"/>
              </w:rPr>
            </w:pPr>
            <w:r w:rsidRPr="00C739FF">
              <w:rPr>
                <w:rFonts w:ascii="Calibri" w:eastAsia="Times New Roman" w:hAnsi="Calibri" w:cs="Calibri"/>
                <w:color w:val="000000"/>
                <w:lang w:eastAsia="en-ZA"/>
              </w:rPr>
              <w:t xml:space="preserve">Cruz </w:t>
            </w:r>
            <w:r w:rsidR="000620EA">
              <w:rPr>
                <w:rFonts w:ascii="Calibri" w:eastAsia="Times New Roman" w:hAnsi="Calibri" w:cs="Calibri"/>
                <w:color w:val="000000"/>
                <w:lang w:eastAsia="en-ZA"/>
              </w:rPr>
              <w:t>et al.</w:t>
            </w:r>
          </w:p>
        </w:tc>
        <w:tc>
          <w:tcPr>
            <w:tcW w:w="772" w:type="dxa"/>
            <w:noWrap/>
            <w:hideMark/>
          </w:tcPr>
          <w:p w14:paraId="06421298"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2019</w:t>
            </w:r>
          </w:p>
        </w:tc>
        <w:tc>
          <w:tcPr>
            <w:tcW w:w="5085" w:type="dxa"/>
          </w:tcPr>
          <w:p w14:paraId="2FD00EA9"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Expert meetings, online survey, 5-point Likert scale to decide on the TPP features.</w:t>
            </w:r>
          </w:p>
        </w:tc>
      </w:tr>
      <w:tr w:rsidR="00250555" w:rsidRPr="00C739FF" w14:paraId="519B34A6" w14:textId="77777777" w:rsidTr="001C0146">
        <w:trPr>
          <w:trHeight w:val="64"/>
        </w:trPr>
        <w:tc>
          <w:tcPr>
            <w:tcW w:w="1179" w:type="dxa"/>
            <w:vMerge/>
          </w:tcPr>
          <w:p w14:paraId="3902AA17"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6BDBA618" w14:textId="22788D94" w:rsidR="00250555" w:rsidRPr="00C739FF" w:rsidRDefault="00250555" w:rsidP="00D3594C">
            <w:pPr>
              <w:jc w:val="center"/>
              <w:rPr>
                <w:rFonts w:ascii="Calibri" w:eastAsia="Times New Roman" w:hAnsi="Calibri" w:cs="Calibri"/>
                <w:b/>
                <w:bCs/>
                <w:color w:val="000000"/>
                <w:lang w:eastAsia="en-ZA"/>
              </w:rPr>
            </w:pPr>
            <w:r w:rsidRPr="00C739FF">
              <w:rPr>
                <w:rFonts w:ascii="Calibri" w:eastAsia="Times New Roman" w:hAnsi="Calibri" w:cs="Calibri"/>
                <w:color w:val="000000"/>
                <w:lang w:eastAsia="en-ZA"/>
              </w:rPr>
              <w:t xml:space="preserve">Dailey </w:t>
            </w:r>
            <w:r w:rsidR="000620EA">
              <w:rPr>
                <w:rFonts w:ascii="Calibri" w:eastAsia="Times New Roman" w:hAnsi="Calibri" w:cs="Calibri"/>
                <w:color w:val="000000"/>
                <w:lang w:eastAsia="en-ZA"/>
              </w:rPr>
              <w:t>et al.</w:t>
            </w:r>
          </w:p>
        </w:tc>
        <w:tc>
          <w:tcPr>
            <w:tcW w:w="772" w:type="dxa"/>
            <w:noWrap/>
            <w:hideMark/>
          </w:tcPr>
          <w:p w14:paraId="647FC859"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2019</w:t>
            </w:r>
          </w:p>
        </w:tc>
        <w:tc>
          <w:tcPr>
            <w:tcW w:w="5085" w:type="dxa"/>
          </w:tcPr>
          <w:p w14:paraId="1535F240"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Delphi-like process.</w:t>
            </w:r>
          </w:p>
        </w:tc>
      </w:tr>
      <w:tr w:rsidR="00250555" w:rsidRPr="00C739FF" w14:paraId="605F8E41" w14:textId="77777777" w:rsidTr="001C0146">
        <w:trPr>
          <w:trHeight w:val="125"/>
        </w:trPr>
        <w:tc>
          <w:tcPr>
            <w:tcW w:w="1179" w:type="dxa"/>
            <w:vMerge/>
          </w:tcPr>
          <w:p w14:paraId="4A3FB55F"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59684307" w14:textId="05DC3A3D" w:rsidR="00250555" w:rsidRPr="00C739FF" w:rsidRDefault="00250555" w:rsidP="00D3594C">
            <w:pPr>
              <w:jc w:val="center"/>
              <w:rPr>
                <w:rFonts w:ascii="Calibri" w:eastAsia="Times New Roman" w:hAnsi="Calibri" w:cs="Calibri"/>
                <w:b/>
                <w:bCs/>
                <w:color w:val="000000"/>
                <w:lang w:eastAsia="en-ZA"/>
              </w:rPr>
            </w:pPr>
            <w:r w:rsidRPr="00C739FF">
              <w:rPr>
                <w:rFonts w:ascii="Calibri" w:eastAsia="Times New Roman" w:hAnsi="Calibri" w:cs="Calibri"/>
                <w:color w:val="000000"/>
                <w:lang w:eastAsia="en-ZA"/>
              </w:rPr>
              <w:t xml:space="preserve">Kadam </w:t>
            </w:r>
            <w:r w:rsidR="000620EA">
              <w:rPr>
                <w:rFonts w:ascii="Calibri" w:eastAsia="Times New Roman" w:hAnsi="Calibri" w:cs="Calibri"/>
                <w:color w:val="000000"/>
                <w:lang w:eastAsia="en-ZA"/>
              </w:rPr>
              <w:t>et al.</w:t>
            </w:r>
          </w:p>
        </w:tc>
        <w:tc>
          <w:tcPr>
            <w:tcW w:w="772" w:type="dxa"/>
            <w:noWrap/>
            <w:hideMark/>
          </w:tcPr>
          <w:p w14:paraId="0FE0592F"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2020</w:t>
            </w:r>
          </w:p>
        </w:tc>
        <w:tc>
          <w:tcPr>
            <w:tcW w:w="5085" w:type="dxa"/>
          </w:tcPr>
          <w:p w14:paraId="2CCA1A4C"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Delphi-like survey process, Likert scale.</w:t>
            </w:r>
          </w:p>
        </w:tc>
      </w:tr>
      <w:tr w:rsidR="00250555" w:rsidRPr="00C739FF" w14:paraId="0FD57FF2" w14:textId="77777777" w:rsidTr="001C0146">
        <w:trPr>
          <w:trHeight w:val="64"/>
        </w:trPr>
        <w:tc>
          <w:tcPr>
            <w:tcW w:w="1179" w:type="dxa"/>
            <w:vMerge/>
          </w:tcPr>
          <w:p w14:paraId="4CE139BD"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43D7B705" w14:textId="6CB2F6F9" w:rsidR="00250555" w:rsidRPr="00C739FF" w:rsidRDefault="00250555" w:rsidP="00D3594C">
            <w:pPr>
              <w:jc w:val="center"/>
              <w:rPr>
                <w:rFonts w:ascii="Calibri" w:eastAsia="Times New Roman" w:hAnsi="Calibri" w:cs="Calibri"/>
                <w:b/>
                <w:bCs/>
                <w:color w:val="000000"/>
                <w:lang w:eastAsia="en-ZA"/>
              </w:rPr>
            </w:pPr>
            <w:r w:rsidRPr="00C739FF">
              <w:rPr>
                <w:rFonts w:ascii="Calibri" w:eastAsia="Times New Roman" w:hAnsi="Calibri" w:cs="Calibri"/>
                <w:color w:val="000000"/>
                <w:lang w:eastAsia="en-ZA"/>
              </w:rPr>
              <w:t xml:space="preserve">Mather </w:t>
            </w:r>
            <w:r w:rsidR="000620EA">
              <w:rPr>
                <w:rFonts w:ascii="Calibri" w:eastAsia="Times New Roman" w:hAnsi="Calibri" w:cs="Calibri"/>
                <w:color w:val="000000"/>
                <w:lang w:eastAsia="en-ZA"/>
              </w:rPr>
              <w:t>et al.</w:t>
            </w:r>
          </w:p>
        </w:tc>
        <w:tc>
          <w:tcPr>
            <w:tcW w:w="772" w:type="dxa"/>
            <w:noWrap/>
            <w:hideMark/>
          </w:tcPr>
          <w:p w14:paraId="45952032"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2019</w:t>
            </w:r>
          </w:p>
        </w:tc>
        <w:tc>
          <w:tcPr>
            <w:tcW w:w="5085" w:type="dxa"/>
          </w:tcPr>
          <w:p w14:paraId="0500EECA"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Delphi process, online survey, Likert scale.</w:t>
            </w:r>
          </w:p>
        </w:tc>
      </w:tr>
      <w:tr w:rsidR="00250555" w:rsidRPr="00C739FF" w14:paraId="2884D5F3" w14:textId="77777777" w:rsidTr="001C0146">
        <w:trPr>
          <w:trHeight w:val="64"/>
        </w:trPr>
        <w:tc>
          <w:tcPr>
            <w:tcW w:w="1179" w:type="dxa"/>
            <w:vMerge/>
          </w:tcPr>
          <w:p w14:paraId="0C9A221C"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033FB422" w14:textId="28B98CDE" w:rsidR="00250555" w:rsidRPr="00C739FF" w:rsidRDefault="00250555" w:rsidP="00D3594C">
            <w:pPr>
              <w:jc w:val="center"/>
              <w:rPr>
                <w:rFonts w:ascii="Calibri" w:eastAsia="Times New Roman" w:hAnsi="Calibri" w:cs="Calibri"/>
                <w:b/>
                <w:bCs/>
                <w:color w:val="000000"/>
                <w:lang w:eastAsia="en-ZA"/>
              </w:rPr>
            </w:pPr>
            <w:proofErr w:type="spellStart"/>
            <w:r w:rsidRPr="00C739FF">
              <w:rPr>
                <w:rFonts w:ascii="Calibri" w:eastAsia="Times New Roman" w:hAnsi="Calibri" w:cs="Calibri"/>
                <w:color w:val="000000"/>
                <w:lang w:eastAsia="en-ZA"/>
              </w:rPr>
              <w:t>Németh</w:t>
            </w:r>
            <w:proofErr w:type="spellEnd"/>
            <w:r w:rsidRPr="00C739FF">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772" w:type="dxa"/>
            <w:noWrap/>
            <w:hideMark/>
          </w:tcPr>
          <w:p w14:paraId="3DEE2470"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2020</w:t>
            </w:r>
          </w:p>
        </w:tc>
        <w:tc>
          <w:tcPr>
            <w:tcW w:w="5085" w:type="dxa"/>
          </w:tcPr>
          <w:p w14:paraId="73F8BD58" w14:textId="77777777" w:rsidR="00250555" w:rsidRPr="00C739FF" w:rsidRDefault="00250555" w:rsidP="00D3594C">
            <w:pPr>
              <w:rPr>
                <w:rFonts w:ascii="Calibri" w:eastAsia="Times New Roman" w:hAnsi="Calibri" w:cs="Calibri"/>
                <w:color w:val="000000"/>
                <w:lang w:eastAsia="en-ZA"/>
              </w:rPr>
            </w:pPr>
            <w:proofErr w:type="spellStart"/>
            <w:r>
              <w:rPr>
                <w:rFonts w:ascii="Calibri" w:hAnsi="Calibri" w:cs="Calibri"/>
                <w:color w:val="000000"/>
              </w:rPr>
              <w:t>LeanQbD</w:t>
            </w:r>
            <w:proofErr w:type="spellEnd"/>
            <w:r>
              <w:rPr>
                <w:rFonts w:ascii="Calibri" w:hAnsi="Calibri" w:cs="Calibri"/>
                <w:color w:val="000000"/>
              </w:rPr>
              <w:t xml:space="preserve"> software, Pareto diagrams.</w:t>
            </w:r>
          </w:p>
        </w:tc>
      </w:tr>
      <w:tr w:rsidR="00250555" w:rsidRPr="00C739FF" w14:paraId="489FB6E7" w14:textId="77777777" w:rsidTr="001C0146">
        <w:trPr>
          <w:trHeight w:val="80"/>
        </w:trPr>
        <w:tc>
          <w:tcPr>
            <w:tcW w:w="1179" w:type="dxa"/>
            <w:vMerge/>
          </w:tcPr>
          <w:p w14:paraId="0B10A439"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6BE260BD" w14:textId="441B6174" w:rsidR="00250555" w:rsidRPr="00C739FF" w:rsidRDefault="00250555" w:rsidP="00D3594C">
            <w:pPr>
              <w:jc w:val="center"/>
              <w:rPr>
                <w:rFonts w:ascii="Calibri" w:eastAsia="Times New Roman" w:hAnsi="Calibri" w:cs="Calibri"/>
                <w:b/>
                <w:bCs/>
                <w:color w:val="000000"/>
                <w:lang w:eastAsia="en-ZA"/>
              </w:rPr>
            </w:pPr>
            <w:proofErr w:type="spellStart"/>
            <w:r w:rsidRPr="00C739FF">
              <w:rPr>
                <w:rFonts w:ascii="Calibri" w:eastAsia="Times New Roman" w:hAnsi="Calibri" w:cs="Calibri"/>
                <w:color w:val="000000"/>
                <w:lang w:eastAsia="en-ZA"/>
              </w:rPr>
              <w:t>Nsanzabana</w:t>
            </w:r>
            <w:proofErr w:type="spellEnd"/>
            <w:r w:rsidRPr="00C739FF">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772" w:type="dxa"/>
            <w:noWrap/>
            <w:hideMark/>
          </w:tcPr>
          <w:p w14:paraId="66A622C0"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2018</w:t>
            </w:r>
          </w:p>
        </w:tc>
        <w:tc>
          <w:tcPr>
            <w:tcW w:w="5085" w:type="dxa"/>
          </w:tcPr>
          <w:p w14:paraId="0E9015C4"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Consensus on TPP features.</w:t>
            </w:r>
          </w:p>
        </w:tc>
      </w:tr>
      <w:tr w:rsidR="00250555" w:rsidRPr="00C739FF" w14:paraId="334B3AE1" w14:textId="77777777" w:rsidTr="001C0146">
        <w:trPr>
          <w:trHeight w:val="161"/>
        </w:trPr>
        <w:tc>
          <w:tcPr>
            <w:tcW w:w="1179" w:type="dxa"/>
            <w:vMerge/>
          </w:tcPr>
          <w:p w14:paraId="32388653"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53E726B7" w14:textId="69767A40" w:rsidR="00250555" w:rsidRPr="00C739FF" w:rsidRDefault="00250555" w:rsidP="00D3594C">
            <w:pPr>
              <w:jc w:val="center"/>
              <w:rPr>
                <w:rFonts w:ascii="Calibri" w:eastAsia="Times New Roman" w:hAnsi="Calibri" w:cs="Calibri"/>
                <w:b/>
                <w:bCs/>
                <w:color w:val="000000"/>
                <w:lang w:eastAsia="en-ZA"/>
              </w:rPr>
            </w:pPr>
            <w:proofErr w:type="spellStart"/>
            <w:r w:rsidRPr="00C739FF">
              <w:rPr>
                <w:rFonts w:ascii="Calibri" w:eastAsia="Times New Roman" w:hAnsi="Calibri" w:cs="Calibri"/>
                <w:color w:val="000000"/>
                <w:lang w:eastAsia="en-ZA"/>
              </w:rPr>
              <w:t>Pallagi</w:t>
            </w:r>
            <w:proofErr w:type="spellEnd"/>
            <w:r w:rsidRPr="00C739FF">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772" w:type="dxa"/>
            <w:noWrap/>
            <w:hideMark/>
          </w:tcPr>
          <w:p w14:paraId="65C52E9E"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2019</w:t>
            </w:r>
          </w:p>
        </w:tc>
        <w:tc>
          <w:tcPr>
            <w:tcW w:w="5085" w:type="dxa"/>
          </w:tcPr>
          <w:p w14:paraId="589A5211"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 xml:space="preserve">Ishikawa diagram to </w:t>
            </w:r>
            <w:proofErr w:type="spellStart"/>
            <w:r>
              <w:rPr>
                <w:rFonts w:ascii="Calibri" w:hAnsi="Calibri" w:cs="Calibri"/>
                <w:color w:val="000000"/>
              </w:rPr>
              <w:t>visualise</w:t>
            </w:r>
            <w:proofErr w:type="spellEnd"/>
            <w:r>
              <w:rPr>
                <w:rFonts w:ascii="Calibri" w:hAnsi="Calibri" w:cs="Calibri"/>
                <w:color w:val="000000"/>
              </w:rPr>
              <w:t xml:space="preserve"> TPP features.</w:t>
            </w:r>
          </w:p>
        </w:tc>
      </w:tr>
      <w:tr w:rsidR="00250555" w:rsidRPr="00C739FF" w14:paraId="0C4938ED" w14:textId="77777777" w:rsidTr="001C0146">
        <w:trPr>
          <w:trHeight w:val="179"/>
        </w:trPr>
        <w:tc>
          <w:tcPr>
            <w:tcW w:w="1179" w:type="dxa"/>
            <w:vMerge/>
          </w:tcPr>
          <w:p w14:paraId="681EA85F"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35ADB915" w14:textId="013CE4A9"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 xml:space="preserve">Chua </w:t>
            </w:r>
            <w:r w:rsidR="000620EA">
              <w:rPr>
                <w:rFonts w:ascii="Calibri" w:eastAsia="Times New Roman" w:hAnsi="Calibri" w:cs="Calibri"/>
                <w:color w:val="000000"/>
                <w:lang w:eastAsia="en-ZA"/>
              </w:rPr>
              <w:t>et al.</w:t>
            </w:r>
          </w:p>
        </w:tc>
        <w:tc>
          <w:tcPr>
            <w:tcW w:w="772" w:type="dxa"/>
            <w:noWrap/>
            <w:hideMark/>
          </w:tcPr>
          <w:p w14:paraId="64A21A8A"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2017</w:t>
            </w:r>
          </w:p>
        </w:tc>
        <w:tc>
          <w:tcPr>
            <w:tcW w:w="5085" w:type="dxa"/>
          </w:tcPr>
          <w:p w14:paraId="39E11E03"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Consensus on TPP features.</w:t>
            </w:r>
          </w:p>
        </w:tc>
      </w:tr>
      <w:tr w:rsidR="00250555" w:rsidRPr="00C739FF" w14:paraId="6FC8BE0B" w14:textId="77777777" w:rsidTr="001C0146">
        <w:trPr>
          <w:trHeight w:val="125"/>
        </w:trPr>
        <w:tc>
          <w:tcPr>
            <w:tcW w:w="1179" w:type="dxa"/>
            <w:vMerge/>
          </w:tcPr>
          <w:p w14:paraId="70199BC9"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6D683A8B" w14:textId="181CE118" w:rsidR="00250555" w:rsidRPr="00C739FF" w:rsidRDefault="00250555" w:rsidP="00D3594C">
            <w:pPr>
              <w:jc w:val="center"/>
              <w:rPr>
                <w:rFonts w:ascii="Calibri" w:eastAsia="Times New Roman" w:hAnsi="Calibri" w:cs="Calibri"/>
                <w:color w:val="000000"/>
                <w:lang w:eastAsia="en-ZA"/>
              </w:rPr>
            </w:pPr>
            <w:proofErr w:type="spellStart"/>
            <w:r w:rsidRPr="00C739FF">
              <w:rPr>
                <w:rFonts w:ascii="Calibri" w:eastAsia="Times New Roman" w:hAnsi="Calibri" w:cs="Calibri"/>
                <w:color w:val="000000"/>
                <w:lang w:eastAsia="en-ZA"/>
              </w:rPr>
              <w:t>Denkinger</w:t>
            </w:r>
            <w:proofErr w:type="spellEnd"/>
            <w:r w:rsidRPr="00C739FF">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772" w:type="dxa"/>
            <w:noWrap/>
            <w:hideMark/>
          </w:tcPr>
          <w:p w14:paraId="529AD264"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2015</w:t>
            </w:r>
          </w:p>
        </w:tc>
        <w:tc>
          <w:tcPr>
            <w:tcW w:w="5085" w:type="dxa"/>
          </w:tcPr>
          <w:p w14:paraId="188635C0"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Consensus on TPP features, Delphi-like process.</w:t>
            </w:r>
          </w:p>
        </w:tc>
      </w:tr>
      <w:tr w:rsidR="00250555" w:rsidRPr="00C739FF" w14:paraId="70127396" w14:textId="77777777" w:rsidTr="001C0146">
        <w:trPr>
          <w:trHeight w:val="64"/>
        </w:trPr>
        <w:tc>
          <w:tcPr>
            <w:tcW w:w="1179" w:type="dxa"/>
            <w:vMerge/>
          </w:tcPr>
          <w:p w14:paraId="032FAE27"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349B08F3" w14:textId="26F403F4" w:rsidR="00250555" w:rsidRPr="00C739FF" w:rsidRDefault="00250555" w:rsidP="00D3594C">
            <w:pPr>
              <w:jc w:val="center"/>
              <w:rPr>
                <w:rFonts w:ascii="Calibri" w:eastAsia="Times New Roman" w:hAnsi="Calibri" w:cs="Calibri"/>
                <w:color w:val="000000"/>
                <w:lang w:eastAsia="en-ZA"/>
              </w:rPr>
            </w:pPr>
            <w:proofErr w:type="spellStart"/>
            <w:r w:rsidRPr="00C739FF">
              <w:rPr>
                <w:rFonts w:ascii="Calibri" w:eastAsia="Times New Roman" w:hAnsi="Calibri" w:cs="Calibri"/>
                <w:color w:val="000000"/>
                <w:lang w:eastAsia="en-ZA"/>
              </w:rPr>
              <w:t>Donadeu</w:t>
            </w:r>
            <w:proofErr w:type="spellEnd"/>
            <w:r w:rsidRPr="00C739FF">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772" w:type="dxa"/>
            <w:noWrap/>
            <w:hideMark/>
          </w:tcPr>
          <w:p w14:paraId="3AB316C3"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2017</w:t>
            </w:r>
          </w:p>
        </w:tc>
        <w:tc>
          <w:tcPr>
            <w:tcW w:w="5085" w:type="dxa"/>
          </w:tcPr>
          <w:p w14:paraId="037D116F"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Consensus meetings.</w:t>
            </w:r>
          </w:p>
        </w:tc>
      </w:tr>
      <w:tr w:rsidR="00250555" w:rsidRPr="00C739FF" w14:paraId="6595D647" w14:textId="77777777" w:rsidTr="001C0146">
        <w:trPr>
          <w:trHeight w:val="64"/>
        </w:trPr>
        <w:tc>
          <w:tcPr>
            <w:tcW w:w="1179" w:type="dxa"/>
            <w:vMerge/>
          </w:tcPr>
          <w:p w14:paraId="0EE93E67"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4A303850" w14:textId="7A486963"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 xml:space="preserve">Lim </w:t>
            </w:r>
            <w:r w:rsidR="000620EA">
              <w:rPr>
                <w:rFonts w:ascii="Calibri" w:eastAsia="Times New Roman" w:hAnsi="Calibri" w:cs="Calibri"/>
                <w:color w:val="000000"/>
                <w:lang w:eastAsia="en-ZA"/>
              </w:rPr>
              <w:t>et al.</w:t>
            </w:r>
          </w:p>
        </w:tc>
        <w:tc>
          <w:tcPr>
            <w:tcW w:w="772" w:type="dxa"/>
            <w:noWrap/>
            <w:hideMark/>
          </w:tcPr>
          <w:p w14:paraId="36ED350C"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2018</w:t>
            </w:r>
          </w:p>
        </w:tc>
        <w:tc>
          <w:tcPr>
            <w:tcW w:w="5085" w:type="dxa"/>
          </w:tcPr>
          <w:p w14:paraId="4518DAFC"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Consensus on TPP features.</w:t>
            </w:r>
          </w:p>
        </w:tc>
      </w:tr>
      <w:tr w:rsidR="00250555" w:rsidRPr="00C739FF" w14:paraId="2DD8C720" w14:textId="77777777" w:rsidTr="001C0146">
        <w:trPr>
          <w:trHeight w:val="64"/>
        </w:trPr>
        <w:tc>
          <w:tcPr>
            <w:tcW w:w="1179" w:type="dxa"/>
            <w:vMerge/>
          </w:tcPr>
          <w:p w14:paraId="404A4EBD"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1E257331" w14:textId="46FFF6EF"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 xml:space="preserve">Pal </w:t>
            </w:r>
            <w:r w:rsidR="000620EA">
              <w:rPr>
                <w:rFonts w:ascii="Calibri" w:eastAsia="Times New Roman" w:hAnsi="Calibri" w:cs="Calibri"/>
                <w:color w:val="000000"/>
                <w:lang w:eastAsia="en-ZA"/>
              </w:rPr>
              <w:t>et al.</w:t>
            </w:r>
          </w:p>
        </w:tc>
        <w:tc>
          <w:tcPr>
            <w:tcW w:w="772" w:type="dxa"/>
            <w:noWrap/>
            <w:hideMark/>
          </w:tcPr>
          <w:p w14:paraId="1DC0D979"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2016</w:t>
            </w:r>
          </w:p>
        </w:tc>
        <w:tc>
          <w:tcPr>
            <w:tcW w:w="5085" w:type="dxa"/>
          </w:tcPr>
          <w:p w14:paraId="0A63B30E"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Survey.</w:t>
            </w:r>
          </w:p>
        </w:tc>
      </w:tr>
      <w:tr w:rsidR="00250555" w:rsidRPr="00C739FF" w14:paraId="2F8C67DF" w14:textId="77777777" w:rsidTr="001C0146">
        <w:trPr>
          <w:trHeight w:val="64"/>
        </w:trPr>
        <w:tc>
          <w:tcPr>
            <w:tcW w:w="1179" w:type="dxa"/>
            <w:vMerge/>
          </w:tcPr>
          <w:p w14:paraId="705BE273"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1CE5DBD5" w14:textId="64B1098F" w:rsidR="00250555" w:rsidRPr="00C739FF" w:rsidRDefault="00250555" w:rsidP="00D3594C">
            <w:pPr>
              <w:jc w:val="center"/>
              <w:rPr>
                <w:rFonts w:ascii="Calibri" w:eastAsia="Times New Roman" w:hAnsi="Calibri" w:cs="Calibri"/>
                <w:color w:val="000000"/>
                <w:lang w:eastAsia="en-ZA"/>
              </w:rPr>
            </w:pPr>
            <w:proofErr w:type="spellStart"/>
            <w:r w:rsidRPr="00C739FF">
              <w:rPr>
                <w:rFonts w:ascii="Calibri" w:eastAsia="Times New Roman" w:hAnsi="Calibri" w:cs="Calibri"/>
                <w:color w:val="000000"/>
                <w:lang w:eastAsia="en-ZA"/>
              </w:rPr>
              <w:t>Toskin</w:t>
            </w:r>
            <w:proofErr w:type="spellEnd"/>
            <w:r w:rsidRPr="00C739FF">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772" w:type="dxa"/>
            <w:noWrap/>
            <w:hideMark/>
          </w:tcPr>
          <w:p w14:paraId="392F2FE1"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2017</w:t>
            </w:r>
          </w:p>
        </w:tc>
        <w:tc>
          <w:tcPr>
            <w:tcW w:w="5085" w:type="dxa"/>
          </w:tcPr>
          <w:p w14:paraId="624C98BD"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Delphi process.</w:t>
            </w:r>
          </w:p>
        </w:tc>
      </w:tr>
      <w:tr w:rsidR="00250555" w:rsidRPr="00C739FF" w14:paraId="3B569FB2" w14:textId="77777777" w:rsidTr="001C0146">
        <w:trPr>
          <w:trHeight w:val="125"/>
        </w:trPr>
        <w:tc>
          <w:tcPr>
            <w:tcW w:w="1179" w:type="dxa"/>
            <w:vMerge w:val="restart"/>
          </w:tcPr>
          <w:p w14:paraId="3879AE5A" w14:textId="77777777" w:rsidR="00250555" w:rsidRPr="00250555" w:rsidRDefault="00250555" w:rsidP="00250555">
            <w:pPr>
              <w:jc w:val="center"/>
              <w:rPr>
                <w:rFonts w:ascii="Calibri" w:eastAsia="Times New Roman" w:hAnsi="Calibri" w:cs="Calibri"/>
                <w:b/>
                <w:bCs/>
                <w:color w:val="000000"/>
                <w:lang w:eastAsia="en-ZA"/>
              </w:rPr>
            </w:pPr>
            <w:r w:rsidRPr="00250555">
              <w:rPr>
                <w:rFonts w:ascii="Calibri" w:hAnsi="Calibri" w:cs="Calibri"/>
                <w:b/>
                <w:bCs/>
                <w:color w:val="000000"/>
              </w:rPr>
              <w:t>Formal and informal</w:t>
            </w:r>
          </w:p>
        </w:tc>
        <w:tc>
          <w:tcPr>
            <w:tcW w:w="1890" w:type="dxa"/>
            <w:noWrap/>
            <w:hideMark/>
          </w:tcPr>
          <w:p w14:paraId="5C594B39" w14:textId="76C8B1E0" w:rsidR="00250555" w:rsidRPr="00C739FF" w:rsidRDefault="00250555" w:rsidP="00D3594C">
            <w:pPr>
              <w:jc w:val="center"/>
              <w:rPr>
                <w:rFonts w:ascii="Calibri" w:eastAsia="Times New Roman" w:hAnsi="Calibri" w:cs="Calibri"/>
                <w:b/>
                <w:bCs/>
                <w:color w:val="000000"/>
                <w:lang w:eastAsia="en-ZA"/>
              </w:rPr>
            </w:pPr>
            <w:r w:rsidRPr="00C739FF">
              <w:rPr>
                <w:rFonts w:ascii="Calibri" w:eastAsia="Times New Roman" w:hAnsi="Calibri" w:cs="Calibri"/>
                <w:color w:val="000000"/>
                <w:lang w:eastAsia="en-ZA"/>
              </w:rPr>
              <w:t xml:space="preserve">Alonso-Padilla </w:t>
            </w:r>
            <w:r w:rsidR="000620EA">
              <w:rPr>
                <w:rFonts w:ascii="Calibri" w:eastAsia="Times New Roman" w:hAnsi="Calibri" w:cs="Calibri"/>
                <w:color w:val="000000"/>
                <w:lang w:eastAsia="en-ZA"/>
              </w:rPr>
              <w:t>et al.</w:t>
            </w:r>
          </w:p>
        </w:tc>
        <w:tc>
          <w:tcPr>
            <w:tcW w:w="772" w:type="dxa"/>
            <w:noWrap/>
            <w:hideMark/>
          </w:tcPr>
          <w:p w14:paraId="68A7B6CD"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2020</w:t>
            </w:r>
          </w:p>
        </w:tc>
        <w:tc>
          <w:tcPr>
            <w:tcW w:w="5085" w:type="dxa"/>
          </w:tcPr>
          <w:p w14:paraId="051CC24C"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Face-to-face meetings, email surveys, Use-case scenarios for each of the test features.</w:t>
            </w:r>
          </w:p>
        </w:tc>
      </w:tr>
      <w:tr w:rsidR="00250555" w:rsidRPr="00C739FF" w14:paraId="79D7E9CF" w14:textId="77777777" w:rsidTr="001C0146">
        <w:trPr>
          <w:trHeight w:val="755"/>
        </w:trPr>
        <w:tc>
          <w:tcPr>
            <w:tcW w:w="1179" w:type="dxa"/>
            <w:vMerge/>
          </w:tcPr>
          <w:p w14:paraId="05395173"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407A5892" w14:textId="0C5CD30B" w:rsidR="00250555" w:rsidRPr="00C739FF" w:rsidRDefault="00250555" w:rsidP="00D3594C">
            <w:pPr>
              <w:jc w:val="center"/>
              <w:rPr>
                <w:rFonts w:ascii="Calibri" w:eastAsia="Times New Roman" w:hAnsi="Calibri" w:cs="Calibri"/>
                <w:b/>
                <w:bCs/>
                <w:color w:val="000000"/>
                <w:lang w:eastAsia="en-ZA"/>
              </w:rPr>
            </w:pPr>
            <w:proofErr w:type="spellStart"/>
            <w:r w:rsidRPr="00C739FF">
              <w:rPr>
                <w:rFonts w:ascii="Calibri" w:eastAsia="Times New Roman" w:hAnsi="Calibri" w:cs="Calibri"/>
                <w:color w:val="000000"/>
                <w:lang w:eastAsia="en-ZA"/>
              </w:rPr>
              <w:t>Denkinger</w:t>
            </w:r>
            <w:proofErr w:type="spellEnd"/>
            <w:r w:rsidRPr="00C739FF">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772" w:type="dxa"/>
            <w:noWrap/>
            <w:hideMark/>
          </w:tcPr>
          <w:p w14:paraId="30A4A89E"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2015</w:t>
            </w:r>
          </w:p>
        </w:tc>
        <w:tc>
          <w:tcPr>
            <w:tcW w:w="5085" w:type="dxa"/>
          </w:tcPr>
          <w:p w14:paraId="37E57C22"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Observations from national tuberculosis programs and surveys, market analysis, surveys, mathematical models were used, landscaping using FIND unpublished data where available to support decision making around optimal test characteristics.</w:t>
            </w:r>
          </w:p>
        </w:tc>
      </w:tr>
      <w:tr w:rsidR="00250555" w:rsidRPr="00C739FF" w14:paraId="76697FF5" w14:textId="77777777" w:rsidTr="001C0146">
        <w:trPr>
          <w:trHeight w:val="64"/>
        </w:trPr>
        <w:tc>
          <w:tcPr>
            <w:tcW w:w="1179" w:type="dxa"/>
            <w:vMerge/>
          </w:tcPr>
          <w:p w14:paraId="6B3192A6"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434F0339" w14:textId="6018F96D" w:rsidR="00250555" w:rsidRPr="00C739FF" w:rsidRDefault="00250555" w:rsidP="00D3594C">
            <w:pPr>
              <w:jc w:val="center"/>
              <w:rPr>
                <w:rFonts w:ascii="Calibri" w:eastAsia="Times New Roman" w:hAnsi="Calibri" w:cs="Calibri"/>
                <w:b/>
                <w:bCs/>
                <w:color w:val="000000"/>
                <w:lang w:eastAsia="en-ZA"/>
              </w:rPr>
            </w:pPr>
            <w:r w:rsidRPr="00C739FF">
              <w:rPr>
                <w:rFonts w:ascii="Calibri" w:eastAsia="Times New Roman" w:hAnsi="Calibri" w:cs="Calibri"/>
                <w:color w:val="000000"/>
                <w:lang w:eastAsia="en-ZA"/>
              </w:rPr>
              <w:t xml:space="preserve">Dittrich </w:t>
            </w:r>
            <w:r w:rsidR="000620EA">
              <w:rPr>
                <w:rFonts w:ascii="Calibri" w:eastAsia="Times New Roman" w:hAnsi="Calibri" w:cs="Calibri"/>
                <w:color w:val="000000"/>
                <w:lang w:eastAsia="en-ZA"/>
              </w:rPr>
              <w:t>et al.</w:t>
            </w:r>
          </w:p>
        </w:tc>
        <w:tc>
          <w:tcPr>
            <w:tcW w:w="772" w:type="dxa"/>
            <w:noWrap/>
            <w:hideMark/>
          </w:tcPr>
          <w:p w14:paraId="493B6AFD"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2016</w:t>
            </w:r>
          </w:p>
        </w:tc>
        <w:tc>
          <w:tcPr>
            <w:tcW w:w="5085" w:type="dxa"/>
          </w:tcPr>
          <w:p w14:paraId="0784381E"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Delphi approach, face-to-face interviews.</w:t>
            </w:r>
          </w:p>
        </w:tc>
      </w:tr>
      <w:tr w:rsidR="00250555" w:rsidRPr="00C739FF" w14:paraId="6F58E14C" w14:textId="77777777" w:rsidTr="001C0146">
        <w:trPr>
          <w:trHeight w:val="98"/>
        </w:trPr>
        <w:tc>
          <w:tcPr>
            <w:tcW w:w="1179" w:type="dxa"/>
            <w:vMerge/>
          </w:tcPr>
          <w:p w14:paraId="485EC886"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5D0B4329" w14:textId="3925BFC9" w:rsidR="00250555" w:rsidRPr="00C739FF" w:rsidRDefault="00250555" w:rsidP="00D3594C">
            <w:pPr>
              <w:jc w:val="center"/>
              <w:rPr>
                <w:rFonts w:ascii="Calibri" w:eastAsia="Times New Roman" w:hAnsi="Calibri" w:cs="Calibri"/>
                <w:b/>
                <w:bCs/>
                <w:color w:val="000000"/>
                <w:lang w:eastAsia="en-ZA"/>
              </w:rPr>
            </w:pPr>
            <w:r w:rsidRPr="00C739FF">
              <w:rPr>
                <w:rFonts w:ascii="Calibri" w:eastAsia="Times New Roman" w:hAnsi="Calibri" w:cs="Calibri"/>
                <w:color w:val="000000"/>
                <w:lang w:eastAsia="en-ZA"/>
              </w:rPr>
              <w:t xml:space="preserve">Gal </w:t>
            </w:r>
            <w:r w:rsidR="000620EA">
              <w:rPr>
                <w:rFonts w:ascii="Calibri" w:eastAsia="Times New Roman" w:hAnsi="Calibri" w:cs="Calibri"/>
                <w:color w:val="000000"/>
                <w:lang w:eastAsia="en-ZA"/>
              </w:rPr>
              <w:t>et al.</w:t>
            </w:r>
          </w:p>
        </w:tc>
        <w:tc>
          <w:tcPr>
            <w:tcW w:w="772" w:type="dxa"/>
            <w:noWrap/>
            <w:hideMark/>
          </w:tcPr>
          <w:p w14:paraId="141C60D3"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2018</w:t>
            </w:r>
          </w:p>
        </w:tc>
        <w:tc>
          <w:tcPr>
            <w:tcW w:w="5085" w:type="dxa"/>
          </w:tcPr>
          <w:p w14:paraId="1FBB4BD5"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Quantitative and qualitative, online survey, workshops and in-person meetings.</w:t>
            </w:r>
          </w:p>
        </w:tc>
      </w:tr>
      <w:tr w:rsidR="00250555" w:rsidRPr="00C739FF" w14:paraId="00D0FD86" w14:textId="77777777" w:rsidTr="001C0146">
        <w:trPr>
          <w:trHeight w:val="3698"/>
        </w:trPr>
        <w:tc>
          <w:tcPr>
            <w:tcW w:w="1179" w:type="dxa"/>
            <w:vMerge/>
          </w:tcPr>
          <w:p w14:paraId="3FC82648"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tcPr>
          <w:p w14:paraId="27741235" w14:textId="783B5F27" w:rsidR="00250555" w:rsidRPr="00C739FF" w:rsidRDefault="00250555" w:rsidP="00D3594C">
            <w:pPr>
              <w:jc w:val="center"/>
              <w:rPr>
                <w:rFonts w:ascii="Calibri" w:eastAsia="Times New Roman" w:hAnsi="Calibri" w:cs="Calibri"/>
                <w:b/>
                <w:bCs/>
                <w:color w:val="000000"/>
                <w:lang w:eastAsia="en-ZA"/>
              </w:rPr>
            </w:pPr>
            <w:r w:rsidRPr="00C739FF">
              <w:rPr>
                <w:rFonts w:ascii="Calibri" w:eastAsia="Times New Roman" w:hAnsi="Calibri" w:cs="Calibri"/>
                <w:color w:val="000000"/>
                <w:lang w:eastAsia="en-ZA"/>
              </w:rPr>
              <w:t xml:space="preserve">Jaffar </w:t>
            </w:r>
            <w:r w:rsidR="000620EA">
              <w:rPr>
                <w:rFonts w:ascii="Calibri" w:eastAsia="Times New Roman" w:hAnsi="Calibri" w:cs="Calibri"/>
                <w:color w:val="000000"/>
                <w:lang w:eastAsia="en-ZA"/>
              </w:rPr>
              <w:t>et al.</w:t>
            </w:r>
          </w:p>
        </w:tc>
        <w:tc>
          <w:tcPr>
            <w:tcW w:w="772" w:type="dxa"/>
            <w:noWrap/>
          </w:tcPr>
          <w:p w14:paraId="2AEB3E9E"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2022</w:t>
            </w:r>
          </w:p>
        </w:tc>
        <w:tc>
          <w:tcPr>
            <w:tcW w:w="5085" w:type="dxa"/>
          </w:tcPr>
          <w:p w14:paraId="1DCDF231" w14:textId="77777777" w:rsidR="00250555" w:rsidRDefault="00250555" w:rsidP="00D3594C">
            <w:pPr>
              <w:rPr>
                <w:rFonts w:ascii="Calibri" w:hAnsi="Calibri" w:cs="Calibri"/>
                <w:color w:val="000000"/>
              </w:rPr>
            </w:pPr>
            <w:r>
              <w:rPr>
                <w:rFonts w:ascii="Calibri" w:hAnsi="Calibri" w:cs="Calibri"/>
                <w:color w:val="000000"/>
              </w:rPr>
              <w:t xml:space="preserve">7-stage process: stages: (1) </w:t>
            </w:r>
            <w:r w:rsidRPr="00F348FD">
              <w:rPr>
                <w:rFonts w:ascii="Calibri" w:hAnsi="Calibri" w:cs="Calibri"/>
                <w:color w:val="000000"/>
              </w:rPr>
              <w:t>establishment of QTPP list based on publicly available information</w:t>
            </w:r>
            <w:r>
              <w:rPr>
                <w:rFonts w:ascii="Calibri" w:hAnsi="Calibri" w:cs="Calibri"/>
                <w:color w:val="000000"/>
              </w:rPr>
              <w:t xml:space="preserve">, (2) the identification of product quality attributes (QAs) and determination of their specifications based on the existing knowledge and initial analyses of several lots of Keytruda, (3) the determination of product CQAs using </w:t>
            </w:r>
            <w:proofErr w:type="spellStart"/>
            <w:r>
              <w:rPr>
                <w:rFonts w:ascii="Calibri" w:hAnsi="Calibri" w:cs="Calibri"/>
                <w:color w:val="000000"/>
              </w:rPr>
              <w:t>QbD</w:t>
            </w:r>
            <w:proofErr w:type="spellEnd"/>
            <w:r>
              <w:rPr>
                <w:rFonts w:ascii="Calibri" w:hAnsi="Calibri" w:cs="Calibri"/>
                <w:color w:val="000000"/>
              </w:rPr>
              <w:t xml:space="preserve"> risk assessment tools Risk Ranking &amp; Filtering (Tool 1) and Preliminary Hazards Analysis (Tool 2), according to the instructions of ICH Q9 guideline; (4) prior knowledge-based identification of input process parameters (</w:t>
            </w:r>
            <w:proofErr w:type="spellStart"/>
            <w:r>
              <w:rPr>
                <w:rFonts w:ascii="Calibri" w:hAnsi="Calibri" w:cs="Calibri"/>
                <w:color w:val="000000"/>
              </w:rPr>
              <w:t>iPPs</w:t>
            </w:r>
            <w:proofErr w:type="spellEnd"/>
            <w:r>
              <w:rPr>
                <w:rFonts w:ascii="Calibri" w:hAnsi="Calibri" w:cs="Calibri"/>
                <w:color w:val="000000"/>
              </w:rPr>
              <w:t>) and their impacts on CQAs and output process parameters (</w:t>
            </w:r>
            <w:proofErr w:type="spellStart"/>
            <w:r>
              <w:rPr>
                <w:rFonts w:ascii="Calibri" w:hAnsi="Calibri" w:cs="Calibri"/>
                <w:color w:val="000000"/>
              </w:rPr>
              <w:t>oPPs</w:t>
            </w:r>
            <w:proofErr w:type="spellEnd"/>
            <w:r>
              <w:rPr>
                <w:rFonts w:ascii="Calibri" w:hAnsi="Calibri" w:cs="Calibri"/>
                <w:color w:val="000000"/>
              </w:rPr>
              <w:t>) to establish the manufacturing process and control strategy; (5) process evaluation via screening experiments to identify the CQAs that need to be controlled via optimization of their critical process parameters (CPPs); (6) optimization of CPPs to define their optimal design space for CQAs control; and (7) manufacturing process validation and risk acceptance upon the final repeat of risk assessment.</w:t>
            </w:r>
          </w:p>
        </w:tc>
      </w:tr>
      <w:tr w:rsidR="00250555" w:rsidRPr="00C739FF" w14:paraId="6B86E399" w14:textId="77777777" w:rsidTr="001C0146">
        <w:trPr>
          <w:trHeight w:val="107"/>
        </w:trPr>
        <w:tc>
          <w:tcPr>
            <w:tcW w:w="1179" w:type="dxa"/>
            <w:vMerge/>
          </w:tcPr>
          <w:p w14:paraId="6C9AA83D"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0230FFE9" w14:textId="18BE52E8" w:rsidR="00250555" w:rsidRPr="00C739FF" w:rsidRDefault="00250555" w:rsidP="00D3594C">
            <w:pPr>
              <w:jc w:val="center"/>
              <w:rPr>
                <w:rFonts w:ascii="Calibri" w:eastAsia="Times New Roman" w:hAnsi="Calibri" w:cs="Calibri"/>
                <w:b/>
                <w:bCs/>
                <w:color w:val="000000"/>
                <w:lang w:eastAsia="en-ZA"/>
              </w:rPr>
            </w:pPr>
            <w:r w:rsidRPr="00C739FF">
              <w:rPr>
                <w:rFonts w:ascii="Calibri" w:eastAsia="Times New Roman" w:hAnsi="Calibri" w:cs="Calibri"/>
                <w:color w:val="000000"/>
                <w:lang w:eastAsia="en-ZA"/>
              </w:rPr>
              <w:t xml:space="preserve">Lewin </w:t>
            </w:r>
            <w:r w:rsidR="000620EA">
              <w:rPr>
                <w:rFonts w:ascii="Calibri" w:eastAsia="Times New Roman" w:hAnsi="Calibri" w:cs="Calibri"/>
                <w:color w:val="000000"/>
                <w:lang w:eastAsia="en-ZA"/>
              </w:rPr>
              <w:t>et al.</w:t>
            </w:r>
          </w:p>
        </w:tc>
        <w:tc>
          <w:tcPr>
            <w:tcW w:w="772" w:type="dxa"/>
            <w:noWrap/>
            <w:hideMark/>
          </w:tcPr>
          <w:p w14:paraId="2CD63535"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2021</w:t>
            </w:r>
          </w:p>
        </w:tc>
        <w:tc>
          <w:tcPr>
            <w:tcW w:w="5085" w:type="dxa"/>
          </w:tcPr>
          <w:p w14:paraId="30C40880"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Virtual meetings, email correspondence, interviews. In parallel, and a Delphi process through online surveys.</w:t>
            </w:r>
          </w:p>
        </w:tc>
      </w:tr>
      <w:tr w:rsidR="00250555" w:rsidRPr="00C739FF" w14:paraId="44B2967C" w14:textId="77777777" w:rsidTr="001C0146">
        <w:trPr>
          <w:trHeight w:val="64"/>
        </w:trPr>
        <w:tc>
          <w:tcPr>
            <w:tcW w:w="1179" w:type="dxa"/>
            <w:vMerge/>
          </w:tcPr>
          <w:p w14:paraId="30D66144"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569BA2D4" w14:textId="587F4BCC" w:rsidR="00250555" w:rsidRPr="00C739FF" w:rsidRDefault="00250555" w:rsidP="00D3594C">
            <w:pPr>
              <w:jc w:val="center"/>
              <w:rPr>
                <w:rFonts w:ascii="Calibri" w:eastAsia="Times New Roman" w:hAnsi="Calibri" w:cs="Calibri"/>
                <w:b/>
                <w:bCs/>
                <w:color w:val="000000"/>
                <w:lang w:eastAsia="en-ZA"/>
              </w:rPr>
            </w:pPr>
            <w:proofErr w:type="spellStart"/>
            <w:r w:rsidRPr="00C739FF">
              <w:rPr>
                <w:rFonts w:ascii="Calibri" w:eastAsia="Times New Roman" w:hAnsi="Calibri" w:cs="Calibri"/>
                <w:color w:val="000000"/>
                <w:lang w:eastAsia="en-ZA"/>
              </w:rPr>
              <w:t>Pellé</w:t>
            </w:r>
            <w:proofErr w:type="spellEnd"/>
            <w:r w:rsidRPr="00C739FF">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772" w:type="dxa"/>
            <w:noWrap/>
            <w:hideMark/>
          </w:tcPr>
          <w:p w14:paraId="2BC281FF"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2020</w:t>
            </w:r>
          </w:p>
        </w:tc>
        <w:tc>
          <w:tcPr>
            <w:tcW w:w="5085" w:type="dxa"/>
          </w:tcPr>
          <w:p w14:paraId="6001EB73"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Delphi process, online survey, Likert scale, in-person meetings.</w:t>
            </w:r>
          </w:p>
        </w:tc>
      </w:tr>
      <w:tr w:rsidR="00250555" w:rsidRPr="00C739FF" w14:paraId="2EBCF15D" w14:textId="77777777" w:rsidTr="001C0146">
        <w:trPr>
          <w:trHeight w:val="64"/>
        </w:trPr>
        <w:tc>
          <w:tcPr>
            <w:tcW w:w="1179" w:type="dxa"/>
            <w:vMerge/>
          </w:tcPr>
          <w:p w14:paraId="1243E89E"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71BC8E55" w14:textId="268BAFD2" w:rsidR="00250555" w:rsidRPr="00C739FF" w:rsidRDefault="00250555" w:rsidP="00D3594C">
            <w:pPr>
              <w:jc w:val="center"/>
              <w:rPr>
                <w:rFonts w:ascii="Calibri" w:eastAsia="Times New Roman" w:hAnsi="Calibri" w:cs="Calibri"/>
                <w:b/>
                <w:bCs/>
                <w:color w:val="000000"/>
                <w:lang w:eastAsia="en-ZA"/>
              </w:rPr>
            </w:pPr>
            <w:proofErr w:type="spellStart"/>
            <w:r w:rsidRPr="00C739FF">
              <w:rPr>
                <w:rFonts w:ascii="Calibri" w:eastAsia="Times New Roman" w:hAnsi="Calibri" w:cs="Calibri"/>
                <w:color w:val="000000"/>
                <w:lang w:eastAsia="en-ZA"/>
              </w:rPr>
              <w:t>Reipold</w:t>
            </w:r>
            <w:proofErr w:type="spellEnd"/>
            <w:r w:rsidRPr="00C739FF">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772" w:type="dxa"/>
            <w:noWrap/>
            <w:hideMark/>
          </w:tcPr>
          <w:p w14:paraId="69AD5879"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2017</w:t>
            </w:r>
          </w:p>
        </w:tc>
        <w:tc>
          <w:tcPr>
            <w:tcW w:w="5085" w:type="dxa"/>
          </w:tcPr>
          <w:p w14:paraId="3A281511"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Key stakeholders mapping, Informal priority-setting exercise with key experts, Defining the key TPP domains, Delphi-like process, Likert scale.</w:t>
            </w:r>
          </w:p>
        </w:tc>
      </w:tr>
      <w:tr w:rsidR="00250555" w:rsidRPr="00C739FF" w14:paraId="34A30B00" w14:textId="77777777" w:rsidTr="001C0146">
        <w:trPr>
          <w:trHeight w:val="64"/>
        </w:trPr>
        <w:tc>
          <w:tcPr>
            <w:tcW w:w="1179" w:type="dxa"/>
            <w:vMerge/>
          </w:tcPr>
          <w:p w14:paraId="21843B81"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2C7EF415" w14:textId="77777777" w:rsidR="00250555" w:rsidRPr="00C739FF" w:rsidRDefault="00250555" w:rsidP="00D3594C">
            <w:pPr>
              <w:jc w:val="center"/>
              <w:rPr>
                <w:rFonts w:ascii="Calibri" w:eastAsia="Times New Roman" w:hAnsi="Calibri" w:cs="Calibri"/>
                <w:b/>
                <w:bCs/>
                <w:color w:val="000000"/>
                <w:lang w:eastAsia="en-ZA"/>
              </w:rPr>
            </w:pPr>
            <w:proofErr w:type="spellStart"/>
            <w:r w:rsidRPr="00C739FF">
              <w:rPr>
                <w:rFonts w:ascii="Calibri" w:eastAsia="Times New Roman" w:hAnsi="Calibri" w:cs="Calibri"/>
                <w:color w:val="000000"/>
                <w:lang w:eastAsia="en-ZA"/>
              </w:rPr>
              <w:t>Saydam</w:t>
            </w:r>
            <w:proofErr w:type="spellEnd"/>
            <w:r w:rsidRPr="00C739FF">
              <w:rPr>
                <w:rFonts w:ascii="Calibri" w:eastAsia="Times New Roman" w:hAnsi="Calibri" w:cs="Calibri"/>
                <w:color w:val="000000"/>
                <w:lang w:eastAsia="en-ZA"/>
              </w:rPr>
              <w:t xml:space="preserve"> and </w:t>
            </w:r>
            <w:proofErr w:type="spellStart"/>
            <w:r w:rsidRPr="00C739FF">
              <w:rPr>
                <w:rFonts w:ascii="Calibri" w:eastAsia="Times New Roman" w:hAnsi="Calibri" w:cs="Calibri"/>
                <w:color w:val="000000"/>
                <w:lang w:eastAsia="en-ZA"/>
              </w:rPr>
              <w:t>Takka</w:t>
            </w:r>
            <w:proofErr w:type="spellEnd"/>
          </w:p>
        </w:tc>
        <w:tc>
          <w:tcPr>
            <w:tcW w:w="772" w:type="dxa"/>
            <w:noWrap/>
            <w:hideMark/>
          </w:tcPr>
          <w:p w14:paraId="1D668353"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2018</w:t>
            </w:r>
          </w:p>
        </w:tc>
        <w:tc>
          <w:tcPr>
            <w:tcW w:w="5085" w:type="dxa"/>
          </w:tcPr>
          <w:p w14:paraId="00C8DBC0"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Step-by-step risk analysis methods (qualitative and semi-quantitative).</w:t>
            </w:r>
          </w:p>
        </w:tc>
      </w:tr>
      <w:tr w:rsidR="00250555" w:rsidRPr="00C739FF" w14:paraId="49A706DE" w14:textId="77777777" w:rsidTr="001C0146">
        <w:trPr>
          <w:trHeight w:val="325"/>
        </w:trPr>
        <w:tc>
          <w:tcPr>
            <w:tcW w:w="1179" w:type="dxa"/>
            <w:vMerge/>
          </w:tcPr>
          <w:p w14:paraId="6DE9C5F5"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3758886C" w14:textId="57E4D58B" w:rsidR="00250555" w:rsidRPr="00C739FF" w:rsidRDefault="00250555" w:rsidP="00D3594C">
            <w:pPr>
              <w:jc w:val="center"/>
              <w:rPr>
                <w:rFonts w:ascii="Calibri" w:eastAsia="Times New Roman" w:hAnsi="Calibri" w:cs="Calibri"/>
                <w:b/>
                <w:bCs/>
                <w:color w:val="000000"/>
                <w:lang w:eastAsia="en-ZA"/>
              </w:rPr>
            </w:pPr>
            <w:r w:rsidRPr="00C739FF">
              <w:rPr>
                <w:rFonts w:ascii="Calibri" w:eastAsia="Times New Roman" w:hAnsi="Calibri" w:cs="Calibri"/>
                <w:color w:val="000000"/>
                <w:lang w:eastAsia="en-ZA"/>
              </w:rPr>
              <w:t xml:space="preserve">Vetter </w:t>
            </w:r>
            <w:r w:rsidR="000620EA">
              <w:rPr>
                <w:rFonts w:ascii="Calibri" w:eastAsia="Times New Roman" w:hAnsi="Calibri" w:cs="Calibri"/>
                <w:color w:val="000000"/>
                <w:lang w:eastAsia="en-ZA"/>
              </w:rPr>
              <w:t>et al.</w:t>
            </w:r>
          </w:p>
        </w:tc>
        <w:tc>
          <w:tcPr>
            <w:tcW w:w="772" w:type="dxa"/>
            <w:noWrap/>
            <w:hideMark/>
          </w:tcPr>
          <w:p w14:paraId="5A766ADA"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2021</w:t>
            </w:r>
          </w:p>
        </w:tc>
        <w:tc>
          <w:tcPr>
            <w:tcW w:w="5085" w:type="dxa"/>
          </w:tcPr>
          <w:p w14:paraId="0BEE2250"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Delphi process, online survey, Likert scale, semi-structured qualitative interviews, virtual meetings.</w:t>
            </w:r>
          </w:p>
        </w:tc>
      </w:tr>
      <w:tr w:rsidR="00250555" w:rsidRPr="00C739FF" w14:paraId="66B2D20B" w14:textId="77777777" w:rsidTr="001C0146">
        <w:trPr>
          <w:trHeight w:val="80"/>
        </w:trPr>
        <w:tc>
          <w:tcPr>
            <w:tcW w:w="1179" w:type="dxa"/>
            <w:vMerge/>
          </w:tcPr>
          <w:p w14:paraId="27BF4825"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4CCEE65C" w14:textId="00E10F90"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 xml:space="preserve">Ding </w:t>
            </w:r>
            <w:r w:rsidR="000620EA">
              <w:rPr>
                <w:rFonts w:ascii="Calibri" w:eastAsia="Times New Roman" w:hAnsi="Calibri" w:cs="Calibri"/>
                <w:color w:val="000000"/>
                <w:lang w:eastAsia="en-ZA"/>
              </w:rPr>
              <w:t>et al.</w:t>
            </w:r>
          </w:p>
        </w:tc>
        <w:tc>
          <w:tcPr>
            <w:tcW w:w="772" w:type="dxa"/>
            <w:noWrap/>
            <w:hideMark/>
          </w:tcPr>
          <w:p w14:paraId="3868365B"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2017</w:t>
            </w:r>
          </w:p>
        </w:tc>
        <w:tc>
          <w:tcPr>
            <w:tcW w:w="5085" w:type="dxa"/>
          </w:tcPr>
          <w:p w14:paraId="10FA2039"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Iterative and consensus-decision-making process, expert meetings, online survey.</w:t>
            </w:r>
          </w:p>
        </w:tc>
      </w:tr>
      <w:tr w:rsidR="00250555" w:rsidRPr="00C739FF" w14:paraId="78AD0BE7" w14:textId="77777777" w:rsidTr="001C0146">
        <w:trPr>
          <w:trHeight w:val="620"/>
        </w:trPr>
        <w:tc>
          <w:tcPr>
            <w:tcW w:w="1179" w:type="dxa"/>
            <w:vMerge w:val="restart"/>
          </w:tcPr>
          <w:p w14:paraId="7530D7B2" w14:textId="77777777" w:rsidR="00250555" w:rsidRPr="00250555" w:rsidRDefault="00250555" w:rsidP="00250555">
            <w:pPr>
              <w:jc w:val="center"/>
              <w:rPr>
                <w:rFonts w:ascii="Calibri" w:eastAsia="Times New Roman" w:hAnsi="Calibri" w:cs="Calibri"/>
                <w:b/>
                <w:bCs/>
                <w:color w:val="000000"/>
                <w:lang w:val="de-DE" w:eastAsia="en-ZA"/>
              </w:rPr>
            </w:pPr>
            <w:r w:rsidRPr="00250555">
              <w:rPr>
                <w:rFonts w:ascii="Calibri" w:hAnsi="Calibri" w:cs="Calibri"/>
                <w:b/>
                <w:bCs/>
                <w:color w:val="000000"/>
                <w:lang w:val="de-DE"/>
              </w:rPr>
              <w:t>Informal</w:t>
            </w:r>
          </w:p>
        </w:tc>
        <w:tc>
          <w:tcPr>
            <w:tcW w:w="1890" w:type="dxa"/>
            <w:noWrap/>
            <w:hideMark/>
          </w:tcPr>
          <w:p w14:paraId="53B289BE" w14:textId="551EC786" w:rsidR="00250555" w:rsidRPr="00C739FF" w:rsidRDefault="00250555" w:rsidP="00D3594C">
            <w:pPr>
              <w:jc w:val="center"/>
              <w:rPr>
                <w:rFonts w:ascii="Calibri" w:eastAsia="Times New Roman" w:hAnsi="Calibri" w:cs="Calibri"/>
                <w:b/>
                <w:bCs/>
                <w:color w:val="000000"/>
                <w:lang w:eastAsia="en-ZA"/>
              </w:rPr>
            </w:pPr>
            <w:r w:rsidRPr="00C739FF">
              <w:rPr>
                <w:rFonts w:ascii="Calibri" w:eastAsia="Times New Roman" w:hAnsi="Calibri" w:cs="Calibri"/>
                <w:color w:val="000000"/>
                <w:lang w:eastAsia="en-ZA"/>
              </w:rPr>
              <w:t xml:space="preserve">Bengtson </w:t>
            </w:r>
            <w:r w:rsidR="000620EA">
              <w:rPr>
                <w:rFonts w:ascii="Calibri" w:eastAsia="Times New Roman" w:hAnsi="Calibri" w:cs="Calibri"/>
                <w:color w:val="000000"/>
                <w:lang w:eastAsia="en-ZA"/>
              </w:rPr>
              <w:t>et al.</w:t>
            </w:r>
          </w:p>
        </w:tc>
        <w:tc>
          <w:tcPr>
            <w:tcW w:w="772" w:type="dxa"/>
            <w:noWrap/>
            <w:hideMark/>
          </w:tcPr>
          <w:p w14:paraId="035B323E"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2020</w:t>
            </w:r>
          </w:p>
        </w:tc>
        <w:tc>
          <w:tcPr>
            <w:tcW w:w="5085" w:type="dxa"/>
          </w:tcPr>
          <w:p w14:paraId="5CA31D6F" w14:textId="64C2BCA0" w:rsidR="00250555" w:rsidRPr="00C739FF" w:rsidRDefault="007B69A0" w:rsidP="00D3594C">
            <w:pPr>
              <w:rPr>
                <w:rFonts w:ascii="Calibri" w:eastAsia="Times New Roman" w:hAnsi="Calibri" w:cs="Calibri"/>
                <w:color w:val="000000"/>
                <w:lang w:eastAsia="en-ZA"/>
              </w:rPr>
            </w:pPr>
            <w:r>
              <w:rPr>
                <w:rFonts w:ascii="Calibri" w:hAnsi="Calibri" w:cs="Calibri"/>
                <w:color w:val="000000"/>
              </w:rPr>
              <w:t>Stepwise</w:t>
            </w:r>
            <w:r w:rsidR="00250555">
              <w:rPr>
                <w:rFonts w:ascii="Calibri" w:hAnsi="Calibri" w:cs="Calibri"/>
                <w:color w:val="000000"/>
              </w:rPr>
              <w:t xml:space="preserve"> approach using design-thinking principles, </w:t>
            </w:r>
            <w:proofErr w:type="spellStart"/>
            <w:r w:rsidR="00250555">
              <w:rPr>
                <w:rFonts w:ascii="Calibri" w:hAnsi="Calibri" w:cs="Calibri"/>
                <w:color w:val="000000"/>
              </w:rPr>
              <w:t>gigamaps</w:t>
            </w:r>
            <w:proofErr w:type="spellEnd"/>
            <w:r w:rsidR="00250555">
              <w:rPr>
                <w:rFonts w:ascii="Calibri" w:hAnsi="Calibri" w:cs="Calibri"/>
                <w:color w:val="000000"/>
              </w:rPr>
              <w:t xml:space="preserve"> (large and information-dense diagrams that act as a bridge between inquiry, design, and implementation), visual depictions of the patient journeys, creation and validation of use Case Scenarios.</w:t>
            </w:r>
          </w:p>
        </w:tc>
      </w:tr>
      <w:tr w:rsidR="00250555" w:rsidRPr="00C739FF" w14:paraId="7508373F" w14:textId="77777777" w:rsidTr="001C0146">
        <w:trPr>
          <w:trHeight w:val="64"/>
        </w:trPr>
        <w:tc>
          <w:tcPr>
            <w:tcW w:w="1179" w:type="dxa"/>
            <w:vMerge/>
          </w:tcPr>
          <w:p w14:paraId="21AEA24B"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400957AB" w14:textId="18D95313" w:rsidR="00250555" w:rsidRPr="00C739FF" w:rsidRDefault="00250555" w:rsidP="00D3594C">
            <w:pPr>
              <w:jc w:val="center"/>
              <w:rPr>
                <w:rFonts w:ascii="Calibri" w:eastAsia="Times New Roman" w:hAnsi="Calibri" w:cs="Calibri"/>
                <w:b/>
                <w:bCs/>
                <w:color w:val="000000"/>
                <w:lang w:eastAsia="en-ZA"/>
              </w:rPr>
            </w:pPr>
            <w:proofErr w:type="spellStart"/>
            <w:r w:rsidRPr="00C739FF">
              <w:rPr>
                <w:rFonts w:ascii="Calibri" w:eastAsia="Times New Roman" w:hAnsi="Calibri" w:cs="Calibri"/>
                <w:color w:val="000000"/>
                <w:lang w:eastAsia="en-ZA"/>
              </w:rPr>
              <w:t>Fongwen</w:t>
            </w:r>
            <w:proofErr w:type="spellEnd"/>
            <w:r w:rsidRPr="00C739FF">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772" w:type="dxa"/>
            <w:noWrap/>
            <w:hideMark/>
          </w:tcPr>
          <w:p w14:paraId="41752332"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2021</w:t>
            </w:r>
          </w:p>
        </w:tc>
        <w:tc>
          <w:tcPr>
            <w:tcW w:w="5085" w:type="dxa"/>
          </w:tcPr>
          <w:p w14:paraId="45D41A78"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Face-to-face consultations, online meetings, semi-structured interviews with experts’ meetings.</w:t>
            </w:r>
          </w:p>
        </w:tc>
      </w:tr>
      <w:tr w:rsidR="00250555" w:rsidRPr="00C739FF" w14:paraId="1816BF77" w14:textId="77777777" w:rsidTr="001C0146">
        <w:trPr>
          <w:trHeight w:val="64"/>
        </w:trPr>
        <w:tc>
          <w:tcPr>
            <w:tcW w:w="1179" w:type="dxa"/>
            <w:vMerge/>
          </w:tcPr>
          <w:p w14:paraId="573C5AEE"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63446CB6" w14:textId="6454B45A" w:rsidR="00250555" w:rsidRPr="00C739FF" w:rsidRDefault="00250555" w:rsidP="00D3594C">
            <w:pPr>
              <w:jc w:val="center"/>
              <w:rPr>
                <w:rFonts w:ascii="Calibri" w:eastAsia="Times New Roman" w:hAnsi="Calibri" w:cs="Calibri"/>
                <w:b/>
                <w:bCs/>
                <w:color w:val="000000"/>
                <w:lang w:eastAsia="en-ZA"/>
              </w:rPr>
            </w:pPr>
            <w:r w:rsidRPr="00C739FF">
              <w:rPr>
                <w:rFonts w:ascii="Calibri" w:eastAsia="Times New Roman" w:hAnsi="Calibri" w:cs="Calibri"/>
                <w:color w:val="000000"/>
                <w:lang w:eastAsia="en-ZA"/>
              </w:rPr>
              <w:t xml:space="preserve">Walsh </w:t>
            </w:r>
            <w:r w:rsidR="000620EA">
              <w:rPr>
                <w:rFonts w:ascii="Calibri" w:eastAsia="Times New Roman" w:hAnsi="Calibri" w:cs="Calibri"/>
                <w:color w:val="000000"/>
                <w:lang w:eastAsia="en-ZA"/>
              </w:rPr>
              <w:t>et al.</w:t>
            </w:r>
          </w:p>
        </w:tc>
        <w:tc>
          <w:tcPr>
            <w:tcW w:w="772" w:type="dxa"/>
            <w:noWrap/>
            <w:hideMark/>
          </w:tcPr>
          <w:p w14:paraId="530B6565"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2022</w:t>
            </w:r>
          </w:p>
        </w:tc>
        <w:tc>
          <w:tcPr>
            <w:tcW w:w="5085" w:type="dxa"/>
          </w:tcPr>
          <w:p w14:paraId="773DC761"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Virtual meetings.</w:t>
            </w:r>
          </w:p>
        </w:tc>
      </w:tr>
      <w:tr w:rsidR="00250555" w:rsidRPr="00C739FF" w14:paraId="2712AEF1" w14:textId="77777777" w:rsidTr="001C0146">
        <w:trPr>
          <w:trHeight w:val="64"/>
        </w:trPr>
        <w:tc>
          <w:tcPr>
            <w:tcW w:w="1179" w:type="dxa"/>
            <w:vMerge/>
          </w:tcPr>
          <w:p w14:paraId="3BBBE902"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5C895AEC" w14:textId="2097C03B" w:rsidR="00250555" w:rsidRPr="00C739FF" w:rsidRDefault="00250555" w:rsidP="00D3594C">
            <w:pPr>
              <w:jc w:val="center"/>
              <w:rPr>
                <w:rFonts w:ascii="Calibri" w:eastAsia="Times New Roman" w:hAnsi="Calibri" w:cs="Calibri"/>
                <w:b/>
                <w:bCs/>
                <w:color w:val="000000"/>
                <w:lang w:eastAsia="en-ZA"/>
              </w:rPr>
            </w:pPr>
            <w:proofErr w:type="spellStart"/>
            <w:r w:rsidRPr="00C739FF">
              <w:rPr>
                <w:rFonts w:ascii="Calibri" w:eastAsia="Times New Roman" w:hAnsi="Calibri" w:cs="Calibri"/>
                <w:color w:val="000000"/>
                <w:lang w:eastAsia="en-ZA"/>
              </w:rPr>
              <w:t>Wyber</w:t>
            </w:r>
            <w:proofErr w:type="spellEnd"/>
            <w:r w:rsidRPr="00C739FF">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772" w:type="dxa"/>
            <w:noWrap/>
            <w:hideMark/>
          </w:tcPr>
          <w:p w14:paraId="1C71F6D7"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2016</w:t>
            </w:r>
          </w:p>
        </w:tc>
        <w:tc>
          <w:tcPr>
            <w:tcW w:w="5085" w:type="dxa"/>
          </w:tcPr>
          <w:p w14:paraId="5B17472F"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Expert meetings, email correspondence to choose key features.</w:t>
            </w:r>
          </w:p>
        </w:tc>
      </w:tr>
      <w:tr w:rsidR="00250555" w:rsidRPr="00C739FF" w14:paraId="481E53D5" w14:textId="77777777" w:rsidTr="001C0146">
        <w:trPr>
          <w:trHeight w:val="64"/>
        </w:trPr>
        <w:tc>
          <w:tcPr>
            <w:tcW w:w="1179" w:type="dxa"/>
            <w:vMerge/>
          </w:tcPr>
          <w:p w14:paraId="12CE175D" w14:textId="77777777" w:rsidR="00250555" w:rsidRPr="00C739FF" w:rsidRDefault="00250555" w:rsidP="00D3594C">
            <w:pPr>
              <w:jc w:val="center"/>
              <w:rPr>
                <w:rFonts w:ascii="Calibri" w:eastAsia="Times New Roman" w:hAnsi="Calibri" w:cs="Calibri"/>
                <w:color w:val="000000"/>
                <w:lang w:eastAsia="en-ZA"/>
              </w:rPr>
            </w:pPr>
          </w:p>
        </w:tc>
        <w:tc>
          <w:tcPr>
            <w:tcW w:w="1890" w:type="dxa"/>
            <w:noWrap/>
            <w:hideMark/>
          </w:tcPr>
          <w:p w14:paraId="7DF76888" w14:textId="78B6619C" w:rsidR="00250555" w:rsidRPr="00C739FF" w:rsidRDefault="00250555" w:rsidP="00D3594C">
            <w:pPr>
              <w:jc w:val="center"/>
              <w:rPr>
                <w:rFonts w:ascii="Calibri" w:eastAsia="Times New Roman" w:hAnsi="Calibri" w:cs="Calibri"/>
                <w:b/>
                <w:bCs/>
                <w:color w:val="000000"/>
                <w:lang w:eastAsia="en-ZA"/>
              </w:rPr>
            </w:pPr>
            <w:proofErr w:type="spellStart"/>
            <w:r w:rsidRPr="00C739FF">
              <w:rPr>
                <w:rFonts w:ascii="Calibri" w:eastAsia="Times New Roman" w:hAnsi="Calibri" w:cs="Calibri"/>
                <w:color w:val="000000"/>
                <w:lang w:eastAsia="en-ZA"/>
              </w:rPr>
              <w:t>Ebels</w:t>
            </w:r>
            <w:proofErr w:type="spellEnd"/>
            <w:r w:rsidRPr="00C739FF">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772" w:type="dxa"/>
            <w:noWrap/>
            <w:hideMark/>
          </w:tcPr>
          <w:p w14:paraId="177222F1" w14:textId="77777777" w:rsidR="00250555" w:rsidRPr="00C739FF" w:rsidRDefault="00250555" w:rsidP="00D3594C">
            <w:pPr>
              <w:jc w:val="center"/>
              <w:rPr>
                <w:rFonts w:ascii="Calibri" w:eastAsia="Times New Roman" w:hAnsi="Calibri" w:cs="Calibri"/>
                <w:color w:val="000000"/>
                <w:lang w:eastAsia="en-ZA"/>
              </w:rPr>
            </w:pPr>
            <w:r w:rsidRPr="00C739FF">
              <w:rPr>
                <w:rFonts w:ascii="Calibri" w:eastAsia="Times New Roman" w:hAnsi="Calibri" w:cs="Calibri"/>
                <w:color w:val="000000"/>
                <w:lang w:eastAsia="en-ZA"/>
              </w:rPr>
              <w:t>2014</w:t>
            </w:r>
          </w:p>
        </w:tc>
        <w:tc>
          <w:tcPr>
            <w:tcW w:w="5085" w:type="dxa"/>
          </w:tcPr>
          <w:p w14:paraId="10B34302" w14:textId="77777777" w:rsidR="00250555" w:rsidRPr="00C739FF" w:rsidRDefault="00250555" w:rsidP="00D3594C">
            <w:pPr>
              <w:rPr>
                <w:rFonts w:ascii="Calibri" w:eastAsia="Times New Roman" w:hAnsi="Calibri" w:cs="Calibri"/>
                <w:color w:val="000000"/>
                <w:lang w:eastAsia="en-ZA"/>
              </w:rPr>
            </w:pPr>
            <w:r>
              <w:rPr>
                <w:rFonts w:ascii="Calibri" w:hAnsi="Calibri" w:cs="Calibri"/>
                <w:color w:val="000000"/>
              </w:rPr>
              <w:t>Field research, interviews.</w:t>
            </w:r>
          </w:p>
        </w:tc>
      </w:tr>
    </w:tbl>
    <w:p w14:paraId="40B46918" w14:textId="77777777" w:rsidR="000752DF" w:rsidRDefault="000752DF">
      <w:pPr>
        <w:sectPr w:rsidR="000752DF" w:rsidSect="00C1161A">
          <w:pgSz w:w="11906" w:h="16838"/>
          <w:pgMar w:top="1440" w:right="1080" w:bottom="1440" w:left="1440" w:header="708" w:footer="708" w:gutter="0"/>
          <w:cols w:space="708"/>
          <w:docGrid w:linePitch="360"/>
        </w:sectPr>
      </w:pPr>
    </w:p>
    <w:p w14:paraId="1077DF90" w14:textId="45A445F5" w:rsidR="0052047E" w:rsidRPr="006655BF" w:rsidRDefault="0052047E" w:rsidP="0052047E">
      <w:pPr>
        <w:pStyle w:val="Caption"/>
        <w:keepNext/>
        <w:rPr>
          <w:i w:val="0"/>
          <w:iCs w:val="0"/>
          <w:color w:val="auto"/>
          <w:sz w:val="22"/>
          <w:szCs w:val="22"/>
        </w:rPr>
      </w:pPr>
      <w:r w:rsidRPr="006655BF">
        <w:rPr>
          <w:i w:val="0"/>
          <w:iCs w:val="0"/>
          <w:color w:val="auto"/>
          <w:sz w:val="22"/>
          <w:szCs w:val="22"/>
        </w:rPr>
        <w:lastRenderedPageBreak/>
        <w:t xml:space="preserve">Table </w:t>
      </w:r>
      <w:r w:rsidR="00312AA0" w:rsidRPr="006655BF">
        <w:rPr>
          <w:i w:val="0"/>
          <w:iCs w:val="0"/>
          <w:color w:val="auto"/>
          <w:sz w:val="22"/>
          <w:szCs w:val="22"/>
        </w:rPr>
        <w:t>S</w:t>
      </w:r>
      <w:r w:rsidR="00B84ED7">
        <w:rPr>
          <w:i w:val="0"/>
          <w:iCs w:val="0"/>
          <w:color w:val="auto"/>
          <w:sz w:val="22"/>
          <w:szCs w:val="22"/>
        </w:rPr>
        <w:t>9</w:t>
      </w:r>
      <w:r w:rsidRPr="006655BF">
        <w:rPr>
          <w:i w:val="0"/>
          <w:iCs w:val="0"/>
          <w:color w:val="auto"/>
          <w:sz w:val="22"/>
          <w:szCs w:val="22"/>
        </w:rPr>
        <w:t>: Overview of the involved experts and their fields of expertise.</w:t>
      </w:r>
      <w:r w:rsidR="0039040D">
        <w:rPr>
          <w:i w:val="0"/>
          <w:iCs w:val="0"/>
          <w:color w:val="auto"/>
          <w:sz w:val="22"/>
          <w:szCs w:val="22"/>
        </w:rPr>
        <w:t xml:space="preserve"> </w:t>
      </w:r>
      <w:r w:rsidR="00BE082F" w:rsidRPr="00BE082F">
        <w:rPr>
          <w:i w:val="0"/>
          <w:iCs w:val="0"/>
          <w:color w:val="auto"/>
          <w:sz w:val="22"/>
          <w:szCs w:val="22"/>
        </w:rPr>
        <w:t xml:space="preserve">TB: Tuberculosis; NGOs: non-governmental </w:t>
      </w:r>
      <w:r w:rsidR="002F2E25" w:rsidRPr="00BE082F">
        <w:rPr>
          <w:i w:val="0"/>
          <w:iCs w:val="0"/>
          <w:color w:val="auto"/>
          <w:sz w:val="22"/>
          <w:szCs w:val="22"/>
        </w:rPr>
        <w:t>organizations</w:t>
      </w:r>
      <w:r w:rsidR="00BE082F" w:rsidRPr="00BE082F">
        <w:rPr>
          <w:i w:val="0"/>
          <w:iCs w:val="0"/>
          <w:color w:val="auto"/>
          <w:sz w:val="22"/>
          <w:szCs w:val="22"/>
        </w:rPr>
        <w:t>; MOH: medical officer of health; PPP: public-private partnership;</w:t>
      </w:r>
    </w:p>
    <w:tbl>
      <w:tblPr>
        <w:tblStyle w:val="TableGrid"/>
        <w:tblW w:w="9457" w:type="dxa"/>
        <w:tblLook w:val="04A0" w:firstRow="1" w:lastRow="0" w:firstColumn="1" w:lastColumn="0" w:noHBand="0" w:noVBand="1"/>
      </w:tblPr>
      <w:tblGrid>
        <w:gridCol w:w="2160"/>
        <w:gridCol w:w="663"/>
        <w:gridCol w:w="6634"/>
      </w:tblGrid>
      <w:tr w:rsidR="006F5885" w:rsidRPr="005D34E7" w14:paraId="0C9A8BD0" w14:textId="77777777" w:rsidTr="003549EC">
        <w:trPr>
          <w:trHeight w:val="336"/>
        </w:trPr>
        <w:tc>
          <w:tcPr>
            <w:tcW w:w="2160" w:type="dxa"/>
            <w:noWrap/>
            <w:hideMark/>
          </w:tcPr>
          <w:p w14:paraId="1B0C04F3" w14:textId="77777777" w:rsidR="006F5885" w:rsidRPr="001F63D8" w:rsidRDefault="006F5885" w:rsidP="00D3594C">
            <w:pPr>
              <w:jc w:val="center"/>
              <w:rPr>
                <w:rFonts w:ascii="Calibri" w:eastAsia="Times New Roman" w:hAnsi="Calibri" w:cs="Calibri"/>
                <w:b/>
                <w:bCs/>
                <w:color w:val="000000"/>
                <w:lang w:eastAsia="en-ZA"/>
              </w:rPr>
            </w:pPr>
            <w:r w:rsidRPr="001F63D8">
              <w:rPr>
                <w:rFonts w:ascii="Calibri" w:eastAsia="Times New Roman" w:hAnsi="Calibri" w:cs="Calibri"/>
                <w:b/>
                <w:bCs/>
                <w:color w:val="000000"/>
                <w:lang w:eastAsia="en-ZA"/>
              </w:rPr>
              <w:t>Authors</w:t>
            </w:r>
          </w:p>
        </w:tc>
        <w:tc>
          <w:tcPr>
            <w:tcW w:w="663" w:type="dxa"/>
            <w:noWrap/>
            <w:hideMark/>
          </w:tcPr>
          <w:p w14:paraId="3726A29D" w14:textId="77777777" w:rsidR="006F5885" w:rsidRPr="001F63D8" w:rsidRDefault="006F5885" w:rsidP="00D3594C">
            <w:pPr>
              <w:jc w:val="center"/>
              <w:rPr>
                <w:rFonts w:ascii="Calibri" w:eastAsia="Times New Roman" w:hAnsi="Calibri" w:cs="Calibri"/>
                <w:b/>
                <w:bCs/>
                <w:color w:val="000000"/>
                <w:lang w:eastAsia="en-ZA"/>
              </w:rPr>
            </w:pPr>
            <w:r w:rsidRPr="001F63D8">
              <w:rPr>
                <w:rFonts w:ascii="Calibri" w:eastAsia="Times New Roman" w:hAnsi="Calibri" w:cs="Calibri"/>
                <w:b/>
                <w:bCs/>
                <w:color w:val="000000"/>
                <w:lang w:eastAsia="en-ZA"/>
              </w:rPr>
              <w:t>Year</w:t>
            </w:r>
          </w:p>
        </w:tc>
        <w:tc>
          <w:tcPr>
            <w:tcW w:w="6634" w:type="dxa"/>
          </w:tcPr>
          <w:p w14:paraId="60392DAF" w14:textId="77777777" w:rsidR="006F5885" w:rsidRPr="001F63D8" w:rsidRDefault="006F5885" w:rsidP="00D3594C">
            <w:pPr>
              <w:jc w:val="center"/>
              <w:rPr>
                <w:rFonts w:ascii="Calibri" w:eastAsia="Times New Roman" w:hAnsi="Calibri" w:cs="Calibri"/>
                <w:b/>
                <w:bCs/>
                <w:color w:val="000000"/>
                <w:lang w:eastAsia="en-ZA"/>
              </w:rPr>
            </w:pPr>
            <w:r w:rsidRPr="001F63D8">
              <w:rPr>
                <w:rFonts w:ascii="Calibri" w:hAnsi="Calibri" w:cs="Calibri"/>
                <w:b/>
                <w:bCs/>
                <w:color w:val="000000"/>
              </w:rPr>
              <w:t>Experts</w:t>
            </w:r>
          </w:p>
        </w:tc>
      </w:tr>
      <w:tr w:rsidR="006F5885" w:rsidRPr="005D34E7" w14:paraId="1785F6D9" w14:textId="77777777" w:rsidTr="003549EC">
        <w:trPr>
          <w:trHeight w:val="449"/>
        </w:trPr>
        <w:tc>
          <w:tcPr>
            <w:tcW w:w="2160" w:type="dxa"/>
            <w:noWrap/>
            <w:hideMark/>
          </w:tcPr>
          <w:p w14:paraId="1FF259FF" w14:textId="44D5EB91" w:rsidR="006F5885" w:rsidRPr="005D34E7" w:rsidRDefault="006F5885" w:rsidP="00D3594C">
            <w:pPr>
              <w:jc w:val="center"/>
              <w:rPr>
                <w:rFonts w:ascii="Calibri" w:eastAsia="Times New Roman" w:hAnsi="Calibri" w:cs="Calibri"/>
                <w:b/>
                <w:bCs/>
                <w:color w:val="000000"/>
                <w:lang w:eastAsia="en-ZA"/>
              </w:rPr>
            </w:pPr>
            <w:proofErr w:type="spellStart"/>
            <w:r w:rsidRPr="005D34E7">
              <w:rPr>
                <w:rFonts w:ascii="Calibri" w:eastAsia="Times New Roman" w:hAnsi="Calibri" w:cs="Calibri"/>
                <w:color w:val="000000"/>
                <w:lang w:eastAsia="en-ZA"/>
              </w:rPr>
              <w:t>Adepoyibi</w:t>
            </w:r>
            <w:proofErr w:type="spellEnd"/>
            <w:r w:rsidRPr="005D34E7">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663" w:type="dxa"/>
            <w:noWrap/>
            <w:hideMark/>
          </w:tcPr>
          <w:p w14:paraId="2F733E4A"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2018</w:t>
            </w:r>
          </w:p>
        </w:tc>
        <w:tc>
          <w:tcPr>
            <w:tcW w:w="6634" w:type="dxa"/>
          </w:tcPr>
          <w:p w14:paraId="73296EA0" w14:textId="2726E9E9" w:rsidR="006F5885" w:rsidRPr="005D34E7" w:rsidRDefault="006F5885" w:rsidP="00D3594C">
            <w:pPr>
              <w:jc w:val="both"/>
              <w:rPr>
                <w:rFonts w:ascii="Calibri" w:eastAsia="Times New Roman" w:hAnsi="Calibri" w:cs="Calibri"/>
                <w:color w:val="000000"/>
                <w:lang w:eastAsia="en-ZA"/>
              </w:rPr>
            </w:pPr>
            <w:r>
              <w:rPr>
                <w:rFonts w:ascii="Calibri" w:hAnsi="Calibri" w:cs="Calibri"/>
                <w:color w:val="000000"/>
              </w:rPr>
              <w:t xml:space="preserve">National TB Program Managers, laboratory personnel, donors, technical experts (including government, partner </w:t>
            </w:r>
            <w:r w:rsidR="002F2E25">
              <w:rPr>
                <w:rFonts w:ascii="Calibri" w:hAnsi="Calibri" w:cs="Calibri"/>
                <w:color w:val="000000"/>
              </w:rPr>
              <w:t>organizations</w:t>
            </w:r>
            <w:r>
              <w:rPr>
                <w:rFonts w:ascii="Calibri" w:hAnsi="Calibri" w:cs="Calibri"/>
                <w:color w:val="000000"/>
              </w:rPr>
              <w:t>, United Nations agencies), project managers/coordinators, and researchers.</w:t>
            </w:r>
          </w:p>
        </w:tc>
      </w:tr>
      <w:tr w:rsidR="006F5885" w:rsidRPr="005D34E7" w14:paraId="142120C9" w14:textId="77777777" w:rsidTr="003549EC">
        <w:trPr>
          <w:trHeight w:val="51"/>
        </w:trPr>
        <w:tc>
          <w:tcPr>
            <w:tcW w:w="2160" w:type="dxa"/>
            <w:noWrap/>
            <w:hideMark/>
          </w:tcPr>
          <w:p w14:paraId="095BAD17" w14:textId="67762820" w:rsidR="006F5885" w:rsidRPr="005D34E7" w:rsidRDefault="006F5885" w:rsidP="00D3594C">
            <w:pPr>
              <w:jc w:val="center"/>
              <w:rPr>
                <w:rFonts w:ascii="Calibri" w:eastAsia="Times New Roman" w:hAnsi="Calibri" w:cs="Calibri"/>
                <w:b/>
                <w:bCs/>
                <w:color w:val="000000"/>
                <w:lang w:eastAsia="en-ZA"/>
              </w:rPr>
            </w:pPr>
            <w:r w:rsidRPr="005D34E7">
              <w:rPr>
                <w:rFonts w:ascii="Calibri" w:eastAsia="Times New Roman" w:hAnsi="Calibri" w:cs="Calibri"/>
                <w:color w:val="000000"/>
                <w:lang w:eastAsia="en-ZA"/>
              </w:rPr>
              <w:t xml:space="preserve">Alonso-Padilla </w:t>
            </w:r>
            <w:r w:rsidR="000620EA">
              <w:rPr>
                <w:rFonts w:ascii="Calibri" w:eastAsia="Times New Roman" w:hAnsi="Calibri" w:cs="Calibri"/>
                <w:color w:val="000000"/>
                <w:lang w:eastAsia="en-ZA"/>
              </w:rPr>
              <w:t>et al.</w:t>
            </w:r>
          </w:p>
        </w:tc>
        <w:tc>
          <w:tcPr>
            <w:tcW w:w="663" w:type="dxa"/>
            <w:noWrap/>
            <w:hideMark/>
          </w:tcPr>
          <w:p w14:paraId="1D0BFF0F"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2020</w:t>
            </w:r>
          </w:p>
        </w:tc>
        <w:tc>
          <w:tcPr>
            <w:tcW w:w="6634" w:type="dxa"/>
          </w:tcPr>
          <w:p w14:paraId="7044A2A9" w14:textId="77777777" w:rsidR="006F5885" w:rsidRPr="005D34E7" w:rsidRDefault="006F5885" w:rsidP="00D3594C">
            <w:pPr>
              <w:jc w:val="both"/>
              <w:rPr>
                <w:rFonts w:ascii="Calibri" w:eastAsia="Times New Roman" w:hAnsi="Calibri" w:cs="Calibri"/>
                <w:color w:val="000000"/>
                <w:lang w:eastAsia="en-ZA"/>
              </w:rPr>
            </w:pPr>
            <w:r>
              <w:rPr>
                <w:rFonts w:ascii="Calibri" w:hAnsi="Calibri" w:cs="Calibri"/>
                <w:color w:val="000000"/>
              </w:rPr>
              <w:t>Expert clinicians working with patients, researchers working in academia, and specialists in industry and product development partnerships (PDPs).</w:t>
            </w:r>
          </w:p>
        </w:tc>
      </w:tr>
      <w:tr w:rsidR="006F5885" w:rsidRPr="005D34E7" w14:paraId="52F33B95" w14:textId="77777777" w:rsidTr="003549EC">
        <w:trPr>
          <w:trHeight w:val="141"/>
        </w:trPr>
        <w:tc>
          <w:tcPr>
            <w:tcW w:w="2160" w:type="dxa"/>
            <w:noWrap/>
            <w:hideMark/>
          </w:tcPr>
          <w:p w14:paraId="55F38E5E" w14:textId="3AEE35DB" w:rsidR="006F5885" w:rsidRPr="005D34E7" w:rsidRDefault="006F5885" w:rsidP="00D3594C">
            <w:pPr>
              <w:jc w:val="center"/>
              <w:rPr>
                <w:rFonts w:ascii="Calibri" w:eastAsia="Times New Roman" w:hAnsi="Calibri" w:cs="Calibri"/>
                <w:b/>
                <w:bCs/>
                <w:color w:val="000000"/>
                <w:lang w:eastAsia="en-ZA"/>
              </w:rPr>
            </w:pPr>
            <w:r w:rsidRPr="005D34E7">
              <w:rPr>
                <w:rFonts w:ascii="Calibri" w:eastAsia="Times New Roman" w:hAnsi="Calibri" w:cs="Calibri"/>
                <w:color w:val="000000"/>
                <w:lang w:eastAsia="en-ZA"/>
              </w:rPr>
              <w:t xml:space="preserve">Bengtson </w:t>
            </w:r>
            <w:r w:rsidR="000620EA">
              <w:rPr>
                <w:rFonts w:ascii="Calibri" w:eastAsia="Times New Roman" w:hAnsi="Calibri" w:cs="Calibri"/>
                <w:color w:val="000000"/>
                <w:lang w:eastAsia="en-ZA"/>
              </w:rPr>
              <w:t>et al.</w:t>
            </w:r>
          </w:p>
        </w:tc>
        <w:tc>
          <w:tcPr>
            <w:tcW w:w="663" w:type="dxa"/>
            <w:noWrap/>
            <w:hideMark/>
          </w:tcPr>
          <w:p w14:paraId="7BA993B2"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2020</w:t>
            </w:r>
          </w:p>
        </w:tc>
        <w:tc>
          <w:tcPr>
            <w:tcW w:w="6634" w:type="dxa"/>
          </w:tcPr>
          <w:p w14:paraId="339414EB" w14:textId="77777777" w:rsidR="006F5885" w:rsidRPr="005D34E7" w:rsidRDefault="006F5885" w:rsidP="00D3594C">
            <w:pPr>
              <w:jc w:val="both"/>
              <w:rPr>
                <w:rFonts w:ascii="Calibri" w:eastAsia="Times New Roman" w:hAnsi="Calibri" w:cs="Calibri"/>
                <w:color w:val="000000"/>
                <w:lang w:eastAsia="en-ZA"/>
              </w:rPr>
            </w:pPr>
            <w:r>
              <w:rPr>
                <w:rFonts w:ascii="Calibri" w:hAnsi="Calibri" w:cs="Calibri"/>
                <w:color w:val="000000"/>
              </w:rPr>
              <w:t>Health care providers in the field and scientific researchers.</w:t>
            </w:r>
          </w:p>
        </w:tc>
      </w:tr>
      <w:tr w:rsidR="006F5885" w:rsidRPr="005D34E7" w14:paraId="3725E1BD" w14:textId="77777777" w:rsidTr="003549EC">
        <w:trPr>
          <w:trHeight w:val="235"/>
        </w:trPr>
        <w:tc>
          <w:tcPr>
            <w:tcW w:w="2160" w:type="dxa"/>
            <w:noWrap/>
            <w:hideMark/>
          </w:tcPr>
          <w:p w14:paraId="5841B684" w14:textId="5F94F16B" w:rsidR="006F5885" w:rsidRPr="005D34E7" w:rsidRDefault="006F5885" w:rsidP="00D3594C">
            <w:pPr>
              <w:jc w:val="center"/>
              <w:rPr>
                <w:rFonts w:ascii="Calibri" w:eastAsia="Times New Roman" w:hAnsi="Calibri" w:cs="Calibri"/>
                <w:b/>
                <w:bCs/>
                <w:color w:val="000000"/>
                <w:lang w:eastAsia="en-ZA"/>
              </w:rPr>
            </w:pPr>
            <w:r w:rsidRPr="005D34E7">
              <w:rPr>
                <w:rFonts w:ascii="Calibri" w:eastAsia="Times New Roman" w:hAnsi="Calibri" w:cs="Calibri"/>
                <w:color w:val="000000"/>
                <w:lang w:eastAsia="en-ZA"/>
              </w:rPr>
              <w:t xml:space="preserve">Cruz </w:t>
            </w:r>
            <w:r w:rsidR="000620EA">
              <w:rPr>
                <w:rFonts w:ascii="Calibri" w:eastAsia="Times New Roman" w:hAnsi="Calibri" w:cs="Calibri"/>
                <w:color w:val="000000"/>
                <w:lang w:eastAsia="en-ZA"/>
              </w:rPr>
              <w:t>et al.</w:t>
            </w:r>
          </w:p>
        </w:tc>
        <w:tc>
          <w:tcPr>
            <w:tcW w:w="663" w:type="dxa"/>
            <w:noWrap/>
            <w:hideMark/>
          </w:tcPr>
          <w:p w14:paraId="6C03DBAA"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2019</w:t>
            </w:r>
          </w:p>
        </w:tc>
        <w:tc>
          <w:tcPr>
            <w:tcW w:w="6634" w:type="dxa"/>
          </w:tcPr>
          <w:p w14:paraId="6B0EF04E" w14:textId="77777777" w:rsidR="006F5885" w:rsidRPr="005D34E7" w:rsidRDefault="006F5885" w:rsidP="00D3594C">
            <w:pPr>
              <w:jc w:val="both"/>
              <w:rPr>
                <w:rFonts w:ascii="Calibri" w:eastAsia="Times New Roman" w:hAnsi="Calibri" w:cs="Calibri"/>
                <w:color w:val="000000"/>
                <w:lang w:eastAsia="en-ZA"/>
              </w:rPr>
            </w:pPr>
            <w:r>
              <w:rPr>
                <w:rFonts w:ascii="Calibri" w:hAnsi="Calibri" w:cs="Calibri"/>
                <w:color w:val="000000"/>
              </w:rPr>
              <w:t xml:space="preserve">Academics, researchers, international NGOs, international </w:t>
            </w:r>
            <w:proofErr w:type="spellStart"/>
            <w:r>
              <w:rPr>
                <w:rFonts w:ascii="Calibri" w:hAnsi="Calibri" w:cs="Calibri"/>
                <w:color w:val="000000"/>
              </w:rPr>
              <w:t>organisations</w:t>
            </w:r>
            <w:proofErr w:type="spellEnd"/>
            <w:r>
              <w:rPr>
                <w:rFonts w:ascii="Calibri" w:hAnsi="Calibri" w:cs="Calibri"/>
                <w:color w:val="000000"/>
              </w:rPr>
              <w:t>, international PDP, MOH, National programs.</w:t>
            </w:r>
          </w:p>
        </w:tc>
      </w:tr>
      <w:tr w:rsidR="006F5885" w:rsidRPr="005D34E7" w14:paraId="1731EB79" w14:textId="77777777" w:rsidTr="003549EC">
        <w:trPr>
          <w:trHeight w:val="45"/>
        </w:trPr>
        <w:tc>
          <w:tcPr>
            <w:tcW w:w="2160" w:type="dxa"/>
            <w:noWrap/>
            <w:hideMark/>
          </w:tcPr>
          <w:p w14:paraId="4351DDCF" w14:textId="6FFE6E0F" w:rsidR="006F5885" w:rsidRPr="005D34E7" w:rsidRDefault="006F5885" w:rsidP="00D3594C">
            <w:pPr>
              <w:jc w:val="center"/>
              <w:rPr>
                <w:rFonts w:ascii="Calibri" w:eastAsia="Times New Roman" w:hAnsi="Calibri" w:cs="Calibri"/>
                <w:b/>
                <w:bCs/>
                <w:color w:val="000000"/>
                <w:lang w:eastAsia="en-ZA"/>
              </w:rPr>
            </w:pPr>
            <w:proofErr w:type="spellStart"/>
            <w:r w:rsidRPr="005D34E7">
              <w:rPr>
                <w:rFonts w:ascii="Calibri" w:eastAsia="Times New Roman" w:hAnsi="Calibri" w:cs="Calibri"/>
                <w:color w:val="000000"/>
                <w:lang w:eastAsia="en-ZA"/>
              </w:rPr>
              <w:t>Denkinger</w:t>
            </w:r>
            <w:proofErr w:type="spellEnd"/>
            <w:r w:rsidRPr="005D34E7">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663" w:type="dxa"/>
            <w:noWrap/>
            <w:hideMark/>
          </w:tcPr>
          <w:p w14:paraId="36B73959"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2015</w:t>
            </w:r>
          </w:p>
        </w:tc>
        <w:tc>
          <w:tcPr>
            <w:tcW w:w="6634" w:type="dxa"/>
          </w:tcPr>
          <w:p w14:paraId="2E1FDB6F" w14:textId="77777777" w:rsidR="006F5885" w:rsidRPr="005D34E7" w:rsidRDefault="006F5885" w:rsidP="00D3594C">
            <w:pPr>
              <w:jc w:val="both"/>
              <w:rPr>
                <w:rFonts w:ascii="Calibri" w:eastAsia="Times New Roman" w:hAnsi="Calibri" w:cs="Calibri"/>
                <w:color w:val="000000"/>
                <w:lang w:eastAsia="en-ZA"/>
              </w:rPr>
            </w:pPr>
            <w:r>
              <w:rPr>
                <w:rFonts w:ascii="Calibri" w:hAnsi="Calibri" w:cs="Calibri"/>
                <w:color w:val="000000"/>
              </w:rPr>
              <w:t>WHO, researchers, clinicians, policy makers (global and national), and test developers.</w:t>
            </w:r>
          </w:p>
        </w:tc>
      </w:tr>
      <w:tr w:rsidR="006F5885" w:rsidRPr="005D34E7" w14:paraId="292F34B8" w14:textId="77777777" w:rsidTr="003549EC">
        <w:trPr>
          <w:trHeight w:val="336"/>
        </w:trPr>
        <w:tc>
          <w:tcPr>
            <w:tcW w:w="2160" w:type="dxa"/>
            <w:noWrap/>
            <w:hideMark/>
          </w:tcPr>
          <w:p w14:paraId="712332A2" w14:textId="0ED12DA3" w:rsidR="006F5885" w:rsidRPr="005D34E7" w:rsidRDefault="006F5885" w:rsidP="00D3594C">
            <w:pPr>
              <w:jc w:val="center"/>
              <w:rPr>
                <w:rFonts w:ascii="Calibri" w:eastAsia="Times New Roman" w:hAnsi="Calibri" w:cs="Calibri"/>
                <w:b/>
                <w:bCs/>
                <w:color w:val="000000"/>
                <w:lang w:eastAsia="en-ZA"/>
              </w:rPr>
            </w:pPr>
            <w:r w:rsidRPr="005D34E7">
              <w:rPr>
                <w:rFonts w:ascii="Calibri" w:eastAsia="Times New Roman" w:hAnsi="Calibri" w:cs="Calibri"/>
                <w:color w:val="000000"/>
                <w:lang w:eastAsia="en-ZA"/>
              </w:rPr>
              <w:t xml:space="preserve">Dittrich </w:t>
            </w:r>
            <w:r w:rsidR="000620EA">
              <w:rPr>
                <w:rFonts w:ascii="Calibri" w:eastAsia="Times New Roman" w:hAnsi="Calibri" w:cs="Calibri"/>
                <w:color w:val="000000"/>
                <w:lang w:eastAsia="en-ZA"/>
              </w:rPr>
              <w:t>et al.</w:t>
            </w:r>
          </w:p>
        </w:tc>
        <w:tc>
          <w:tcPr>
            <w:tcW w:w="663" w:type="dxa"/>
            <w:noWrap/>
            <w:hideMark/>
          </w:tcPr>
          <w:p w14:paraId="6E5A5B19"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2016</w:t>
            </w:r>
          </w:p>
        </w:tc>
        <w:tc>
          <w:tcPr>
            <w:tcW w:w="6634" w:type="dxa"/>
          </w:tcPr>
          <w:p w14:paraId="1B65BDCD" w14:textId="77777777" w:rsidR="006F5885" w:rsidRPr="005D34E7" w:rsidRDefault="006F5885" w:rsidP="00D3594C">
            <w:pPr>
              <w:jc w:val="both"/>
              <w:rPr>
                <w:rFonts w:ascii="Calibri" w:eastAsia="Times New Roman" w:hAnsi="Calibri" w:cs="Calibri"/>
                <w:color w:val="000000"/>
                <w:lang w:eastAsia="en-ZA"/>
              </w:rPr>
            </w:pPr>
            <w:r>
              <w:rPr>
                <w:rFonts w:ascii="Calibri" w:hAnsi="Calibri" w:cs="Calibri"/>
                <w:color w:val="000000"/>
              </w:rPr>
              <w:t xml:space="preserve">World Health Organization (WHO), </w:t>
            </w:r>
            <w:proofErr w:type="spellStart"/>
            <w:r>
              <w:rPr>
                <w:rFonts w:ascii="Calibri" w:hAnsi="Calibri" w:cs="Calibri"/>
                <w:color w:val="000000"/>
              </w:rPr>
              <w:t>ReAct</w:t>
            </w:r>
            <w:proofErr w:type="spellEnd"/>
            <w:r>
              <w:rPr>
                <w:rFonts w:ascii="Calibri" w:hAnsi="Calibri" w:cs="Calibri"/>
                <w:color w:val="000000"/>
              </w:rPr>
              <w:t>–Action on Antibiotic Resistance, Médecins sans Frontières (MSF) Access Campaign and the Foundation for Innovative New Diagnostics (FIND).</w:t>
            </w:r>
          </w:p>
        </w:tc>
      </w:tr>
      <w:tr w:rsidR="006F5885" w:rsidRPr="005D34E7" w14:paraId="0B76E28B" w14:textId="77777777" w:rsidTr="003549EC">
        <w:trPr>
          <w:trHeight w:val="224"/>
        </w:trPr>
        <w:tc>
          <w:tcPr>
            <w:tcW w:w="2160" w:type="dxa"/>
            <w:noWrap/>
            <w:hideMark/>
          </w:tcPr>
          <w:p w14:paraId="1306491E" w14:textId="09D0872E" w:rsidR="006F5885" w:rsidRPr="005D34E7" w:rsidRDefault="006F5885" w:rsidP="00D3594C">
            <w:pPr>
              <w:jc w:val="center"/>
              <w:rPr>
                <w:rFonts w:ascii="Calibri" w:eastAsia="Times New Roman" w:hAnsi="Calibri" w:cs="Calibri"/>
                <w:b/>
                <w:bCs/>
                <w:color w:val="000000"/>
                <w:lang w:eastAsia="en-ZA"/>
              </w:rPr>
            </w:pPr>
            <w:proofErr w:type="spellStart"/>
            <w:r w:rsidRPr="005D34E7">
              <w:rPr>
                <w:rFonts w:ascii="Calibri" w:eastAsia="Times New Roman" w:hAnsi="Calibri" w:cs="Calibri"/>
                <w:color w:val="000000"/>
                <w:lang w:eastAsia="en-ZA"/>
              </w:rPr>
              <w:t>Fongwen</w:t>
            </w:r>
            <w:proofErr w:type="spellEnd"/>
            <w:r w:rsidRPr="005D34E7">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663" w:type="dxa"/>
            <w:noWrap/>
            <w:hideMark/>
          </w:tcPr>
          <w:p w14:paraId="732FC84E"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2021</w:t>
            </w:r>
          </w:p>
        </w:tc>
        <w:tc>
          <w:tcPr>
            <w:tcW w:w="6634" w:type="dxa"/>
          </w:tcPr>
          <w:p w14:paraId="0B245253" w14:textId="77777777" w:rsidR="006F5885" w:rsidRPr="005D34E7" w:rsidRDefault="006F5885" w:rsidP="00D3594C">
            <w:pPr>
              <w:jc w:val="both"/>
              <w:rPr>
                <w:rFonts w:ascii="Calibri" w:eastAsia="Times New Roman" w:hAnsi="Calibri" w:cs="Calibri"/>
                <w:color w:val="000000"/>
                <w:lang w:eastAsia="en-ZA"/>
              </w:rPr>
            </w:pPr>
            <w:r>
              <w:rPr>
                <w:rFonts w:ascii="Calibri" w:hAnsi="Calibri" w:cs="Calibri"/>
                <w:color w:val="000000"/>
              </w:rPr>
              <w:t>Partnership for Dengue Control and the Global Dengue, The International Diagnostics Centre (IDC) at the London School of Hygiene and Tropical Medicine (LSHTM).</w:t>
            </w:r>
          </w:p>
        </w:tc>
      </w:tr>
      <w:tr w:rsidR="006F5885" w:rsidRPr="005D34E7" w14:paraId="1DAE7367" w14:textId="77777777" w:rsidTr="003549EC">
        <w:trPr>
          <w:trHeight w:val="61"/>
        </w:trPr>
        <w:tc>
          <w:tcPr>
            <w:tcW w:w="2160" w:type="dxa"/>
            <w:noWrap/>
            <w:hideMark/>
          </w:tcPr>
          <w:p w14:paraId="6ADD9E4C" w14:textId="1FDEB5B2" w:rsidR="006F5885" w:rsidRPr="005D34E7" w:rsidRDefault="006F5885" w:rsidP="00D3594C">
            <w:pPr>
              <w:jc w:val="center"/>
              <w:rPr>
                <w:rFonts w:ascii="Calibri" w:eastAsia="Times New Roman" w:hAnsi="Calibri" w:cs="Calibri"/>
                <w:b/>
                <w:bCs/>
                <w:color w:val="000000"/>
                <w:lang w:eastAsia="en-ZA"/>
              </w:rPr>
            </w:pPr>
            <w:r w:rsidRPr="005D34E7">
              <w:rPr>
                <w:rFonts w:ascii="Calibri" w:eastAsia="Times New Roman" w:hAnsi="Calibri" w:cs="Calibri"/>
                <w:color w:val="000000"/>
                <w:lang w:eastAsia="en-ZA"/>
              </w:rPr>
              <w:t xml:space="preserve">Gal </w:t>
            </w:r>
            <w:r w:rsidR="000620EA">
              <w:rPr>
                <w:rFonts w:ascii="Calibri" w:eastAsia="Times New Roman" w:hAnsi="Calibri" w:cs="Calibri"/>
                <w:color w:val="000000"/>
                <w:lang w:eastAsia="en-ZA"/>
              </w:rPr>
              <w:t>et al.</w:t>
            </w:r>
          </w:p>
        </w:tc>
        <w:tc>
          <w:tcPr>
            <w:tcW w:w="663" w:type="dxa"/>
            <w:noWrap/>
            <w:hideMark/>
          </w:tcPr>
          <w:p w14:paraId="530EC577"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2018</w:t>
            </w:r>
          </w:p>
        </w:tc>
        <w:tc>
          <w:tcPr>
            <w:tcW w:w="6634" w:type="dxa"/>
          </w:tcPr>
          <w:p w14:paraId="78BA49CF" w14:textId="017E4EDF" w:rsidR="006F5885" w:rsidRPr="005D34E7" w:rsidRDefault="006F5885" w:rsidP="00D3594C">
            <w:pPr>
              <w:jc w:val="both"/>
              <w:rPr>
                <w:rFonts w:ascii="Calibri" w:eastAsia="Times New Roman" w:hAnsi="Calibri" w:cs="Calibri"/>
                <w:color w:val="000000"/>
                <w:lang w:eastAsia="en-ZA"/>
              </w:rPr>
            </w:pPr>
            <w:r>
              <w:rPr>
                <w:rFonts w:ascii="Calibri" w:hAnsi="Calibri" w:cs="Calibri"/>
                <w:color w:val="000000"/>
              </w:rPr>
              <w:t>Primary care clinicians, microbiologists, scientists (molecular microbiology, chemistry</w:t>
            </w:r>
            <w:r w:rsidR="007B69A0">
              <w:rPr>
                <w:rFonts w:ascii="Calibri" w:hAnsi="Calibri" w:cs="Calibri"/>
                <w:color w:val="000000"/>
              </w:rPr>
              <w:t>,</w:t>
            </w:r>
            <w:r>
              <w:rPr>
                <w:rFonts w:ascii="Calibri" w:hAnsi="Calibri" w:cs="Calibri"/>
                <w:color w:val="000000"/>
              </w:rPr>
              <w:t xml:space="preserve"> and physics), diagnostic market experts and test developers from academia and industry (European Federation of Pharmaceutical Industries and Associations (EFPIA)) in Europe.</w:t>
            </w:r>
          </w:p>
        </w:tc>
      </w:tr>
      <w:tr w:rsidR="006F5885" w:rsidRPr="005D34E7" w14:paraId="4B007781" w14:textId="77777777" w:rsidTr="003549EC">
        <w:trPr>
          <w:trHeight w:val="64"/>
        </w:trPr>
        <w:tc>
          <w:tcPr>
            <w:tcW w:w="2160" w:type="dxa"/>
            <w:noWrap/>
            <w:hideMark/>
          </w:tcPr>
          <w:p w14:paraId="488DEACB" w14:textId="3DED3A2B" w:rsidR="006F5885" w:rsidRPr="005D34E7" w:rsidRDefault="006F5885" w:rsidP="00D3594C">
            <w:pPr>
              <w:jc w:val="center"/>
              <w:rPr>
                <w:rFonts w:ascii="Calibri" w:eastAsia="Times New Roman" w:hAnsi="Calibri" w:cs="Calibri"/>
                <w:b/>
                <w:bCs/>
                <w:color w:val="000000"/>
                <w:lang w:eastAsia="en-ZA"/>
              </w:rPr>
            </w:pPr>
            <w:r w:rsidRPr="005D34E7">
              <w:rPr>
                <w:rFonts w:ascii="Calibri" w:eastAsia="Times New Roman" w:hAnsi="Calibri" w:cs="Calibri"/>
                <w:color w:val="000000"/>
                <w:lang w:eastAsia="en-ZA"/>
              </w:rPr>
              <w:t xml:space="preserve">Kadam </w:t>
            </w:r>
            <w:r w:rsidR="000620EA">
              <w:rPr>
                <w:rFonts w:ascii="Calibri" w:eastAsia="Times New Roman" w:hAnsi="Calibri" w:cs="Calibri"/>
                <w:color w:val="000000"/>
                <w:lang w:eastAsia="en-ZA"/>
              </w:rPr>
              <w:t>et al.</w:t>
            </w:r>
          </w:p>
        </w:tc>
        <w:tc>
          <w:tcPr>
            <w:tcW w:w="663" w:type="dxa"/>
            <w:noWrap/>
            <w:hideMark/>
          </w:tcPr>
          <w:p w14:paraId="07754651"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2020</w:t>
            </w:r>
          </w:p>
        </w:tc>
        <w:tc>
          <w:tcPr>
            <w:tcW w:w="6634" w:type="dxa"/>
          </w:tcPr>
          <w:p w14:paraId="3917395D" w14:textId="77777777" w:rsidR="006F5885" w:rsidRPr="005D34E7" w:rsidRDefault="006F5885" w:rsidP="00D3594C">
            <w:pPr>
              <w:jc w:val="both"/>
              <w:rPr>
                <w:rFonts w:ascii="Calibri" w:eastAsia="Times New Roman" w:hAnsi="Calibri" w:cs="Calibri"/>
                <w:color w:val="000000"/>
                <w:lang w:eastAsia="en-ZA"/>
              </w:rPr>
            </w:pPr>
            <w:r>
              <w:rPr>
                <w:rFonts w:ascii="Calibri" w:hAnsi="Calibri" w:cs="Calibri"/>
                <w:color w:val="000000"/>
              </w:rPr>
              <w:t>Clinical practice, clinical research, diagnostic product development.</w:t>
            </w:r>
          </w:p>
        </w:tc>
      </w:tr>
      <w:tr w:rsidR="006F5885" w:rsidRPr="005D34E7" w14:paraId="3D03E303" w14:textId="77777777" w:rsidTr="003549EC">
        <w:trPr>
          <w:trHeight w:val="197"/>
        </w:trPr>
        <w:tc>
          <w:tcPr>
            <w:tcW w:w="2160" w:type="dxa"/>
            <w:noWrap/>
            <w:hideMark/>
          </w:tcPr>
          <w:p w14:paraId="6BF57E15" w14:textId="50DD488E" w:rsidR="006F5885" w:rsidRPr="005D34E7" w:rsidRDefault="006F5885" w:rsidP="00D3594C">
            <w:pPr>
              <w:jc w:val="center"/>
              <w:rPr>
                <w:rFonts w:ascii="Calibri" w:eastAsia="Times New Roman" w:hAnsi="Calibri" w:cs="Calibri"/>
                <w:b/>
                <w:bCs/>
                <w:color w:val="000000"/>
                <w:lang w:eastAsia="en-ZA"/>
              </w:rPr>
            </w:pPr>
            <w:r w:rsidRPr="005D34E7">
              <w:rPr>
                <w:rFonts w:ascii="Calibri" w:eastAsia="Times New Roman" w:hAnsi="Calibri" w:cs="Calibri"/>
                <w:color w:val="000000"/>
                <w:lang w:eastAsia="en-ZA"/>
              </w:rPr>
              <w:t xml:space="preserve">Lewin </w:t>
            </w:r>
            <w:r w:rsidR="000620EA">
              <w:rPr>
                <w:rFonts w:ascii="Calibri" w:eastAsia="Times New Roman" w:hAnsi="Calibri" w:cs="Calibri"/>
                <w:color w:val="000000"/>
                <w:lang w:eastAsia="en-ZA"/>
              </w:rPr>
              <w:t>et al.</w:t>
            </w:r>
          </w:p>
        </w:tc>
        <w:tc>
          <w:tcPr>
            <w:tcW w:w="663" w:type="dxa"/>
            <w:noWrap/>
            <w:hideMark/>
          </w:tcPr>
          <w:p w14:paraId="43F2CCE3"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2021</w:t>
            </w:r>
          </w:p>
        </w:tc>
        <w:tc>
          <w:tcPr>
            <w:tcW w:w="6634" w:type="dxa"/>
          </w:tcPr>
          <w:p w14:paraId="54AAF19C" w14:textId="77777777" w:rsidR="006F5885" w:rsidRPr="005D34E7" w:rsidRDefault="006F5885" w:rsidP="00D3594C">
            <w:pPr>
              <w:jc w:val="both"/>
              <w:rPr>
                <w:rFonts w:ascii="Calibri" w:eastAsia="Times New Roman" w:hAnsi="Calibri" w:cs="Calibri"/>
                <w:color w:val="000000"/>
                <w:lang w:eastAsia="en-ZA"/>
              </w:rPr>
            </w:pPr>
            <w:r>
              <w:rPr>
                <w:rFonts w:ascii="Calibri" w:hAnsi="Calibri" w:cs="Calibri"/>
                <w:color w:val="000000"/>
              </w:rPr>
              <w:t>Academia, civil society, industry, regulatory, health care providers, funders, stakeholders from implementation fields.</w:t>
            </w:r>
          </w:p>
        </w:tc>
      </w:tr>
      <w:tr w:rsidR="006F5885" w:rsidRPr="005D34E7" w14:paraId="7024A611" w14:textId="77777777" w:rsidTr="003549EC">
        <w:trPr>
          <w:trHeight w:val="98"/>
        </w:trPr>
        <w:tc>
          <w:tcPr>
            <w:tcW w:w="2160" w:type="dxa"/>
            <w:noWrap/>
            <w:hideMark/>
          </w:tcPr>
          <w:p w14:paraId="5928AECC" w14:textId="54354D9F" w:rsidR="006F5885" w:rsidRPr="005D34E7" w:rsidRDefault="006F5885" w:rsidP="00D3594C">
            <w:pPr>
              <w:jc w:val="center"/>
              <w:rPr>
                <w:rFonts w:ascii="Calibri" w:eastAsia="Times New Roman" w:hAnsi="Calibri" w:cs="Calibri"/>
                <w:b/>
                <w:bCs/>
                <w:color w:val="000000"/>
                <w:lang w:eastAsia="en-ZA"/>
              </w:rPr>
            </w:pPr>
            <w:r w:rsidRPr="005D34E7">
              <w:rPr>
                <w:rFonts w:ascii="Calibri" w:eastAsia="Times New Roman" w:hAnsi="Calibri" w:cs="Calibri"/>
                <w:color w:val="000000"/>
                <w:lang w:eastAsia="en-ZA"/>
              </w:rPr>
              <w:t xml:space="preserve">Mather </w:t>
            </w:r>
            <w:r w:rsidR="000620EA">
              <w:rPr>
                <w:rFonts w:ascii="Calibri" w:eastAsia="Times New Roman" w:hAnsi="Calibri" w:cs="Calibri"/>
                <w:color w:val="000000"/>
                <w:lang w:eastAsia="en-ZA"/>
              </w:rPr>
              <w:t>et al.</w:t>
            </w:r>
          </w:p>
        </w:tc>
        <w:tc>
          <w:tcPr>
            <w:tcW w:w="663" w:type="dxa"/>
            <w:noWrap/>
            <w:hideMark/>
          </w:tcPr>
          <w:p w14:paraId="08C6B79B"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2019</w:t>
            </w:r>
          </w:p>
        </w:tc>
        <w:tc>
          <w:tcPr>
            <w:tcW w:w="6634" w:type="dxa"/>
          </w:tcPr>
          <w:p w14:paraId="4A7E7393" w14:textId="41C3042B" w:rsidR="006F5885" w:rsidRPr="005D34E7" w:rsidRDefault="006F5885" w:rsidP="00D3594C">
            <w:pPr>
              <w:jc w:val="both"/>
              <w:rPr>
                <w:rFonts w:ascii="Calibri" w:eastAsia="Times New Roman" w:hAnsi="Calibri" w:cs="Calibri"/>
                <w:color w:val="000000"/>
                <w:lang w:eastAsia="en-ZA"/>
              </w:rPr>
            </w:pPr>
            <w:r>
              <w:rPr>
                <w:rFonts w:ascii="Calibri" w:hAnsi="Calibri" w:cs="Calibri"/>
                <w:color w:val="000000"/>
              </w:rPr>
              <w:t>Clinical medicine, laboratory medicine, microbiology, diagnostics, public health</w:t>
            </w:r>
            <w:r w:rsidR="007B69A0">
              <w:rPr>
                <w:rFonts w:ascii="Calibri" w:hAnsi="Calibri" w:cs="Calibri"/>
                <w:color w:val="000000"/>
              </w:rPr>
              <w:t>,</w:t>
            </w:r>
            <w:r>
              <w:rPr>
                <w:rFonts w:ascii="Calibri" w:hAnsi="Calibri" w:cs="Calibri"/>
                <w:color w:val="000000"/>
              </w:rPr>
              <w:t xml:space="preserve"> and global health.</w:t>
            </w:r>
          </w:p>
        </w:tc>
      </w:tr>
      <w:tr w:rsidR="006F5885" w:rsidRPr="005D34E7" w14:paraId="12C09F82" w14:textId="77777777" w:rsidTr="003549EC">
        <w:trPr>
          <w:trHeight w:val="61"/>
        </w:trPr>
        <w:tc>
          <w:tcPr>
            <w:tcW w:w="2160" w:type="dxa"/>
            <w:noWrap/>
            <w:hideMark/>
          </w:tcPr>
          <w:p w14:paraId="4903C7F2" w14:textId="1BEFA508" w:rsidR="006F5885" w:rsidRPr="005D34E7" w:rsidRDefault="006F5885" w:rsidP="00D3594C">
            <w:pPr>
              <w:jc w:val="center"/>
              <w:rPr>
                <w:rFonts w:ascii="Calibri" w:eastAsia="Times New Roman" w:hAnsi="Calibri" w:cs="Calibri"/>
                <w:b/>
                <w:bCs/>
                <w:color w:val="000000"/>
                <w:lang w:eastAsia="en-ZA"/>
              </w:rPr>
            </w:pPr>
            <w:proofErr w:type="spellStart"/>
            <w:r w:rsidRPr="005D34E7">
              <w:rPr>
                <w:rFonts w:ascii="Calibri" w:eastAsia="Times New Roman" w:hAnsi="Calibri" w:cs="Calibri"/>
                <w:color w:val="000000"/>
                <w:lang w:eastAsia="en-ZA"/>
              </w:rPr>
              <w:t>Nsanzabana</w:t>
            </w:r>
            <w:proofErr w:type="spellEnd"/>
            <w:r w:rsidRPr="005D34E7">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663" w:type="dxa"/>
            <w:noWrap/>
            <w:hideMark/>
          </w:tcPr>
          <w:p w14:paraId="311A6CCD"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2018</w:t>
            </w:r>
          </w:p>
        </w:tc>
        <w:tc>
          <w:tcPr>
            <w:tcW w:w="6634" w:type="dxa"/>
          </w:tcPr>
          <w:p w14:paraId="5DCCBECD" w14:textId="77777777" w:rsidR="006F5885" w:rsidRPr="005D34E7" w:rsidRDefault="006F5885" w:rsidP="00D3594C">
            <w:pPr>
              <w:jc w:val="both"/>
              <w:rPr>
                <w:rFonts w:ascii="Calibri" w:eastAsia="Times New Roman" w:hAnsi="Calibri" w:cs="Calibri"/>
                <w:color w:val="000000"/>
                <w:lang w:eastAsia="en-ZA"/>
              </w:rPr>
            </w:pPr>
            <w:r>
              <w:rPr>
                <w:rFonts w:ascii="Calibri" w:hAnsi="Calibri" w:cs="Calibri"/>
                <w:color w:val="000000"/>
              </w:rPr>
              <w:t>Academic institutions, public health institutions and industry.</w:t>
            </w:r>
          </w:p>
        </w:tc>
      </w:tr>
      <w:tr w:rsidR="006F5885" w:rsidRPr="005D34E7" w14:paraId="1B29B271" w14:textId="77777777" w:rsidTr="003549EC">
        <w:trPr>
          <w:trHeight w:val="336"/>
        </w:trPr>
        <w:tc>
          <w:tcPr>
            <w:tcW w:w="2160" w:type="dxa"/>
            <w:noWrap/>
            <w:hideMark/>
          </w:tcPr>
          <w:p w14:paraId="02B3FA53" w14:textId="539AD655" w:rsidR="006F5885" w:rsidRPr="005D34E7" w:rsidRDefault="006F5885" w:rsidP="00D3594C">
            <w:pPr>
              <w:jc w:val="center"/>
              <w:rPr>
                <w:rFonts w:ascii="Calibri" w:eastAsia="Times New Roman" w:hAnsi="Calibri" w:cs="Calibri"/>
                <w:b/>
                <w:bCs/>
                <w:color w:val="000000"/>
                <w:lang w:eastAsia="en-ZA"/>
              </w:rPr>
            </w:pPr>
            <w:proofErr w:type="spellStart"/>
            <w:r w:rsidRPr="005D34E7">
              <w:rPr>
                <w:rFonts w:ascii="Calibri" w:eastAsia="Times New Roman" w:hAnsi="Calibri" w:cs="Calibri"/>
                <w:color w:val="000000"/>
                <w:lang w:eastAsia="en-ZA"/>
              </w:rPr>
              <w:t>Pellé</w:t>
            </w:r>
            <w:proofErr w:type="spellEnd"/>
            <w:r w:rsidRPr="005D34E7">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663" w:type="dxa"/>
            <w:noWrap/>
            <w:hideMark/>
          </w:tcPr>
          <w:p w14:paraId="4D96E931"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2020</w:t>
            </w:r>
          </w:p>
        </w:tc>
        <w:tc>
          <w:tcPr>
            <w:tcW w:w="6634" w:type="dxa"/>
          </w:tcPr>
          <w:p w14:paraId="317CC8A2" w14:textId="77777777" w:rsidR="006F5885" w:rsidRPr="005D34E7" w:rsidRDefault="006F5885" w:rsidP="00D3594C">
            <w:pPr>
              <w:jc w:val="both"/>
              <w:rPr>
                <w:rFonts w:ascii="Calibri" w:eastAsia="Times New Roman" w:hAnsi="Calibri" w:cs="Calibri"/>
                <w:color w:val="000000"/>
                <w:lang w:eastAsia="en-ZA"/>
              </w:rPr>
            </w:pPr>
            <w:r>
              <w:rPr>
                <w:rFonts w:ascii="Calibri" w:hAnsi="Calibri" w:cs="Calibri"/>
                <w:color w:val="000000"/>
              </w:rPr>
              <w:t>Academics, industry, private and public sectors.</w:t>
            </w:r>
          </w:p>
        </w:tc>
      </w:tr>
      <w:tr w:rsidR="006F5885" w:rsidRPr="005D34E7" w14:paraId="7336819B" w14:textId="77777777" w:rsidTr="003549EC">
        <w:trPr>
          <w:trHeight w:val="277"/>
        </w:trPr>
        <w:tc>
          <w:tcPr>
            <w:tcW w:w="2160" w:type="dxa"/>
            <w:noWrap/>
            <w:hideMark/>
          </w:tcPr>
          <w:p w14:paraId="29AF4662" w14:textId="77777777" w:rsidR="006F5885" w:rsidRPr="005D34E7" w:rsidRDefault="006F5885" w:rsidP="00D3594C">
            <w:pPr>
              <w:jc w:val="center"/>
              <w:rPr>
                <w:rFonts w:ascii="Calibri" w:eastAsia="Times New Roman" w:hAnsi="Calibri" w:cs="Calibri"/>
                <w:b/>
                <w:bCs/>
                <w:color w:val="000000"/>
                <w:lang w:eastAsia="en-ZA"/>
              </w:rPr>
            </w:pPr>
            <w:r w:rsidRPr="005D34E7">
              <w:rPr>
                <w:rFonts w:ascii="Calibri" w:eastAsia="Times New Roman" w:hAnsi="Calibri" w:cs="Calibri"/>
                <w:color w:val="000000"/>
                <w:lang w:eastAsia="en-ZA"/>
              </w:rPr>
              <w:t xml:space="preserve">Reinhard-Rupp and </w:t>
            </w:r>
            <w:proofErr w:type="spellStart"/>
            <w:r w:rsidRPr="005D34E7">
              <w:rPr>
                <w:rFonts w:ascii="Calibri" w:eastAsia="Times New Roman" w:hAnsi="Calibri" w:cs="Calibri"/>
                <w:color w:val="000000"/>
                <w:lang w:eastAsia="en-ZA"/>
              </w:rPr>
              <w:t>Klohe</w:t>
            </w:r>
            <w:proofErr w:type="spellEnd"/>
          </w:p>
        </w:tc>
        <w:tc>
          <w:tcPr>
            <w:tcW w:w="663" w:type="dxa"/>
            <w:noWrap/>
            <w:hideMark/>
          </w:tcPr>
          <w:p w14:paraId="442BF352"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2017</w:t>
            </w:r>
          </w:p>
        </w:tc>
        <w:tc>
          <w:tcPr>
            <w:tcW w:w="6634" w:type="dxa"/>
          </w:tcPr>
          <w:p w14:paraId="652262D5" w14:textId="77777777" w:rsidR="006F5885" w:rsidRPr="005D34E7" w:rsidRDefault="006F5885" w:rsidP="00D3594C">
            <w:pPr>
              <w:jc w:val="both"/>
              <w:rPr>
                <w:rFonts w:ascii="Calibri" w:eastAsia="Times New Roman" w:hAnsi="Calibri" w:cs="Calibri"/>
                <w:color w:val="000000"/>
                <w:lang w:eastAsia="en-ZA"/>
              </w:rPr>
            </w:pPr>
            <w:r>
              <w:rPr>
                <w:rFonts w:ascii="Calibri" w:hAnsi="Calibri" w:cs="Calibri"/>
                <w:color w:val="000000"/>
              </w:rPr>
              <w:t xml:space="preserve">Experts from WHO, academics, PPP (Merck, </w:t>
            </w:r>
            <w:proofErr w:type="spellStart"/>
            <w:r>
              <w:rPr>
                <w:rFonts w:ascii="Calibri" w:hAnsi="Calibri" w:cs="Calibri"/>
                <w:color w:val="000000"/>
              </w:rPr>
              <w:t>Lygature</w:t>
            </w:r>
            <w:proofErr w:type="spellEnd"/>
            <w:r>
              <w:rPr>
                <w:rFonts w:ascii="Calibri" w:hAnsi="Calibri" w:cs="Calibri"/>
                <w:color w:val="000000"/>
              </w:rPr>
              <w:t xml:space="preserve">, Astellas Pharma, Swiss TPH, </w:t>
            </w:r>
            <w:proofErr w:type="spellStart"/>
            <w:r>
              <w:rPr>
                <w:rFonts w:ascii="Calibri" w:hAnsi="Calibri" w:cs="Calibri"/>
                <w:color w:val="000000"/>
              </w:rPr>
              <w:t>Farmanguinhos</w:t>
            </w:r>
            <w:proofErr w:type="spellEnd"/>
            <w:r>
              <w:rPr>
                <w:rFonts w:ascii="Calibri" w:hAnsi="Calibri" w:cs="Calibri"/>
                <w:color w:val="000000"/>
              </w:rPr>
              <w:t xml:space="preserve">, </w:t>
            </w:r>
            <w:proofErr w:type="spellStart"/>
            <w:r>
              <w:rPr>
                <w:rFonts w:ascii="Calibri" w:hAnsi="Calibri" w:cs="Calibri"/>
                <w:color w:val="000000"/>
              </w:rPr>
              <w:t>Simcyp</w:t>
            </w:r>
            <w:proofErr w:type="spellEnd"/>
            <w:r>
              <w:rPr>
                <w:rFonts w:ascii="Calibri" w:hAnsi="Calibri" w:cs="Calibri"/>
                <w:color w:val="000000"/>
              </w:rPr>
              <w:t>, SCI).</w:t>
            </w:r>
          </w:p>
        </w:tc>
      </w:tr>
      <w:tr w:rsidR="006F5885" w:rsidRPr="000620EA" w14:paraId="23B023AE" w14:textId="77777777" w:rsidTr="003549EC">
        <w:trPr>
          <w:trHeight w:val="336"/>
        </w:trPr>
        <w:tc>
          <w:tcPr>
            <w:tcW w:w="2160" w:type="dxa"/>
            <w:noWrap/>
            <w:hideMark/>
          </w:tcPr>
          <w:p w14:paraId="0D171DA9" w14:textId="761D5E15" w:rsidR="006F5885" w:rsidRPr="005D34E7" w:rsidRDefault="006F5885" w:rsidP="00D3594C">
            <w:pPr>
              <w:jc w:val="center"/>
              <w:rPr>
                <w:rFonts w:ascii="Calibri" w:eastAsia="Times New Roman" w:hAnsi="Calibri" w:cs="Calibri"/>
                <w:b/>
                <w:bCs/>
                <w:color w:val="000000"/>
                <w:lang w:eastAsia="en-ZA"/>
              </w:rPr>
            </w:pPr>
            <w:proofErr w:type="spellStart"/>
            <w:r w:rsidRPr="005D34E7">
              <w:rPr>
                <w:rFonts w:ascii="Calibri" w:eastAsia="Times New Roman" w:hAnsi="Calibri" w:cs="Calibri"/>
                <w:color w:val="000000"/>
                <w:lang w:eastAsia="en-ZA"/>
              </w:rPr>
              <w:t>Reipold</w:t>
            </w:r>
            <w:proofErr w:type="spellEnd"/>
            <w:r w:rsidRPr="005D34E7">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663" w:type="dxa"/>
            <w:noWrap/>
            <w:hideMark/>
          </w:tcPr>
          <w:p w14:paraId="4AD983BB"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2017</w:t>
            </w:r>
          </w:p>
        </w:tc>
        <w:tc>
          <w:tcPr>
            <w:tcW w:w="6634" w:type="dxa"/>
          </w:tcPr>
          <w:p w14:paraId="159F84A3" w14:textId="77932C77" w:rsidR="006F5885" w:rsidRPr="005D34E7" w:rsidRDefault="006F5885" w:rsidP="00D3594C">
            <w:pPr>
              <w:jc w:val="both"/>
              <w:rPr>
                <w:rFonts w:ascii="Calibri" w:eastAsia="Times New Roman" w:hAnsi="Calibri" w:cs="Calibri"/>
                <w:color w:val="000000"/>
                <w:lang w:eastAsia="en-ZA"/>
              </w:rPr>
            </w:pPr>
            <w:r>
              <w:rPr>
                <w:rFonts w:ascii="Calibri" w:hAnsi="Calibri" w:cs="Calibri"/>
                <w:color w:val="000000"/>
              </w:rPr>
              <w:t xml:space="preserve">In vitro diagnostics industry or product development partnerships/technical agencies/researchers, advocacy organizations, pharmaceutical industry, implementers/clinicians, national hepatitis </w:t>
            </w:r>
            <w:proofErr w:type="spellStart"/>
            <w:r>
              <w:rPr>
                <w:rFonts w:ascii="Calibri" w:hAnsi="Calibri" w:cs="Calibri"/>
                <w:color w:val="000000"/>
              </w:rPr>
              <w:t>programmes</w:t>
            </w:r>
            <w:proofErr w:type="spellEnd"/>
            <w:r>
              <w:rPr>
                <w:rFonts w:ascii="Calibri" w:hAnsi="Calibri" w:cs="Calibri"/>
                <w:color w:val="000000"/>
              </w:rPr>
              <w:t>, international bodies</w:t>
            </w:r>
            <w:r w:rsidR="007B69A0">
              <w:rPr>
                <w:rFonts w:ascii="Calibri" w:hAnsi="Calibri" w:cs="Calibri"/>
                <w:color w:val="000000"/>
              </w:rPr>
              <w:t>,</w:t>
            </w:r>
            <w:r>
              <w:rPr>
                <w:rFonts w:ascii="Calibri" w:hAnsi="Calibri" w:cs="Calibri"/>
                <w:color w:val="000000"/>
              </w:rPr>
              <w:t xml:space="preserve"> and consultants.</w:t>
            </w:r>
          </w:p>
        </w:tc>
      </w:tr>
      <w:tr w:rsidR="006F5885" w:rsidRPr="005D34E7" w14:paraId="4FB0AC00" w14:textId="77777777" w:rsidTr="003549EC">
        <w:trPr>
          <w:trHeight w:val="64"/>
        </w:trPr>
        <w:tc>
          <w:tcPr>
            <w:tcW w:w="2160" w:type="dxa"/>
            <w:noWrap/>
            <w:hideMark/>
          </w:tcPr>
          <w:p w14:paraId="3755821C" w14:textId="5FAF3859" w:rsidR="006F5885" w:rsidRPr="005D34E7" w:rsidRDefault="006F5885" w:rsidP="00D3594C">
            <w:pPr>
              <w:jc w:val="center"/>
              <w:rPr>
                <w:rFonts w:ascii="Calibri" w:eastAsia="Times New Roman" w:hAnsi="Calibri" w:cs="Calibri"/>
                <w:b/>
                <w:bCs/>
                <w:color w:val="000000"/>
                <w:lang w:eastAsia="en-ZA"/>
              </w:rPr>
            </w:pPr>
            <w:r w:rsidRPr="005D34E7">
              <w:rPr>
                <w:rFonts w:ascii="Calibri" w:eastAsia="Times New Roman" w:hAnsi="Calibri" w:cs="Calibri"/>
                <w:color w:val="000000"/>
                <w:lang w:eastAsia="en-ZA"/>
              </w:rPr>
              <w:t xml:space="preserve">Vetter </w:t>
            </w:r>
            <w:r w:rsidR="000620EA">
              <w:rPr>
                <w:rFonts w:ascii="Calibri" w:eastAsia="Times New Roman" w:hAnsi="Calibri" w:cs="Calibri"/>
                <w:color w:val="000000"/>
                <w:lang w:eastAsia="en-ZA"/>
              </w:rPr>
              <w:t>et al.</w:t>
            </w:r>
          </w:p>
        </w:tc>
        <w:tc>
          <w:tcPr>
            <w:tcW w:w="663" w:type="dxa"/>
            <w:noWrap/>
            <w:hideMark/>
          </w:tcPr>
          <w:p w14:paraId="666D32FA"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2021</w:t>
            </w:r>
          </w:p>
        </w:tc>
        <w:tc>
          <w:tcPr>
            <w:tcW w:w="6634" w:type="dxa"/>
          </w:tcPr>
          <w:p w14:paraId="0649939D" w14:textId="77777777" w:rsidR="006F5885" w:rsidRPr="005D34E7" w:rsidRDefault="006F5885" w:rsidP="00D3594C">
            <w:pPr>
              <w:jc w:val="both"/>
              <w:rPr>
                <w:rFonts w:ascii="Calibri" w:eastAsia="Times New Roman" w:hAnsi="Calibri" w:cs="Calibri"/>
                <w:color w:val="000000"/>
                <w:lang w:eastAsia="en-ZA"/>
              </w:rPr>
            </w:pPr>
            <w:r>
              <w:rPr>
                <w:rFonts w:ascii="Calibri" w:hAnsi="Calibri" w:cs="Calibri"/>
                <w:color w:val="000000"/>
              </w:rPr>
              <w:t>Clinicians, researchers, laboratory experts, public health experts, procurer of POC.</w:t>
            </w:r>
          </w:p>
        </w:tc>
      </w:tr>
      <w:tr w:rsidR="006F5885" w:rsidRPr="005D34E7" w14:paraId="1A59A74F" w14:textId="77777777" w:rsidTr="003549EC">
        <w:trPr>
          <w:trHeight w:val="336"/>
        </w:trPr>
        <w:tc>
          <w:tcPr>
            <w:tcW w:w="2160" w:type="dxa"/>
            <w:noWrap/>
            <w:hideMark/>
          </w:tcPr>
          <w:p w14:paraId="47C35E28" w14:textId="60119DC0" w:rsidR="006F5885" w:rsidRPr="005D34E7" w:rsidRDefault="006F5885" w:rsidP="00D3594C">
            <w:pPr>
              <w:jc w:val="center"/>
              <w:rPr>
                <w:rFonts w:ascii="Calibri" w:eastAsia="Times New Roman" w:hAnsi="Calibri" w:cs="Calibri"/>
                <w:b/>
                <w:bCs/>
                <w:color w:val="000000"/>
                <w:lang w:eastAsia="en-ZA"/>
              </w:rPr>
            </w:pPr>
            <w:r w:rsidRPr="005D34E7">
              <w:rPr>
                <w:rFonts w:ascii="Calibri" w:eastAsia="Times New Roman" w:hAnsi="Calibri" w:cs="Calibri"/>
                <w:color w:val="000000"/>
                <w:lang w:eastAsia="en-ZA"/>
              </w:rPr>
              <w:t xml:space="preserve">Walsh </w:t>
            </w:r>
            <w:r w:rsidR="000620EA">
              <w:rPr>
                <w:rFonts w:ascii="Calibri" w:eastAsia="Times New Roman" w:hAnsi="Calibri" w:cs="Calibri"/>
                <w:color w:val="000000"/>
                <w:lang w:eastAsia="en-ZA"/>
              </w:rPr>
              <w:t>et al.</w:t>
            </w:r>
          </w:p>
        </w:tc>
        <w:tc>
          <w:tcPr>
            <w:tcW w:w="663" w:type="dxa"/>
            <w:noWrap/>
            <w:hideMark/>
          </w:tcPr>
          <w:p w14:paraId="2CFFFC6C"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2022</w:t>
            </w:r>
          </w:p>
        </w:tc>
        <w:tc>
          <w:tcPr>
            <w:tcW w:w="6634" w:type="dxa"/>
          </w:tcPr>
          <w:p w14:paraId="7383978B" w14:textId="77777777" w:rsidR="006F5885" w:rsidRPr="005D34E7" w:rsidRDefault="006F5885" w:rsidP="00D3594C">
            <w:pPr>
              <w:jc w:val="both"/>
              <w:rPr>
                <w:rFonts w:ascii="Calibri" w:eastAsia="Times New Roman" w:hAnsi="Calibri" w:cs="Calibri"/>
                <w:color w:val="000000"/>
                <w:lang w:eastAsia="en-ZA"/>
              </w:rPr>
            </w:pPr>
            <w:r>
              <w:rPr>
                <w:rFonts w:ascii="Calibri" w:hAnsi="Calibri" w:cs="Calibri"/>
                <w:color w:val="000000"/>
              </w:rPr>
              <w:t>WHO experts, stakeholders from Medicines for Malaria Venture, PENTA Foundation, St George’s University, UK, and the Bill and Melinda Gates Foundation.</w:t>
            </w:r>
          </w:p>
        </w:tc>
      </w:tr>
      <w:tr w:rsidR="006F5885" w:rsidRPr="005D34E7" w14:paraId="6E119B73" w14:textId="77777777" w:rsidTr="003549EC">
        <w:trPr>
          <w:trHeight w:val="71"/>
        </w:trPr>
        <w:tc>
          <w:tcPr>
            <w:tcW w:w="2160" w:type="dxa"/>
            <w:noWrap/>
            <w:hideMark/>
          </w:tcPr>
          <w:p w14:paraId="7C744641" w14:textId="1EDDAC6A" w:rsidR="006F5885" w:rsidRPr="005D34E7" w:rsidRDefault="006F5885" w:rsidP="00D3594C">
            <w:pPr>
              <w:jc w:val="center"/>
              <w:rPr>
                <w:rFonts w:ascii="Calibri" w:eastAsia="Times New Roman" w:hAnsi="Calibri" w:cs="Calibri"/>
                <w:b/>
                <w:bCs/>
                <w:color w:val="000000"/>
                <w:lang w:eastAsia="en-ZA"/>
              </w:rPr>
            </w:pPr>
            <w:proofErr w:type="spellStart"/>
            <w:r w:rsidRPr="005D34E7">
              <w:rPr>
                <w:rFonts w:ascii="Calibri" w:eastAsia="Times New Roman" w:hAnsi="Calibri" w:cs="Calibri"/>
                <w:color w:val="000000"/>
                <w:lang w:eastAsia="en-ZA"/>
              </w:rPr>
              <w:t>Wyber</w:t>
            </w:r>
            <w:proofErr w:type="spellEnd"/>
            <w:r w:rsidRPr="005D34E7">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663" w:type="dxa"/>
            <w:noWrap/>
            <w:hideMark/>
          </w:tcPr>
          <w:p w14:paraId="13B83389"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2016</w:t>
            </w:r>
          </w:p>
        </w:tc>
        <w:tc>
          <w:tcPr>
            <w:tcW w:w="6634" w:type="dxa"/>
          </w:tcPr>
          <w:p w14:paraId="1C9DD56E" w14:textId="77777777" w:rsidR="006F5885" w:rsidRPr="005D34E7" w:rsidRDefault="006F5885" w:rsidP="00D3594C">
            <w:pPr>
              <w:jc w:val="both"/>
              <w:rPr>
                <w:rFonts w:ascii="Calibri" w:eastAsia="Times New Roman" w:hAnsi="Calibri" w:cs="Calibri"/>
                <w:color w:val="000000"/>
                <w:lang w:eastAsia="en-ZA"/>
              </w:rPr>
            </w:pPr>
            <w:r>
              <w:rPr>
                <w:rFonts w:ascii="Calibri" w:hAnsi="Calibri" w:cs="Calibri"/>
                <w:color w:val="000000"/>
              </w:rPr>
              <w:t>Clinicians.</w:t>
            </w:r>
          </w:p>
        </w:tc>
      </w:tr>
      <w:tr w:rsidR="006F5885" w:rsidRPr="000620EA" w14:paraId="106A5F46" w14:textId="77777777" w:rsidTr="003549EC">
        <w:trPr>
          <w:trHeight w:val="658"/>
        </w:trPr>
        <w:tc>
          <w:tcPr>
            <w:tcW w:w="2160" w:type="dxa"/>
            <w:noWrap/>
            <w:hideMark/>
          </w:tcPr>
          <w:p w14:paraId="34857759" w14:textId="392C13EF" w:rsidR="006F5885" w:rsidRPr="005D34E7" w:rsidRDefault="006F5885" w:rsidP="00D3594C">
            <w:pPr>
              <w:jc w:val="center"/>
              <w:rPr>
                <w:rFonts w:ascii="Calibri" w:eastAsia="Times New Roman" w:hAnsi="Calibri" w:cs="Calibri"/>
                <w:b/>
                <w:bCs/>
                <w:color w:val="000000"/>
                <w:lang w:eastAsia="en-ZA"/>
              </w:rPr>
            </w:pPr>
            <w:proofErr w:type="spellStart"/>
            <w:r w:rsidRPr="005D34E7">
              <w:rPr>
                <w:rFonts w:ascii="Calibri" w:eastAsia="Times New Roman" w:hAnsi="Calibri" w:cs="Calibri"/>
                <w:color w:val="000000"/>
                <w:lang w:eastAsia="en-ZA"/>
              </w:rPr>
              <w:t>Ebels</w:t>
            </w:r>
            <w:proofErr w:type="spellEnd"/>
            <w:r w:rsidRPr="005D34E7">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663" w:type="dxa"/>
            <w:noWrap/>
            <w:hideMark/>
          </w:tcPr>
          <w:p w14:paraId="7F4072CF"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2014</w:t>
            </w:r>
          </w:p>
        </w:tc>
        <w:tc>
          <w:tcPr>
            <w:tcW w:w="6634" w:type="dxa"/>
          </w:tcPr>
          <w:p w14:paraId="66817B77" w14:textId="77777777" w:rsidR="006F5885" w:rsidRPr="005D34E7" w:rsidRDefault="006F5885" w:rsidP="00D3594C">
            <w:pPr>
              <w:rPr>
                <w:rFonts w:ascii="Calibri" w:eastAsia="Times New Roman" w:hAnsi="Calibri" w:cs="Calibri"/>
                <w:color w:val="000000"/>
                <w:lang w:eastAsia="en-ZA"/>
              </w:rPr>
            </w:pPr>
            <w:r>
              <w:rPr>
                <w:rFonts w:ascii="Calibri" w:hAnsi="Calibri" w:cs="Calibri"/>
                <w:color w:val="000000"/>
              </w:rPr>
              <w:t>Researchers, policymakers, manufacturers, and strategists, program personnel (persons who are working in or with the public health system to implement malaria strategies but who do not directly see patients or handle diagnostic tests), end users.</w:t>
            </w:r>
          </w:p>
        </w:tc>
      </w:tr>
      <w:tr w:rsidR="006F5885" w:rsidRPr="005D34E7" w14:paraId="3851CF4C" w14:textId="77777777" w:rsidTr="003549EC">
        <w:trPr>
          <w:trHeight w:val="64"/>
        </w:trPr>
        <w:tc>
          <w:tcPr>
            <w:tcW w:w="2160" w:type="dxa"/>
            <w:noWrap/>
            <w:hideMark/>
          </w:tcPr>
          <w:p w14:paraId="5BD5A824" w14:textId="6B057EDB" w:rsidR="006F5885" w:rsidRPr="00FA1033" w:rsidRDefault="006F5885" w:rsidP="00D3594C">
            <w:pPr>
              <w:jc w:val="center"/>
              <w:rPr>
                <w:rFonts w:ascii="Calibri" w:eastAsia="Times New Roman" w:hAnsi="Calibri" w:cs="Calibri"/>
                <w:b/>
                <w:bCs/>
                <w:color w:val="000000"/>
                <w:lang w:eastAsia="en-ZA"/>
              </w:rPr>
            </w:pPr>
            <w:r w:rsidRPr="00FA1033">
              <w:rPr>
                <w:rFonts w:ascii="Calibri" w:eastAsia="Times New Roman" w:hAnsi="Calibri" w:cs="Calibri"/>
                <w:color w:val="000000"/>
                <w:lang w:eastAsia="en-ZA"/>
              </w:rPr>
              <w:t xml:space="preserve">Chua </w:t>
            </w:r>
            <w:r w:rsidR="000620EA">
              <w:rPr>
                <w:rFonts w:ascii="Calibri" w:eastAsia="Times New Roman" w:hAnsi="Calibri" w:cs="Calibri"/>
                <w:color w:val="000000"/>
                <w:lang w:eastAsia="en-ZA"/>
              </w:rPr>
              <w:t>et al.</w:t>
            </w:r>
          </w:p>
        </w:tc>
        <w:tc>
          <w:tcPr>
            <w:tcW w:w="663" w:type="dxa"/>
            <w:noWrap/>
            <w:hideMark/>
          </w:tcPr>
          <w:p w14:paraId="2EA05142"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2017</w:t>
            </w:r>
          </w:p>
        </w:tc>
        <w:tc>
          <w:tcPr>
            <w:tcW w:w="6634" w:type="dxa"/>
          </w:tcPr>
          <w:p w14:paraId="575A2532" w14:textId="77777777" w:rsidR="006F5885" w:rsidRPr="005D34E7" w:rsidRDefault="006F5885" w:rsidP="00D3594C">
            <w:pPr>
              <w:rPr>
                <w:rFonts w:ascii="Calibri" w:eastAsia="Times New Roman" w:hAnsi="Calibri" w:cs="Calibri"/>
                <w:color w:val="000000"/>
                <w:lang w:eastAsia="en-ZA"/>
              </w:rPr>
            </w:pPr>
            <w:r>
              <w:rPr>
                <w:rFonts w:ascii="Calibri" w:hAnsi="Calibri" w:cs="Calibri"/>
                <w:color w:val="000000"/>
              </w:rPr>
              <w:t>Public health experts, scientific community.</w:t>
            </w:r>
          </w:p>
        </w:tc>
      </w:tr>
      <w:tr w:rsidR="006F5885" w:rsidRPr="005D34E7" w14:paraId="685F7A82" w14:textId="77777777" w:rsidTr="003549EC">
        <w:trPr>
          <w:trHeight w:val="64"/>
        </w:trPr>
        <w:tc>
          <w:tcPr>
            <w:tcW w:w="2160" w:type="dxa"/>
            <w:noWrap/>
            <w:hideMark/>
          </w:tcPr>
          <w:p w14:paraId="358A722C" w14:textId="4CE078E4" w:rsidR="006F5885" w:rsidRPr="00FA1033" w:rsidRDefault="006F5885" w:rsidP="00D3594C">
            <w:pPr>
              <w:jc w:val="center"/>
              <w:rPr>
                <w:rFonts w:ascii="Calibri" w:eastAsia="Times New Roman" w:hAnsi="Calibri" w:cs="Calibri"/>
                <w:b/>
                <w:bCs/>
                <w:color w:val="000000"/>
                <w:lang w:eastAsia="en-ZA"/>
              </w:rPr>
            </w:pPr>
            <w:proofErr w:type="spellStart"/>
            <w:r w:rsidRPr="00FA1033">
              <w:rPr>
                <w:rFonts w:ascii="Calibri" w:eastAsia="Times New Roman" w:hAnsi="Calibri" w:cs="Calibri"/>
                <w:color w:val="000000"/>
                <w:lang w:eastAsia="en-ZA"/>
              </w:rPr>
              <w:t>Denkinger</w:t>
            </w:r>
            <w:proofErr w:type="spellEnd"/>
            <w:r w:rsidRPr="00FA1033">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663" w:type="dxa"/>
            <w:noWrap/>
            <w:hideMark/>
          </w:tcPr>
          <w:p w14:paraId="1B4ADA7A"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2015</w:t>
            </w:r>
          </w:p>
        </w:tc>
        <w:tc>
          <w:tcPr>
            <w:tcW w:w="6634" w:type="dxa"/>
          </w:tcPr>
          <w:p w14:paraId="21AC41A7" w14:textId="77777777" w:rsidR="006F5885" w:rsidRPr="005D34E7" w:rsidRDefault="006F5885" w:rsidP="00D3594C">
            <w:pPr>
              <w:rPr>
                <w:rFonts w:ascii="Calibri" w:eastAsia="Times New Roman" w:hAnsi="Calibri" w:cs="Calibri"/>
                <w:color w:val="000000"/>
                <w:lang w:eastAsia="en-ZA"/>
              </w:rPr>
            </w:pPr>
            <w:r>
              <w:rPr>
                <w:rFonts w:ascii="Calibri" w:hAnsi="Calibri" w:cs="Calibri"/>
                <w:color w:val="000000"/>
              </w:rPr>
              <w:t>Researchers, clinicians, policy makers, test developers, and funders.</w:t>
            </w:r>
          </w:p>
        </w:tc>
      </w:tr>
      <w:tr w:rsidR="006F5885" w:rsidRPr="005D34E7" w14:paraId="59E76D12" w14:textId="77777777" w:rsidTr="003549EC">
        <w:trPr>
          <w:trHeight w:val="336"/>
        </w:trPr>
        <w:tc>
          <w:tcPr>
            <w:tcW w:w="2160" w:type="dxa"/>
            <w:noWrap/>
            <w:hideMark/>
          </w:tcPr>
          <w:p w14:paraId="31EBBB13" w14:textId="5A8A9ADE" w:rsidR="006F5885" w:rsidRPr="00FA1033" w:rsidRDefault="006F5885" w:rsidP="00D3594C">
            <w:pPr>
              <w:jc w:val="center"/>
              <w:rPr>
                <w:rFonts w:ascii="Calibri" w:eastAsia="Times New Roman" w:hAnsi="Calibri" w:cs="Calibri"/>
                <w:b/>
                <w:bCs/>
                <w:color w:val="000000"/>
                <w:lang w:eastAsia="en-ZA"/>
              </w:rPr>
            </w:pPr>
            <w:r w:rsidRPr="00FA1033">
              <w:rPr>
                <w:rFonts w:ascii="Calibri" w:eastAsia="Times New Roman" w:hAnsi="Calibri" w:cs="Calibri"/>
                <w:color w:val="000000"/>
                <w:lang w:eastAsia="en-ZA"/>
              </w:rPr>
              <w:lastRenderedPageBreak/>
              <w:t xml:space="preserve">Ding </w:t>
            </w:r>
            <w:r w:rsidR="000620EA">
              <w:rPr>
                <w:rFonts w:ascii="Calibri" w:eastAsia="Times New Roman" w:hAnsi="Calibri" w:cs="Calibri"/>
                <w:color w:val="000000"/>
                <w:lang w:eastAsia="en-ZA"/>
              </w:rPr>
              <w:t>et al.</w:t>
            </w:r>
          </w:p>
        </w:tc>
        <w:tc>
          <w:tcPr>
            <w:tcW w:w="663" w:type="dxa"/>
            <w:noWrap/>
            <w:hideMark/>
          </w:tcPr>
          <w:p w14:paraId="3B748651"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2017</w:t>
            </w:r>
          </w:p>
        </w:tc>
        <w:tc>
          <w:tcPr>
            <w:tcW w:w="6634" w:type="dxa"/>
          </w:tcPr>
          <w:p w14:paraId="0051B708" w14:textId="77777777" w:rsidR="006F5885" w:rsidRPr="005D34E7" w:rsidRDefault="006F5885" w:rsidP="00D3594C">
            <w:pPr>
              <w:rPr>
                <w:rFonts w:ascii="Calibri" w:eastAsia="Times New Roman" w:hAnsi="Calibri" w:cs="Calibri"/>
                <w:color w:val="000000"/>
                <w:lang w:eastAsia="en-ZA"/>
              </w:rPr>
            </w:pPr>
            <w:r>
              <w:rPr>
                <w:rFonts w:ascii="Calibri" w:hAnsi="Calibri" w:cs="Calibri"/>
                <w:color w:val="000000"/>
              </w:rPr>
              <w:t xml:space="preserve">Experts from academic research institutions, national malaria control </w:t>
            </w:r>
            <w:proofErr w:type="spellStart"/>
            <w:r>
              <w:rPr>
                <w:rFonts w:ascii="Calibri" w:hAnsi="Calibri" w:cs="Calibri"/>
                <w:color w:val="000000"/>
              </w:rPr>
              <w:t>programmes</w:t>
            </w:r>
            <w:proofErr w:type="spellEnd"/>
            <w:r>
              <w:rPr>
                <w:rFonts w:ascii="Calibri" w:hAnsi="Calibri" w:cs="Calibri"/>
                <w:color w:val="000000"/>
              </w:rPr>
              <w:t xml:space="preserve">, the WHO Global Malaria </w:t>
            </w:r>
            <w:proofErr w:type="spellStart"/>
            <w:r>
              <w:rPr>
                <w:rFonts w:ascii="Calibri" w:hAnsi="Calibri" w:cs="Calibri"/>
                <w:color w:val="000000"/>
              </w:rPr>
              <w:t>Programme</w:t>
            </w:r>
            <w:proofErr w:type="spellEnd"/>
            <w:r>
              <w:rPr>
                <w:rFonts w:ascii="Calibri" w:hAnsi="Calibri" w:cs="Calibri"/>
                <w:color w:val="000000"/>
              </w:rPr>
              <w:t>, and WHO.</w:t>
            </w:r>
          </w:p>
        </w:tc>
      </w:tr>
      <w:tr w:rsidR="006F5885" w:rsidRPr="005D34E7" w14:paraId="6A7BE646" w14:textId="77777777" w:rsidTr="003549EC">
        <w:trPr>
          <w:trHeight w:val="336"/>
        </w:trPr>
        <w:tc>
          <w:tcPr>
            <w:tcW w:w="2160" w:type="dxa"/>
            <w:noWrap/>
            <w:hideMark/>
          </w:tcPr>
          <w:p w14:paraId="1E502A1A" w14:textId="126420E6" w:rsidR="006F5885" w:rsidRPr="00FA1033" w:rsidRDefault="006F5885" w:rsidP="00D3594C">
            <w:pPr>
              <w:jc w:val="center"/>
              <w:rPr>
                <w:rFonts w:ascii="Calibri" w:eastAsia="Times New Roman" w:hAnsi="Calibri" w:cs="Calibri"/>
                <w:b/>
                <w:bCs/>
                <w:color w:val="000000"/>
                <w:lang w:eastAsia="en-ZA"/>
              </w:rPr>
            </w:pPr>
            <w:proofErr w:type="spellStart"/>
            <w:r w:rsidRPr="00FA1033">
              <w:rPr>
                <w:rFonts w:ascii="Calibri" w:eastAsia="Times New Roman" w:hAnsi="Calibri" w:cs="Calibri"/>
                <w:color w:val="000000"/>
                <w:lang w:eastAsia="en-ZA"/>
              </w:rPr>
              <w:t>Donadeu</w:t>
            </w:r>
            <w:proofErr w:type="spellEnd"/>
            <w:r w:rsidRPr="00FA1033">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663" w:type="dxa"/>
            <w:noWrap/>
            <w:hideMark/>
          </w:tcPr>
          <w:p w14:paraId="046BF227"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2017</w:t>
            </w:r>
          </w:p>
        </w:tc>
        <w:tc>
          <w:tcPr>
            <w:tcW w:w="6634" w:type="dxa"/>
          </w:tcPr>
          <w:p w14:paraId="3C357951" w14:textId="59E96239" w:rsidR="006F5885" w:rsidRPr="005D34E7" w:rsidRDefault="006F5885" w:rsidP="00D3594C">
            <w:pPr>
              <w:rPr>
                <w:rFonts w:ascii="Calibri" w:eastAsia="Times New Roman" w:hAnsi="Calibri" w:cs="Calibri"/>
                <w:color w:val="000000"/>
                <w:lang w:eastAsia="en-ZA"/>
              </w:rPr>
            </w:pPr>
            <w:r>
              <w:rPr>
                <w:rFonts w:ascii="Calibri" w:hAnsi="Calibri" w:cs="Calibri"/>
                <w:color w:val="000000"/>
              </w:rPr>
              <w:t xml:space="preserve">Diagnostics manufacturers, NGOs, industry, academia, research </w:t>
            </w:r>
            <w:proofErr w:type="spellStart"/>
            <w:r>
              <w:rPr>
                <w:rFonts w:ascii="Calibri" w:hAnsi="Calibri" w:cs="Calibri"/>
                <w:color w:val="000000"/>
              </w:rPr>
              <w:t>organisations</w:t>
            </w:r>
            <w:proofErr w:type="spellEnd"/>
            <w:r>
              <w:rPr>
                <w:rFonts w:ascii="Calibri" w:hAnsi="Calibri" w:cs="Calibri"/>
                <w:color w:val="000000"/>
              </w:rPr>
              <w:t>/government agencies.</w:t>
            </w:r>
          </w:p>
        </w:tc>
      </w:tr>
      <w:tr w:rsidR="006F5885" w:rsidRPr="005D34E7" w14:paraId="13F7D92D" w14:textId="77777777" w:rsidTr="003549EC">
        <w:trPr>
          <w:trHeight w:val="64"/>
        </w:trPr>
        <w:tc>
          <w:tcPr>
            <w:tcW w:w="2160" w:type="dxa"/>
            <w:noWrap/>
            <w:hideMark/>
          </w:tcPr>
          <w:p w14:paraId="2E3E0112" w14:textId="264EE0C3" w:rsidR="006F5885" w:rsidRPr="00FA1033" w:rsidRDefault="006F5885" w:rsidP="00D3594C">
            <w:pPr>
              <w:jc w:val="center"/>
              <w:rPr>
                <w:rFonts w:ascii="Calibri" w:eastAsia="Times New Roman" w:hAnsi="Calibri" w:cs="Calibri"/>
                <w:b/>
                <w:bCs/>
                <w:color w:val="000000"/>
                <w:lang w:eastAsia="en-ZA"/>
              </w:rPr>
            </w:pPr>
            <w:r w:rsidRPr="00FA1033">
              <w:rPr>
                <w:rFonts w:ascii="Calibri" w:eastAsia="Times New Roman" w:hAnsi="Calibri" w:cs="Calibri"/>
                <w:color w:val="000000"/>
                <w:lang w:eastAsia="en-ZA"/>
              </w:rPr>
              <w:t xml:space="preserve">Lim </w:t>
            </w:r>
            <w:r w:rsidR="000620EA">
              <w:rPr>
                <w:rFonts w:ascii="Calibri" w:eastAsia="Times New Roman" w:hAnsi="Calibri" w:cs="Calibri"/>
                <w:color w:val="000000"/>
                <w:lang w:eastAsia="en-ZA"/>
              </w:rPr>
              <w:t>et al.</w:t>
            </w:r>
          </w:p>
        </w:tc>
        <w:tc>
          <w:tcPr>
            <w:tcW w:w="663" w:type="dxa"/>
            <w:noWrap/>
            <w:hideMark/>
          </w:tcPr>
          <w:p w14:paraId="1BBBC9C3"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2018</w:t>
            </w:r>
          </w:p>
        </w:tc>
        <w:tc>
          <w:tcPr>
            <w:tcW w:w="6634" w:type="dxa"/>
          </w:tcPr>
          <w:p w14:paraId="0E37F67D" w14:textId="77777777" w:rsidR="006F5885" w:rsidRPr="005D34E7" w:rsidRDefault="006F5885" w:rsidP="00D3594C">
            <w:pPr>
              <w:rPr>
                <w:rFonts w:ascii="Calibri" w:eastAsia="Times New Roman" w:hAnsi="Calibri" w:cs="Calibri"/>
                <w:color w:val="000000"/>
                <w:lang w:eastAsia="en-ZA"/>
              </w:rPr>
            </w:pPr>
            <w:r>
              <w:rPr>
                <w:rFonts w:ascii="Calibri" w:hAnsi="Calibri" w:cs="Calibri"/>
                <w:color w:val="000000"/>
              </w:rPr>
              <w:t>Researchers, WHO, implementers, regulators.</w:t>
            </w:r>
          </w:p>
        </w:tc>
      </w:tr>
      <w:tr w:rsidR="006F5885" w:rsidRPr="005D34E7" w14:paraId="35FBE18A" w14:textId="77777777" w:rsidTr="003549EC">
        <w:trPr>
          <w:trHeight w:val="64"/>
        </w:trPr>
        <w:tc>
          <w:tcPr>
            <w:tcW w:w="2160" w:type="dxa"/>
            <w:noWrap/>
            <w:hideMark/>
          </w:tcPr>
          <w:p w14:paraId="26535CEE" w14:textId="3B115E13" w:rsidR="006F5885" w:rsidRPr="00FA1033" w:rsidRDefault="006F5885" w:rsidP="00D3594C">
            <w:pPr>
              <w:jc w:val="center"/>
              <w:rPr>
                <w:rFonts w:ascii="Calibri" w:eastAsia="Times New Roman" w:hAnsi="Calibri" w:cs="Calibri"/>
                <w:b/>
                <w:bCs/>
                <w:color w:val="000000"/>
                <w:lang w:eastAsia="en-ZA"/>
              </w:rPr>
            </w:pPr>
            <w:r w:rsidRPr="00FA1033">
              <w:rPr>
                <w:rFonts w:ascii="Calibri" w:eastAsia="Times New Roman" w:hAnsi="Calibri" w:cs="Calibri"/>
                <w:color w:val="000000"/>
                <w:lang w:eastAsia="en-ZA"/>
              </w:rPr>
              <w:t xml:space="preserve">Pal </w:t>
            </w:r>
            <w:r w:rsidR="000620EA">
              <w:rPr>
                <w:rFonts w:ascii="Calibri" w:eastAsia="Times New Roman" w:hAnsi="Calibri" w:cs="Calibri"/>
                <w:color w:val="000000"/>
                <w:lang w:eastAsia="en-ZA"/>
              </w:rPr>
              <w:t>et al.</w:t>
            </w:r>
          </w:p>
        </w:tc>
        <w:tc>
          <w:tcPr>
            <w:tcW w:w="663" w:type="dxa"/>
            <w:noWrap/>
            <w:hideMark/>
          </w:tcPr>
          <w:p w14:paraId="6720D82C"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2016</w:t>
            </w:r>
          </w:p>
        </w:tc>
        <w:tc>
          <w:tcPr>
            <w:tcW w:w="6634" w:type="dxa"/>
          </w:tcPr>
          <w:p w14:paraId="7211F549" w14:textId="77777777" w:rsidR="006F5885" w:rsidRPr="005D34E7" w:rsidRDefault="006F5885" w:rsidP="00D3594C">
            <w:pPr>
              <w:rPr>
                <w:rFonts w:ascii="Calibri" w:eastAsia="Times New Roman" w:hAnsi="Calibri" w:cs="Calibri"/>
                <w:color w:val="000000"/>
                <w:lang w:eastAsia="en-ZA"/>
              </w:rPr>
            </w:pPr>
            <w:r>
              <w:rPr>
                <w:rFonts w:ascii="Calibri" w:hAnsi="Calibri" w:cs="Calibri"/>
                <w:color w:val="000000"/>
              </w:rPr>
              <w:t>Diagnostic test end users from the armed forces.</w:t>
            </w:r>
          </w:p>
        </w:tc>
      </w:tr>
      <w:tr w:rsidR="006F5885" w:rsidRPr="005D34E7" w14:paraId="687CAE3B" w14:textId="77777777" w:rsidTr="003549EC">
        <w:trPr>
          <w:trHeight w:val="64"/>
        </w:trPr>
        <w:tc>
          <w:tcPr>
            <w:tcW w:w="2160" w:type="dxa"/>
            <w:noWrap/>
            <w:hideMark/>
          </w:tcPr>
          <w:p w14:paraId="1B0833E4" w14:textId="2452D273" w:rsidR="006F5885" w:rsidRPr="00FA1033" w:rsidRDefault="006F5885" w:rsidP="00D3594C">
            <w:pPr>
              <w:jc w:val="center"/>
              <w:rPr>
                <w:rFonts w:ascii="Calibri" w:eastAsia="Times New Roman" w:hAnsi="Calibri" w:cs="Calibri"/>
                <w:b/>
                <w:bCs/>
                <w:color w:val="000000"/>
                <w:lang w:eastAsia="en-ZA"/>
              </w:rPr>
            </w:pPr>
            <w:r w:rsidRPr="00FA1033">
              <w:rPr>
                <w:rFonts w:ascii="Calibri" w:eastAsia="Times New Roman" w:hAnsi="Calibri" w:cs="Calibri"/>
                <w:color w:val="000000"/>
                <w:lang w:eastAsia="en-ZA"/>
              </w:rPr>
              <w:t xml:space="preserve">Solomon </w:t>
            </w:r>
            <w:r w:rsidR="000620EA">
              <w:rPr>
                <w:rFonts w:ascii="Calibri" w:eastAsia="Times New Roman" w:hAnsi="Calibri" w:cs="Calibri"/>
                <w:color w:val="000000"/>
                <w:lang w:eastAsia="en-ZA"/>
              </w:rPr>
              <w:t>et al.</w:t>
            </w:r>
          </w:p>
        </w:tc>
        <w:tc>
          <w:tcPr>
            <w:tcW w:w="663" w:type="dxa"/>
            <w:noWrap/>
            <w:hideMark/>
          </w:tcPr>
          <w:p w14:paraId="24BB739E"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2012</w:t>
            </w:r>
          </w:p>
        </w:tc>
        <w:tc>
          <w:tcPr>
            <w:tcW w:w="6634" w:type="dxa"/>
          </w:tcPr>
          <w:p w14:paraId="464F3A4E" w14:textId="77777777" w:rsidR="006F5885" w:rsidRPr="005D34E7" w:rsidRDefault="006F5885" w:rsidP="00D3594C">
            <w:pPr>
              <w:rPr>
                <w:rFonts w:ascii="Calibri" w:eastAsia="Times New Roman" w:hAnsi="Calibri" w:cs="Calibri"/>
                <w:color w:val="000000"/>
                <w:lang w:eastAsia="en-ZA"/>
              </w:rPr>
            </w:pPr>
            <w:r>
              <w:rPr>
                <w:rFonts w:ascii="Calibri" w:hAnsi="Calibri" w:cs="Calibri"/>
                <w:color w:val="000000"/>
              </w:rPr>
              <w:t xml:space="preserve">Disease experts, laboratory and field scientists, authorities on diagnostics, control </w:t>
            </w:r>
            <w:proofErr w:type="spellStart"/>
            <w:r>
              <w:rPr>
                <w:rFonts w:ascii="Calibri" w:hAnsi="Calibri" w:cs="Calibri"/>
                <w:color w:val="000000"/>
              </w:rPr>
              <w:t>programme</w:t>
            </w:r>
            <w:proofErr w:type="spellEnd"/>
            <w:r>
              <w:rPr>
                <w:rFonts w:ascii="Calibri" w:hAnsi="Calibri" w:cs="Calibri"/>
                <w:color w:val="000000"/>
              </w:rPr>
              <w:t xml:space="preserve"> managers, mathematical </w:t>
            </w:r>
            <w:proofErr w:type="spellStart"/>
            <w:r>
              <w:rPr>
                <w:rFonts w:ascii="Calibri" w:hAnsi="Calibri" w:cs="Calibri"/>
                <w:color w:val="000000"/>
              </w:rPr>
              <w:t>modellers</w:t>
            </w:r>
            <w:proofErr w:type="spellEnd"/>
            <w:r>
              <w:rPr>
                <w:rFonts w:ascii="Calibri" w:hAnsi="Calibri" w:cs="Calibri"/>
                <w:color w:val="000000"/>
              </w:rPr>
              <w:t>, and health economists.</w:t>
            </w:r>
          </w:p>
        </w:tc>
      </w:tr>
      <w:tr w:rsidR="006F5885" w:rsidRPr="005D34E7" w14:paraId="2270AA5E" w14:textId="77777777" w:rsidTr="003549EC">
        <w:trPr>
          <w:trHeight w:val="98"/>
        </w:trPr>
        <w:tc>
          <w:tcPr>
            <w:tcW w:w="2160" w:type="dxa"/>
            <w:noWrap/>
            <w:hideMark/>
          </w:tcPr>
          <w:p w14:paraId="1234FCDB" w14:textId="18604D90" w:rsidR="006F5885" w:rsidRPr="00FA1033" w:rsidRDefault="006F5885" w:rsidP="00D3594C">
            <w:pPr>
              <w:jc w:val="center"/>
              <w:rPr>
                <w:rFonts w:ascii="Calibri" w:eastAsia="Times New Roman" w:hAnsi="Calibri" w:cs="Calibri"/>
                <w:b/>
                <w:bCs/>
                <w:color w:val="000000"/>
                <w:lang w:eastAsia="en-ZA"/>
              </w:rPr>
            </w:pPr>
            <w:proofErr w:type="spellStart"/>
            <w:r w:rsidRPr="00FA1033">
              <w:rPr>
                <w:rFonts w:ascii="Calibri" w:eastAsia="Times New Roman" w:hAnsi="Calibri" w:cs="Calibri"/>
                <w:color w:val="000000"/>
                <w:lang w:eastAsia="en-ZA"/>
              </w:rPr>
              <w:t>Toskin</w:t>
            </w:r>
            <w:proofErr w:type="spellEnd"/>
            <w:r w:rsidRPr="00FA1033">
              <w:rPr>
                <w:rFonts w:ascii="Calibri" w:eastAsia="Times New Roman" w:hAnsi="Calibri" w:cs="Calibri"/>
                <w:color w:val="000000"/>
                <w:lang w:eastAsia="en-ZA"/>
              </w:rPr>
              <w:t xml:space="preserve"> </w:t>
            </w:r>
            <w:r w:rsidR="000620EA">
              <w:rPr>
                <w:rFonts w:ascii="Calibri" w:eastAsia="Times New Roman" w:hAnsi="Calibri" w:cs="Calibri"/>
                <w:color w:val="000000"/>
                <w:lang w:eastAsia="en-ZA"/>
              </w:rPr>
              <w:t>et al.</w:t>
            </w:r>
          </w:p>
        </w:tc>
        <w:tc>
          <w:tcPr>
            <w:tcW w:w="663" w:type="dxa"/>
            <w:noWrap/>
            <w:hideMark/>
          </w:tcPr>
          <w:p w14:paraId="15D514DC" w14:textId="77777777" w:rsidR="006F5885" w:rsidRPr="005D34E7" w:rsidRDefault="006F5885" w:rsidP="00D3594C">
            <w:pPr>
              <w:jc w:val="center"/>
              <w:rPr>
                <w:rFonts w:ascii="Calibri" w:eastAsia="Times New Roman" w:hAnsi="Calibri" w:cs="Calibri"/>
                <w:color w:val="000000"/>
                <w:lang w:eastAsia="en-ZA"/>
              </w:rPr>
            </w:pPr>
            <w:r w:rsidRPr="005D34E7">
              <w:rPr>
                <w:rFonts w:ascii="Calibri" w:eastAsia="Times New Roman" w:hAnsi="Calibri" w:cs="Calibri"/>
                <w:color w:val="000000"/>
                <w:lang w:eastAsia="en-ZA"/>
              </w:rPr>
              <w:t>2017</w:t>
            </w:r>
          </w:p>
        </w:tc>
        <w:tc>
          <w:tcPr>
            <w:tcW w:w="6634" w:type="dxa"/>
          </w:tcPr>
          <w:p w14:paraId="2A8DF159" w14:textId="77777777" w:rsidR="006F5885" w:rsidRPr="005D34E7" w:rsidRDefault="006F5885" w:rsidP="000620EA">
            <w:pPr>
              <w:keepNext/>
              <w:rPr>
                <w:rFonts w:ascii="Calibri" w:eastAsia="Times New Roman" w:hAnsi="Calibri" w:cs="Calibri"/>
                <w:color w:val="000000"/>
                <w:lang w:eastAsia="en-ZA"/>
              </w:rPr>
            </w:pPr>
            <w:r>
              <w:rPr>
                <w:rFonts w:ascii="Calibri" w:hAnsi="Calibri" w:cs="Calibri"/>
                <w:color w:val="000000"/>
              </w:rPr>
              <w:t>Representatives from the companies/developers of interest.</w:t>
            </w:r>
          </w:p>
        </w:tc>
      </w:tr>
    </w:tbl>
    <w:p w14:paraId="56191FF4" w14:textId="301791A4" w:rsidR="00984736" w:rsidRDefault="00984736" w:rsidP="00654ACD">
      <w:pPr>
        <w:pStyle w:val="Caption"/>
        <w:rPr>
          <w:i w:val="0"/>
        </w:rPr>
      </w:pPr>
    </w:p>
    <w:p w14:paraId="6E07DF78" w14:textId="77777777" w:rsidR="00984736" w:rsidRDefault="00984736" w:rsidP="00984736"/>
    <w:p w14:paraId="1EB44101" w14:textId="77777777" w:rsidR="00984736" w:rsidRDefault="00984736" w:rsidP="00984736"/>
    <w:p w14:paraId="3290A349" w14:textId="7A8956EA" w:rsidR="00E55EA3" w:rsidRDefault="00E55EA3" w:rsidP="00654ACD">
      <w:pPr>
        <w:sectPr w:rsidR="00E55EA3" w:rsidSect="00E15C53">
          <w:pgSz w:w="11906" w:h="16838"/>
          <w:pgMar w:top="1440" w:right="1080" w:bottom="1440" w:left="1440" w:header="708" w:footer="708" w:gutter="0"/>
          <w:cols w:space="708"/>
          <w:docGrid w:linePitch="360"/>
        </w:sectPr>
      </w:pPr>
    </w:p>
    <w:p w14:paraId="5B42902E" w14:textId="77777777" w:rsidR="0081193B" w:rsidRPr="0081193B" w:rsidRDefault="0081193B" w:rsidP="00523C16">
      <w:pPr>
        <w:pStyle w:val="Bibliography"/>
        <w:rPr>
          <w:color w:val="0070C0"/>
          <w:sz w:val="32"/>
          <w:szCs w:val="32"/>
        </w:rPr>
      </w:pPr>
      <w:r w:rsidRPr="0081193B">
        <w:rPr>
          <w:color w:val="0070C0"/>
          <w:sz w:val="32"/>
          <w:szCs w:val="32"/>
        </w:rPr>
        <w:lastRenderedPageBreak/>
        <w:t>References</w:t>
      </w:r>
    </w:p>
    <w:p w14:paraId="1D1D517D" w14:textId="77777777" w:rsidR="0081193B" w:rsidRDefault="0081193B" w:rsidP="00523C16">
      <w:pPr>
        <w:pStyle w:val="Bibliography"/>
      </w:pPr>
    </w:p>
    <w:p w14:paraId="7097ED2D" w14:textId="23A21C1D" w:rsidR="00523C16" w:rsidRPr="00523C16" w:rsidRDefault="00523C16" w:rsidP="00523C16">
      <w:pPr>
        <w:pStyle w:val="Bibliography"/>
        <w:rPr>
          <w:rFonts w:ascii="Calibri" w:hAnsi="Calibri" w:cs="Calibri"/>
        </w:rPr>
      </w:pPr>
      <w:r>
        <w:fldChar w:fldCharType="begin"/>
      </w:r>
      <w:r>
        <w:instrText xml:space="preserve"> ADDIN ZOTERO_BIBL {"uncited":[],"omitted":[],"custom":[]} CSL_BIBLIOGRAPHY </w:instrText>
      </w:r>
      <w:r>
        <w:fldChar w:fldCharType="separate"/>
      </w:r>
      <w:r w:rsidRPr="00523C16">
        <w:rPr>
          <w:rFonts w:ascii="Calibri" w:hAnsi="Calibri" w:cs="Calibri"/>
        </w:rPr>
        <w:t>1.</w:t>
      </w:r>
      <w:r w:rsidRPr="00523C16">
        <w:rPr>
          <w:rFonts w:ascii="Calibri" w:hAnsi="Calibri" w:cs="Calibri"/>
        </w:rPr>
        <w:tab/>
        <w:t xml:space="preserve">Adu-Gyamfi CG, Snyman T, Makhathini L, Otwombe K, Darboe F, Penn-Nicholson A, et al. Diagnostic accuracy of plasma kynurenine/tryptophan ratio, measured by enzyme-linked immunosorbent assay, for pulmonary tuberculosis. Int J Infect Dis. 2020 Oct 1;99:441–8. </w:t>
      </w:r>
    </w:p>
    <w:p w14:paraId="0F72C9C4" w14:textId="79E36458" w:rsidR="00523C16" w:rsidRPr="00B76B43" w:rsidRDefault="00523C16" w:rsidP="00523C16">
      <w:pPr>
        <w:pStyle w:val="Bibliography"/>
        <w:rPr>
          <w:rFonts w:ascii="Calibri" w:hAnsi="Calibri" w:cs="Calibri"/>
          <w:lang w:val="de-DE"/>
        </w:rPr>
      </w:pPr>
      <w:r w:rsidRPr="00523C16">
        <w:rPr>
          <w:rFonts w:ascii="Calibri" w:hAnsi="Calibri" w:cs="Calibri"/>
        </w:rPr>
        <w:t>2.</w:t>
      </w:r>
      <w:r w:rsidRPr="00523C16">
        <w:rPr>
          <w:rFonts w:ascii="Calibri" w:hAnsi="Calibri" w:cs="Calibri"/>
        </w:rPr>
        <w:tab/>
        <w:t xml:space="preserve">Adu-Gyamfi C, Savulescu D, Mikhathani L, Otwombe K, Salazar-Austin N, Chaisson R, et al. Plasma Kynurenine-to-Tryptophan Ratio, a Highly Sensitive Blood-Based Diagnostic Tool for Tuberculosis in Pregnant Women Living With Human Immunodeficiency Virus (HIV). </w:t>
      </w:r>
      <w:r w:rsidRPr="00B76B43">
        <w:rPr>
          <w:rFonts w:ascii="Calibri" w:hAnsi="Calibri" w:cs="Calibri"/>
          <w:lang w:val="de-DE"/>
        </w:rPr>
        <w:t xml:space="preserve">Clin Infect Dis. 2021 Sep 15;73(6):1027–36. </w:t>
      </w:r>
    </w:p>
    <w:p w14:paraId="41B325C4" w14:textId="238D8838" w:rsidR="00523C16" w:rsidRPr="00523C16" w:rsidRDefault="00523C16" w:rsidP="00523C16">
      <w:pPr>
        <w:pStyle w:val="Bibliography"/>
        <w:rPr>
          <w:rFonts w:ascii="Calibri" w:hAnsi="Calibri" w:cs="Calibri"/>
        </w:rPr>
      </w:pPr>
      <w:r w:rsidRPr="00B76B43">
        <w:rPr>
          <w:rFonts w:ascii="Calibri" w:hAnsi="Calibri" w:cs="Calibri"/>
          <w:lang w:val="de-DE"/>
        </w:rPr>
        <w:t>3.</w:t>
      </w:r>
      <w:r w:rsidRPr="00B76B43">
        <w:rPr>
          <w:rFonts w:ascii="Calibri" w:hAnsi="Calibri" w:cs="Calibri"/>
          <w:lang w:val="de-DE"/>
        </w:rPr>
        <w:tab/>
        <w:t xml:space="preserve">Ahmad R, Xie L, Pyle M, Suarez MF, Broger T, Steinberg D, et al. </w:t>
      </w:r>
      <w:r w:rsidRPr="00523C16">
        <w:rPr>
          <w:rFonts w:ascii="Calibri" w:hAnsi="Calibri" w:cs="Calibri"/>
        </w:rPr>
        <w:t xml:space="preserve">A rapid triage test for active pulmonary tuberculosis in adult patients with persistent cough. Sci Transl Med. 2019 Oct 23;11(515):eaaw8287. </w:t>
      </w:r>
    </w:p>
    <w:p w14:paraId="10BCA793" w14:textId="07AF96C0" w:rsidR="00523C16" w:rsidRPr="00523C16" w:rsidRDefault="00523C16" w:rsidP="00523C16">
      <w:pPr>
        <w:pStyle w:val="Bibliography"/>
        <w:rPr>
          <w:rFonts w:ascii="Calibri" w:hAnsi="Calibri" w:cs="Calibri"/>
        </w:rPr>
      </w:pPr>
      <w:r w:rsidRPr="00523C16">
        <w:rPr>
          <w:rFonts w:ascii="Calibri" w:hAnsi="Calibri" w:cs="Calibri"/>
        </w:rPr>
        <w:t>4.</w:t>
      </w:r>
      <w:r w:rsidRPr="00523C16">
        <w:rPr>
          <w:rFonts w:ascii="Calibri" w:hAnsi="Calibri" w:cs="Calibri"/>
        </w:rPr>
        <w:tab/>
        <w:t xml:space="preserve">Alonzo LF, Jain P, Hinkley T, Clute-Reinig N, Garing S, Spencer E, et al. Rapid, sensitive, and low-cost detection of Escherichia coli bacteria in contaminated water samples using a phage-based assay. Sci Rep. 2022 May 11;12(1):7741. </w:t>
      </w:r>
    </w:p>
    <w:p w14:paraId="30755DF0" w14:textId="76370562" w:rsidR="00523C16" w:rsidRPr="00523C16" w:rsidRDefault="00523C16" w:rsidP="00523C16">
      <w:pPr>
        <w:pStyle w:val="Bibliography"/>
        <w:rPr>
          <w:rFonts w:ascii="Calibri" w:hAnsi="Calibri" w:cs="Calibri"/>
        </w:rPr>
      </w:pPr>
      <w:r w:rsidRPr="00523C16">
        <w:rPr>
          <w:rFonts w:ascii="Calibri" w:hAnsi="Calibri" w:cs="Calibri"/>
        </w:rPr>
        <w:t>5.</w:t>
      </w:r>
      <w:r w:rsidRPr="00523C16">
        <w:rPr>
          <w:rFonts w:ascii="Calibri" w:hAnsi="Calibri" w:cs="Calibri"/>
        </w:rPr>
        <w:tab/>
        <w:t xml:space="preserve">Armistead JS, Morlais I, Mathias DK, Jardim JG, Joy J, Fridman A, et al. Antibodies to a Single, Conserved Epitope in Anopheles APN1 Inhibit Universal Transmission of Plasmodium falciparum and Plasmodium vivax Malaria. Infect Immun. 2014 Jan 22;82(2):818–29. </w:t>
      </w:r>
    </w:p>
    <w:p w14:paraId="21A1881F" w14:textId="77777777" w:rsidR="00523C16" w:rsidRPr="00523C16" w:rsidRDefault="00523C16" w:rsidP="00523C16">
      <w:pPr>
        <w:pStyle w:val="Bibliography"/>
        <w:rPr>
          <w:rFonts w:ascii="Calibri" w:hAnsi="Calibri" w:cs="Calibri"/>
        </w:rPr>
      </w:pPr>
      <w:r w:rsidRPr="00523C16">
        <w:rPr>
          <w:rFonts w:ascii="Calibri" w:hAnsi="Calibri" w:cs="Calibri"/>
        </w:rPr>
        <w:t>6.</w:t>
      </w:r>
      <w:r w:rsidRPr="00523C16">
        <w:rPr>
          <w:rFonts w:ascii="Calibri" w:hAnsi="Calibri" w:cs="Calibri"/>
        </w:rPr>
        <w:tab/>
        <w:t xml:space="preserve">Azimi T, Franzel L, Probst N. Seizing market shaping opportunities for vaccine cold chain equipment. Vaccine. 2017 Apr 19;35(17):2260–4. </w:t>
      </w:r>
    </w:p>
    <w:p w14:paraId="4CEFCF20" w14:textId="37D6854D" w:rsidR="00523C16" w:rsidRPr="00523C16" w:rsidRDefault="00523C16" w:rsidP="00523C16">
      <w:pPr>
        <w:pStyle w:val="Bibliography"/>
        <w:rPr>
          <w:rFonts w:ascii="Calibri" w:hAnsi="Calibri" w:cs="Calibri"/>
        </w:rPr>
      </w:pPr>
      <w:r w:rsidRPr="00523C16">
        <w:rPr>
          <w:rFonts w:ascii="Calibri" w:hAnsi="Calibri" w:cs="Calibri"/>
        </w:rPr>
        <w:t>7.</w:t>
      </w:r>
      <w:r w:rsidRPr="00523C16">
        <w:rPr>
          <w:rFonts w:ascii="Calibri" w:hAnsi="Calibri" w:cs="Calibri"/>
        </w:rPr>
        <w:tab/>
        <w:t xml:space="preserve">Bachman CM, Grant BD, Anderson CE, Alonzo LF, Garing S, Byrnes SA, et al. Clinical validation of an open-access SARS-COV-2 antigen detection lateral flow assay, compared to commercially available assays. PLOS ONE. 2021 Aug 17;16(8):e0256352. </w:t>
      </w:r>
    </w:p>
    <w:p w14:paraId="26E9CB81" w14:textId="77777777" w:rsidR="00523C16" w:rsidRPr="00523C16" w:rsidRDefault="00523C16" w:rsidP="00523C16">
      <w:pPr>
        <w:pStyle w:val="Bibliography"/>
        <w:rPr>
          <w:rFonts w:ascii="Calibri" w:hAnsi="Calibri" w:cs="Calibri"/>
        </w:rPr>
      </w:pPr>
      <w:r w:rsidRPr="00523C16">
        <w:rPr>
          <w:rFonts w:ascii="Calibri" w:hAnsi="Calibri" w:cs="Calibri"/>
        </w:rPr>
        <w:t>8.</w:t>
      </w:r>
      <w:r w:rsidRPr="00523C16">
        <w:rPr>
          <w:rFonts w:ascii="Calibri" w:hAnsi="Calibri" w:cs="Calibri"/>
        </w:rPr>
        <w:tab/>
        <w:t xml:space="preserve">Balaña-Fouce R, Pérez Pertejo MY, Domínguez-Asenjo B, Gutiérrez-Corbo C, Reguera RM. Walking a tightrope: drug discovery in visceral leishmaniasis. Drug Discov Today. 2019 May;24(5):1209–16. </w:t>
      </w:r>
    </w:p>
    <w:p w14:paraId="7230D546" w14:textId="77777777" w:rsidR="00523C16" w:rsidRPr="00B76B43" w:rsidRDefault="00523C16" w:rsidP="00523C16">
      <w:pPr>
        <w:pStyle w:val="Bibliography"/>
        <w:rPr>
          <w:rFonts w:ascii="Calibri" w:hAnsi="Calibri" w:cs="Calibri"/>
          <w:lang w:val="de-DE"/>
        </w:rPr>
      </w:pPr>
      <w:r w:rsidRPr="00523C16">
        <w:rPr>
          <w:rFonts w:ascii="Calibri" w:hAnsi="Calibri" w:cs="Calibri"/>
        </w:rPr>
        <w:t>9.</w:t>
      </w:r>
      <w:r w:rsidRPr="00523C16">
        <w:rPr>
          <w:rFonts w:ascii="Calibri" w:hAnsi="Calibri" w:cs="Calibri"/>
        </w:rPr>
        <w:tab/>
        <w:t xml:space="preserve">Bardon AR, Simoni JM, Layman LM, Stekler JD, Drain PK. Perspectives on the utility and interest in a point-of-care urine tenofovir test for adherence to HIV pre-exposure prophylaxis and antiretroviral therapy: an exploratory qualitative assessment among U.S. clients and providers. </w:t>
      </w:r>
      <w:r w:rsidRPr="00B76B43">
        <w:rPr>
          <w:rFonts w:ascii="Calibri" w:hAnsi="Calibri" w:cs="Calibri"/>
          <w:lang w:val="de-DE"/>
        </w:rPr>
        <w:t xml:space="preserve">AIDS Res Ther. 2020 Aug 6;17(1):50. </w:t>
      </w:r>
    </w:p>
    <w:p w14:paraId="5672CE39" w14:textId="3BC4A8D3" w:rsidR="00523C16" w:rsidRPr="00523C16" w:rsidRDefault="00523C16" w:rsidP="00523C16">
      <w:pPr>
        <w:pStyle w:val="Bibliography"/>
        <w:rPr>
          <w:rFonts w:ascii="Calibri" w:hAnsi="Calibri" w:cs="Calibri"/>
          <w:lang w:val="it-IT"/>
        </w:rPr>
      </w:pPr>
      <w:r w:rsidRPr="00B76B43">
        <w:rPr>
          <w:rFonts w:ascii="Calibri" w:hAnsi="Calibri" w:cs="Calibri"/>
          <w:lang w:val="de-DE"/>
        </w:rPr>
        <w:t>10.</w:t>
      </w:r>
      <w:r w:rsidRPr="00B76B43">
        <w:rPr>
          <w:rFonts w:ascii="Calibri" w:hAnsi="Calibri" w:cs="Calibri"/>
          <w:lang w:val="de-DE"/>
        </w:rPr>
        <w:tab/>
        <w:t xml:space="preserve">Bartsch SM, Hotez PJ, Hertenstein DL, Diemert DJ, Zapf KM, Bottazzi ME, et al. </w:t>
      </w:r>
      <w:r w:rsidRPr="00523C16">
        <w:rPr>
          <w:rFonts w:ascii="Calibri" w:hAnsi="Calibri" w:cs="Calibri"/>
        </w:rPr>
        <w:t xml:space="preserve">Modeling the economic and epidemiologic impact of hookworm vaccine and mass drug administration (MDA) in Brazil, a high transmission setting. </w:t>
      </w:r>
      <w:r w:rsidRPr="00523C16">
        <w:rPr>
          <w:rFonts w:ascii="Calibri" w:hAnsi="Calibri" w:cs="Calibri"/>
          <w:lang w:val="it-IT"/>
        </w:rPr>
        <w:t xml:space="preserve">Vaccine. 2016 Apr 27;34(19):2197–206. </w:t>
      </w:r>
    </w:p>
    <w:p w14:paraId="0D5E3AD9" w14:textId="028D75EE" w:rsidR="00523C16" w:rsidRPr="00523C16" w:rsidRDefault="00523C16" w:rsidP="00523C16">
      <w:pPr>
        <w:pStyle w:val="Bibliography"/>
        <w:rPr>
          <w:rFonts w:ascii="Calibri" w:hAnsi="Calibri" w:cs="Calibri"/>
          <w:lang w:val="it-IT"/>
        </w:rPr>
      </w:pPr>
      <w:r w:rsidRPr="00523C16">
        <w:rPr>
          <w:rFonts w:ascii="Calibri" w:hAnsi="Calibri" w:cs="Calibri"/>
          <w:lang w:val="it-IT"/>
        </w:rPr>
        <w:t>11.</w:t>
      </w:r>
      <w:r w:rsidRPr="00523C16">
        <w:rPr>
          <w:rFonts w:ascii="Calibri" w:hAnsi="Calibri" w:cs="Calibri"/>
          <w:lang w:val="it-IT"/>
        </w:rPr>
        <w:tab/>
        <w:t xml:space="preserve">Basilico N, Parapini S, Sparatore A, Romeo S, Misiano P, Vivas L, et al. In Vivo and In Vitro Activities and ADME-Tox Profile of a Quinolizidine-Modified 4-Aminoquinoline: A Potent Anti-P. falciparum and Anti-P. vivax Blood-Stage Antimalarial. Mol Basel Switz. 2017 Dec 1;22(12):2102. </w:t>
      </w:r>
    </w:p>
    <w:p w14:paraId="73045E03" w14:textId="07F1E5AF" w:rsidR="00523C16" w:rsidRPr="00523C16" w:rsidRDefault="00523C16" w:rsidP="00523C16">
      <w:pPr>
        <w:pStyle w:val="Bibliography"/>
        <w:rPr>
          <w:rFonts w:ascii="Calibri" w:hAnsi="Calibri" w:cs="Calibri"/>
        </w:rPr>
      </w:pPr>
      <w:r w:rsidRPr="00523C16">
        <w:rPr>
          <w:rFonts w:ascii="Calibri" w:hAnsi="Calibri" w:cs="Calibri"/>
          <w:lang w:val="it-IT"/>
        </w:rPr>
        <w:t>12.</w:t>
      </w:r>
      <w:r w:rsidRPr="00523C16">
        <w:rPr>
          <w:rFonts w:ascii="Calibri" w:hAnsi="Calibri" w:cs="Calibri"/>
          <w:lang w:val="it-IT"/>
        </w:rPr>
        <w:tab/>
        <w:t xml:space="preserve">Bayaa R, Ndiaye MDB, Chedid C, Kokhreidze E, Tukvadze N, Banu S, et al. </w:t>
      </w:r>
      <w:r w:rsidRPr="00523C16">
        <w:rPr>
          <w:rFonts w:ascii="Calibri" w:hAnsi="Calibri" w:cs="Calibri"/>
        </w:rPr>
        <w:t xml:space="preserve">Multi-country evaluation of RISK6, a 6-gene blood transcriptomic signature, for tuberculosis diagnosis and treatment monitoring. Sci Rep. 2021 Jul 1;11(1):13646. </w:t>
      </w:r>
    </w:p>
    <w:p w14:paraId="0997885D" w14:textId="77777777" w:rsidR="00523C16" w:rsidRPr="00523C16" w:rsidRDefault="00523C16" w:rsidP="00523C16">
      <w:pPr>
        <w:pStyle w:val="Bibliography"/>
        <w:rPr>
          <w:rFonts w:ascii="Calibri" w:hAnsi="Calibri" w:cs="Calibri"/>
        </w:rPr>
      </w:pPr>
      <w:r w:rsidRPr="00523C16">
        <w:rPr>
          <w:rFonts w:ascii="Calibri" w:hAnsi="Calibri" w:cs="Calibri"/>
        </w:rPr>
        <w:t>13.</w:t>
      </w:r>
      <w:r w:rsidRPr="00523C16">
        <w:rPr>
          <w:rFonts w:ascii="Calibri" w:hAnsi="Calibri" w:cs="Calibri"/>
        </w:rPr>
        <w:tab/>
        <w:t xml:space="preserve">Beck A, Liu H. Macro- and Micro-Heterogeneity of Natural and Recombinant IgG Antibodies. Antibodies. 2019 Mar;8(1):18. </w:t>
      </w:r>
    </w:p>
    <w:p w14:paraId="15570139" w14:textId="77777777" w:rsidR="00523C16" w:rsidRPr="00523C16" w:rsidRDefault="00523C16" w:rsidP="00523C16">
      <w:pPr>
        <w:pStyle w:val="Bibliography"/>
        <w:rPr>
          <w:rFonts w:ascii="Calibri" w:hAnsi="Calibri" w:cs="Calibri"/>
        </w:rPr>
      </w:pPr>
      <w:r w:rsidRPr="00523C16">
        <w:rPr>
          <w:rFonts w:ascii="Calibri" w:hAnsi="Calibri" w:cs="Calibri"/>
        </w:rPr>
        <w:lastRenderedPageBreak/>
        <w:t>14.</w:t>
      </w:r>
      <w:r w:rsidRPr="00523C16">
        <w:rPr>
          <w:rFonts w:ascii="Calibri" w:hAnsi="Calibri" w:cs="Calibri"/>
        </w:rPr>
        <w:tab/>
        <w:t xml:space="preserve">Hong-Geller E, Micheva-Viteva S, Benjamin B, Kanta Barman T, Chaira T, K. Paliwal J. Integration of Physicochemical and Pharmacokinetic Parameters in Lead Optimization: A Physiological Pharmacokinetic Model Based Approach. Curr Drug Discov Technol. 2010 Sep 1;7(3):143–53. </w:t>
      </w:r>
    </w:p>
    <w:p w14:paraId="45D6AC57" w14:textId="77777777" w:rsidR="00523C16" w:rsidRPr="00B76B43" w:rsidRDefault="00523C16" w:rsidP="00523C16">
      <w:pPr>
        <w:pStyle w:val="Bibliography"/>
        <w:rPr>
          <w:rFonts w:ascii="Calibri" w:hAnsi="Calibri" w:cs="Calibri"/>
          <w:lang w:val="it-IT"/>
        </w:rPr>
      </w:pPr>
      <w:r w:rsidRPr="00523C16">
        <w:rPr>
          <w:rFonts w:ascii="Calibri" w:hAnsi="Calibri" w:cs="Calibri"/>
        </w:rPr>
        <w:t>15.</w:t>
      </w:r>
      <w:r w:rsidRPr="00523C16">
        <w:rPr>
          <w:rFonts w:ascii="Calibri" w:hAnsi="Calibri" w:cs="Calibri"/>
        </w:rPr>
        <w:tab/>
        <w:t xml:space="preserve">Bhargav E, Reddy YP, Koteshwara KB. Development and Optimization of Luliconazole Nanostructured Lipid Carriers Based Gel by Quality by Design its Skin Distribution Studies, Dermatokinetic Modeling &amp; In-Vitro and Ex-Vivo Correlation. </w:t>
      </w:r>
      <w:r w:rsidRPr="00B76B43">
        <w:rPr>
          <w:rFonts w:ascii="Calibri" w:hAnsi="Calibri" w:cs="Calibri"/>
          <w:lang w:val="it-IT"/>
        </w:rPr>
        <w:t xml:space="preserve">Curr Drug Deliv. 2021 Aug;18(7):1041–53. </w:t>
      </w:r>
    </w:p>
    <w:p w14:paraId="579E6E21" w14:textId="66052338" w:rsidR="00523C16" w:rsidRPr="00523C16" w:rsidRDefault="00523C16" w:rsidP="00523C16">
      <w:pPr>
        <w:pStyle w:val="Bibliography"/>
        <w:rPr>
          <w:rFonts w:ascii="Calibri" w:hAnsi="Calibri" w:cs="Calibri"/>
        </w:rPr>
      </w:pPr>
      <w:r w:rsidRPr="00B76B43">
        <w:rPr>
          <w:rFonts w:ascii="Calibri" w:hAnsi="Calibri" w:cs="Calibri"/>
          <w:lang w:val="it-IT"/>
        </w:rPr>
        <w:t>16.</w:t>
      </w:r>
      <w:r w:rsidRPr="00B76B43">
        <w:rPr>
          <w:rFonts w:ascii="Calibri" w:hAnsi="Calibri" w:cs="Calibri"/>
          <w:lang w:val="it-IT"/>
        </w:rPr>
        <w:tab/>
        <w:t xml:space="preserve">Biagini GA, Fisher N, Shone AE, Mubaraki MA, Srivastava A, Hill A, et al. </w:t>
      </w:r>
      <w:r w:rsidRPr="00523C16">
        <w:rPr>
          <w:rFonts w:ascii="Calibri" w:hAnsi="Calibri" w:cs="Calibri"/>
        </w:rPr>
        <w:t xml:space="preserve">Generation of quinolone antimalarials targeting the </w:t>
      </w:r>
      <w:r w:rsidRPr="00523C16">
        <w:rPr>
          <w:rFonts w:ascii="Calibri" w:hAnsi="Calibri" w:cs="Calibri"/>
          <w:i/>
          <w:iCs/>
        </w:rPr>
        <w:t>Plasmodium falciparum</w:t>
      </w:r>
      <w:r w:rsidRPr="00523C16">
        <w:rPr>
          <w:rFonts w:ascii="Calibri" w:hAnsi="Calibri" w:cs="Calibri"/>
        </w:rPr>
        <w:t xml:space="preserve"> mitochondrial respiratory chain for the treatment and prophylaxis of malaria. Proc Natl Acad Sci. 2012 May 22;109(21):8298–303. </w:t>
      </w:r>
    </w:p>
    <w:p w14:paraId="73F3D0BC" w14:textId="6E251876" w:rsidR="00523C16" w:rsidRPr="00523C16" w:rsidRDefault="00523C16" w:rsidP="00523C16">
      <w:pPr>
        <w:pStyle w:val="Bibliography"/>
        <w:rPr>
          <w:rFonts w:ascii="Calibri" w:hAnsi="Calibri" w:cs="Calibri"/>
        </w:rPr>
      </w:pPr>
      <w:r w:rsidRPr="00523C16">
        <w:rPr>
          <w:rFonts w:ascii="Calibri" w:hAnsi="Calibri" w:cs="Calibri"/>
        </w:rPr>
        <w:t>17.</w:t>
      </w:r>
      <w:r w:rsidRPr="00523C16">
        <w:rPr>
          <w:rFonts w:ascii="Calibri" w:hAnsi="Calibri" w:cs="Calibri"/>
        </w:rPr>
        <w:tab/>
        <w:t xml:space="preserve">Biter AB, Weltje S, Hudspeth EM, Seid CA, McAtee CP, Chen WH, et al. Characterization and Stability of Trypanosoma cruzi 24-C4 (Tc24-C4), a Candidate Antigen for a Therapeutic Vaccine Against Chagas Disease. J Pharm Sci. 2018 May;107(5):1468–73. </w:t>
      </w:r>
    </w:p>
    <w:p w14:paraId="6B9BB9F3" w14:textId="77777777" w:rsidR="00523C16" w:rsidRPr="00523C16" w:rsidRDefault="00523C16" w:rsidP="00523C16">
      <w:pPr>
        <w:pStyle w:val="Bibliography"/>
        <w:rPr>
          <w:rFonts w:ascii="Calibri" w:hAnsi="Calibri" w:cs="Calibri"/>
        </w:rPr>
      </w:pPr>
      <w:r w:rsidRPr="00523C16">
        <w:rPr>
          <w:rFonts w:ascii="Calibri" w:hAnsi="Calibri" w:cs="Calibri"/>
        </w:rPr>
        <w:t>18.</w:t>
      </w:r>
      <w:r w:rsidRPr="00523C16">
        <w:rPr>
          <w:rFonts w:ascii="Calibri" w:hAnsi="Calibri" w:cs="Calibri"/>
        </w:rPr>
        <w:tab/>
        <w:t xml:space="preserve">Bolla PK, Clark BA, Juluri A, Cheruvu HS, Renukuntla J. Evaluation of Formulation Parameters on Permeation of Ibuprofen from Topical Formulations Using Strat-M® Membrane. Pharmaceutics. 2020 Feb 13;12(2):151. </w:t>
      </w:r>
    </w:p>
    <w:p w14:paraId="503990A5" w14:textId="77777777" w:rsidR="00523C16" w:rsidRPr="00523C16" w:rsidRDefault="00523C16" w:rsidP="00523C16">
      <w:pPr>
        <w:pStyle w:val="Bibliography"/>
        <w:rPr>
          <w:rFonts w:ascii="Calibri" w:hAnsi="Calibri" w:cs="Calibri"/>
        </w:rPr>
      </w:pPr>
      <w:r w:rsidRPr="00523C16">
        <w:rPr>
          <w:rFonts w:ascii="Calibri" w:hAnsi="Calibri" w:cs="Calibri"/>
        </w:rPr>
        <w:t>19.</w:t>
      </w:r>
      <w:r w:rsidRPr="00523C16">
        <w:rPr>
          <w:rFonts w:ascii="Calibri" w:hAnsi="Calibri" w:cs="Calibri"/>
        </w:rPr>
        <w:tab/>
        <w:t xml:space="preserve">Bolton GR, Boesch AW, Basha J, LaCasse DP, Kelley BD, Acharya H. Effect of protein and solution properties on the donnan effect during the ultrafiltration of proteins. Biotechnol Prog. 2011 Jan;27(1):140–52. </w:t>
      </w:r>
    </w:p>
    <w:p w14:paraId="4B6EDD09" w14:textId="77777777" w:rsidR="00523C16" w:rsidRPr="00523C16" w:rsidRDefault="00523C16" w:rsidP="00523C16">
      <w:pPr>
        <w:pStyle w:val="Bibliography"/>
        <w:rPr>
          <w:rFonts w:ascii="Calibri" w:hAnsi="Calibri" w:cs="Calibri"/>
        </w:rPr>
      </w:pPr>
      <w:r w:rsidRPr="00523C16">
        <w:rPr>
          <w:rFonts w:ascii="Calibri" w:hAnsi="Calibri" w:cs="Calibri"/>
        </w:rPr>
        <w:t>20.</w:t>
      </w:r>
      <w:r w:rsidRPr="00523C16">
        <w:rPr>
          <w:rFonts w:ascii="Calibri" w:hAnsi="Calibri" w:cs="Calibri"/>
        </w:rPr>
        <w:tab/>
        <w:t xml:space="preserve">Borges Sebastião I, Bhatnagar B, Tchessalov S. A Kinetic Model for Spray-Freezing of Pharmaceuticals. J Pharm Sci. 2021 May;110(5):2047–62. </w:t>
      </w:r>
    </w:p>
    <w:p w14:paraId="77228CF7" w14:textId="77777777" w:rsidR="00523C16" w:rsidRPr="00523C16" w:rsidRDefault="00523C16" w:rsidP="00523C16">
      <w:pPr>
        <w:pStyle w:val="Bibliography"/>
        <w:rPr>
          <w:rFonts w:ascii="Calibri" w:hAnsi="Calibri" w:cs="Calibri"/>
        </w:rPr>
      </w:pPr>
      <w:r w:rsidRPr="00523C16">
        <w:rPr>
          <w:rFonts w:ascii="Calibri" w:hAnsi="Calibri" w:cs="Calibri"/>
        </w:rPr>
        <w:t>21.</w:t>
      </w:r>
      <w:r w:rsidRPr="00523C16">
        <w:rPr>
          <w:rFonts w:ascii="Calibri" w:hAnsi="Calibri" w:cs="Calibri"/>
        </w:rPr>
        <w:tab/>
        <w:t xml:space="preserve">Breder CD, Du W, Tyndall A. What’s the Regulatory Value of a Target Product Profile? Trends Biotechnol. 2017 Jul;35(7):576–9. </w:t>
      </w:r>
    </w:p>
    <w:p w14:paraId="0386D2C0" w14:textId="202864D3" w:rsidR="00523C16" w:rsidRPr="00523C16" w:rsidRDefault="00523C16" w:rsidP="00523C16">
      <w:pPr>
        <w:pStyle w:val="Bibliography"/>
        <w:rPr>
          <w:rFonts w:ascii="Calibri" w:hAnsi="Calibri" w:cs="Calibri"/>
        </w:rPr>
      </w:pPr>
      <w:r w:rsidRPr="00523C16">
        <w:rPr>
          <w:rFonts w:ascii="Calibri" w:hAnsi="Calibri" w:cs="Calibri"/>
        </w:rPr>
        <w:t>22.</w:t>
      </w:r>
      <w:r w:rsidRPr="00523C16">
        <w:rPr>
          <w:rFonts w:ascii="Calibri" w:hAnsi="Calibri" w:cs="Calibri"/>
        </w:rPr>
        <w:tab/>
        <w:t xml:space="preserve">Broger T, Basu Roy R, Filomena A, Greef CH, Rimmele S, Havumaki J, et al. Diagnostic Performance of Tuberculosis-Specific IgG Antibody Profiles in Patients with Presumptive Tuberculosis from Two Continents. Clin Infect Dis. 2017 Apr 1;64(7):947–55. </w:t>
      </w:r>
    </w:p>
    <w:p w14:paraId="664FBC55" w14:textId="77777777" w:rsidR="00523C16" w:rsidRPr="00523C16" w:rsidRDefault="00523C16" w:rsidP="00523C16">
      <w:pPr>
        <w:pStyle w:val="Bibliography"/>
        <w:rPr>
          <w:rFonts w:ascii="Calibri" w:hAnsi="Calibri" w:cs="Calibri"/>
        </w:rPr>
      </w:pPr>
      <w:r w:rsidRPr="00523C16">
        <w:rPr>
          <w:rFonts w:ascii="Calibri" w:hAnsi="Calibri" w:cs="Calibri"/>
        </w:rPr>
        <w:t>23.</w:t>
      </w:r>
      <w:r w:rsidRPr="00523C16">
        <w:rPr>
          <w:rFonts w:ascii="Calibri" w:hAnsi="Calibri" w:cs="Calibri"/>
        </w:rPr>
        <w:tab/>
        <w:t xml:space="preserve">Brussee JM, Neodo A, Schulz JD, Coulibaly JT, Pfister M, Keiser J. Pharmacometric Analysis of Tribendimidine Monotherapy and Combination Therapies To Achieve High Cure Rates in Patients with Hookworm Infections. Antimicrob Agents Chemother. 2021 Jan 20;65(2):e00714-20. </w:t>
      </w:r>
    </w:p>
    <w:p w14:paraId="1BF8E5A5" w14:textId="77777777" w:rsidR="00523C16" w:rsidRPr="00523C16" w:rsidRDefault="00523C16" w:rsidP="00523C16">
      <w:pPr>
        <w:pStyle w:val="Bibliography"/>
        <w:rPr>
          <w:rFonts w:ascii="Calibri" w:hAnsi="Calibri" w:cs="Calibri"/>
        </w:rPr>
      </w:pPr>
      <w:r w:rsidRPr="00523C16">
        <w:rPr>
          <w:rFonts w:ascii="Calibri" w:hAnsi="Calibri" w:cs="Calibri"/>
        </w:rPr>
        <w:t>24.</w:t>
      </w:r>
      <w:r w:rsidRPr="00523C16">
        <w:rPr>
          <w:rFonts w:ascii="Calibri" w:hAnsi="Calibri" w:cs="Calibri"/>
        </w:rPr>
        <w:tab/>
        <w:t xml:space="preserve">Buckner FS, Navabi N. Advances in Chagas disease drug development: 2009–2010: Curr Opin Infect Dis. 2010 Dec;23(6):609–16. </w:t>
      </w:r>
    </w:p>
    <w:p w14:paraId="368E9979" w14:textId="48B0B32A" w:rsidR="00523C16" w:rsidRPr="00523C16" w:rsidRDefault="00523C16" w:rsidP="00523C16">
      <w:pPr>
        <w:pStyle w:val="Bibliography"/>
        <w:rPr>
          <w:rFonts w:ascii="Calibri" w:hAnsi="Calibri" w:cs="Calibri"/>
        </w:rPr>
      </w:pPr>
      <w:r w:rsidRPr="00523C16">
        <w:rPr>
          <w:rFonts w:ascii="Calibri" w:hAnsi="Calibri" w:cs="Calibri"/>
        </w:rPr>
        <w:t>25.</w:t>
      </w:r>
      <w:r w:rsidRPr="00523C16">
        <w:rPr>
          <w:rFonts w:ascii="Calibri" w:hAnsi="Calibri" w:cs="Calibri"/>
        </w:rPr>
        <w:tab/>
        <w:t xml:space="preserve">Burrows JN, Duparc S, Gutteridge WE, Hooft Van Huijsduijnen R, Kaszubska W, Macintyre F, et al. New developments in anti-malarial target candidate and product profiles. Malar J. 2017 Dec;16(1):26. </w:t>
      </w:r>
    </w:p>
    <w:p w14:paraId="17A28915" w14:textId="77777777" w:rsidR="00523C16" w:rsidRPr="00523C16" w:rsidRDefault="00523C16" w:rsidP="00523C16">
      <w:pPr>
        <w:pStyle w:val="Bibliography"/>
        <w:rPr>
          <w:rFonts w:ascii="Calibri" w:hAnsi="Calibri" w:cs="Calibri"/>
        </w:rPr>
      </w:pPr>
      <w:r w:rsidRPr="00523C16">
        <w:rPr>
          <w:rFonts w:ascii="Calibri" w:hAnsi="Calibri" w:cs="Calibri"/>
        </w:rPr>
        <w:t>26.</w:t>
      </w:r>
      <w:r w:rsidRPr="00523C16">
        <w:rPr>
          <w:rFonts w:ascii="Calibri" w:hAnsi="Calibri" w:cs="Calibri"/>
        </w:rPr>
        <w:tab/>
        <w:t xml:space="preserve">Callahan RL, Mehta NJ, Nanda K, Kopf GS. The new contraceptive revolution: developing innovative products outside of industry†,‡. Biol Reprod. 2020 Aug 4;103(2):157–66. </w:t>
      </w:r>
    </w:p>
    <w:p w14:paraId="5171A11A" w14:textId="3DD63B28" w:rsidR="00523C16" w:rsidRPr="00523C16" w:rsidRDefault="00523C16" w:rsidP="00523C16">
      <w:pPr>
        <w:pStyle w:val="Bibliography"/>
        <w:rPr>
          <w:rFonts w:ascii="Calibri" w:hAnsi="Calibri" w:cs="Calibri"/>
        </w:rPr>
      </w:pPr>
      <w:r w:rsidRPr="00523C16">
        <w:rPr>
          <w:rFonts w:ascii="Calibri" w:hAnsi="Calibri" w:cs="Calibri"/>
        </w:rPr>
        <w:t>27.</w:t>
      </w:r>
      <w:r w:rsidRPr="00523C16">
        <w:rPr>
          <w:rFonts w:ascii="Calibri" w:hAnsi="Calibri" w:cs="Calibri"/>
        </w:rPr>
        <w:tab/>
        <w:t xml:space="preserve">Calvet CM, Choi JY, Thomas D, Suzuki B, Hirata K, Lostracco-Johnson S, et al. 4-aminopyridyl-based lead compounds targeting CYP51 prevent spontaneous parasite relapse in a chronic model and improve cardiac pathology in an acute model of Trypanosoma cruzi infection. Almeida IC, editor. PLoS Negl Trop Dis. 2017 Dec 27;11(12):e0006132. </w:t>
      </w:r>
    </w:p>
    <w:p w14:paraId="0F3E3E50" w14:textId="77777777" w:rsidR="00523C16" w:rsidRPr="00523C16" w:rsidRDefault="00523C16" w:rsidP="00523C16">
      <w:pPr>
        <w:pStyle w:val="Bibliography"/>
        <w:rPr>
          <w:rFonts w:ascii="Calibri" w:hAnsi="Calibri" w:cs="Calibri"/>
        </w:rPr>
      </w:pPr>
      <w:r w:rsidRPr="00523C16">
        <w:rPr>
          <w:rFonts w:ascii="Calibri" w:hAnsi="Calibri" w:cs="Calibri"/>
        </w:rPr>
        <w:t>28.</w:t>
      </w:r>
      <w:r w:rsidRPr="00523C16">
        <w:rPr>
          <w:rFonts w:ascii="Calibri" w:hAnsi="Calibri" w:cs="Calibri"/>
        </w:rPr>
        <w:tab/>
        <w:t xml:space="preserve">Campbell C. FDA 2011 Process Validation Guidance: Lifecycle Compliance Model. PDA J Pharm Sci Technol. 2014 Mar 1;68(2):185–91. </w:t>
      </w:r>
    </w:p>
    <w:p w14:paraId="61E92AB3" w14:textId="77777777" w:rsidR="00523C16" w:rsidRPr="00523C16" w:rsidRDefault="00523C16" w:rsidP="00523C16">
      <w:pPr>
        <w:pStyle w:val="Bibliography"/>
        <w:rPr>
          <w:rFonts w:ascii="Calibri" w:hAnsi="Calibri" w:cs="Calibri"/>
        </w:rPr>
      </w:pPr>
      <w:r w:rsidRPr="00523C16">
        <w:rPr>
          <w:rFonts w:ascii="Calibri" w:hAnsi="Calibri" w:cs="Calibri"/>
        </w:rPr>
        <w:lastRenderedPageBreak/>
        <w:t>29.</w:t>
      </w:r>
      <w:r w:rsidRPr="00523C16">
        <w:rPr>
          <w:rFonts w:ascii="Calibri" w:hAnsi="Calibri" w:cs="Calibri"/>
        </w:rPr>
        <w:tab/>
        <w:t xml:space="preserve">Campbell GA, Vallejo E. Primary Packaging Considerations in Developing Medicines for Children: Oral Liquid and Powder for Constitution. J Pharm Sci. 2015 Jan;104(1):52–62. </w:t>
      </w:r>
    </w:p>
    <w:p w14:paraId="4917F23D" w14:textId="77777777" w:rsidR="00523C16" w:rsidRPr="00523C16" w:rsidRDefault="00523C16" w:rsidP="00523C16">
      <w:pPr>
        <w:pStyle w:val="Bibliography"/>
        <w:rPr>
          <w:rFonts w:ascii="Calibri" w:hAnsi="Calibri" w:cs="Calibri"/>
        </w:rPr>
      </w:pPr>
      <w:r w:rsidRPr="00523C16">
        <w:rPr>
          <w:rFonts w:ascii="Calibri" w:hAnsi="Calibri" w:cs="Calibri"/>
        </w:rPr>
        <w:t>30.</w:t>
      </w:r>
      <w:r w:rsidRPr="00523C16">
        <w:rPr>
          <w:rFonts w:ascii="Calibri" w:hAnsi="Calibri" w:cs="Calibri"/>
        </w:rPr>
        <w:tab/>
        <w:t xml:space="preserve">Charoo NA, Ali AA. Quality risk management in pharmaceutical development. Drug Dev Ind Pharm. 2013 Jul;39(7):947–60. </w:t>
      </w:r>
    </w:p>
    <w:p w14:paraId="36B4E680" w14:textId="5EA852C2" w:rsidR="00523C16" w:rsidRPr="00523C16" w:rsidRDefault="00523C16" w:rsidP="00523C16">
      <w:pPr>
        <w:pStyle w:val="Bibliography"/>
        <w:rPr>
          <w:rFonts w:ascii="Calibri" w:hAnsi="Calibri" w:cs="Calibri"/>
        </w:rPr>
      </w:pPr>
      <w:r w:rsidRPr="00523C16">
        <w:rPr>
          <w:rFonts w:ascii="Calibri" w:hAnsi="Calibri" w:cs="Calibri"/>
        </w:rPr>
        <w:t>31.</w:t>
      </w:r>
      <w:r w:rsidRPr="00523C16">
        <w:rPr>
          <w:rFonts w:ascii="Calibri" w:hAnsi="Calibri" w:cs="Calibri"/>
        </w:rPr>
        <w:tab/>
        <w:t xml:space="preserve">Chavez PF, Lebrun P, Sacré PY, De Bleye C, Netchacovitch L, Cuypers S, et al. Optimization of a pharmaceutical tablet formulation based on a design space approach and using vibrational spectroscopy as PAT tool. Int J Pharm. 2015 May;486(1–2):13–20. </w:t>
      </w:r>
    </w:p>
    <w:p w14:paraId="54FB9C42" w14:textId="77777777" w:rsidR="00523C16" w:rsidRPr="00523C16" w:rsidRDefault="00523C16" w:rsidP="00523C16">
      <w:pPr>
        <w:pStyle w:val="Bibliography"/>
        <w:rPr>
          <w:rFonts w:ascii="Calibri" w:hAnsi="Calibri" w:cs="Calibri"/>
        </w:rPr>
      </w:pPr>
      <w:r w:rsidRPr="00523C16">
        <w:rPr>
          <w:rFonts w:ascii="Calibri" w:hAnsi="Calibri" w:cs="Calibri"/>
        </w:rPr>
        <w:t>32.</w:t>
      </w:r>
      <w:r w:rsidRPr="00523C16">
        <w:rPr>
          <w:rFonts w:ascii="Calibri" w:hAnsi="Calibri" w:cs="Calibri"/>
        </w:rPr>
        <w:tab/>
        <w:t xml:space="preserve">Chen WH, Strych U, Hotez PJ, Bottazzi ME. The SARS-CoV-2 Vaccine Pipeline: an Overview. Curr Trop Med Rep. 2020 Jun;7(2):61–4. </w:t>
      </w:r>
    </w:p>
    <w:p w14:paraId="53A66F0F" w14:textId="77777777" w:rsidR="00523C16" w:rsidRPr="00523C16" w:rsidRDefault="00523C16" w:rsidP="00523C16">
      <w:pPr>
        <w:pStyle w:val="Bibliography"/>
        <w:rPr>
          <w:rFonts w:ascii="Calibri" w:hAnsi="Calibri" w:cs="Calibri"/>
        </w:rPr>
      </w:pPr>
      <w:r w:rsidRPr="00523C16">
        <w:rPr>
          <w:rFonts w:ascii="Calibri" w:hAnsi="Calibri" w:cs="Calibri"/>
        </w:rPr>
        <w:t>33.</w:t>
      </w:r>
      <w:r w:rsidRPr="00523C16">
        <w:rPr>
          <w:rFonts w:ascii="Calibri" w:hAnsi="Calibri" w:cs="Calibri"/>
        </w:rPr>
        <w:tab/>
        <w:t xml:space="preserve">Chirmule N, Khare R, Khandekar A, Jawa V. Failure Mode and Effects Analysis (FMEA) for Immunogenicity of Therapeutic Proteins. J Pharm Sci. 2020 Oct;109(10):3214–22. </w:t>
      </w:r>
    </w:p>
    <w:p w14:paraId="32FF7F8C" w14:textId="77777777" w:rsidR="00523C16" w:rsidRPr="00523C16" w:rsidRDefault="00523C16" w:rsidP="00523C16">
      <w:pPr>
        <w:pStyle w:val="Bibliography"/>
        <w:rPr>
          <w:rFonts w:ascii="Calibri" w:hAnsi="Calibri" w:cs="Calibri"/>
        </w:rPr>
      </w:pPr>
      <w:r w:rsidRPr="00523C16">
        <w:rPr>
          <w:rFonts w:ascii="Calibri" w:hAnsi="Calibri" w:cs="Calibri"/>
        </w:rPr>
        <w:t>34.</w:t>
      </w:r>
      <w:r w:rsidRPr="00523C16">
        <w:rPr>
          <w:rFonts w:ascii="Calibri" w:hAnsi="Calibri" w:cs="Calibri"/>
        </w:rPr>
        <w:tab/>
        <w:t xml:space="preserve">Cocco P, Messenger MP, Smith AF, West RM, Shinkins B. Integrating Early Economic Evaluation into Target Product Profile development for medical tests: advantages and potential applications. Int J Technol Assess Health Care. 2021;37(1):e68. </w:t>
      </w:r>
    </w:p>
    <w:p w14:paraId="0ECCE352" w14:textId="77777777" w:rsidR="00523C16" w:rsidRPr="00523C16" w:rsidRDefault="00523C16" w:rsidP="00523C16">
      <w:pPr>
        <w:pStyle w:val="Bibliography"/>
        <w:rPr>
          <w:rFonts w:ascii="Calibri" w:hAnsi="Calibri" w:cs="Calibri"/>
        </w:rPr>
      </w:pPr>
      <w:r w:rsidRPr="00523C16">
        <w:rPr>
          <w:rFonts w:ascii="Calibri" w:hAnsi="Calibri" w:cs="Calibri"/>
        </w:rPr>
        <w:t>35.</w:t>
      </w:r>
      <w:r w:rsidRPr="00523C16">
        <w:rPr>
          <w:rFonts w:ascii="Calibri" w:hAnsi="Calibri" w:cs="Calibri"/>
        </w:rPr>
        <w:tab/>
        <w:t xml:space="preserve">Cocco P, Ayaz-Shah A, Messenger MP, West RM, Shinkins B. Target Product Profiles for medical tests: a systematic review of current methods. BMC Med. 2020 Dec;18(1):119. </w:t>
      </w:r>
    </w:p>
    <w:p w14:paraId="653982E0" w14:textId="7A7BC586" w:rsidR="00523C16" w:rsidRPr="00523C16" w:rsidRDefault="00523C16" w:rsidP="00523C16">
      <w:pPr>
        <w:pStyle w:val="Bibliography"/>
        <w:rPr>
          <w:rFonts w:ascii="Calibri" w:hAnsi="Calibri" w:cs="Calibri"/>
        </w:rPr>
      </w:pPr>
      <w:r w:rsidRPr="00523C16">
        <w:rPr>
          <w:rFonts w:ascii="Calibri" w:hAnsi="Calibri" w:cs="Calibri"/>
        </w:rPr>
        <w:t>36.</w:t>
      </w:r>
      <w:r w:rsidRPr="00523C16">
        <w:rPr>
          <w:rFonts w:ascii="Calibri" w:hAnsi="Calibri" w:cs="Calibri"/>
        </w:rPr>
        <w:tab/>
        <w:t xml:space="preserve">Conde R, Laires R, Gonçalves LG, Rizvi A, Barroso C, Villar M, et al. Discovery of serum biomarkers for diagnosis of tuberculosis by NMR metabolomics including cross-validation with a second cohort. Biomed J. 2022 Aug;45(4):654–64. </w:t>
      </w:r>
    </w:p>
    <w:p w14:paraId="6A5EAD27" w14:textId="77777777" w:rsidR="00523C16" w:rsidRPr="00523C16" w:rsidRDefault="00523C16" w:rsidP="00523C16">
      <w:pPr>
        <w:pStyle w:val="Bibliography"/>
        <w:rPr>
          <w:rFonts w:ascii="Calibri" w:hAnsi="Calibri" w:cs="Calibri"/>
        </w:rPr>
      </w:pPr>
      <w:r w:rsidRPr="00523C16">
        <w:rPr>
          <w:rFonts w:ascii="Calibri" w:hAnsi="Calibri" w:cs="Calibri"/>
        </w:rPr>
        <w:t>37.</w:t>
      </w:r>
      <w:r w:rsidRPr="00523C16">
        <w:rPr>
          <w:rFonts w:ascii="Calibri" w:hAnsi="Calibri" w:cs="Calibri"/>
        </w:rPr>
        <w:tab/>
        <w:t xml:space="preserve">Cook J, Cruañes MT, Gupta M, Riley S, Crison J. Quality-by-Design: Are We There Yet? AAPS PharmSciTech. 2014 Feb;15(1):140–8. </w:t>
      </w:r>
    </w:p>
    <w:p w14:paraId="4D25B2F1" w14:textId="77777777" w:rsidR="00523C16" w:rsidRPr="00523C16" w:rsidRDefault="00523C16" w:rsidP="00523C16">
      <w:pPr>
        <w:pStyle w:val="Bibliography"/>
        <w:rPr>
          <w:rFonts w:ascii="Calibri" w:hAnsi="Calibri" w:cs="Calibri"/>
        </w:rPr>
      </w:pPr>
      <w:r w:rsidRPr="00523C16">
        <w:rPr>
          <w:rFonts w:ascii="Calibri" w:hAnsi="Calibri" w:cs="Calibri"/>
        </w:rPr>
        <w:t>38.</w:t>
      </w:r>
      <w:r w:rsidRPr="00523C16">
        <w:rPr>
          <w:rFonts w:ascii="Calibri" w:hAnsi="Calibri" w:cs="Calibri"/>
        </w:rPr>
        <w:tab/>
        <w:t xml:space="preserve">Craciunas L, Pickering O, Chu J, Žurauskienė J, Coomarasamy A. Target Product Profile for an endometrial receptivity test: women’s perspective. Eur J Obstet Gynecol Reprod Biol. 2020 Oct;253:42–7. </w:t>
      </w:r>
    </w:p>
    <w:p w14:paraId="3A4EB878" w14:textId="77777777" w:rsidR="00523C16" w:rsidRPr="00523C16" w:rsidRDefault="00523C16" w:rsidP="00523C16">
      <w:pPr>
        <w:pStyle w:val="Bibliography"/>
        <w:rPr>
          <w:rFonts w:ascii="Calibri" w:hAnsi="Calibri" w:cs="Calibri"/>
        </w:rPr>
      </w:pPr>
      <w:r w:rsidRPr="00523C16">
        <w:rPr>
          <w:rFonts w:ascii="Calibri" w:hAnsi="Calibri" w:cs="Calibri"/>
        </w:rPr>
        <w:t>39.</w:t>
      </w:r>
      <w:r w:rsidRPr="00523C16">
        <w:rPr>
          <w:rFonts w:ascii="Calibri" w:hAnsi="Calibri" w:cs="Calibri"/>
        </w:rPr>
        <w:tab/>
        <w:t xml:space="preserve">Csóka I, Pallagi E, Paál TL. Extension of quality-by-design concept to the early development phase of pharmaceutical R&amp;D processes. Drug Discov Today. 2018 Jul;23(7):1340–3. </w:t>
      </w:r>
    </w:p>
    <w:p w14:paraId="7907A32A" w14:textId="77777777" w:rsidR="00523C16" w:rsidRPr="00523C16" w:rsidRDefault="00523C16" w:rsidP="00523C16">
      <w:pPr>
        <w:pStyle w:val="Bibliography"/>
        <w:rPr>
          <w:rFonts w:ascii="Calibri" w:hAnsi="Calibri" w:cs="Calibri"/>
        </w:rPr>
      </w:pPr>
      <w:r w:rsidRPr="00523C16">
        <w:rPr>
          <w:rFonts w:ascii="Calibri" w:hAnsi="Calibri" w:cs="Calibri"/>
        </w:rPr>
        <w:t>40.</w:t>
      </w:r>
      <w:r w:rsidRPr="00523C16">
        <w:rPr>
          <w:rFonts w:ascii="Calibri" w:hAnsi="Calibri" w:cs="Calibri"/>
        </w:rPr>
        <w:tab/>
        <w:t xml:space="preserve">Dartois V, Barry CE. A medicinal chemists’ guide to the unique difficulties of lead optimization for tuberculosis. Bioorg Med Chem Lett. 2013 Sep;23(17):4741–50. </w:t>
      </w:r>
    </w:p>
    <w:p w14:paraId="350B7EB7" w14:textId="795598D7" w:rsidR="00523C16" w:rsidRPr="00523C16" w:rsidRDefault="00523C16" w:rsidP="00523C16">
      <w:pPr>
        <w:pStyle w:val="Bibliography"/>
        <w:rPr>
          <w:rFonts w:ascii="Calibri" w:hAnsi="Calibri" w:cs="Calibri"/>
        </w:rPr>
      </w:pPr>
      <w:r w:rsidRPr="00523C16">
        <w:rPr>
          <w:rFonts w:ascii="Calibri" w:hAnsi="Calibri" w:cs="Calibri"/>
        </w:rPr>
        <w:t>41.</w:t>
      </w:r>
      <w:r w:rsidRPr="00523C16">
        <w:rPr>
          <w:rFonts w:ascii="Calibri" w:hAnsi="Calibri" w:cs="Calibri"/>
        </w:rPr>
        <w:tab/>
        <w:t xml:space="preserve">Ding L, Brunaugh AD, Stegemann S, Jermain SV, Herpin MJ, Kalafat J, et al. A Quality by Design Framework for Capsule-Based Dry Powder Inhalers. Pharmaceutics. 2021 Aug 6;13(8):1213. </w:t>
      </w:r>
    </w:p>
    <w:p w14:paraId="15090115" w14:textId="63D57759" w:rsidR="00523C16" w:rsidRPr="00523C16" w:rsidRDefault="00523C16" w:rsidP="00523C16">
      <w:pPr>
        <w:pStyle w:val="Bibliography"/>
        <w:rPr>
          <w:rFonts w:ascii="Calibri" w:hAnsi="Calibri" w:cs="Calibri"/>
        </w:rPr>
      </w:pPr>
      <w:r w:rsidRPr="00523C16">
        <w:rPr>
          <w:rFonts w:ascii="Calibri" w:hAnsi="Calibri" w:cs="Calibri"/>
        </w:rPr>
        <w:t>42.</w:t>
      </w:r>
      <w:r w:rsidRPr="00523C16">
        <w:rPr>
          <w:rFonts w:ascii="Calibri" w:hAnsi="Calibri" w:cs="Calibri"/>
        </w:rPr>
        <w:tab/>
        <w:t xml:space="preserve">Ditter D, Mahler HC, Roehl H, Wahl M, Huwyler J, Nieto A, et al. Characterization of surface properties of glass vials used as primary packaging material for parenterals. Eur J Pharm Biopharm. 2018 Apr;125:58–67. </w:t>
      </w:r>
    </w:p>
    <w:p w14:paraId="157B4ADD" w14:textId="77777777" w:rsidR="00523C16" w:rsidRPr="00523C16" w:rsidRDefault="00523C16" w:rsidP="00523C16">
      <w:pPr>
        <w:pStyle w:val="Bibliography"/>
        <w:rPr>
          <w:rFonts w:ascii="Calibri" w:hAnsi="Calibri" w:cs="Calibri"/>
        </w:rPr>
      </w:pPr>
      <w:r w:rsidRPr="00523C16">
        <w:rPr>
          <w:rFonts w:ascii="Calibri" w:hAnsi="Calibri" w:cs="Calibri"/>
        </w:rPr>
        <w:t>43.</w:t>
      </w:r>
      <w:r w:rsidRPr="00523C16">
        <w:rPr>
          <w:rFonts w:ascii="Calibri" w:hAnsi="Calibri" w:cs="Calibri"/>
        </w:rPr>
        <w:tab/>
        <w:t xml:space="preserve">Dostalek M, Prueksaritanont T, Kelley RF. Pharmacokinetic de-risking tools for selection of monoclonal antibody lead candidates. mAbs. 2017 Jul 4;9(5):756–66. </w:t>
      </w:r>
    </w:p>
    <w:p w14:paraId="35F3B7A8" w14:textId="0F508C4B" w:rsidR="00523C16" w:rsidRPr="00523C16" w:rsidRDefault="00523C16" w:rsidP="00523C16">
      <w:pPr>
        <w:pStyle w:val="Bibliography"/>
        <w:rPr>
          <w:rFonts w:ascii="Calibri" w:hAnsi="Calibri" w:cs="Calibri"/>
        </w:rPr>
      </w:pPr>
      <w:r w:rsidRPr="00523C16">
        <w:rPr>
          <w:rFonts w:ascii="Calibri" w:hAnsi="Calibri" w:cs="Calibri"/>
        </w:rPr>
        <w:t>44.</w:t>
      </w:r>
      <w:r w:rsidRPr="00523C16">
        <w:rPr>
          <w:rFonts w:ascii="Calibri" w:hAnsi="Calibri" w:cs="Calibri"/>
        </w:rPr>
        <w:tab/>
        <w:t xml:space="preserve">Drain PK, Gardiner J, Hannah H, Broger T, Dheda K, Fielding K, et al. Guidance for Studies Evaluating the Accuracy of Biomarker-Based Nonsputum Tests to Diagnose Tuberculosis. J Infect Dis. 2019 Oct 8;220(Supplement_3):S108–15. </w:t>
      </w:r>
    </w:p>
    <w:p w14:paraId="61D98AC9" w14:textId="77777777" w:rsidR="00523C16" w:rsidRPr="00523C16" w:rsidRDefault="00523C16" w:rsidP="00523C16">
      <w:pPr>
        <w:pStyle w:val="Bibliography"/>
        <w:rPr>
          <w:rFonts w:ascii="Calibri" w:hAnsi="Calibri" w:cs="Calibri"/>
        </w:rPr>
      </w:pPr>
      <w:r w:rsidRPr="00523C16">
        <w:rPr>
          <w:rFonts w:ascii="Calibri" w:hAnsi="Calibri" w:cs="Calibri"/>
        </w:rPr>
        <w:t>45.</w:t>
      </w:r>
      <w:r w:rsidRPr="00523C16">
        <w:rPr>
          <w:rFonts w:ascii="Calibri" w:hAnsi="Calibri" w:cs="Calibri"/>
        </w:rPr>
        <w:tab/>
        <w:t xml:space="preserve">Durbin A, Wilder-Smith A. An update on Zika vaccine developments. Expert Rev Vaccines. 2017 Aug 3;16(8):781–7. </w:t>
      </w:r>
    </w:p>
    <w:p w14:paraId="71AE2A4B" w14:textId="2022CF7F" w:rsidR="00523C16" w:rsidRPr="00523C16" w:rsidRDefault="00523C16" w:rsidP="00523C16">
      <w:pPr>
        <w:pStyle w:val="Bibliography"/>
        <w:rPr>
          <w:rFonts w:ascii="Calibri" w:hAnsi="Calibri" w:cs="Calibri"/>
        </w:rPr>
      </w:pPr>
      <w:r w:rsidRPr="00523C16">
        <w:rPr>
          <w:rFonts w:ascii="Calibri" w:hAnsi="Calibri" w:cs="Calibri"/>
        </w:rPr>
        <w:t>46.</w:t>
      </w:r>
      <w:r w:rsidRPr="00523C16">
        <w:rPr>
          <w:rFonts w:ascii="Calibri" w:hAnsi="Calibri" w:cs="Calibri"/>
        </w:rPr>
        <w:tab/>
        <w:t xml:space="preserve">Dybul M, Attoye T, Baptiste S, Cherutich P, Dabis F, Deeks SG, et al. The case for an HIV cure and how to get there. Lancet HIV. 2021 Jan;8(1):e51–8. </w:t>
      </w:r>
    </w:p>
    <w:p w14:paraId="419960F4" w14:textId="77777777" w:rsidR="00523C16" w:rsidRPr="00523C16" w:rsidRDefault="00523C16" w:rsidP="00523C16">
      <w:pPr>
        <w:pStyle w:val="Bibliography"/>
        <w:rPr>
          <w:rFonts w:ascii="Calibri" w:hAnsi="Calibri" w:cs="Calibri"/>
        </w:rPr>
      </w:pPr>
      <w:r w:rsidRPr="00523C16">
        <w:rPr>
          <w:rFonts w:ascii="Calibri" w:hAnsi="Calibri" w:cs="Calibri"/>
        </w:rPr>
        <w:lastRenderedPageBreak/>
        <w:t>47.</w:t>
      </w:r>
      <w:r w:rsidRPr="00523C16">
        <w:rPr>
          <w:rFonts w:ascii="Calibri" w:hAnsi="Calibri" w:cs="Calibri"/>
        </w:rPr>
        <w:tab/>
        <w:t xml:space="preserve">El Azab W. Contamination Control Strategy: Implementation Road Map. PDA J Pharm Sci Technol. 2021 Oct;75(5):445–53. </w:t>
      </w:r>
    </w:p>
    <w:p w14:paraId="34294516" w14:textId="77777777" w:rsidR="00523C16" w:rsidRPr="00523C16" w:rsidRDefault="00523C16" w:rsidP="00523C16">
      <w:pPr>
        <w:pStyle w:val="Bibliography"/>
        <w:rPr>
          <w:rFonts w:ascii="Calibri" w:hAnsi="Calibri" w:cs="Calibri"/>
        </w:rPr>
      </w:pPr>
      <w:r w:rsidRPr="00523C16">
        <w:rPr>
          <w:rFonts w:ascii="Calibri" w:hAnsi="Calibri" w:cs="Calibri"/>
        </w:rPr>
        <w:t>48.</w:t>
      </w:r>
      <w:r w:rsidRPr="00523C16">
        <w:rPr>
          <w:rFonts w:ascii="Calibri" w:hAnsi="Calibri" w:cs="Calibri"/>
        </w:rPr>
        <w:tab/>
        <w:t xml:space="preserve">El-Say KM, Ahmed TA, Aljefri AH, El-Sawy HS, Fassihi R, Abou-Gharbia M. Oleic acid–reinforced PEGylated polymethacrylate transdermal film with enhanced antidyslipidemic activity and bioavailability of atorvastatin: A mechanistic ex-vivo/in-vivo analysis. Int J Pharm. 2021 Oct;608:121057. </w:t>
      </w:r>
    </w:p>
    <w:p w14:paraId="2E4C2BAB" w14:textId="77777777" w:rsidR="00523C16" w:rsidRPr="00523C16" w:rsidRDefault="00523C16" w:rsidP="00523C16">
      <w:pPr>
        <w:pStyle w:val="Bibliography"/>
        <w:rPr>
          <w:rFonts w:ascii="Calibri" w:hAnsi="Calibri" w:cs="Calibri"/>
        </w:rPr>
      </w:pPr>
      <w:r w:rsidRPr="00523C16">
        <w:rPr>
          <w:rFonts w:ascii="Calibri" w:hAnsi="Calibri" w:cs="Calibri"/>
        </w:rPr>
        <w:t>49.</w:t>
      </w:r>
      <w:r w:rsidRPr="00523C16">
        <w:rPr>
          <w:rFonts w:ascii="Calibri" w:hAnsi="Calibri" w:cs="Calibri"/>
        </w:rPr>
        <w:tab/>
        <w:t xml:space="preserve">Emperador DM, Mazzola LT, Wonderly Trainor B, Chua A, Kelly-Cirino C. Diagnostics for filovirus detection: impact of recent outbreaks on the diagnostic landscape. BMJ Glob Health. 2019;4(Suppl 2):e001112. </w:t>
      </w:r>
    </w:p>
    <w:p w14:paraId="3B340E52" w14:textId="727F0217" w:rsidR="00523C16" w:rsidRPr="00B76B43" w:rsidRDefault="00523C16" w:rsidP="00523C16">
      <w:pPr>
        <w:pStyle w:val="Bibliography"/>
        <w:rPr>
          <w:rFonts w:ascii="Calibri" w:hAnsi="Calibri" w:cs="Calibri"/>
          <w:lang w:val="it-IT"/>
        </w:rPr>
      </w:pPr>
      <w:r w:rsidRPr="00523C16">
        <w:rPr>
          <w:rFonts w:ascii="Calibri" w:hAnsi="Calibri" w:cs="Calibri"/>
        </w:rPr>
        <w:t>50.</w:t>
      </w:r>
      <w:r w:rsidRPr="00523C16">
        <w:rPr>
          <w:rFonts w:ascii="Calibri" w:hAnsi="Calibri" w:cs="Calibri"/>
        </w:rPr>
        <w:tab/>
        <w:t xml:space="preserve">Entrican G, Charlier J, Dalton L, Messori S, Sharma S, Taylor R, et al. Construction of generic roadmaps for the strategic coordination of global research into infectious diseases of animals and zoonoses. </w:t>
      </w:r>
      <w:r w:rsidRPr="00B76B43">
        <w:rPr>
          <w:rFonts w:ascii="Calibri" w:hAnsi="Calibri" w:cs="Calibri"/>
          <w:lang w:val="it-IT"/>
        </w:rPr>
        <w:t xml:space="preserve">Transbound Emerg Dis. 2021 May;68(3):1513–20. </w:t>
      </w:r>
    </w:p>
    <w:p w14:paraId="57163967" w14:textId="0D802D16" w:rsidR="00523C16" w:rsidRPr="00523C16" w:rsidRDefault="00523C16" w:rsidP="00523C16">
      <w:pPr>
        <w:pStyle w:val="Bibliography"/>
        <w:rPr>
          <w:rFonts w:ascii="Calibri" w:hAnsi="Calibri" w:cs="Calibri"/>
        </w:rPr>
      </w:pPr>
      <w:r w:rsidRPr="00B76B43">
        <w:rPr>
          <w:rFonts w:ascii="Calibri" w:hAnsi="Calibri" w:cs="Calibri"/>
          <w:lang w:val="it-IT"/>
        </w:rPr>
        <w:t>51.</w:t>
      </w:r>
      <w:r w:rsidRPr="00B76B43">
        <w:rPr>
          <w:rFonts w:ascii="Calibri" w:hAnsi="Calibri" w:cs="Calibri"/>
          <w:lang w:val="it-IT"/>
        </w:rPr>
        <w:tab/>
        <w:t xml:space="preserve">Tiozzo Fasiolo L, Manniello MD, Bortolotti F, Buttini F, Rossi A, Sonvico F, et al. </w:t>
      </w:r>
      <w:r w:rsidRPr="00523C16">
        <w:rPr>
          <w:rFonts w:ascii="Calibri" w:hAnsi="Calibri" w:cs="Calibri"/>
        </w:rPr>
        <w:t xml:space="preserve">Anti-inflammatory flurbiprofen nasal powders for nose-to-brain delivery in Alzheimer’s disease. J Drug Target. 2019 Nov;27(9):984–94. </w:t>
      </w:r>
    </w:p>
    <w:p w14:paraId="0AA5078D" w14:textId="77777777" w:rsidR="00523C16" w:rsidRPr="00523C16" w:rsidRDefault="00523C16" w:rsidP="00523C16">
      <w:pPr>
        <w:pStyle w:val="Bibliography"/>
        <w:rPr>
          <w:rFonts w:ascii="Calibri" w:hAnsi="Calibri" w:cs="Calibri"/>
        </w:rPr>
      </w:pPr>
      <w:r w:rsidRPr="00523C16">
        <w:rPr>
          <w:rFonts w:ascii="Calibri" w:hAnsi="Calibri" w:cs="Calibri"/>
        </w:rPr>
        <w:t>52.</w:t>
      </w:r>
      <w:r w:rsidRPr="00523C16">
        <w:rPr>
          <w:rFonts w:ascii="Calibri" w:hAnsi="Calibri" w:cs="Calibri"/>
        </w:rPr>
        <w:tab/>
        <w:t xml:space="preserve">Leticia Fernandez-Carballo B, Escadafal C, MacLean E, Kapasi AJ, Dittrich S. Distinguishing bacterial versus non-bacterial causes of febrile illness - A systematic review of host biomarkers. J Infect. 2021 Apr;82(4):1–10. </w:t>
      </w:r>
    </w:p>
    <w:p w14:paraId="781F6B9C" w14:textId="77777777" w:rsidR="00523C16" w:rsidRPr="00523C16" w:rsidRDefault="00523C16" w:rsidP="00523C16">
      <w:pPr>
        <w:pStyle w:val="Bibliography"/>
        <w:rPr>
          <w:rFonts w:ascii="Calibri" w:hAnsi="Calibri" w:cs="Calibri"/>
        </w:rPr>
      </w:pPr>
      <w:r w:rsidRPr="00523C16">
        <w:rPr>
          <w:rFonts w:ascii="Calibri" w:hAnsi="Calibri" w:cs="Calibri"/>
        </w:rPr>
        <w:t>53.</w:t>
      </w:r>
      <w:r w:rsidRPr="00523C16">
        <w:rPr>
          <w:rFonts w:ascii="Calibri" w:hAnsi="Calibri" w:cs="Calibri"/>
        </w:rPr>
        <w:tab/>
        <w:t xml:space="preserve">Francis MJ. A Veterinary Vaccine Development Process Map to assist in the development of new vaccines. Vaccine. 2020 Jun 15;38(29):4512–5. </w:t>
      </w:r>
    </w:p>
    <w:p w14:paraId="68703322" w14:textId="77777777" w:rsidR="00523C16" w:rsidRPr="00523C16" w:rsidRDefault="00523C16" w:rsidP="00523C16">
      <w:pPr>
        <w:pStyle w:val="Bibliography"/>
        <w:rPr>
          <w:rFonts w:ascii="Calibri" w:hAnsi="Calibri" w:cs="Calibri"/>
        </w:rPr>
      </w:pPr>
      <w:r w:rsidRPr="00523C16">
        <w:rPr>
          <w:rFonts w:ascii="Calibri" w:hAnsi="Calibri" w:cs="Calibri"/>
        </w:rPr>
        <w:t>54.</w:t>
      </w:r>
      <w:r w:rsidRPr="00523C16">
        <w:rPr>
          <w:rFonts w:ascii="Calibri" w:hAnsi="Calibri" w:cs="Calibri"/>
        </w:rPr>
        <w:tab/>
        <w:t xml:space="preserve">Funk CD, Laferrière C, Ardakani A. Target Product Profile Analysis of COVID-19 Vaccines in Phase III Clinical Trials and Beyond: An Early 2021 Perspective. Viruses. 2021 Mar 5;13(3):418. </w:t>
      </w:r>
    </w:p>
    <w:p w14:paraId="33669C1C" w14:textId="094E5ADF" w:rsidR="00523C16" w:rsidRPr="00523C16" w:rsidRDefault="00523C16" w:rsidP="00523C16">
      <w:pPr>
        <w:pStyle w:val="Bibliography"/>
        <w:rPr>
          <w:rFonts w:ascii="Calibri" w:hAnsi="Calibri" w:cs="Calibri"/>
        </w:rPr>
      </w:pPr>
      <w:r w:rsidRPr="00523C16">
        <w:rPr>
          <w:rFonts w:ascii="Calibri" w:hAnsi="Calibri" w:cs="Calibri"/>
        </w:rPr>
        <w:t>55.</w:t>
      </w:r>
      <w:r w:rsidRPr="00523C16">
        <w:rPr>
          <w:rFonts w:ascii="Calibri" w:hAnsi="Calibri" w:cs="Calibri"/>
        </w:rPr>
        <w:tab/>
        <w:t xml:space="preserve">Georghiou SB, Schumacher SG, Rodwell TC, Colman RE, Miotto P, Gilpin C, et al. Guidance for Studies Evaluating the Accuracy of Rapid Tuberculosis Drug-Susceptibility Tests. J Infect Dis. 2019 Oct 8;220(220 Suppl 3):S126–35. </w:t>
      </w:r>
    </w:p>
    <w:p w14:paraId="027FA236" w14:textId="77777777" w:rsidR="00523C16" w:rsidRPr="00523C16" w:rsidRDefault="00523C16" w:rsidP="00523C16">
      <w:pPr>
        <w:pStyle w:val="Bibliography"/>
        <w:rPr>
          <w:rFonts w:ascii="Calibri" w:hAnsi="Calibri" w:cs="Calibri"/>
        </w:rPr>
      </w:pPr>
      <w:r w:rsidRPr="00523C16">
        <w:rPr>
          <w:rFonts w:ascii="Calibri" w:hAnsi="Calibri" w:cs="Calibri"/>
        </w:rPr>
        <w:t>56.</w:t>
      </w:r>
      <w:r w:rsidRPr="00523C16">
        <w:rPr>
          <w:rFonts w:ascii="Calibri" w:hAnsi="Calibri" w:cs="Calibri"/>
        </w:rPr>
        <w:tab/>
        <w:t xml:space="preserve">Gerlinger C, Evers T, Rassen J, Wyss R. Using Real-World Data to Predict Clinical and Economic Benefits of a Future Drug Based on its Target Product Profile. Drugs - Real World Outcomes. 2020 Sep;7(3):221–7. </w:t>
      </w:r>
    </w:p>
    <w:p w14:paraId="757EA264" w14:textId="77777777" w:rsidR="00523C16" w:rsidRPr="00523C16" w:rsidRDefault="00523C16" w:rsidP="00523C16">
      <w:pPr>
        <w:pStyle w:val="Bibliography"/>
        <w:rPr>
          <w:rFonts w:ascii="Calibri" w:hAnsi="Calibri" w:cs="Calibri"/>
        </w:rPr>
      </w:pPr>
      <w:r w:rsidRPr="00523C16">
        <w:rPr>
          <w:rFonts w:ascii="Calibri" w:hAnsi="Calibri" w:cs="Calibri"/>
        </w:rPr>
        <w:t>57.</w:t>
      </w:r>
      <w:r w:rsidRPr="00523C16">
        <w:rPr>
          <w:rFonts w:ascii="Calibri" w:hAnsi="Calibri" w:cs="Calibri"/>
        </w:rPr>
        <w:tab/>
        <w:t xml:space="preserve">Gomez SA, Chapman LAC, Dilger E, Courtenay O, Picado A. Estimating the efficacy of community-wide use of systemic insecticides in dogs to control zoonotic visceral leishmaniasis: A modelling study in a Brazilian  scenario. PLoS Negl Trop Dis. 2018 Sep;12(9):e0006797. </w:t>
      </w:r>
    </w:p>
    <w:p w14:paraId="1628E00D" w14:textId="77777777" w:rsidR="00523C16" w:rsidRPr="00523C16" w:rsidRDefault="00523C16" w:rsidP="00523C16">
      <w:pPr>
        <w:pStyle w:val="Bibliography"/>
        <w:rPr>
          <w:rFonts w:ascii="Calibri" w:hAnsi="Calibri" w:cs="Calibri"/>
        </w:rPr>
      </w:pPr>
      <w:r w:rsidRPr="00523C16">
        <w:rPr>
          <w:rFonts w:ascii="Calibri" w:hAnsi="Calibri" w:cs="Calibri"/>
        </w:rPr>
        <w:t>58.</w:t>
      </w:r>
      <w:r w:rsidRPr="00523C16">
        <w:rPr>
          <w:rFonts w:ascii="Calibri" w:hAnsi="Calibri" w:cs="Calibri"/>
        </w:rPr>
        <w:tab/>
        <w:t xml:space="preserve">Goscé L, Winter JR, Taylor GS, Lewis JEA, Stagg HR. Modelling the dynamics of EBV transmission to inform a vaccine target product profile and future vaccination strategy. Sci Rep. 2019 Jun 26;9(1):9290. </w:t>
      </w:r>
    </w:p>
    <w:p w14:paraId="392817BB" w14:textId="1E00C121" w:rsidR="00523C16" w:rsidRPr="00523C16" w:rsidRDefault="00523C16" w:rsidP="00523C16">
      <w:pPr>
        <w:pStyle w:val="Bibliography"/>
        <w:rPr>
          <w:rFonts w:ascii="Calibri" w:hAnsi="Calibri" w:cs="Calibri"/>
        </w:rPr>
      </w:pPr>
      <w:r w:rsidRPr="00523C16">
        <w:rPr>
          <w:rFonts w:ascii="Calibri" w:hAnsi="Calibri" w:cs="Calibri"/>
        </w:rPr>
        <w:t>59.</w:t>
      </w:r>
      <w:r w:rsidRPr="00523C16">
        <w:rPr>
          <w:rFonts w:ascii="Calibri" w:hAnsi="Calibri" w:cs="Calibri"/>
        </w:rPr>
        <w:tab/>
        <w:t xml:space="preserve">Grant BD, Anderson CE, Alonzo LF, Garing SH, Williford JR, Baughman TA, et al. A SARS-CoV-2 coronavirus nucleocapsid protein antigen-detecting lateral flow assay. Ito E, editor. PLOS ONE. 2021 Nov 10;16(11):e0258819. </w:t>
      </w:r>
    </w:p>
    <w:p w14:paraId="522345F0" w14:textId="1DFDD799" w:rsidR="00523C16" w:rsidRPr="00523C16" w:rsidRDefault="00523C16" w:rsidP="00523C16">
      <w:pPr>
        <w:pStyle w:val="Bibliography"/>
        <w:rPr>
          <w:rFonts w:ascii="Calibri" w:hAnsi="Calibri" w:cs="Calibri"/>
        </w:rPr>
      </w:pPr>
      <w:r w:rsidRPr="00523C16">
        <w:rPr>
          <w:rFonts w:ascii="Calibri" w:hAnsi="Calibri" w:cs="Calibri"/>
        </w:rPr>
        <w:t>60.</w:t>
      </w:r>
      <w:r w:rsidRPr="00523C16">
        <w:rPr>
          <w:rFonts w:ascii="Calibri" w:hAnsi="Calibri" w:cs="Calibri"/>
        </w:rPr>
        <w:tab/>
        <w:t xml:space="preserve">Günther G, Saathoff E, Rachow A, Ekandjo H, Diergaardt A, Marais N, et al. Clinical Evaluation of a Line-Probe Assay for Tuberculosis Detection and Drug-Resistance Prediction in Namibia. She RC, editor. Microbiol Spectr. 2022 Jun 29;10(3):e00259-22. </w:t>
      </w:r>
    </w:p>
    <w:p w14:paraId="2E3EDC55" w14:textId="2E44BC6F" w:rsidR="00523C16" w:rsidRPr="00523C16" w:rsidRDefault="00523C16" w:rsidP="00523C16">
      <w:pPr>
        <w:pStyle w:val="Bibliography"/>
        <w:rPr>
          <w:rFonts w:ascii="Calibri" w:hAnsi="Calibri" w:cs="Calibri"/>
        </w:rPr>
      </w:pPr>
      <w:r w:rsidRPr="00523C16">
        <w:rPr>
          <w:rFonts w:ascii="Calibri" w:hAnsi="Calibri" w:cs="Calibri"/>
        </w:rPr>
        <w:t>61.</w:t>
      </w:r>
      <w:r w:rsidRPr="00523C16">
        <w:rPr>
          <w:rFonts w:ascii="Calibri" w:hAnsi="Calibri" w:cs="Calibri"/>
        </w:rPr>
        <w:tab/>
        <w:t xml:space="preserve">Gupta RK, Turner CT, Venturini C, Esmail H, Rangaka MX, Copas A, et al. Concise whole blood transcriptional signatures for incipient tuberculosis: a systematic review and patient-level pooled meta-analysis. Lancet Respir Med. 2020 Apr;8(4):395–406. </w:t>
      </w:r>
    </w:p>
    <w:p w14:paraId="3C97820B" w14:textId="77777777" w:rsidR="00523C16" w:rsidRPr="00523C16" w:rsidRDefault="00523C16" w:rsidP="00523C16">
      <w:pPr>
        <w:pStyle w:val="Bibliography"/>
        <w:rPr>
          <w:rFonts w:ascii="Calibri" w:hAnsi="Calibri" w:cs="Calibri"/>
        </w:rPr>
      </w:pPr>
      <w:r w:rsidRPr="00523C16">
        <w:rPr>
          <w:rFonts w:ascii="Calibri" w:hAnsi="Calibri" w:cs="Calibri"/>
        </w:rPr>
        <w:lastRenderedPageBreak/>
        <w:t>62.</w:t>
      </w:r>
      <w:r w:rsidRPr="00523C16">
        <w:rPr>
          <w:rFonts w:ascii="Calibri" w:hAnsi="Calibri" w:cs="Calibri"/>
        </w:rPr>
        <w:tab/>
        <w:t xml:space="preserve">Halpern V, Stalter RM, Owen DH, Dorflinger LJ, Lendvay A, Rademacher KH. Towards the development of a longer-acting injectable contraceptive: past research and current trends. Contraception. 2015 Jul;92(1):3–9. </w:t>
      </w:r>
    </w:p>
    <w:p w14:paraId="1B64BFAF" w14:textId="1DFDBC7A" w:rsidR="00523C16" w:rsidRPr="00523C16" w:rsidRDefault="00523C16" w:rsidP="00523C16">
      <w:pPr>
        <w:pStyle w:val="Bibliography"/>
        <w:rPr>
          <w:rFonts w:ascii="Calibri" w:hAnsi="Calibri" w:cs="Calibri"/>
        </w:rPr>
      </w:pPr>
      <w:r w:rsidRPr="00523C16">
        <w:rPr>
          <w:rFonts w:ascii="Calibri" w:hAnsi="Calibri" w:cs="Calibri"/>
        </w:rPr>
        <w:t>63.</w:t>
      </w:r>
      <w:r w:rsidRPr="00523C16">
        <w:rPr>
          <w:rFonts w:ascii="Calibri" w:hAnsi="Calibri" w:cs="Calibri"/>
        </w:rPr>
        <w:tab/>
        <w:t xml:space="preserve">Ham AS, Nugent ST, Peters JJ, Katz DF, Shelter CM, Dezzutti CS, et al. The rational design and development of a dual chamber vaginal/rectal microbicide gel formulation for HIV prevention. Antiviral Res. 2015 Aug;120:153–64. </w:t>
      </w:r>
    </w:p>
    <w:p w14:paraId="031A4E55" w14:textId="77777777" w:rsidR="00523C16" w:rsidRPr="00523C16" w:rsidRDefault="00523C16" w:rsidP="00523C16">
      <w:pPr>
        <w:pStyle w:val="Bibliography"/>
        <w:rPr>
          <w:rFonts w:ascii="Calibri" w:hAnsi="Calibri" w:cs="Calibri"/>
        </w:rPr>
      </w:pPr>
      <w:r w:rsidRPr="00523C16">
        <w:rPr>
          <w:rFonts w:ascii="Calibri" w:hAnsi="Calibri" w:cs="Calibri"/>
        </w:rPr>
        <w:t>64.</w:t>
      </w:r>
      <w:r w:rsidRPr="00523C16">
        <w:rPr>
          <w:rFonts w:ascii="Calibri" w:hAnsi="Calibri" w:cs="Calibri"/>
        </w:rPr>
        <w:tab/>
        <w:t xml:space="preserve">Ham AS, Rohan LC, Boczar A, Yang L, W. Buckheit K, Buckheit RW. Vaginal Film Drug Delivery of the Pyrimidinedione IQP-0528 for the Prevention of HIV Infection. Pharm Res. 2012 Jul;29(7):1897–907. </w:t>
      </w:r>
    </w:p>
    <w:p w14:paraId="233BB75F" w14:textId="2A34591B" w:rsidR="00523C16" w:rsidRPr="00523C16" w:rsidRDefault="00523C16" w:rsidP="00523C16">
      <w:pPr>
        <w:pStyle w:val="Bibliography"/>
        <w:rPr>
          <w:rFonts w:ascii="Calibri" w:hAnsi="Calibri" w:cs="Calibri"/>
        </w:rPr>
      </w:pPr>
      <w:r w:rsidRPr="00523C16">
        <w:rPr>
          <w:rFonts w:ascii="Calibri" w:hAnsi="Calibri" w:cs="Calibri"/>
        </w:rPr>
        <w:t>65.</w:t>
      </w:r>
      <w:r w:rsidRPr="00523C16">
        <w:rPr>
          <w:rFonts w:ascii="Calibri" w:hAnsi="Calibri" w:cs="Calibri"/>
        </w:rPr>
        <w:tab/>
        <w:t xml:space="preserve">Ham AS, Ugaonkar SR, Shi L, Buckheit KW, Lakougna H, Nagaraja U, et al. Development of a Combination Microbicide Gel Formulation Containing IQP-0528 and Tenofovir for the Prevention of HIV Infection. J Pharm Sci. 2012 Apr;101(4):1423–35. </w:t>
      </w:r>
    </w:p>
    <w:p w14:paraId="44F67C99" w14:textId="354B30E8" w:rsidR="00523C16" w:rsidRPr="00523C16" w:rsidRDefault="00523C16" w:rsidP="00523C16">
      <w:pPr>
        <w:pStyle w:val="Bibliography"/>
        <w:rPr>
          <w:rFonts w:ascii="Calibri" w:hAnsi="Calibri" w:cs="Calibri"/>
        </w:rPr>
      </w:pPr>
      <w:r w:rsidRPr="00523C16">
        <w:rPr>
          <w:rFonts w:ascii="Calibri" w:hAnsi="Calibri" w:cs="Calibri"/>
        </w:rPr>
        <w:t>66.</w:t>
      </w:r>
      <w:r w:rsidRPr="00523C16">
        <w:rPr>
          <w:rFonts w:ascii="Calibri" w:hAnsi="Calibri" w:cs="Calibri"/>
        </w:rPr>
        <w:tab/>
        <w:t xml:space="preserve">Hampson LV, Holzhauer B, Bornkamp B, Kahn J, Lange MR, Luo W, et al. A New Comprehensive Approach to Assess the Probability of Success of Development Programs Before Pivotal Trials. Clin Pharmacol Ther. 2022 May;111(5):1050–60. </w:t>
      </w:r>
    </w:p>
    <w:p w14:paraId="3F16D632" w14:textId="77777777" w:rsidR="00523C16" w:rsidRPr="00523C16" w:rsidRDefault="00523C16" w:rsidP="00523C16">
      <w:pPr>
        <w:pStyle w:val="Bibliography"/>
        <w:rPr>
          <w:rFonts w:ascii="Calibri" w:hAnsi="Calibri" w:cs="Calibri"/>
        </w:rPr>
      </w:pPr>
      <w:r w:rsidRPr="00523C16">
        <w:rPr>
          <w:rFonts w:ascii="Calibri" w:hAnsi="Calibri" w:cs="Calibri"/>
        </w:rPr>
        <w:t>67.</w:t>
      </w:r>
      <w:r w:rsidRPr="00523C16">
        <w:rPr>
          <w:rFonts w:ascii="Calibri" w:hAnsi="Calibri" w:cs="Calibri"/>
        </w:rPr>
        <w:tab/>
        <w:t xml:space="preserve">Hemingway J. The role of vector control in stopping the transmission of malaria: threats and opportunities. Philos Trans R Soc B Biol Sci. 2014 Jun 19;369(1645):20130431. </w:t>
      </w:r>
    </w:p>
    <w:p w14:paraId="6A24031E" w14:textId="77777777" w:rsidR="00523C16" w:rsidRPr="00523C16" w:rsidRDefault="00523C16" w:rsidP="00523C16">
      <w:pPr>
        <w:pStyle w:val="Bibliography"/>
        <w:rPr>
          <w:rFonts w:ascii="Calibri" w:hAnsi="Calibri" w:cs="Calibri"/>
        </w:rPr>
      </w:pPr>
      <w:r w:rsidRPr="00523C16">
        <w:rPr>
          <w:rFonts w:ascii="Calibri" w:hAnsi="Calibri" w:cs="Calibri"/>
        </w:rPr>
        <w:t>68.</w:t>
      </w:r>
      <w:r w:rsidRPr="00523C16">
        <w:rPr>
          <w:rFonts w:ascii="Calibri" w:hAnsi="Calibri" w:cs="Calibri"/>
        </w:rPr>
        <w:tab/>
        <w:t xml:space="preserve">Castillo Henríquez L, Vargas Zúñiga R, Carazo Berrocal G, Madrigal Redondo G, Calvo Guzmán B, Baltodano Viales E. Development of immediate release Rupatadine fumarate 10 mg tablets: A Quality by Design (QbD) approach. Drug Dev Ind Pharm. 2019 Oct 3;45(10):1674–81. </w:t>
      </w:r>
    </w:p>
    <w:p w14:paraId="029896A1" w14:textId="77777777" w:rsidR="00523C16" w:rsidRPr="00523C16" w:rsidRDefault="00523C16" w:rsidP="00523C16">
      <w:pPr>
        <w:pStyle w:val="Bibliography"/>
        <w:rPr>
          <w:rFonts w:ascii="Calibri" w:hAnsi="Calibri" w:cs="Calibri"/>
        </w:rPr>
      </w:pPr>
      <w:r w:rsidRPr="00523C16">
        <w:rPr>
          <w:rFonts w:ascii="Calibri" w:hAnsi="Calibri" w:cs="Calibri"/>
        </w:rPr>
        <w:t>69.</w:t>
      </w:r>
      <w:r w:rsidRPr="00523C16">
        <w:rPr>
          <w:rFonts w:ascii="Calibri" w:hAnsi="Calibri" w:cs="Calibri"/>
        </w:rPr>
        <w:tab/>
        <w:t xml:space="preserve">Hogan AB, Winskill P, Verity R, Griffin JT, Ghani AC. Modelling population-level impact to inform target product profiles for childhood malaria vaccines. BMC Med. 2018 Dec;16(1):109. </w:t>
      </w:r>
    </w:p>
    <w:p w14:paraId="32D75437" w14:textId="77777777" w:rsidR="00523C16" w:rsidRPr="00523C16" w:rsidRDefault="00523C16" w:rsidP="00523C16">
      <w:pPr>
        <w:pStyle w:val="Bibliography"/>
        <w:rPr>
          <w:rFonts w:ascii="Calibri" w:hAnsi="Calibri" w:cs="Calibri"/>
        </w:rPr>
      </w:pPr>
      <w:r w:rsidRPr="00523C16">
        <w:rPr>
          <w:rFonts w:ascii="Calibri" w:hAnsi="Calibri" w:cs="Calibri"/>
        </w:rPr>
        <w:t>70.</w:t>
      </w:r>
      <w:r w:rsidRPr="00523C16">
        <w:rPr>
          <w:rFonts w:ascii="Calibri" w:hAnsi="Calibri" w:cs="Calibri"/>
        </w:rPr>
        <w:tab/>
        <w:t xml:space="preserve">Hotez PJ, Beaumier CM, Gillespie PM, Strych U, Hayward T, Bottazzi ME. Advancing a vaccine to prevent hookworm disease and anemia. Vaccine. 2016 Jun;34(26):3001–5. </w:t>
      </w:r>
    </w:p>
    <w:p w14:paraId="09C67E87" w14:textId="20A014CB" w:rsidR="00523C16" w:rsidRPr="00523C16" w:rsidRDefault="00523C16" w:rsidP="00523C16">
      <w:pPr>
        <w:pStyle w:val="Bibliography"/>
        <w:rPr>
          <w:rFonts w:ascii="Calibri" w:hAnsi="Calibri" w:cs="Calibri"/>
        </w:rPr>
      </w:pPr>
      <w:r w:rsidRPr="00523C16">
        <w:rPr>
          <w:rFonts w:ascii="Calibri" w:hAnsi="Calibri" w:cs="Calibri"/>
        </w:rPr>
        <w:t>71.</w:t>
      </w:r>
      <w:r w:rsidRPr="00523C16">
        <w:rPr>
          <w:rFonts w:ascii="Calibri" w:hAnsi="Calibri" w:cs="Calibri"/>
        </w:rPr>
        <w:tab/>
        <w:t xml:space="preserve">Jackson P, Borman P, Campa C, Chatfield M, Godfrey M, Hamilton P, et al. Using the Analytical Target Profile to Drive the Analytical Method Lifecycle. Anal Chem. 2019 Feb 19;91(4):2577–85. </w:t>
      </w:r>
    </w:p>
    <w:p w14:paraId="1EF0C288" w14:textId="77777777" w:rsidR="00523C16" w:rsidRPr="00523C16" w:rsidRDefault="00523C16" w:rsidP="00523C16">
      <w:pPr>
        <w:pStyle w:val="Bibliography"/>
        <w:rPr>
          <w:rFonts w:ascii="Calibri" w:hAnsi="Calibri" w:cs="Calibri"/>
        </w:rPr>
      </w:pPr>
      <w:r w:rsidRPr="00523C16">
        <w:rPr>
          <w:rFonts w:ascii="Calibri" w:hAnsi="Calibri" w:cs="Calibri"/>
        </w:rPr>
        <w:t>72.</w:t>
      </w:r>
      <w:r w:rsidRPr="00523C16">
        <w:rPr>
          <w:rFonts w:ascii="Calibri" w:hAnsi="Calibri" w:cs="Calibri"/>
        </w:rPr>
        <w:tab/>
        <w:t xml:space="preserve">Jacobs J, Kühne V, Lunguya O, Affolabi D, Hardy L, Vandenberg O. Implementing COVID-19 (SARS-CoV-2) Rapid Diagnostic Tests in Sub-Saharan Africa: A Review. Front Med. 2020 Oct 30;7:557797. </w:t>
      </w:r>
    </w:p>
    <w:p w14:paraId="1563ABCF" w14:textId="384A616D" w:rsidR="00523C16" w:rsidRPr="00523C16" w:rsidRDefault="00523C16" w:rsidP="00523C16">
      <w:pPr>
        <w:pStyle w:val="Bibliography"/>
        <w:rPr>
          <w:rFonts w:ascii="Calibri" w:hAnsi="Calibri" w:cs="Calibri"/>
        </w:rPr>
      </w:pPr>
      <w:r w:rsidRPr="00523C16">
        <w:rPr>
          <w:rFonts w:ascii="Calibri" w:hAnsi="Calibri" w:cs="Calibri"/>
        </w:rPr>
        <w:t>73.</w:t>
      </w:r>
      <w:r w:rsidRPr="00523C16">
        <w:rPr>
          <w:rFonts w:ascii="Calibri" w:hAnsi="Calibri" w:cs="Calibri"/>
        </w:rPr>
        <w:tab/>
        <w:t xml:space="preserve">Januskaite P, Xu X, Ranmal SR, Gaisford S, Basit AW, Tuleu C, et al. I Spy with My Little Eye: A Paediatric Visual Preferences Survey of 3D Printed Tablets. Pharmaceutics. 2020 Nov 17;12(11). </w:t>
      </w:r>
    </w:p>
    <w:p w14:paraId="2BC2D3DB" w14:textId="1888567C" w:rsidR="00523C16" w:rsidRPr="00523C16" w:rsidRDefault="00523C16" w:rsidP="00523C16">
      <w:pPr>
        <w:pStyle w:val="Bibliography"/>
        <w:rPr>
          <w:rFonts w:ascii="Calibri" w:hAnsi="Calibri" w:cs="Calibri"/>
        </w:rPr>
      </w:pPr>
      <w:r w:rsidRPr="00523C16">
        <w:rPr>
          <w:rFonts w:ascii="Calibri" w:hAnsi="Calibri" w:cs="Calibri"/>
        </w:rPr>
        <w:t>74.</w:t>
      </w:r>
      <w:r w:rsidRPr="00523C16">
        <w:rPr>
          <w:rFonts w:ascii="Calibri" w:hAnsi="Calibri" w:cs="Calibri"/>
        </w:rPr>
        <w:tab/>
        <w:t xml:space="preserve">Kapoor Y, Meyer RF, Ferguson HM, Skomski D, Daublain P, Troup GM, et al. Flexibility in Drug Product Development: A Perspective. Mol Pharm. 2021 Jul 5;18(7):2455–69. </w:t>
      </w:r>
    </w:p>
    <w:p w14:paraId="6C46401D" w14:textId="416A9C41" w:rsidR="00523C16" w:rsidRPr="00523C16" w:rsidRDefault="00523C16" w:rsidP="00523C16">
      <w:pPr>
        <w:pStyle w:val="Bibliography"/>
        <w:rPr>
          <w:rFonts w:ascii="Calibri" w:hAnsi="Calibri" w:cs="Calibri"/>
        </w:rPr>
      </w:pPr>
      <w:r w:rsidRPr="00523C16">
        <w:rPr>
          <w:rFonts w:ascii="Calibri" w:hAnsi="Calibri" w:cs="Calibri"/>
        </w:rPr>
        <w:t>75.</w:t>
      </w:r>
      <w:r w:rsidRPr="00523C16">
        <w:rPr>
          <w:rFonts w:ascii="Calibri" w:hAnsi="Calibri" w:cs="Calibri"/>
        </w:rPr>
        <w:tab/>
        <w:t xml:space="preserve">Karlen W, Gan H, Chiu M, Dunsmuir D, Zhou G, Dumont GA, et al. Improving the Accuracy and Efficiency of Respiratory Rate Measurements in Children Using Mobile Devices. Penzel T, editor. PLoS ONE. 2014 Jun 11;9(6):e99266. </w:t>
      </w:r>
    </w:p>
    <w:p w14:paraId="5E168448" w14:textId="31F92ED9" w:rsidR="00523C16" w:rsidRPr="00523C16" w:rsidRDefault="00523C16" w:rsidP="00523C16">
      <w:pPr>
        <w:pStyle w:val="Bibliography"/>
        <w:rPr>
          <w:rFonts w:ascii="Calibri" w:hAnsi="Calibri" w:cs="Calibri"/>
        </w:rPr>
      </w:pPr>
      <w:r w:rsidRPr="00523C16">
        <w:rPr>
          <w:rFonts w:ascii="Calibri" w:hAnsi="Calibri" w:cs="Calibri"/>
        </w:rPr>
        <w:t>76.</w:t>
      </w:r>
      <w:r w:rsidRPr="00523C16">
        <w:rPr>
          <w:rFonts w:ascii="Calibri" w:hAnsi="Calibri" w:cs="Calibri"/>
        </w:rPr>
        <w:tab/>
        <w:t xml:space="preserve">Karp CL, Lans D, Esparza J, Edson EB, Owen KE, Wilson CB, et al. Evaluating the value proposition for improving vaccine thermostability to increase vaccine impact in low and middle-income countries. Vaccine. 2015 Jul;33(30):3471–9. </w:t>
      </w:r>
    </w:p>
    <w:p w14:paraId="20DD9FCA" w14:textId="3F870E61" w:rsidR="00523C16" w:rsidRPr="00523C16" w:rsidRDefault="00523C16" w:rsidP="00523C16">
      <w:pPr>
        <w:pStyle w:val="Bibliography"/>
        <w:rPr>
          <w:rFonts w:ascii="Calibri" w:hAnsi="Calibri" w:cs="Calibri"/>
        </w:rPr>
      </w:pPr>
      <w:r w:rsidRPr="00523C16">
        <w:rPr>
          <w:rFonts w:ascii="Calibri" w:hAnsi="Calibri" w:cs="Calibri"/>
        </w:rPr>
        <w:t>77.</w:t>
      </w:r>
      <w:r w:rsidRPr="00523C16">
        <w:rPr>
          <w:rFonts w:ascii="Calibri" w:hAnsi="Calibri" w:cs="Calibri"/>
        </w:rPr>
        <w:tab/>
        <w:t xml:space="preserve">Kauss T, Gaubert A, Boyer C, Ba BB, Manse M, Massip S, et al. Pharmaceutical development and optimization of azithromycin suppository for paediatric use. Int J Pharm. 2013 Jan;441(1–2):218–26. </w:t>
      </w:r>
    </w:p>
    <w:p w14:paraId="7147D5DB" w14:textId="77777777" w:rsidR="00523C16" w:rsidRPr="00523C16" w:rsidRDefault="00523C16" w:rsidP="00523C16">
      <w:pPr>
        <w:pStyle w:val="Bibliography"/>
        <w:rPr>
          <w:rFonts w:ascii="Calibri" w:hAnsi="Calibri" w:cs="Calibri"/>
        </w:rPr>
      </w:pPr>
      <w:r w:rsidRPr="00523C16">
        <w:rPr>
          <w:rFonts w:ascii="Calibri" w:hAnsi="Calibri" w:cs="Calibri"/>
        </w:rPr>
        <w:lastRenderedPageBreak/>
        <w:t>78.</w:t>
      </w:r>
      <w:r w:rsidRPr="00523C16">
        <w:rPr>
          <w:rFonts w:ascii="Calibri" w:hAnsi="Calibri" w:cs="Calibri"/>
        </w:rPr>
        <w:tab/>
        <w:t xml:space="preserve">Keiser J, Utzinger J. Antimalarials in the treatment of schistosomiasis. Curr Pharm Des. 2012;18(24):3531–8. </w:t>
      </w:r>
    </w:p>
    <w:p w14:paraId="6BE42BB7" w14:textId="77777777" w:rsidR="00523C16" w:rsidRPr="00523C16" w:rsidRDefault="00523C16" w:rsidP="00523C16">
      <w:pPr>
        <w:pStyle w:val="Bibliography"/>
        <w:rPr>
          <w:rFonts w:ascii="Calibri" w:hAnsi="Calibri" w:cs="Calibri"/>
        </w:rPr>
      </w:pPr>
      <w:r w:rsidRPr="00523C16">
        <w:rPr>
          <w:rFonts w:ascii="Calibri" w:hAnsi="Calibri" w:cs="Calibri"/>
        </w:rPr>
        <w:t>79.</w:t>
      </w:r>
      <w:r w:rsidRPr="00523C16">
        <w:rPr>
          <w:rFonts w:ascii="Calibri" w:hAnsi="Calibri" w:cs="Calibri"/>
        </w:rPr>
        <w:tab/>
        <w:t xml:space="preserve">Khanolkar A, Thorat V, Raut P, Samanta G. Application of Quality by Design: Development to Manufacturing of Diclofenac Sodium Topical Gel. AAPS PharmSciTech. 2017 Oct;18(7):2754–63. </w:t>
      </w:r>
    </w:p>
    <w:p w14:paraId="2B6E00BF" w14:textId="77777777" w:rsidR="00523C16" w:rsidRPr="00523C16" w:rsidRDefault="00523C16" w:rsidP="00523C16">
      <w:pPr>
        <w:pStyle w:val="Bibliography"/>
        <w:rPr>
          <w:rFonts w:ascii="Calibri" w:hAnsi="Calibri" w:cs="Calibri"/>
        </w:rPr>
      </w:pPr>
      <w:r w:rsidRPr="00523C16">
        <w:rPr>
          <w:rFonts w:ascii="Calibri" w:hAnsi="Calibri" w:cs="Calibri"/>
        </w:rPr>
        <w:t>80.</w:t>
      </w:r>
      <w:r w:rsidRPr="00523C16">
        <w:rPr>
          <w:rFonts w:ascii="Calibri" w:hAnsi="Calibri" w:cs="Calibri"/>
        </w:rPr>
        <w:tab/>
        <w:t xml:space="preserve">Khurana B, Arora D, Narang RK. FbD Supported Development and In Vitro Evaluation of Carbomer based Resveratrol Loaded Topical Antipsoriatic Nanoemulgel for its Targeted Skin Delivery. Pharm Nanotechnol. 2020;8(2):91–107. </w:t>
      </w:r>
    </w:p>
    <w:p w14:paraId="361F5D34" w14:textId="3B3F6705" w:rsidR="00523C16" w:rsidRPr="00523C16" w:rsidRDefault="00523C16" w:rsidP="00523C16">
      <w:pPr>
        <w:pStyle w:val="Bibliography"/>
        <w:rPr>
          <w:rFonts w:ascii="Calibri" w:hAnsi="Calibri" w:cs="Calibri"/>
        </w:rPr>
      </w:pPr>
      <w:r w:rsidRPr="00523C16">
        <w:rPr>
          <w:rFonts w:ascii="Calibri" w:hAnsi="Calibri" w:cs="Calibri"/>
        </w:rPr>
        <w:t>81.</w:t>
      </w:r>
      <w:r w:rsidRPr="00523C16">
        <w:rPr>
          <w:rFonts w:ascii="Calibri" w:hAnsi="Calibri" w:cs="Calibri"/>
        </w:rPr>
        <w:tab/>
        <w:t xml:space="preserve">Kik SV, Schumacher S, Cirillo DM, Churchyard G, Boehme C, Goletti D, et al. An evaluation framework for new tests that predict progression from tuberculosis infection to clinical disease. Eur Respir J. 2018 Oct;52(4):1800946. </w:t>
      </w:r>
    </w:p>
    <w:p w14:paraId="6C47681C" w14:textId="77777777" w:rsidR="00523C16" w:rsidRPr="00523C16" w:rsidRDefault="00523C16" w:rsidP="00523C16">
      <w:pPr>
        <w:pStyle w:val="Bibliography"/>
        <w:rPr>
          <w:rFonts w:ascii="Calibri" w:hAnsi="Calibri" w:cs="Calibri"/>
        </w:rPr>
      </w:pPr>
      <w:r w:rsidRPr="00523C16">
        <w:rPr>
          <w:rFonts w:ascii="Calibri" w:hAnsi="Calibri" w:cs="Calibri"/>
        </w:rPr>
        <w:t>82.</w:t>
      </w:r>
      <w:r w:rsidRPr="00523C16">
        <w:rPr>
          <w:rFonts w:ascii="Calibri" w:hAnsi="Calibri" w:cs="Calibri"/>
        </w:rPr>
        <w:tab/>
        <w:t xml:space="preserve">Killeen GF, Chitnis N, Moore SJ, Okumu FO. Target product profile choices for intra-domiciliary malaria vector control pesticide products: repel or kill? Malar J. 2011 Dec;10(1):207. </w:t>
      </w:r>
    </w:p>
    <w:p w14:paraId="0A71DA4F" w14:textId="77777777" w:rsidR="00523C16" w:rsidRPr="00523C16" w:rsidRDefault="00523C16" w:rsidP="00523C16">
      <w:pPr>
        <w:pStyle w:val="Bibliography"/>
        <w:rPr>
          <w:rFonts w:ascii="Calibri" w:hAnsi="Calibri" w:cs="Calibri"/>
        </w:rPr>
      </w:pPr>
      <w:r w:rsidRPr="00523C16">
        <w:rPr>
          <w:rFonts w:ascii="Calibri" w:hAnsi="Calibri" w:cs="Calibri"/>
        </w:rPr>
        <w:t>83.</w:t>
      </w:r>
      <w:r w:rsidRPr="00523C16">
        <w:rPr>
          <w:rFonts w:ascii="Calibri" w:hAnsi="Calibri" w:cs="Calibri"/>
        </w:rPr>
        <w:tab/>
        <w:t xml:space="preserve">Kondo H, Sako K. [Trade-offs in oral drug product development]. Yakugaku Zasshi. 2015;135(2):229–35. </w:t>
      </w:r>
    </w:p>
    <w:p w14:paraId="4CD0BDF9" w14:textId="0A60051C" w:rsidR="00523C16" w:rsidRPr="00523C16" w:rsidRDefault="00523C16" w:rsidP="00523C16">
      <w:pPr>
        <w:pStyle w:val="Bibliography"/>
        <w:rPr>
          <w:rFonts w:ascii="Calibri" w:hAnsi="Calibri" w:cs="Calibri"/>
        </w:rPr>
      </w:pPr>
      <w:r w:rsidRPr="00523C16">
        <w:rPr>
          <w:rFonts w:ascii="Calibri" w:hAnsi="Calibri" w:cs="Calibri"/>
        </w:rPr>
        <w:t>84.</w:t>
      </w:r>
      <w:r w:rsidRPr="00523C16">
        <w:rPr>
          <w:rFonts w:ascii="Calibri" w:hAnsi="Calibri" w:cs="Calibri"/>
        </w:rPr>
        <w:tab/>
        <w:t xml:space="preserve">Kotraiah V, Phares TW, Browne CD, Pannucci J, Mansour M, Noe AR, et al. Novel Peptide-Based PD1 Immunomodulators Demonstrate Efficacy in Infectious Disease Vaccines and Therapeutics. Front Immunol. 2020;11:264. </w:t>
      </w:r>
    </w:p>
    <w:p w14:paraId="7F14D8EA" w14:textId="77777777" w:rsidR="00523C16" w:rsidRPr="00523C16" w:rsidRDefault="00523C16" w:rsidP="00523C16">
      <w:pPr>
        <w:pStyle w:val="Bibliography"/>
        <w:rPr>
          <w:rFonts w:ascii="Calibri" w:hAnsi="Calibri" w:cs="Calibri"/>
        </w:rPr>
      </w:pPr>
      <w:r w:rsidRPr="00523C16">
        <w:rPr>
          <w:rFonts w:ascii="Calibri" w:hAnsi="Calibri" w:cs="Calibri"/>
        </w:rPr>
        <w:t>85.</w:t>
      </w:r>
      <w:r w:rsidRPr="00523C16">
        <w:rPr>
          <w:rFonts w:ascii="Calibri" w:hAnsi="Calibri" w:cs="Calibri"/>
        </w:rPr>
        <w:tab/>
        <w:t xml:space="preserve">Kruchten SD, Bacon KM, Lee BY. The impact of human immunodeficiency virus (HIV) co-infection on the economic burden of cutaneous leishmaniasis (CL) in Brazil and potential value of new CL  drug treatments. Am J Trop Med Hyg. 2014 Sep;91(3):520–7. </w:t>
      </w:r>
    </w:p>
    <w:p w14:paraId="5DD27295" w14:textId="20B0B1EE" w:rsidR="00523C16" w:rsidRPr="00523C16" w:rsidRDefault="00523C16" w:rsidP="00523C16">
      <w:pPr>
        <w:pStyle w:val="Bibliography"/>
        <w:rPr>
          <w:rFonts w:ascii="Calibri" w:hAnsi="Calibri" w:cs="Calibri"/>
        </w:rPr>
      </w:pPr>
      <w:r w:rsidRPr="00523C16">
        <w:rPr>
          <w:rFonts w:ascii="Calibri" w:hAnsi="Calibri" w:cs="Calibri"/>
        </w:rPr>
        <w:t>86.</w:t>
      </w:r>
      <w:r w:rsidRPr="00523C16">
        <w:rPr>
          <w:rFonts w:ascii="Calibri" w:hAnsi="Calibri" w:cs="Calibri"/>
        </w:rPr>
        <w:tab/>
        <w:t xml:space="preserve">Kumar K, Chupakhin V, Vos A, Morrison D, Rassokhin D, Dellwo MJ, et al. Development and implementation of an enterprise-wide predictive model for early absorption, distribution, metabolism and excretion properties. Future Med Chem. 2021 Oct;13(19):1639–54. </w:t>
      </w:r>
    </w:p>
    <w:p w14:paraId="6D82956B" w14:textId="35A6B820" w:rsidR="00523C16" w:rsidRPr="00523C16" w:rsidRDefault="00523C16" w:rsidP="00523C16">
      <w:pPr>
        <w:pStyle w:val="Bibliography"/>
        <w:rPr>
          <w:rFonts w:ascii="Calibri" w:hAnsi="Calibri" w:cs="Calibri"/>
        </w:rPr>
      </w:pPr>
      <w:r w:rsidRPr="00523C16">
        <w:rPr>
          <w:rFonts w:ascii="Calibri" w:hAnsi="Calibri" w:cs="Calibri"/>
        </w:rPr>
        <w:t>87.</w:t>
      </w:r>
      <w:r w:rsidRPr="00523C16">
        <w:rPr>
          <w:rFonts w:ascii="Calibri" w:hAnsi="Calibri" w:cs="Calibri"/>
        </w:rPr>
        <w:tab/>
        <w:t xml:space="preserve">Kumari P, Lavania S, Tyagi S, Dhiman A, Rath D, Anthwal D, et al. A novel aptamer-based test for the rapid and accurate diagnosis of pleural tuberculosis. Anal Biochem. 2019 Jan;564–565:80–7. </w:t>
      </w:r>
    </w:p>
    <w:p w14:paraId="45AB1B2A" w14:textId="57F27419" w:rsidR="00523C16" w:rsidRPr="00523C16" w:rsidRDefault="00523C16" w:rsidP="00523C16">
      <w:pPr>
        <w:pStyle w:val="Bibliography"/>
        <w:rPr>
          <w:rFonts w:ascii="Calibri" w:hAnsi="Calibri" w:cs="Calibri"/>
        </w:rPr>
      </w:pPr>
      <w:r w:rsidRPr="00523C16">
        <w:rPr>
          <w:rFonts w:ascii="Calibri" w:hAnsi="Calibri" w:cs="Calibri"/>
        </w:rPr>
        <w:t>88.</w:t>
      </w:r>
      <w:r w:rsidRPr="00523C16">
        <w:rPr>
          <w:rFonts w:ascii="Calibri" w:hAnsi="Calibri" w:cs="Calibri"/>
        </w:rPr>
        <w:tab/>
        <w:t xml:space="preserve">Kumari P, Dhiman A, Lavania S, Sharma P, Rath D, Anthwal D, et al. Assessment of DNA aptamers targeting GlcB and HspX antigens for application in the diagnosis of abdominal tuberculosis. Tuberculosis. 2022 May;134:102206. </w:t>
      </w:r>
    </w:p>
    <w:p w14:paraId="503DE64F" w14:textId="77777777" w:rsidR="00523C16" w:rsidRPr="00523C16" w:rsidRDefault="00523C16" w:rsidP="00523C16">
      <w:pPr>
        <w:pStyle w:val="Bibliography"/>
        <w:rPr>
          <w:rFonts w:ascii="Calibri" w:hAnsi="Calibri" w:cs="Calibri"/>
        </w:rPr>
      </w:pPr>
      <w:r w:rsidRPr="00523C16">
        <w:rPr>
          <w:rFonts w:ascii="Calibri" w:hAnsi="Calibri" w:cs="Calibri"/>
        </w:rPr>
        <w:t>89.</w:t>
      </w:r>
      <w:r w:rsidRPr="00523C16">
        <w:rPr>
          <w:rFonts w:ascii="Calibri" w:hAnsi="Calibri" w:cs="Calibri"/>
        </w:rPr>
        <w:tab/>
        <w:t xml:space="preserve">Lafeber I, Ruijgrok EJ, Guchelaar HJ, Schimmel KJM. 3D Printing of Pediatric Medication: The End of Bad Tasting Oral Liquids?-A Scoping Review. Pharmaceutics. 2022 Feb 14;14(2). </w:t>
      </w:r>
    </w:p>
    <w:p w14:paraId="71B94C8C" w14:textId="77777777" w:rsidR="00523C16" w:rsidRPr="00523C16" w:rsidRDefault="00523C16" w:rsidP="00523C16">
      <w:pPr>
        <w:pStyle w:val="Bibliography"/>
        <w:rPr>
          <w:rFonts w:ascii="Calibri" w:hAnsi="Calibri" w:cs="Calibri"/>
        </w:rPr>
      </w:pPr>
      <w:r w:rsidRPr="00523C16">
        <w:rPr>
          <w:rFonts w:ascii="Calibri" w:hAnsi="Calibri" w:cs="Calibri"/>
        </w:rPr>
        <w:t>90.</w:t>
      </w:r>
      <w:r w:rsidRPr="00523C16">
        <w:rPr>
          <w:rFonts w:ascii="Calibri" w:hAnsi="Calibri" w:cs="Calibri"/>
        </w:rPr>
        <w:tab/>
        <w:t xml:space="preserve">Lee BY, McGlone SM. Pricing of new vaccines. Hum Vaccin. 2010 Aug;6(8):619–26. </w:t>
      </w:r>
    </w:p>
    <w:p w14:paraId="6CBA8D9E" w14:textId="77777777" w:rsidR="00523C16" w:rsidRPr="00523C16" w:rsidRDefault="00523C16" w:rsidP="00523C16">
      <w:pPr>
        <w:pStyle w:val="Bibliography"/>
        <w:rPr>
          <w:rFonts w:ascii="Calibri" w:hAnsi="Calibri" w:cs="Calibri"/>
        </w:rPr>
      </w:pPr>
      <w:r w:rsidRPr="00523C16">
        <w:rPr>
          <w:rFonts w:ascii="Calibri" w:hAnsi="Calibri" w:cs="Calibri"/>
        </w:rPr>
        <w:t>91.</w:t>
      </w:r>
      <w:r w:rsidRPr="00523C16">
        <w:rPr>
          <w:rFonts w:ascii="Calibri" w:hAnsi="Calibri" w:cs="Calibri"/>
        </w:rPr>
        <w:tab/>
        <w:t xml:space="preserve">Lingg N, Zhang P, Song Z, Bardor M. The sweet tooth of biopharmaceuticals: importance of recombinant protein glycosylation analysis. Biotechnol J. 2012 Dec;7(12):1462–72. </w:t>
      </w:r>
    </w:p>
    <w:p w14:paraId="4BD7E2DB" w14:textId="0B5CC012" w:rsidR="00523C16" w:rsidRPr="00523C16" w:rsidRDefault="00523C16" w:rsidP="00523C16">
      <w:pPr>
        <w:pStyle w:val="Bibliography"/>
        <w:rPr>
          <w:rFonts w:ascii="Calibri" w:hAnsi="Calibri" w:cs="Calibri"/>
        </w:rPr>
      </w:pPr>
      <w:r w:rsidRPr="00523C16">
        <w:rPr>
          <w:rFonts w:ascii="Calibri" w:hAnsi="Calibri" w:cs="Calibri"/>
        </w:rPr>
        <w:t>92.</w:t>
      </w:r>
      <w:r w:rsidRPr="00523C16">
        <w:rPr>
          <w:rFonts w:ascii="Calibri" w:hAnsi="Calibri" w:cs="Calibri"/>
        </w:rPr>
        <w:tab/>
        <w:t xml:space="preserve">Liu H, Rivnay B, Avery K, Myung JH, Kozak D, Landrau N, et al. Optimization of the manufacturing process of a complex amphotericin B liposomal formulation using quality by design approach. Int J Pharm. 2020 Jul;585:119473. </w:t>
      </w:r>
    </w:p>
    <w:p w14:paraId="3426BA29" w14:textId="004135FB" w:rsidR="00523C16" w:rsidRPr="00523C16" w:rsidRDefault="00523C16" w:rsidP="00523C16">
      <w:pPr>
        <w:pStyle w:val="Bibliography"/>
        <w:rPr>
          <w:rFonts w:ascii="Calibri" w:hAnsi="Calibri" w:cs="Calibri"/>
        </w:rPr>
      </w:pPr>
      <w:r w:rsidRPr="00523C16">
        <w:rPr>
          <w:rFonts w:ascii="Calibri" w:hAnsi="Calibri" w:cs="Calibri"/>
        </w:rPr>
        <w:t>93.</w:t>
      </w:r>
      <w:r w:rsidRPr="00523C16">
        <w:rPr>
          <w:rFonts w:ascii="Calibri" w:hAnsi="Calibri" w:cs="Calibri"/>
        </w:rPr>
        <w:tab/>
        <w:t xml:space="preserve">Llibre A, Shimakawa Y, Mottez E, Ainsworth S, Buivan TP, Firth R, et al. Development and clinical validation of the Genedrive point-of-care test for qualitative detection of hepatitis C virus. Gut. 2018 Nov;67(11):2017–24. </w:t>
      </w:r>
    </w:p>
    <w:p w14:paraId="4CC07F20" w14:textId="60C07D94" w:rsidR="00523C16" w:rsidRPr="00523C16" w:rsidRDefault="00523C16" w:rsidP="00523C16">
      <w:pPr>
        <w:pStyle w:val="Bibliography"/>
        <w:rPr>
          <w:rFonts w:ascii="Calibri" w:hAnsi="Calibri" w:cs="Calibri"/>
        </w:rPr>
      </w:pPr>
      <w:r w:rsidRPr="00523C16">
        <w:rPr>
          <w:rFonts w:ascii="Calibri" w:hAnsi="Calibri" w:cs="Calibri"/>
        </w:rPr>
        <w:t>94.</w:t>
      </w:r>
      <w:r w:rsidRPr="00523C16">
        <w:rPr>
          <w:rFonts w:ascii="Calibri" w:hAnsi="Calibri" w:cs="Calibri"/>
        </w:rPr>
        <w:tab/>
        <w:t xml:space="preserve">Love MS, Beasley FC, Jumani RS, Wright TM, Chatterjee AK, Huston CD, et al. A high-throughput phenotypic screen identifies clofazimine as a potential treatment for cryptosporidiosis. Geary TG, editor. PLoS Negl Trop Dis. 2017 Feb 3;11(2):e0005373. </w:t>
      </w:r>
    </w:p>
    <w:p w14:paraId="0FD9CC5D" w14:textId="539E74BA" w:rsidR="00523C16" w:rsidRPr="00523C16" w:rsidRDefault="00523C16" w:rsidP="00523C16">
      <w:pPr>
        <w:pStyle w:val="Bibliography"/>
        <w:rPr>
          <w:rFonts w:ascii="Calibri" w:hAnsi="Calibri" w:cs="Calibri"/>
        </w:rPr>
      </w:pPr>
      <w:r w:rsidRPr="00523C16">
        <w:rPr>
          <w:rFonts w:ascii="Calibri" w:hAnsi="Calibri" w:cs="Calibri"/>
        </w:rPr>
        <w:lastRenderedPageBreak/>
        <w:t>95.</w:t>
      </w:r>
      <w:r w:rsidRPr="00523C16">
        <w:rPr>
          <w:rFonts w:ascii="Calibri" w:hAnsi="Calibri" w:cs="Calibri"/>
        </w:rPr>
        <w:tab/>
        <w:t xml:space="preserve">Luciani F, Galluzzo S, Gaggioli A, Kruse NA, Venneugues P, Schneider CK, et al. Implementing quality by design for biotech products: Are regulators on track? mAbs. 2015;7(3):451–5. </w:t>
      </w:r>
    </w:p>
    <w:p w14:paraId="3181C82E" w14:textId="77777777" w:rsidR="00523C16" w:rsidRPr="00523C16" w:rsidRDefault="00523C16" w:rsidP="00523C16">
      <w:pPr>
        <w:pStyle w:val="Bibliography"/>
        <w:rPr>
          <w:rFonts w:ascii="Calibri" w:hAnsi="Calibri" w:cs="Calibri"/>
        </w:rPr>
      </w:pPr>
      <w:r w:rsidRPr="00523C16">
        <w:rPr>
          <w:rFonts w:ascii="Calibri" w:hAnsi="Calibri" w:cs="Calibri"/>
        </w:rPr>
        <w:t>96.</w:t>
      </w:r>
      <w:r w:rsidRPr="00523C16">
        <w:rPr>
          <w:rFonts w:ascii="Calibri" w:hAnsi="Calibri" w:cs="Calibri"/>
        </w:rPr>
        <w:tab/>
        <w:t xml:space="preserve">Lujan H, Griffin WC, Taube JH, Sayes CM. Synthesis and characterization of nanometer-sized liposomes for encapsulation and microRNA transfer to breast cancer cells. Int J Nanomedicine. 2019;14:5159–73. </w:t>
      </w:r>
    </w:p>
    <w:p w14:paraId="5AE94F9F" w14:textId="77777777" w:rsidR="00523C16" w:rsidRPr="00523C16" w:rsidRDefault="00523C16" w:rsidP="00523C16">
      <w:pPr>
        <w:pStyle w:val="Bibliography"/>
        <w:rPr>
          <w:rFonts w:ascii="Calibri" w:hAnsi="Calibri" w:cs="Calibri"/>
        </w:rPr>
      </w:pPr>
      <w:r w:rsidRPr="00523C16">
        <w:rPr>
          <w:rFonts w:ascii="Calibri" w:hAnsi="Calibri" w:cs="Calibri"/>
        </w:rPr>
        <w:t>97.</w:t>
      </w:r>
      <w:r w:rsidRPr="00523C16">
        <w:rPr>
          <w:rFonts w:ascii="Calibri" w:hAnsi="Calibri" w:cs="Calibri"/>
        </w:rPr>
        <w:tab/>
        <w:t xml:space="preserve">Lukashevich IS, Paessler S, de la Torre JC. Lassa virus diversity and feasibility for universal prophylactic vaccine. F1000Research. 2019;8:F1000 Faculty Rev-134. </w:t>
      </w:r>
    </w:p>
    <w:p w14:paraId="43A06878" w14:textId="00F0E342" w:rsidR="00523C16" w:rsidRPr="00523C16" w:rsidRDefault="00523C16" w:rsidP="00523C16">
      <w:pPr>
        <w:pStyle w:val="Bibliography"/>
        <w:rPr>
          <w:rFonts w:ascii="Calibri" w:hAnsi="Calibri" w:cs="Calibri"/>
        </w:rPr>
      </w:pPr>
      <w:r w:rsidRPr="00523C16">
        <w:rPr>
          <w:rFonts w:ascii="Calibri" w:hAnsi="Calibri" w:cs="Calibri"/>
        </w:rPr>
        <w:t>98.</w:t>
      </w:r>
      <w:r w:rsidRPr="00523C16">
        <w:rPr>
          <w:rFonts w:ascii="Calibri" w:hAnsi="Calibri" w:cs="Calibri"/>
        </w:rPr>
        <w:tab/>
        <w:t xml:space="preserve">Lyu M, Cheng Y, Zhou J, Chong W, Wang Y, Xu W, et al. Systematic evaluation, verification and comparison of tuberculosis‐related non‐coding RNA diagnostic panels. J Cell Mol Med. 2021 Jan;25(1):184–202. </w:t>
      </w:r>
    </w:p>
    <w:p w14:paraId="7BD49809" w14:textId="344B0CBB" w:rsidR="00523C16" w:rsidRPr="00523C16" w:rsidRDefault="00523C16" w:rsidP="00523C16">
      <w:pPr>
        <w:pStyle w:val="Bibliography"/>
        <w:rPr>
          <w:rFonts w:ascii="Calibri" w:hAnsi="Calibri" w:cs="Calibri"/>
        </w:rPr>
      </w:pPr>
      <w:r w:rsidRPr="00523C16">
        <w:rPr>
          <w:rFonts w:ascii="Calibri" w:hAnsi="Calibri" w:cs="Calibri"/>
        </w:rPr>
        <w:t>99.</w:t>
      </w:r>
      <w:r w:rsidRPr="00523C16">
        <w:rPr>
          <w:rFonts w:ascii="Calibri" w:hAnsi="Calibri" w:cs="Calibri"/>
        </w:rPr>
        <w:tab/>
        <w:t xml:space="preserve">Mabille D, Ilbeigi K, Hendrickx S, Ungogo MA, Hulpia F, Lin C, et al. Nucleoside analogues for the treatment of animal trypanosomiasis. Int J Parasitol Drugs Drug Resist. 2022 Aug;19:21–30. </w:t>
      </w:r>
    </w:p>
    <w:p w14:paraId="25D9864F" w14:textId="77777777" w:rsidR="00523C16" w:rsidRPr="00523C16" w:rsidRDefault="00523C16" w:rsidP="00523C16">
      <w:pPr>
        <w:pStyle w:val="Bibliography"/>
        <w:rPr>
          <w:rFonts w:ascii="Calibri" w:hAnsi="Calibri" w:cs="Calibri"/>
        </w:rPr>
      </w:pPr>
      <w:r w:rsidRPr="00523C16">
        <w:rPr>
          <w:rFonts w:ascii="Calibri" w:hAnsi="Calibri" w:cs="Calibri"/>
        </w:rPr>
        <w:t>100.</w:t>
      </w:r>
      <w:r w:rsidRPr="00523C16">
        <w:rPr>
          <w:rFonts w:ascii="Calibri" w:hAnsi="Calibri" w:cs="Calibri"/>
        </w:rPr>
        <w:tab/>
        <w:t xml:space="preserve">MacLean E, Broger T, Yerlikaya S, Fernandez-Carballo BL, Pai M, Denkinger CM. A systematic review of biomarkers to detect active tuberculosis. Nat Microbiol. 2019 May;4(5):748–58. </w:t>
      </w:r>
    </w:p>
    <w:p w14:paraId="2502540D" w14:textId="3E342CCA" w:rsidR="00523C16" w:rsidRPr="00523C16" w:rsidRDefault="00523C16" w:rsidP="00523C16">
      <w:pPr>
        <w:pStyle w:val="Bibliography"/>
        <w:rPr>
          <w:rFonts w:ascii="Calibri" w:hAnsi="Calibri" w:cs="Calibri"/>
        </w:rPr>
      </w:pPr>
      <w:r w:rsidRPr="00523C16">
        <w:rPr>
          <w:rFonts w:ascii="Calibri" w:hAnsi="Calibri" w:cs="Calibri"/>
        </w:rPr>
        <w:t>101.</w:t>
      </w:r>
      <w:r w:rsidRPr="00523C16">
        <w:rPr>
          <w:rFonts w:ascii="Calibri" w:hAnsi="Calibri" w:cs="Calibri"/>
        </w:rPr>
        <w:tab/>
        <w:t xml:space="preserve">Makepeace BL, Jensen SA, Laney SJ, Nfon CK, Njongmeta LM, Tanya VN, et al. Immunisation with a multivalent, subunit vaccine reduces patent infection in a natural bovine model of onchocerciasis during intense field exposure. PLoS Negl Trop Dis. 2009 Nov 10;3(11):e544. </w:t>
      </w:r>
    </w:p>
    <w:p w14:paraId="655F37E9" w14:textId="72A711F7" w:rsidR="00523C16" w:rsidRPr="00523C16" w:rsidRDefault="00523C16" w:rsidP="00523C16">
      <w:pPr>
        <w:pStyle w:val="Bibliography"/>
        <w:rPr>
          <w:rFonts w:ascii="Calibri" w:hAnsi="Calibri" w:cs="Calibri"/>
        </w:rPr>
      </w:pPr>
      <w:r w:rsidRPr="00523C16">
        <w:rPr>
          <w:rFonts w:ascii="Calibri" w:hAnsi="Calibri" w:cs="Calibri"/>
        </w:rPr>
        <w:t>102.</w:t>
      </w:r>
      <w:r w:rsidRPr="00523C16">
        <w:rPr>
          <w:rFonts w:ascii="Calibri" w:hAnsi="Calibri" w:cs="Calibri"/>
        </w:rPr>
        <w:tab/>
        <w:t xml:space="preserve">Malebo HM, D’Alessandro S, Ebstie YA, Sorè H, Tenoh Guedoung AR, Katani SJ, et al. In vitro Multistage Malaria Transmission Blocking Activity of Selected Malaria Box Compounds. Drug Des Devel Ther. 2020;14:1593–607. </w:t>
      </w:r>
    </w:p>
    <w:p w14:paraId="10F0C089" w14:textId="77777777" w:rsidR="00523C16" w:rsidRPr="00523C16" w:rsidRDefault="00523C16" w:rsidP="00523C16">
      <w:pPr>
        <w:pStyle w:val="Bibliography"/>
        <w:rPr>
          <w:rFonts w:ascii="Calibri" w:hAnsi="Calibri" w:cs="Calibri"/>
        </w:rPr>
      </w:pPr>
      <w:r w:rsidRPr="00523C16">
        <w:rPr>
          <w:rFonts w:ascii="Calibri" w:hAnsi="Calibri" w:cs="Calibri"/>
        </w:rPr>
        <w:t>103.</w:t>
      </w:r>
      <w:r w:rsidRPr="00523C16">
        <w:rPr>
          <w:rFonts w:ascii="Calibri" w:hAnsi="Calibri" w:cs="Calibri"/>
        </w:rPr>
        <w:tab/>
        <w:t xml:space="preserve">Manga S, Perales R, Reaño M, D’Ambrosio L, Migliori GB, Amicosante M. Performance of a lateral flow immunochromatography test for the rapid diagnosis of active tuberculosis in a large multicentre study in areas with different clinical settings and tuberculosis exposure levels. J Thorac Dis. 2016 Nov;8(11):3307–13. </w:t>
      </w:r>
    </w:p>
    <w:p w14:paraId="7F1707E8" w14:textId="0E692B51" w:rsidR="00523C16" w:rsidRPr="00523C16" w:rsidRDefault="00523C16" w:rsidP="00523C16">
      <w:pPr>
        <w:pStyle w:val="Bibliography"/>
        <w:rPr>
          <w:rFonts w:ascii="Calibri" w:hAnsi="Calibri" w:cs="Calibri"/>
        </w:rPr>
      </w:pPr>
      <w:r w:rsidRPr="00523C16">
        <w:rPr>
          <w:rFonts w:ascii="Calibri" w:hAnsi="Calibri" w:cs="Calibri"/>
        </w:rPr>
        <w:t>104.</w:t>
      </w:r>
      <w:r w:rsidRPr="00523C16">
        <w:rPr>
          <w:rFonts w:ascii="Calibri" w:hAnsi="Calibri" w:cs="Calibri"/>
        </w:rPr>
        <w:tab/>
        <w:t xml:space="preserve">Marcantonio DH, Matteson A, Presler M, Burke JM, Hagen DR, Hua F, et al. Early Feasibility Assessment: A Method for Accurately Predicting Biotherapeutic Dosing to Inform Early Drug Discovery Decisions. Front Pharmacol. 2022;13:864768. </w:t>
      </w:r>
    </w:p>
    <w:p w14:paraId="31973BB4" w14:textId="77777777" w:rsidR="00523C16" w:rsidRPr="00523C16" w:rsidRDefault="00523C16" w:rsidP="00523C16">
      <w:pPr>
        <w:pStyle w:val="Bibliography"/>
        <w:rPr>
          <w:rFonts w:ascii="Calibri" w:hAnsi="Calibri" w:cs="Calibri"/>
        </w:rPr>
      </w:pPr>
      <w:r w:rsidRPr="00523C16">
        <w:rPr>
          <w:rFonts w:ascii="Calibri" w:hAnsi="Calibri" w:cs="Calibri"/>
        </w:rPr>
        <w:t>105.</w:t>
      </w:r>
      <w:r w:rsidRPr="00523C16">
        <w:rPr>
          <w:rFonts w:ascii="Calibri" w:hAnsi="Calibri" w:cs="Calibri"/>
        </w:rPr>
        <w:tab/>
        <w:t xml:space="preserve">Marie AA, Salim MM, Kamal AH, Hammad SF, Elkhoudary MM. Analytical quality by design based on design space in reversed-phase-high performance liquid chromatography analysis for simultaneous estimation of  metformin, linagliptin and empagliflozin. R Soc Open Sci. 2022 Jun;9(6):220215. </w:t>
      </w:r>
    </w:p>
    <w:p w14:paraId="11DA3BF0" w14:textId="77777777" w:rsidR="00523C16" w:rsidRPr="00523C16" w:rsidRDefault="00523C16" w:rsidP="00523C16">
      <w:pPr>
        <w:pStyle w:val="Bibliography"/>
        <w:rPr>
          <w:rFonts w:ascii="Calibri" w:hAnsi="Calibri" w:cs="Calibri"/>
        </w:rPr>
      </w:pPr>
      <w:r w:rsidRPr="00523C16">
        <w:rPr>
          <w:rFonts w:ascii="Calibri" w:hAnsi="Calibri" w:cs="Calibri"/>
        </w:rPr>
        <w:t>106.</w:t>
      </w:r>
      <w:r w:rsidRPr="00523C16">
        <w:rPr>
          <w:rFonts w:ascii="Calibri" w:hAnsi="Calibri" w:cs="Calibri"/>
        </w:rPr>
        <w:tab/>
        <w:t xml:space="preserve">Marshall JM, Raban RR, Kandul NP, Edula JR, León TM, Akbari OS. Winning the Tug-of-War Between Effector Gene Design and Pathogen Evolution in Vector Population Replacement Strategies. Front Genet. 2019;10:1072. </w:t>
      </w:r>
    </w:p>
    <w:p w14:paraId="7C3A2DF7" w14:textId="77777777" w:rsidR="00523C16" w:rsidRPr="00B76B43" w:rsidRDefault="00523C16" w:rsidP="00523C16">
      <w:pPr>
        <w:pStyle w:val="Bibliography"/>
        <w:rPr>
          <w:rFonts w:ascii="Calibri" w:hAnsi="Calibri" w:cs="Calibri"/>
          <w:lang w:val="it-IT"/>
        </w:rPr>
      </w:pPr>
      <w:r w:rsidRPr="00523C16">
        <w:rPr>
          <w:rFonts w:ascii="Calibri" w:hAnsi="Calibri" w:cs="Calibri"/>
        </w:rPr>
        <w:t>107.</w:t>
      </w:r>
      <w:r w:rsidRPr="00523C16">
        <w:rPr>
          <w:rFonts w:ascii="Calibri" w:hAnsi="Calibri" w:cs="Calibri"/>
        </w:rPr>
        <w:tab/>
        <w:t xml:space="preserve">Martín-Escolano J, Marín C, Rosales MJ, Tsaousis AD, Medina-Carmona E, Martín-Escolano R. An Updated View of the </w:t>
      </w:r>
      <w:r w:rsidRPr="00523C16">
        <w:rPr>
          <w:rFonts w:ascii="Calibri" w:hAnsi="Calibri" w:cs="Calibri"/>
          <w:i/>
          <w:iCs/>
        </w:rPr>
        <w:t>Trypanosoma cruzi</w:t>
      </w:r>
      <w:r w:rsidRPr="00523C16">
        <w:rPr>
          <w:rFonts w:ascii="Calibri" w:hAnsi="Calibri" w:cs="Calibri"/>
        </w:rPr>
        <w:t xml:space="preserve"> Life Cycle: Intervention Points for an Effective Treatment. </w:t>
      </w:r>
      <w:r w:rsidRPr="00B76B43">
        <w:rPr>
          <w:rFonts w:ascii="Calibri" w:hAnsi="Calibri" w:cs="Calibri"/>
          <w:lang w:val="it-IT"/>
        </w:rPr>
        <w:t xml:space="preserve">ACS Infect Dis. 2022 Jun 10;8(6):1107–15. </w:t>
      </w:r>
    </w:p>
    <w:p w14:paraId="5F025D61" w14:textId="73AF7C31" w:rsidR="00523C16" w:rsidRPr="00523C16" w:rsidRDefault="00523C16" w:rsidP="00523C16">
      <w:pPr>
        <w:pStyle w:val="Bibliography"/>
        <w:rPr>
          <w:rFonts w:ascii="Calibri" w:hAnsi="Calibri" w:cs="Calibri"/>
        </w:rPr>
      </w:pPr>
      <w:r w:rsidRPr="00B76B43">
        <w:rPr>
          <w:rFonts w:ascii="Calibri" w:hAnsi="Calibri" w:cs="Calibri"/>
          <w:lang w:val="it-IT"/>
        </w:rPr>
        <w:t>108.</w:t>
      </w:r>
      <w:r w:rsidRPr="00B76B43">
        <w:rPr>
          <w:rFonts w:ascii="Calibri" w:hAnsi="Calibri" w:cs="Calibri"/>
          <w:lang w:val="it-IT"/>
        </w:rPr>
        <w:tab/>
        <w:t xml:space="preserve">Martín-Escolano R, Molina-Carreño D, Plano D, Espuelas S, Rosales MJ, Moreno E, et al. </w:t>
      </w:r>
      <w:r w:rsidRPr="00523C16">
        <w:rPr>
          <w:rFonts w:ascii="Calibri" w:hAnsi="Calibri" w:cs="Calibri"/>
        </w:rPr>
        <w:t xml:space="preserve">Library of Selenocyanate and Diselenide Derivatives as In Vivo Antichagasic Compounds Targeting Trypanosoma cruzi Mitochondrion. Pharmaceuticals. 2021 May 1;14(5):419. </w:t>
      </w:r>
    </w:p>
    <w:p w14:paraId="78C54DCB" w14:textId="77777777" w:rsidR="00523C16" w:rsidRPr="00523C16" w:rsidRDefault="00523C16" w:rsidP="00523C16">
      <w:pPr>
        <w:pStyle w:val="Bibliography"/>
        <w:rPr>
          <w:rFonts w:ascii="Calibri" w:hAnsi="Calibri" w:cs="Calibri"/>
        </w:rPr>
      </w:pPr>
      <w:r w:rsidRPr="00523C16">
        <w:rPr>
          <w:rFonts w:ascii="Calibri" w:hAnsi="Calibri" w:cs="Calibri"/>
        </w:rPr>
        <w:t>109.</w:t>
      </w:r>
      <w:r w:rsidRPr="00523C16">
        <w:rPr>
          <w:rFonts w:ascii="Calibri" w:hAnsi="Calibri" w:cs="Calibri"/>
        </w:rPr>
        <w:tab/>
        <w:t xml:space="preserve">Martinez-Marquez D, Delmar Y, Sun S, Stewart RA. Exploring Macroporosity of Additively Manufactured Titanium Metamaterials for Bone Regeneration with Quality by Design: A Systematic Literature Review. Materials. 2020 Oct 27;13(21):4794. </w:t>
      </w:r>
    </w:p>
    <w:p w14:paraId="444652BE" w14:textId="77777777" w:rsidR="00523C16" w:rsidRPr="00523C16" w:rsidRDefault="00523C16" w:rsidP="00523C16">
      <w:pPr>
        <w:pStyle w:val="Bibliography"/>
        <w:rPr>
          <w:rFonts w:ascii="Calibri" w:hAnsi="Calibri" w:cs="Calibri"/>
        </w:rPr>
      </w:pPr>
      <w:r w:rsidRPr="00523C16">
        <w:rPr>
          <w:rFonts w:ascii="Calibri" w:hAnsi="Calibri" w:cs="Calibri"/>
        </w:rPr>
        <w:lastRenderedPageBreak/>
        <w:t>110.</w:t>
      </w:r>
      <w:r w:rsidRPr="00523C16">
        <w:rPr>
          <w:rFonts w:ascii="Calibri" w:hAnsi="Calibri" w:cs="Calibri"/>
        </w:rPr>
        <w:tab/>
        <w:t xml:space="preserve">Mduluza T, Mutapi F. Putting the treatment of paediatric schistosomiasis into context. Infect Dis Poverty. 2017 Dec;6(1):85. </w:t>
      </w:r>
    </w:p>
    <w:p w14:paraId="58E10F60" w14:textId="2E3C65BA" w:rsidR="00523C16" w:rsidRPr="00523C16" w:rsidRDefault="00523C16" w:rsidP="00523C16">
      <w:pPr>
        <w:pStyle w:val="Bibliography"/>
        <w:rPr>
          <w:rFonts w:ascii="Calibri" w:hAnsi="Calibri" w:cs="Calibri"/>
        </w:rPr>
      </w:pPr>
      <w:r w:rsidRPr="00523C16">
        <w:rPr>
          <w:rFonts w:ascii="Calibri" w:hAnsi="Calibri" w:cs="Calibri"/>
        </w:rPr>
        <w:t>111.</w:t>
      </w:r>
      <w:r w:rsidRPr="00523C16">
        <w:rPr>
          <w:rFonts w:ascii="Calibri" w:hAnsi="Calibri" w:cs="Calibri"/>
        </w:rPr>
        <w:tab/>
        <w:t xml:space="preserve">Mendelsohn SC, Fiore-Gartland A, Penn-Nicholson A, Mulenga H, Mbandi SK, Borate B, et al. Validation of a host blood transcriptomic biomarker for pulmonary tuberculosis in people living with HIV: a prospective diagnostic and prognostic accuracy study. Lancet Glob Health. 2021 Jun;9(6):e841–53. </w:t>
      </w:r>
    </w:p>
    <w:p w14:paraId="4D17B33C" w14:textId="5E176935" w:rsidR="00523C16" w:rsidRPr="00523C16" w:rsidRDefault="00523C16" w:rsidP="00523C16">
      <w:pPr>
        <w:pStyle w:val="Bibliography"/>
        <w:rPr>
          <w:rFonts w:ascii="Calibri" w:hAnsi="Calibri" w:cs="Calibri"/>
        </w:rPr>
      </w:pPr>
      <w:r w:rsidRPr="00523C16">
        <w:rPr>
          <w:rFonts w:ascii="Calibri" w:hAnsi="Calibri" w:cs="Calibri"/>
        </w:rPr>
        <w:t>112.</w:t>
      </w:r>
      <w:r w:rsidRPr="00523C16">
        <w:rPr>
          <w:rFonts w:ascii="Calibri" w:hAnsi="Calibri" w:cs="Calibri"/>
        </w:rPr>
        <w:tab/>
        <w:t xml:space="preserve">Meyer AJ, Ochom E, Turimumahoro P, Byanyima P, Sanyu I, Lalitha R, et al. C-Reactive Protein Testing for Active Tuberculosis among Inpatients without HIV in Uganda: a Diagnostic Accuracy Study. Diekema DJ, editor. J Clin Microbiol. 2020 Dec 17;59(1):e02162-20. </w:t>
      </w:r>
    </w:p>
    <w:p w14:paraId="2143EB14" w14:textId="77777777" w:rsidR="00523C16" w:rsidRPr="00523C16" w:rsidRDefault="00523C16" w:rsidP="00523C16">
      <w:pPr>
        <w:pStyle w:val="Bibliography"/>
        <w:rPr>
          <w:rFonts w:ascii="Calibri" w:hAnsi="Calibri" w:cs="Calibri"/>
        </w:rPr>
      </w:pPr>
      <w:r w:rsidRPr="00523C16">
        <w:rPr>
          <w:rFonts w:ascii="Calibri" w:hAnsi="Calibri" w:cs="Calibri"/>
        </w:rPr>
        <w:t>113.</w:t>
      </w:r>
      <w:r w:rsidRPr="00523C16">
        <w:rPr>
          <w:rFonts w:ascii="Calibri" w:hAnsi="Calibri" w:cs="Calibri"/>
        </w:rPr>
        <w:tab/>
        <w:t xml:space="preserve">Michel MC, Michel-Reher MB, Hein P. A Systematic Review of Inverse Agonism at Adrenoceptor Subtypes. Cells. 2020 Aug 19;9(9):1923. </w:t>
      </w:r>
    </w:p>
    <w:p w14:paraId="459E0F6B" w14:textId="432C11E3" w:rsidR="00523C16" w:rsidRPr="00523C16" w:rsidRDefault="00523C16" w:rsidP="00523C16">
      <w:pPr>
        <w:pStyle w:val="Bibliography"/>
        <w:rPr>
          <w:rFonts w:ascii="Calibri" w:hAnsi="Calibri" w:cs="Calibri"/>
        </w:rPr>
      </w:pPr>
      <w:r w:rsidRPr="00523C16">
        <w:rPr>
          <w:rFonts w:ascii="Calibri" w:hAnsi="Calibri" w:cs="Calibri"/>
        </w:rPr>
        <w:t>114.</w:t>
      </w:r>
      <w:r w:rsidRPr="00523C16">
        <w:rPr>
          <w:rFonts w:ascii="Calibri" w:hAnsi="Calibri" w:cs="Calibri"/>
        </w:rPr>
        <w:tab/>
        <w:t xml:space="preserve">Milner E, McCalmont W, Bhonsle J, Caridha D, Carroll D, Gardner S, et al. Structure–activity relationships amongst 4-position quinoline methanol antimalarials that inhibit the growth of drug sensitive and resistant strains of Plasmodium falciparum. Bioorg Med Chem Lett. 2010 Feb;20(4):1347–51. </w:t>
      </w:r>
    </w:p>
    <w:p w14:paraId="5BC25BB4" w14:textId="77777777" w:rsidR="00523C16" w:rsidRPr="00523C16" w:rsidRDefault="00523C16" w:rsidP="00523C16">
      <w:pPr>
        <w:pStyle w:val="Bibliography"/>
        <w:rPr>
          <w:rFonts w:ascii="Calibri" w:hAnsi="Calibri" w:cs="Calibri"/>
        </w:rPr>
      </w:pPr>
      <w:r w:rsidRPr="00523C16">
        <w:rPr>
          <w:rFonts w:ascii="Calibri" w:hAnsi="Calibri" w:cs="Calibri"/>
        </w:rPr>
        <w:t>115.</w:t>
      </w:r>
      <w:r w:rsidRPr="00523C16">
        <w:rPr>
          <w:rFonts w:ascii="Calibri" w:hAnsi="Calibri" w:cs="Calibri"/>
        </w:rPr>
        <w:tab/>
        <w:t xml:space="preserve">Valverde Mordt O, Tarral A, Strub-Wourgaft N. Development and Introduction of Fexinidazole into the Global Human African Trypanosomiasis Program. Am J Trop Med Hyg. 2022 Mar 15;106(5 Suppl):61–6. </w:t>
      </w:r>
    </w:p>
    <w:p w14:paraId="4A44EE71" w14:textId="0CB70011" w:rsidR="00523C16" w:rsidRPr="00523C16" w:rsidRDefault="00523C16" w:rsidP="00523C16">
      <w:pPr>
        <w:pStyle w:val="Bibliography"/>
        <w:rPr>
          <w:rFonts w:ascii="Calibri" w:hAnsi="Calibri" w:cs="Calibri"/>
        </w:rPr>
      </w:pPr>
      <w:r w:rsidRPr="00523C16">
        <w:rPr>
          <w:rFonts w:ascii="Calibri" w:hAnsi="Calibri" w:cs="Calibri"/>
        </w:rPr>
        <w:t>116.</w:t>
      </w:r>
      <w:r w:rsidRPr="00523C16">
        <w:rPr>
          <w:rFonts w:ascii="Calibri" w:hAnsi="Calibri" w:cs="Calibri"/>
        </w:rPr>
        <w:tab/>
        <w:t xml:space="preserve">Moreira FMF, Verma R, Pereira Dos Santos PC, Leite A, da Silva Santos A, de Araujo RCP, et al. Blood-based host biomarker diagnostics in active case finding for pulmonary tuberculosis: A diagnostic case-control study. EClinicalMedicine. 2021 Mar;33:100776. </w:t>
      </w:r>
    </w:p>
    <w:p w14:paraId="517C4E06" w14:textId="638A5468" w:rsidR="00523C16" w:rsidRPr="00523C16" w:rsidRDefault="00523C16" w:rsidP="00523C16">
      <w:pPr>
        <w:pStyle w:val="Bibliography"/>
        <w:rPr>
          <w:rFonts w:ascii="Calibri" w:hAnsi="Calibri" w:cs="Calibri"/>
        </w:rPr>
      </w:pPr>
      <w:r w:rsidRPr="00523C16">
        <w:rPr>
          <w:rFonts w:ascii="Calibri" w:hAnsi="Calibri" w:cs="Calibri"/>
        </w:rPr>
        <w:t>117.</w:t>
      </w:r>
      <w:r w:rsidRPr="00523C16">
        <w:rPr>
          <w:rFonts w:ascii="Calibri" w:hAnsi="Calibri" w:cs="Calibri"/>
        </w:rPr>
        <w:tab/>
        <w:t xml:space="preserve">Mukadi-Bamuleka D, Bulabula-Penge J, De Weggheleire A, Jacobs BKM, Edidi-Atani F, Mambu-Mbika F, et al. Field performance of three Ebola rapid diagnostic tests used during the 2018-20 outbreak in the eastern Democratic Republic of the Congo: a retrospective,  multicentre observational study. Lancet Infect Dis. 2022 Jun;22(6):891–900. </w:t>
      </w:r>
    </w:p>
    <w:p w14:paraId="28CA2861" w14:textId="4CD4F784" w:rsidR="00523C16" w:rsidRPr="00523C16" w:rsidRDefault="00523C16" w:rsidP="00523C16">
      <w:pPr>
        <w:pStyle w:val="Bibliography"/>
        <w:rPr>
          <w:rFonts w:ascii="Calibri" w:hAnsi="Calibri" w:cs="Calibri"/>
        </w:rPr>
      </w:pPr>
      <w:r w:rsidRPr="00523C16">
        <w:rPr>
          <w:rFonts w:ascii="Calibri" w:hAnsi="Calibri" w:cs="Calibri"/>
        </w:rPr>
        <w:t>118.</w:t>
      </w:r>
      <w:r w:rsidRPr="00523C16">
        <w:rPr>
          <w:rFonts w:ascii="Calibri" w:hAnsi="Calibri" w:cs="Calibri"/>
        </w:rPr>
        <w:tab/>
        <w:t xml:space="preserve">Mulenga H, Zauchenberger CZ, Bunyasi EW, Mbandi SK, Mendelsohn SC, Kagina B, et al. Performance of diagnostic and predictive host blood transcriptomic signatures for Tuberculosis disease: A systematic review and meta-analysis. PloS One. 2020;15(8):e0237574. </w:t>
      </w:r>
    </w:p>
    <w:p w14:paraId="6E7BCFCD" w14:textId="212865B6" w:rsidR="00523C16" w:rsidRPr="00523C16" w:rsidRDefault="00523C16" w:rsidP="00523C16">
      <w:pPr>
        <w:pStyle w:val="Bibliography"/>
        <w:rPr>
          <w:rFonts w:ascii="Calibri" w:hAnsi="Calibri" w:cs="Calibri"/>
        </w:rPr>
      </w:pPr>
      <w:r w:rsidRPr="00523C16">
        <w:rPr>
          <w:rFonts w:ascii="Calibri" w:hAnsi="Calibri" w:cs="Calibri"/>
        </w:rPr>
        <w:t>119.</w:t>
      </w:r>
      <w:r w:rsidRPr="00523C16">
        <w:rPr>
          <w:rFonts w:ascii="Calibri" w:hAnsi="Calibri" w:cs="Calibri"/>
        </w:rPr>
        <w:tab/>
        <w:t xml:space="preserve">Muller C, Mazel V, Dausset C, Busignies V, Bornes S, Nivoliez A, et al. Study of the Lactobacillus rhamnosus Lcr35® properties after compression and proposition of a model to predict tablet stability. Eur J Pharm Biopharm. 2014 Nov;88(3):787–94. </w:t>
      </w:r>
    </w:p>
    <w:p w14:paraId="1EDFDF04" w14:textId="25D2BA08" w:rsidR="00523C16" w:rsidRPr="00523C16" w:rsidRDefault="00523C16" w:rsidP="00523C16">
      <w:pPr>
        <w:pStyle w:val="Bibliography"/>
        <w:rPr>
          <w:rFonts w:ascii="Calibri" w:hAnsi="Calibri" w:cs="Calibri"/>
        </w:rPr>
      </w:pPr>
      <w:r w:rsidRPr="00523C16">
        <w:rPr>
          <w:rFonts w:ascii="Calibri" w:hAnsi="Calibri" w:cs="Calibri"/>
        </w:rPr>
        <w:t>120.</w:t>
      </w:r>
      <w:r w:rsidRPr="00523C16">
        <w:rPr>
          <w:rFonts w:ascii="Calibri" w:hAnsi="Calibri" w:cs="Calibri"/>
        </w:rPr>
        <w:tab/>
        <w:t xml:space="preserve">Murphy G, Pilcher CD, Keating SM, Kassanjee R, Facente SN, Welte A, et al. Moving towards a reliable HIV incidence test – current status, resources available, future directions and challenges ahead. Epidemiol Infect. 2017 Apr;145(5):925–41. </w:t>
      </w:r>
    </w:p>
    <w:p w14:paraId="0D7B5387" w14:textId="20378040" w:rsidR="00523C16" w:rsidRPr="00523C16" w:rsidRDefault="00523C16" w:rsidP="00523C16">
      <w:pPr>
        <w:pStyle w:val="Bibliography"/>
        <w:rPr>
          <w:rFonts w:ascii="Calibri" w:hAnsi="Calibri" w:cs="Calibri"/>
        </w:rPr>
      </w:pPr>
      <w:r w:rsidRPr="00523C16">
        <w:rPr>
          <w:rFonts w:ascii="Calibri" w:hAnsi="Calibri" w:cs="Calibri"/>
        </w:rPr>
        <w:t>121.</w:t>
      </w:r>
      <w:r w:rsidRPr="00523C16">
        <w:rPr>
          <w:rFonts w:ascii="Calibri" w:hAnsi="Calibri" w:cs="Calibri"/>
        </w:rPr>
        <w:tab/>
        <w:t xml:space="preserve">Mutavhatsindi H, van der Spuy GD, Malherbe ST, Sutherland JS, Geluk A, Mayanja-Kizza H, et al. Validation and Optimization of Host Immunological Bio-Signatures for a Point-of-Care Test for TB Disease. Front Immunol. 2021;12:607827. </w:t>
      </w:r>
    </w:p>
    <w:p w14:paraId="4F4028ED" w14:textId="77777777" w:rsidR="00523C16" w:rsidRPr="00523C16" w:rsidRDefault="00523C16" w:rsidP="00523C16">
      <w:pPr>
        <w:pStyle w:val="Bibliography"/>
        <w:rPr>
          <w:rFonts w:ascii="Calibri" w:hAnsi="Calibri" w:cs="Calibri"/>
        </w:rPr>
      </w:pPr>
      <w:r w:rsidRPr="00523C16">
        <w:rPr>
          <w:rFonts w:ascii="Calibri" w:hAnsi="Calibri" w:cs="Calibri"/>
        </w:rPr>
        <w:t>122.</w:t>
      </w:r>
      <w:r w:rsidRPr="00523C16">
        <w:rPr>
          <w:rFonts w:ascii="Calibri" w:hAnsi="Calibri" w:cs="Calibri"/>
        </w:rPr>
        <w:tab/>
        <w:t xml:space="preserve">Muzembo BA, Kitahara K, Debnath A, Okamoto K, Miyoshi SI. Accuracy of cholera rapid diagnostic tests: a systematic review and meta-analysis. Clin Microbiol Infect Off Publ Eur Soc Clin Microbiol Infect Dis. 2022 Feb;28(2):155–62. </w:t>
      </w:r>
    </w:p>
    <w:p w14:paraId="6B6EDF7E" w14:textId="77777777" w:rsidR="00523C16" w:rsidRPr="00523C16" w:rsidRDefault="00523C16" w:rsidP="00523C16">
      <w:pPr>
        <w:pStyle w:val="Bibliography"/>
        <w:rPr>
          <w:rFonts w:ascii="Calibri" w:hAnsi="Calibri" w:cs="Calibri"/>
        </w:rPr>
      </w:pPr>
      <w:r w:rsidRPr="00523C16">
        <w:rPr>
          <w:rFonts w:ascii="Calibri" w:hAnsi="Calibri" w:cs="Calibri"/>
        </w:rPr>
        <w:t>123.</w:t>
      </w:r>
      <w:r w:rsidRPr="00523C16">
        <w:rPr>
          <w:rFonts w:ascii="Calibri" w:hAnsi="Calibri" w:cs="Calibri"/>
        </w:rPr>
        <w:tab/>
        <w:t xml:space="preserve">Nukala PK, Palekar S, Patki M, Patel K. Abuse Deterrent Immediate Release Egg-Shaped Tablet (Egglets) Using 3D Printing Technology: Quality by Design to Optimize Drug Release and Extraction. AAPS PharmSciTech. 2019 Jan 15;20(2):80. </w:t>
      </w:r>
    </w:p>
    <w:p w14:paraId="1780C4FC" w14:textId="77777777" w:rsidR="00523C16" w:rsidRPr="00B76B43" w:rsidRDefault="00523C16" w:rsidP="00523C16">
      <w:pPr>
        <w:pStyle w:val="Bibliography"/>
        <w:rPr>
          <w:rFonts w:ascii="Calibri" w:hAnsi="Calibri" w:cs="Calibri"/>
          <w:lang w:val="it-IT"/>
        </w:rPr>
      </w:pPr>
      <w:r w:rsidRPr="00523C16">
        <w:rPr>
          <w:rFonts w:ascii="Calibri" w:hAnsi="Calibri" w:cs="Calibri"/>
        </w:rPr>
        <w:lastRenderedPageBreak/>
        <w:t>124.</w:t>
      </w:r>
      <w:r w:rsidRPr="00523C16">
        <w:rPr>
          <w:rFonts w:ascii="Calibri" w:hAnsi="Calibri" w:cs="Calibri"/>
        </w:rPr>
        <w:tab/>
        <w:t xml:space="preserve">Ogoma SB, Moore SJ, Maia MF. A systematic review of mosquito coils and passive emanators: defining recommendations for spatial repellency testing methodologies. </w:t>
      </w:r>
      <w:r w:rsidRPr="00B76B43">
        <w:rPr>
          <w:rFonts w:ascii="Calibri" w:hAnsi="Calibri" w:cs="Calibri"/>
          <w:lang w:val="it-IT"/>
        </w:rPr>
        <w:t xml:space="preserve">Parasit Vectors. 2012 Dec 7;5:287. </w:t>
      </w:r>
    </w:p>
    <w:p w14:paraId="4211B3B7" w14:textId="77777777" w:rsidR="00523C16" w:rsidRPr="00523C16" w:rsidRDefault="00523C16" w:rsidP="00523C16">
      <w:pPr>
        <w:pStyle w:val="Bibliography"/>
        <w:rPr>
          <w:rFonts w:ascii="Calibri" w:hAnsi="Calibri" w:cs="Calibri"/>
        </w:rPr>
      </w:pPr>
      <w:r w:rsidRPr="00B76B43">
        <w:rPr>
          <w:rFonts w:ascii="Calibri" w:hAnsi="Calibri" w:cs="Calibri"/>
          <w:lang w:val="it-IT"/>
        </w:rPr>
        <w:t>125.</w:t>
      </w:r>
      <w:r w:rsidRPr="00B76B43">
        <w:rPr>
          <w:rFonts w:ascii="Calibri" w:hAnsi="Calibri" w:cs="Calibri"/>
          <w:lang w:val="it-IT"/>
        </w:rPr>
        <w:tab/>
        <w:t xml:space="preserve">Olías-Molero AI, de la Fuente C, Cuquerella M, Torrado JJ, Alunda JM. </w:t>
      </w:r>
      <w:r w:rsidRPr="00523C16">
        <w:rPr>
          <w:rFonts w:ascii="Calibri" w:hAnsi="Calibri" w:cs="Calibri"/>
        </w:rPr>
        <w:t xml:space="preserve">Antileishmanial Drug Discovery and Development: Time to Reset the Model? Microorganisms. 2021 Dec 2;9(12). </w:t>
      </w:r>
    </w:p>
    <w:p w14:paraId="3C2847DA" w14:textId="0C3FEBB3" w:rsidR="00523C16" w:rsidRPr="00523C16" w:rsidRDefault="00523C16" w:rsidP="00523C16">
      <w:pPr>
        <w:pStyle w:val="Bibliography"/>
        <w:rPr>
          <w:rFonts w:ascii="Calibri" w:hAnsi="Calibri" w:cs="Calibri"/>
        </w:rPr>
      </w:pPr>
      <w:r w:rsidRPr="00523C16">
        <w:rPr>
          <w:rFonts w:ascii="Calibri" w:hAnsi="Calibri" w:cs="Calibri"/>
        </w:rPr>
        <w:t>126.</w:t>
      </w:r>
      <w:r w:rsidRPr="00523C16">
        <w:rPr>
          <w:rFonts w:ascii="Calibri" w:hAnsi="Calibri" w:cs="Calibri"/>
        </w:rPr>
        <w:tab/>
        <w:t xml:space="preserve">Olliaro P, Seiler J, Kuesel A, Horton J, Clark JN, Don R, et al. Potential drug development candidates for human soil-transmitted helminthiases. PLoS Negl Trop Dis. 2011 Jun;5(6):e1138. </w:t>
      </w:r>
    </w:p>
    <w:p w14:paraId="70593DE6" w14:textId="77777777" w:rsidR="00523C16" w:rsidRPr="00523C16" w:rsidRDefault="00523C16" w:rsidP="00523C16">
      <w:pPr>
        <w:pStyle w:val="Bibliography"/>
        <w:rPr>
          <w:rFonts w:ascii="Calibri" w:hAnsi="Calibri" w:cs="Calibri"/>
        </w:rPr>
      </w:pPr>
      <w:r w:rsidRPr="00523C16">
        <w:rPr>
          <w:rFonts w:ascii="Calibri" w:hAnsi="Calibri" w:cs="Calibri"/>
        </w:rPr>
        <w:t>127.</w:t>
      </w:r>
      <w:r w:rsidRPr="00523C16">
        <w:rPr>
          <w:rFonts w:ascii="Calibri" w:hAnsi="Calibri" w:cs="Calibri"/>
        </w:rPr>
        <w:tab/>
        <w:t xml:space="preserve">Orlandini S, Pinzauti S, Furlanetto S. Application of quality by design to the development of analytical separation methods. Anal Bioanal Chem. 2013 Jan;405(2–3):443–50. </w:t>
      </w:r>
    </w:p>
    <w:p w14:paraId="2AA89A3D" w14:textId="77777777" w:rsidR="00523C16" w:rsidRPr="00523C16" w:rsidRDefault="00523C16" w:rsidP="00523C16">
      <w:pPr>
        <w:pStyle w:val="Bibliography"/>
        <w:rPr>
          <w:rFonts w:ascii="Calibri" w:hAnsi="Calibri" w:cs="Calibri"/>
        </w:rPr>
      </w:pPr>
      <w:r w:rsidRPr="00523C16">
        <w:rPr>
          <w:rFonts w:ascii="Calibri" w:hAnsi="Calibri" w:cs="Calibri"/>
        </w:rPr>
        <w:t>128.</w:t>
      </w:r>
      <w:r w:rsidRPr="00523C16">
        <w:rPr>
          <w:rFonts w:ascii="Calibri" w:hAnsi="Calibri" w:cs="Calibri"/>
        </w:rPr>
        <w:tab/>
        <w:t xml:space="preserve">Page S, Coupe A, Barrett A. An industrial perspective on the design and development of medicines for older patients. Int J Pharm. 2016 Oct;512(2):352–4. </w:t>
      </w:r>
    </w:p>
    <w:p w14:paraId="2131EF67" w14:textId="0B41DA58" w:rsidR="00523C16" w:rsidRPr="00523C16" w:rsidRDefault="00523C16" w:rsidP="00523C16">
      <w:pPr>
        <w:pStyle w:val="Bibliography"/>
        <w:rPr>
          <w:rFonts w:ascii="Calibri" w:hAnsi="Calibri" w:cs="Calibri"/>
        </w:rPr>
      </w:pPr>
      <w:r w:rsidRPr="00523C16">
        <w:rPr>
          <w:rFonts w:ascii="Calibri" w:hAnsi="Calibri" w:cs="Calibri"/>
        </w:rPr>
        <w:t>129.</w:t>
      </w:r>
      <w:r w:rsidRPr="00523C16">
        <w:rPr>
          <w:rFonts w:ascii="Calibri" w:hAnsi="Calibri" w:cs="Calibri"/>
        </w:rPr>
        <w:tab/>
        <w:t xml:space="preserve">Pan-Ngum W, Kinyanjui T, Kiti M, Taylor S, Toussaint JF, Saralamba S, et al. Predicting the relative impacts of maternal and neonatal respiratory syncytial virus (RSV) vaccine target product profiles: A consensus modelling approach. Vaccine. 2017 Jan;35(2):403–9. </w:t>
      </w:r>
    </w:p>
    <w:p w14:paraId="13BA02B6" w14:textId="77777777" w:rsidR="00523C16" w:rsidRPr="00523C16" w:rsidRDefault="00523C16" w:rsidP="00523C16">
      <w:pPr>
        <w:pStyle w:val="Bibliography"/>
        <w:rPr>
          <w:rFonts w:ascii="Calibri" w:hAnsi="Calibri" w:cs="Calibri"/>
        </w:rPr>
      </w:pPr>
      <w:r w:rsidRPr="00523C16">
        <w:rPr>
          <w:rFonts w:ascii="Calibri" w:hAnsi="Calibri" w:cs="Calibri"/>
        </w:rPr>
        <w:t>130.</w:t>
      </w:r>
      <w:r w:rsidRPr="00523C16">
        <w:rPr>
          <w:rFonts w:ascii="Calibri" w:hAnsi="Calibri" w:cs="Calibri"/>
        </w:rPr>
        <w:tab/>
        <w:t xml:space="preserve">Pantelias A, King JD, Lammie P, Weil GJ. Development and Introduction of the Filariasis Test Strip: A New Diagnostic Test for the Global Program to Eliminate Lymphatic Filariasis. Am J Trop Med Hyg. 2022 Mar 15;106(5 Suppl):56–60. </w:t>
      </w:r>
    </w:p>
    <w:p w14:paraId="6206ADBF" w14:textId="77777777" w:rsidR="00523C16" w:rsidRPr="00523C16" w:rsidRDefault="00523C16" w:rsidP="00523C16">
      <w:pPr>
        <w:pStyle w:val="Bibliography"/>
        <w:rPr>
          <w:rFonts w:ascii="Calibri" w:hAnsi="Calibri" w:cs="Calibri"/>
        </w:rPr>
      </w:pPr>
      <w:r w:rsidRPr="00523C16">
        <w:rPr>
          <w:rFonts w:ascii="Calibri" w:hAnsi="Calibri" w:cs="Calibri"/>
        </w:rPr>
        <w:t>131.</w:t>
      </w:r>
      <w:r w:rsidRPr="00523C16">
        <w:rPr>
          <w:rFonts w:ascii="Calibri" w:hAnsi="Calibri" w:cs="Calibri"/>
        </w:rPr>
        <w:tab/>
        <w:t xml:space="preserve">Paolantonacci P, Appourchaux P, Claudel B, Ollivier M, Dennett R, Siret L. Development of a Premium Quality Plasma-derived IVIg (IQYMUNE(®)) Utilizing the Principles of Quality by Design-A Worked-through Case Study. PDA J Pharm Sci Technol. 2018 Apr;72(2):176–87. </w:t>
      </w:r>
    </w:p>
    <w:p w14:paraId="354469FB" w14:textId="77777777" w:rsidR="00523C16" w:rsidRPr="00523C16" w:rsidRDefault="00523C16" w:rsidP="00523C16">
      <w:pPr>
        <w:pStyle w:val="Bibliography"/>
        <w:rPr>
          <w:rFonts w:ascii="Calibri" w:hAnsi="Calibri" w:cs="Calibri"/>
        </w:rPr>
      </w:pPr>
      <w:r w:rsidRPr="00523C16">
        <w:rPr>
          <w:rFonts w:ascii="Calibri" w:hAnsi="Calibri" w:cs="Calibri"/>
        </w:rPr>
        <w:t>132.</w:t>
      </w:r>
      <w:r w:rsidRPr="00523C16">
        <w:rPr>
          <w:rFonts w:ascii="Calibri" w:hAnsi="Calibri" w:cs="Calibri"/>
        </w:rPr>
        <w:tab/>
        <w:t xml:space="preserve">Patel SK, Rohan LC. On-demand microbicide products: design matters. Drug Deliv Transl Res. 2017 Dec;7(6):775–95. </w:t>
      </w:r>
    </w:p>
    <w:p w14:paraId="1CA283C0" w14:textId="78620ACD" w:rsidR="00523C16" w:rsidRPr="00523C16" w:rsidRDefault="00523C16" w:rsidP="00523C16">
      <w:pPr>
        <w:pStyle w:val="Bibliography"/>
        <w:rPr>
          <w:rFonts w:ascii="Calibri" w:hAnsi="Calibri" w:cs="Calibri"/>
        </w:rPr>
      </w:pPr>
      <w:r w:rsidRPr="00523C16">
        <w:rPr>
          <w:rFonts w:ascii="Calibri" w:hAnsi="Calibri" w:cs="Calibri"/>
        </w:rPr>
        <w:t>133.</w:t>
      </w:r>
      <w:r w:rsidRPr="00523C16">
        <w:rPr>
          <w:rFonts w:ascii="Calibri" w:hAnsi="Calibri" w:cs="Calibri"/>
        </w:rPr>
        <w:tab/>
        <w:t xml:space="preserve">Penn-Nicholson A, Georghiou SB, Ciobanu N, Kazi M, Bhalla M, David A, et al. Detection of isoniazid, fluoroquinolone, ethionamide, amikacin, kanamycin, and capreomycin resistance by the Xpert MTB/XDR assay: a cross-sectional multicentre diagnostic accuracy study. Lancet Infect Dis. 2022 Feb;22(2):242–9. </w:t>
      </w:r>
    </w:p>
    <w:p w14:paraId="21A50DC1" w14:textId="64455A73" w:rsidR="00523C16" w:rsidRPr="00523C16" w:rsidRDefault="00523C16" w:rsidP="00523C16">
      <w:pPr>
        <w:pStyle w:val="Bibliography"/>
        <w:rPr>
          <w:rFonts w:ascii="Calibri" w:hAnsi="Calibri" w:cs="Calibri"/>
        </w:rPr>
      </w:pPr>
      <w:r w:rsidRPr="00523C16">
        <w:rPr>
          <w:rFonts w:ascii="Calibri" w:hAnsi="Calibri" w:cs="Calibri"/>
        </w:rPr>
        <w:t>134.</w:t>
      </w:r>
      <w:r w:rsidRPr="00523C16">
        <w:rPr>
          <w:rFonts w:ascii="Calibri" w:hAnsi="Calibri" w:cs="Calibri"/>
        </w:rPr>
        <w:tab/>
        <w:t xml:space="preserve">Penn-Nicholson A, Hraha T, Thompson EG, Sterling D, Mbandi SK, Wall KM, et al. Discovery and validation of a prognostic proteomic signature for tuberculosis progression: A prospective cohort study. Chaisson R, editor. PLOS Med. 2019 Apr 16;16(4):e1002781. </w:t>
      </w:r>
    </w:p>
    <w:p w14:paraId="540D7702" w14:textId="53ABD0E8" w:rsidR="00523C16" w:rsidRPr="00523C16" w:rsidRDefault="00523C16" w:rsidP="00523C16">
      <w:pPr>
        <w:pStyle w:val="Bibliography"/>
        <w:rPr>
          <w:rFonts w:ascii="Calibri" w:hAnsi="Calibri" w:cs="Calibri"/>
        </w:rPr>
      </w:pPr>
      <w:r w:rsidRPr="00523C16">
        <w:rPr>
          <w:rFonts w:ascii="Calibri" w:hAnsi="Calibri" w:cs="Calibri"/>
        </w:rPr>
        <w:t>135.</w:t>
      </w:r>
      <w:r w:rsidRPr="00523C16">
        <w:rPr>
          <w:rFonts w:ascii="Calibri" w:hAnsi="Calibri" w:cs="Calibri"/>
        </w:rPr>
        <w:tab/>
        <w:t xml:space="preserve">Pham MD, Wise A, Garcia ML, Van H, Zheng S, Mohamed Y, et al. Improving the coverage and accuracy of syphilis testing: The development of a novel rapid, point-of-care test for confirmatory testing of active syphilis infection and its early evaluation in China and South Africa. eClinicalMedicine. 2020 Jul;24:100440. </w:t>
      </w:r>
    </w:p>
    <w:p w14:paraId="239B7606" w14:textId="77777777" w:rsidR="00523C16" w:rsidRPr="00523C16" w:rsidRDefault="00523C16" w:rsidP="00523C16">
      <w:pPr>
        <w:pStyle w:val="Bibliography"/>
        <w:rPr>
          <w:rFonts w:ascii="Calibri" w:hAnsi="Calibri" w:cs="Calibri"/>
        </w:rPr>
      </w:pPr>
      <w:r w:rsidRPr="00523C16">
        <w:rPr>
          <w:rFonts w:ascii="Calibri" w:hAnsi="Calibri" w:cs="Calibri"/>
        </w:rPr>
        <w:t>136.</w:t>
      </w:r>
      <w:r w:rsidRPr="00523C16">
        <w:rPr>
          <w:rFonts w:ascii="Calibri" w:hAnsi="Calibri" w:cs="Calibri"/>
        </w:rPr>
        <w:tab/>
        <w:t xml:space="preserve">Pham NM, Rusch S, Temiz Y, Beck HP, Karlen W, Delamarche E. Immuno-gold silver staining assays on capillary-driven microfluidics for the detection of malaria antigens. Biomed Microdevices. 2019 Mar;21(1):24. </w:t>
      </w:r>
    </w:p>
    <w:p w14:paraId="1E0B860B" w14:textId="017A3A0A" w:rsidR="00523C16" w:rsidRPr="00523C16" w:rsidRDefault="00523C16" w:rsidP="00523C16">
      <w:pPr>
        <w:pStyle w:val="Bibliography"/>
        <w:rPr>
          <w:rFonts w:ascii="Calibri" w:hAnsi="Calibri" w:cs="Calibri"/>
        </w:rPr>
      </w:pPr>
      <w:r w:rsidRPr="00523C16">
        <w:rPr>
          <w:rFonts w:ascii="Calibri" w:hAnsi="Calibri" w:cs="Calibri"/>
        </w:rPr>
        <w:t>137.</w:t>
      </w:r>
      <w:r w:rsidRPr="00523C16">
        <w:rPr>
          <w:rFonts w:ascii="Calibri" w:hAnsi="Calibri" w:cs="Calibri"/>
        </w:rPr>
        <w:tab/>
        <w:t xml:space="preserve">Phillips AN, Cambiano V, Nakagawa F, Ford D, Apollo T, Murungu J, et al. Point-of-Care Viral Load Testing for Sub-Saharan Africa: Informing a Target Product Profile. Open Forum Infect Dis. 2016 May 1;3(3):ofw161. </w:t>
      </w:r>
    </w:p>
    <w:p w14:paraId="3B2220E0" w14:textId="4911385F" w:rsidR="00523C16" w:rsidRPr="00523C16" w:rsidRDefault="00523C16" w:rsidP="00523C16">
      <w:pPr>
        <w:pStyle w:val="Bibliography"/>
        <w:rPr>
          <w:rFonts w:ascii="Calibri" w:hAnsi="Calibri" w:cs="Calibri"/>
        </w:rPr>
      </w:pPr>
      <w:r w:rsidRPr="00523C16">
        <w:rPr>
          <w:rFonts w:ascii="Calibri" w:hAnsi="Calibri" w:cs="Calibri"/>
        </w:rPr>
        <w:t>138.</w:t>
      </w:r>
      <w:r w:rsidRPr="00523C16">
        <w:rPr>
          <w:rFonts w:ascii="Calibri" w:hAnsi="Calibri" w:cs="Calibri"/>
        </w:rPr>
        <w:tab/>
        <w:t xml:space="preserve">Pidathala C, Amewu R, Pacorel B, Nixon GL, Gibbons P, Hong WD, et al. Identification, design and biological evaluation of bisaryl quinolones targeting Plasmodium falciparum type II NADH:quinone oxidoreductase (PfNDH2). J Med Chem. 2012 Mar 8;55(5):1831–43. </w:t>
      </w:r>
    </w:p>
    <w:p w14:paraId="2753F2CA" w14:textId="77777777" w:rsidR="00523C16" w:rsidRPr="00523C16" w:rsidRDefault="00523C16" w:rsidP="00523C16">
      <w:pPr>
        <w:pStyle w:val="Bibliography"/>
        <w:rPr>
          <w:rFonts w:ascii="Calibri" w:hAnsi="Calibri" w:cs="Calibri"/>
        </w:rPr>
      </w:pPr>
      <w:r w:rsidRPr="00523C16">
        <w:rPr>
          <w:rFonts w:ascii="Calibri" w:hAnsi="Calibri" w:cs="Calibri"/>
        </w:rPr>
        <w:lastRenderedPageBreak/>
        <w:t>139.</w:t>
      </w:r>
      <w:r w:rsidRPr="00523C16">
        <w:rPr>
          <w:rFonts w:ascii="Calibri" w:hAnsi="Calibri" w:cs="Calibri"/>
        </w:rPr>
        <w:tab/>
        <w:t xml:space="preserve">Politis SN, Colombo P, Colombo G, Rekkas DM. Design of experiments (DoE) in pharmaceutical development. Drug Dev Ind Pharm. 2017;43(6):889–901. </w:t>
      </w:r>
    </w:p>
    <w:p w14:paraId="5A95F8D0" w14:textId="34AC6AD5" w:rsidR="00523C16" w:rsidRPr="00523C16" w:rsidRDefault="00523C16" w:rsidP="00523C16">
      <w:pPr>
        <w:pStyle w:val="Bibliography"/>
        <w:rPr>
          <w:rFonts w:ascii="Calibri" w:hAnsi="Calibri" w:cs="Calibri"/>
        </w:rPr>
      </w:pPr>
      <w:r w:rsidRPr="00523C16">
        <w:rPr>
          <w:rFonts w:ascii="Calibri" w:hAnsi="Calibri" w:cs="Calibri"/>
        </w:rPr>
        <w:t>140.</w:t>
      </w:r>
      <w:r w:rsidRPr="00523C16">
        <w:rPr>
          <w:rFonts w:ascii="Calibri" w:hAnsi="Calibri" w:cs="Calibri"/>
        </w:rPr>
        <w:tab/>
        <w:t xml:space="preserve">Polli JE, Cook JA, Davit BM, Dickinson PA, Argenti D, Barbour N, et al. Summary workshop report: Facilitating oral product development and reducing regulatory burden through novel approaches to assess  bioavailability/bioequivalence. AAPS J. 2012 Sep;14(3):627–38. </w:t>
      </w:r>
    </w:p>
    <w:p w14:paraId="46771DB3" w14:textId="77777777" w:rsidR="00523C16" w:rsidRPr="00523C16" w:rsidRDefault="00523C16" w:rsidP="00523C16">
      <w:pPr>
        <w:pStyle w:val="Bibliography"/>
        <w:rPr>
          <w:rFonts w:ascii="Calibri" w:hAnsi="Calibri" w:cs="Calibri"/>
        </w:rPr>
      </w:pPr>
      <w:r w:rsidRPr="00523C16">
        <w:rPr>
          <w:rFonts w:ascii="Calibri" w:hAnsi="Calibri" w:cs="Calibri"/>
        </w:rPr>
        <w:t>141.</w:t>
      </w:r>
      <w:r w:rsidRPr="00523C16">
        <w:rPr>
          <w:rFonts w:ascii="Calibri" w:hAnsi="Calibri" w:cs="Calibri"/>
        </w:rPr>
        <w:tab/>
        <w:t xml:space="preserve">Pulkstenis E, Patra K, Zhang J. A Bayesian paradigm for decision-making in proof-of-concept trials. J Biopharm Stat. 2017;27(3):442–56. </w:t>
      </w:r>
    </w:p>
    <w:p w14:paraId="62BB4992" w14:textId="558B35E9" w:rsidR="00523C16" w:rsidRPr="00523C16" w:rsidRDefault="00523C16" w:rsidP="00523C16">
      <w:pPr>
        <w:pStyle w:val="Bibliography"/>
        <w:rPr>
          <w:rFonts w:ascii="Calibri" w:hAnsi="Calibri" w:cs="Calibri"/>
        </w:rPr>
      </w:pPr>
      <w:r w:rsidRPr="00523C16">
        <w:rPr>
          <w:rFonts w:ascii="Calibri" w:hAnsi="Calibri" w:cs="Calibri"/>
        </w:rPr>
        <w:t>142.</w:t>
      </w:r>
      <w:r w:rsidRPr="00523C16">
        <w:rPr>
          <w:rFonts w:ascii="Calibri" w:hAnsi="Calibri" w:cs="Calibri"/>
        </w:rPr>
        <w:tab/>
        <w:t xml:space="preserve">Qin ZZ, Ahmed S, Sarker MS, Paul K, Adel ASS, Naheyan T, et al. Tuberculosis detection from chest x-rays for triaging in a high tuberculosis-burden setting: an evaluation of five artificial intelligence  algorithms. Lancet Digit Health. 2021 Sep;3(9):e543–54. </w:t>
      </w:r>
    </w:p>
    <w:p w14:paraId="4602554F" w14:textId="77777777" w:rsidR="00523C16" w:rsidRPr="00523C16" w:rsidRDefault="00523C16" w:rsidP="00523C16">
      <w:pPr>
        <w:pStyle w:val="Bibliography"/>
        <w:rPr>
          <w:rFonts w:ascii="Calibri" w:hAnsi="Calibri" w:cs="Calibri"/>
        </w:rPr>
      </w:pPr>
      <w:r w:rsidRPr="00523C16">
        <w:rPr>
          <w:rFonts w:ascii="Calibri" w:hAnsi="Calibri" w:cs="Calibri"/>
        </w:rPr>
        <w:t>143.</w:t>
      </w:r>
      <w:r w:rsidRPr="00523C16">
        <w:rPr>
          <w:rFonts w:ascii="Calibri" w:hAnsi="Calibri" w:cs="Calibri"/>
        </w:rPr>
        <w:tab/>
        <w:t xml:space="preserve">Alfimeprase. Drugs RD. 2008;9(3):185–90. </w:t>
      </w:r>
    </w:p>
    <w:p w14:paraId="628F876C" w14:textId="77777777" w:rsidR="00523C16" w:rsidRPr="00523C16" w:rsidRDefault="00523C16" w:rsidP="00523C16">
      <w:pPr>
        <w:pStyle w:val="Bibliography"/>
        <w:rPr>
          <w:rFonts w:ascii="Calibri" w:hAnsi="Calibri" w:cs="Calibri"/>
        </w:rPr>
      </w:pPr>
      <w:r w:rsidRPr="00523C16">
        <w:rPr>
          <w:rFonts w:ascii="Calibri" w:hAnsi="Calibri" w:cs="Calibri"/>
        </w:rPr>
        <w:t>144.</w:t>
      </w:r>
      <w:r w:rsidRPr="00523C16">
        <w:rPr>
          <w:rFonts w:ascii="Calibri" w:hAnsi="Calibri" w:cs="Calibri"/>
        </w:rPr>
        <w:tab/>
        <w:t xml:space="preserve">Rathod V, Stagner WC, Gajera B, Haware RV. Hybridized nanoamorphous micellar dispersion using a QbD-DM(3) linked rational product design strategy for ritonavir: A BCS IV drug. Int J Pharm. 2020 Oct 15;588:119727. </w:t>
      </w:r>
    </w:p>
    <w:p w14:paraId="374B1E44" w14:textId="77777777" w:rsidR="00523C16" w:rsidRPr="00523C16" w:rsidRDefault="00523C16" w:rsidP="00523C16">
      <w:pPr>
        <w:pStyle w:val="Bibliography"/>
        <w:rPr>
          <w:rFonts w:ascii="Calibri" w:hAnsi="Calibri" w:cs="Calibri"/>
        </w:rPr>
      </w:pPr>
      <w:r w:rsidRPr="00523C16">
        <w:rPr>
          <w:rFonts w:ascii="Calibri" w:hAnsi="Calibri" w:cs="Calibri"/>
        </w:rPr>
        <w:t>145.</w:t>
      </w:r>
      <w:r w:rsidRPr="00523C16">
        <w:rPr>
          <w:rFonts w:ascii="Calibri" w:hAnsi="Calibri" w:cs="Calibri"/>
        </w:rPr>
        <w:tab/>
        <w:t xml:space="preserve">Raw AS, Lionberger R, Yu LX. Pharmaceutical equivalence by design for generic drugs: modified-release products. Pharm Res. 2011 Jul;28(7):1445–53. </w:t>
      </w:r>
    </w:p>
    <w:p w14:paraId="57D4DCFC" w14:textId="77777777" w:rsidR="00523C16" w:rsidRPr="00523C16" w:rsidRDefault="00523C16" w:rsidP="00523C16">
      <w:pPr>
        <w:pStyle w:val="Bibliography"/>
        <w:rPr>
          <w:rFonts w:ascii="Calibri" w:hAnsi="Calibri" w:cs="Calibri"/>
        </w:rPr>
      </w:pPr>
      <w:r w:rsidRPr="00523C16">
        <w:rPr>
          <w:rFonts w:ascii="Calibri" w:hAnsi="Calibri" w:cs="Calibri"/>
        </w:rPr>
        <w:t>146.</w:t>
      </w:r>
      <w:r w:rsidRPr="00523C16">
        <w:rPr>
          <w:rFonts w:ascii="Calibri" w:hAnsi="Calibri" w:cs="Calibri"/>
        </w:rPr>
        <w:tab/>
        <w:t xml:space="preserve">Rawal M, Singh A, Amiji MM. Quality-by-Design Concepts to Improve Nanotechnology-Based Drug Development. Pharm Res. 2019 Sep 3;36(11):153. </w:t>
      </w:r>
    </w:p>
    <w:p w14:paraId="1C2E97ED" w14:textId="77777777" w:rsidR="00523C16" w:rsidRPr="00523C16" w:rsidRDefault="00523C16" w:rsidP="00523C16">
      <w:pPr>
        <w:pStyle w:val="Bibliography"/>
        <w:rPr>
          <w:rFonts w:ascii="Calibri" w:hAnsi="Calibri" w:cs="Calibri"/>
        </w:rPr>
      </w:pPr>
      <w:r w:rsidRPr="00523C16">
        <w:rPr>
          <w:rFonts w:ascii="Calibri" w:hAnsi="Calibri" w:cs="Calibri"/>
        </w:rPr>
        <w:t>147.</w:t>
      </w:r>
      <w:r w:rsidRPr="00523C16">
        <w:rPr>
          <w:rFonts w:ascii="Calibri" w:hAnsi="Calibri" w:cs="Calibri"/>
        </w:rPr>
        <w:tab/>
        <w:t xml:space="preserve">Rayfield WJ, Kandula S, Khan H, Tugcu N. Impact of Freeze/Thaw Process on Drug Substance Storage of Therapeutics. J Pharm Sci. 2017 Aug;106(8):1944–51. </w:t>
      </w:r>
    </w:p>
    <w:p w14:paraId="4287138C" w14:textId="77777777" w:rsidR="00523C16" w:rsidRPr="00523C16" w:rsidRDefault="00523C16" w:rsidP="00523C16">
      <w:pPr>
        <w:pStyle w:val="Bibliography"/>
        <w:rPr>
          <w:rFonts w:ascii="Calibri" w:hAnsi="Calibri" w:cs="Calibri"/>
        </w:rPr>
      </w:pPr>
      <w:r w:rsidRPr="00523C16">
        <w:rPr>
          <w:rFonts w:ascii="Calibri" w:hAnsi="Calibri" w:cs="Calibri"/>
        </w:rPr>
        <w:t>148.</w:t>
      </w:r>
      <w:r w:rsidRPr="00523C16">
        <w:rPr>
          <w:rFonts w:ascii="Calibri" w:hAnsi="Calibri" w:cs="Calibri"/>
        </w:rPr>
        <w:tab/>
        <w:t xml:space="preserve">Roudier B, Davit B, Schütz H, Cardot JM. Impact of data base structure in a successful in vitro-in vivo correlation for pharmaceutical products. AAPS J. 2015 Jan;17(1):24–34. </w:t>
      </w:r>
    </w:p>
    <w:p w14:paraId="5305C164" w14:textId="77777777" w:rsidR="00523C16" w:rsidRPr="00B76B43" w:rsidRDefault="00523C16" w:rsidP="00523C16">
      <w:pPr>
        <w:pStyle w:val="Bibliography"/>
        <w:rPr>
          <w:rFonts w:ascii="Calibri" w:hAnsi="Calibri" w:cs="Calibri"/>
          <w:lang w:val="de-DE"/>
        </w:rPr>
      </w:pPr>
      <w:r w:rsidRPr="00523C16">
        <w:rPr>
          <w:rFonts w:ascii="Calibri" w:hAnsi="Calibri" w:cs="Calibri"/>
        </w:rPr>
        <w:t>149.</w:t>
      </w:r>
      <w:r w:rsidRPr="00523C16">
        <w:rPr>
          <w:rFonts w:ascii="Calibri" w:hAnsi="Calibri" w:cs="Calibri"/>
        </w:rPr>
        <w:tab/>
        <w:t xml:space="preserve">Salave S, Rana D, Benival D. Encapsulation of Anabolic Peptide in Lipid Nano Vesicles for Osteoporosis. </w:t>
      </w:r>
      <w:r w:rsidRPr="00B76B43">
        <w:rPr>
          <w:rFonts w:ascii="Calibri" w:hAnsi="Calibri" w:cs="Calibri"/>
          <w:lang w:val="de-DE"/>
        </w:rPr>
        <w:t xml:space="preserve">Curr Protein Pept Sci. 2022 Aug 22; </w:t>
      </w:r>
    </w:p>
    <w:p w14:paraId="1ED909DF" w14:textId="77777777" w:rsidR="00523C16" w:rsidRPr="00523C16" w:rsidRDefault="00523C16" w:rsidP="00523C16">
      <w:pPr>
        <w:pStyle w:val="Bibliography"/>
        <w:rPr>
          <w:rFonts w:ascii="Calibri" w:hAnsi="Calibri" w:cs="Calibri"/>
        </w:rPr>
      </w:pPr>
      <w:r w:rsidRPr="00B76B43">
        <w:rPr>
          <w:rFonts w:ascii="Calibri" w:hAnsi="Calibri" w:cs="Calibri"/>
          <w:lang w:val="de-DE"/>
        </w:rPr>
        <w:t>150.</w:t>
      </w:r>
      <w:r w:rsidRPr="00B76B43">
        <w:rPr>
          <w:rFonts w:ascii="Calibri" w:hAnsi="Calibri" w:cs="Calibri"/>
          <w:lang w:val="de-DE"/>
        </w:rPr>
        <w:tab/>
        <w:t xml:space="preserve">Sam T, Ernest TB, Walsh J, Williams JL. </w:t>
      </w:r>
      <w:r w:rsidRPr="00523C16">
        <w:rPr>
          <w:rFonts w:ascii="Calibri" w:hAnsi="Calibri" w:cs="Calibri"/>
        </w:rPr>
        <w:t xml:space="preserve">A benefit/risk approach towards selecting appropriate pharmaceutical dosage forms – An application for paediatric dosage form selection. Int J Pharm. 2012 Oct;435(2):115–23. </w:t>
      </w:r>
    </w:p>
    <w:p w14:paraId="075C831C" w14:textId="589FFEE4" w:rsidR="00523C16" w:rsidRPr="00523C16" w:rsidRDefault="00523C16" w:rsidP="00523C16">
      <w:pPr>
        <w:pStyle w:val="Bibliography"/>
        <w:rPr>
          <w:rFonts w:ascii="Calibri" w:hAnsi="Calibri" w:cs="Calibri"/>
        </w:rPr>
      </w:pPr>
      <w:r w:rsidRPr="00523C16">
        <w:rPr>
          <w:rFonts w:ascii="Calibri" w:hAnsi="Calibri" w:cs="Calibri"/>
        </w:rPr>
        <w:t>151.</w:t>
      </w:r>
      <w:r w:rsidRPr="00523C16">
        <w:rPr>
          <w:rFonts w:ascii="Calibri" w:hAnsi="Calibri" w:cs="Calibri"/>
        </w:rPr>
        <w:tab/>
        <w:t xml:space="preserve">Sammut-Powell C, Reynard C, Allen J, McDermott J, Braybrook J, Parisi R, et al. Examining the effect of evaluation sample size on the sensitivity and specificity of COVID-19 diagnostic tests in practice: a simulation study. Diagn Progn Res. 2022 Apr 25;6(1):12. </w:t>
      </w:r>
    </w:p>
    <w:p w14:paraId="031E8D83" w14:textId="77777777" w:rsidR="00523C16" w:rsidRPr="00B76B43" w:rsidRDefault="00523C16" w:rsidP="00523C16">
      <w:pPr>
        <w:pStyle w:val="Bibliography"/>
        <w:rPr>
          <w:rFonts w:ascii="Calibri" w:hAnsi="Calibri" w:cs="Calibri"/>
          <w:lang w:val="de-DE"/>
        </w:rPr>
      </w:pPr>
      <w:r w:rsidRPr="00523C16">
        <w:rPr>
          <w:rFonts w:ascii="Calibri" w:hAnsi="Calibri" w:cs="Calibri"/>
        </w:rPr>
        <w:t>152.</w:t>
      </w:r>
      <w:r w:rsidRPr="00523C16">
        <w:rPr>
          <w:rFonts w:ascii="Calibri" w:hAnsi="Calibri" w:cs="Calibri"/>
        </w:rPr>
        <w:tab/>
        <w:t xml:space="preserve">Santos LL, Wu EL, Grinias KM, Koetting MC, Jain P. Developability profile framework for lead candidate selection in topical dermatology. </w:t>
      </w:r>
      <w:r w:rsidRPr="00B76B43">
        <w:rPr>
          <w:rFonts w:ascii="Calibri" w:hAnsi="Calibri" w:cs="Calibri"/>
          <w:lang w:val="de-DE"/>
        </w:rPr>
        <w:t xml:space="preserve">Int J Pharm. 2021 Jul 15;604:120750. </w:t>
      </w:r>
    </w:p>
    <w:p w14:paraId="462780E1" w14:textId="0D02431A" w:rsidR="00523C16" w:rsidRPr="00523C16" w:rsidRDefault="00523C16" w:rsidP="00523C16">
      <w:pPr>
        <w:pStyle w:val="Bibliography"/>
        <w:rPr>
          <w:rFonts w:ascii="Calibri" w:hAnsi="Calibri" w:cs="Calibri"/>
        </w:rPr>
      </w:pPr>
      <w:r w:rsidRPr="00B76B43">
        <w:rPr>
          <w:rFonts w:ascii="Calibri" w:hAnsi="Calibri" w:cs="Calibri"/>
          <w:lang w:val="de-DE"/>
        </w:rPr>
        <w:t>153.</w:t>
      </w:r>
      <w:r w:rsidRPr="00B76B43">
        <w:rPr>
          <w:rFonts w:ascii="Calibri" w:hAnsi="Calibri" w:cs="Calibri"/>
          <w:lang w:val="de-DE"/>
        </w:rPr>
        <w:tab/>
        <w:t xml:space="preserve">Schiefer A, Hübner MP, Krome A, Lämmer C, Ehrens A, Aden T, et al. </w:t>
      </w:r>
      <w:r w:rsidRPr="00523C16">
        <w:rPr>
          <w:rFonts w:ascii="Calibri" w:hAnsi="Calibri" w:cs="Calibri"/>
        </w:rPr>
        <w:t xml:space="preserve">Corallopyronin A for short-course anti-wolbachial, macrofilaricidal treatment of filarial infections. PLoS Negl Trop Dis. 2020 Dec;14(12):e0008930. </w:t>
      </w:r>
    </w:p>
    <w:p w14:paraId="74880A9C" w14:textId="2AD500DB" w:rsidR="00523C16" w:rsidRPr="00523C16" w:rsidRDefault="00523C16" w:rsidP="00523C16">
      <w:pPr>
        <w:pStyle w:val="Bibliography"/>
        <w:rPr>
          <w:rFonts w:ascii="Calibri" w:hAnsi="Calibri" w:cs="Calibri"/>
        </w:rPr>
      </w:pPr>
      <w:r w:rsidRPr="00523C16">
        <w:rPr>
          <w:rFonts w:ascii="Calibri" w:hAnsi="Calibri" w:cs="Calibri"/>
        </w:rPr>
        <w:t>154.</w:t>
      </w:r>
      <w:r w:rsidRPr="00523C16">
        <w:rPr>
          <w:rFonts w:ascii="Calibri" w:hAnsi="Calibri" w:cs="Calibri"/>
        </w:rPr>
        <w:tab/>
        <w:t xml:space="preserve">Schlesinger EB, Bernards DA, Chen HH, Feindt J, Cao J, Dix D, et al. Device design methodology and formulation of a protein therapeutic for sustained release intraocular delivery. Bioeng Transl Med. 2019 Jan;4(1):152–63. </w:t>
      </w:r>
    </w:p>
    <w:p w14:paraId="220BEF78" w14:textId="77777777" w:rsidR="00523C16" w:rsidRPr="00523C16" w:rsidRDefault="00523C16" w:rsidP="00523C16">
      <w:pPr>
        <w:pStyle w:val="Bibliography"/>
        <w:rPr>
          <w:rFonts w:ascii="Calibri" w:hAnsi="Calibri" w:cs="Calibri"/>
        </w:rPr>
      </w:pPr>
      <w:r w:rsidRPr="00523C16">
        <w:rPr>
          <w:rFonts w:ascii="Calibri" w:hAnsi="Calibri" w:cs="Calibri"/>
        </w:rPr>
        <w:t>155.</w:t>
      </w:r>
      <w:r w:rsidRPr="00523C16">
        <w:rPr>
          <w:rFonts w:ascii="Calibri" w:hAnsi="Calibri" w:cs="Calibri"/>
        </w:rPr>
        <w:tab/>
        <w:t xml:space="preserve">Schneider JE, Boehme C, Borisch B, Dittrich S. Application of a simple point-of-care test to reduce UK healthcare costs and adverse events in outpatient acute respiratory infections. J Med Econ. 2020 Jul;23(7):673–82. </w:t>
      </w:r>
    </w:p>
    <w:p w14:paraId="3EEE9E8B" w14:textId="488EA52E" w:rsidR="00523C16" w:rsidRPr="00523C16" w:rsidRDefault="00523C16" w:rsidP="00523C16">
      <w:pPr>
        <w:pStyle w:val="Bibliography"/>
        <w:rPr>
          <w:rFonts w:ascii="Calibri" w:hAnsi="Calibri" w:cs="Calibri"/>
        </w:rPr>
      </w:pPr>
      <w:r w:rsidRPr="00523C16">
        <w:rPr>
          <w:rFonts w:ascii="Calibri" w:hAnsi="Calibri" w:cs="Calibri"/>
        </w:rPr>
        <w:lastRenderedPageBreak/>
        <w:t>156.</w:t>
      </w:r>
      <w:r w:rsidRPr="00523C16">
        <w:rPr>
          <w:rFonts w:ascii="Calibri" w:hAnsi="Calibri" w:cs="Calibri"/>
        </w:rPr>
        <w:tab/>
        <w:t xml:space="preserve">Selen A, Dickinson PA, Müllertz A, Crison JR, Mistry HB, Cruañes MT, et al. The biopharmaceutics risk assessment roadmap for optimizing clinical drug product performance. J Pharm Sci. 2014 Nov;103(11):3377–97. </w:t>
      </w:r>
    </w:p>
    <w:p w14:paraId="63450D11" w14:textId="77777777" w:rsidR="00523C16" w:rsidRPr="00523C16" w:rsidRDefault="00523C16" w:rsidP="00523C16">
      <w:pPr>
        <w:pStyle w:val="Bibliography"/>
        <w:rPr>
          <w:rFonts w:ascii="Calibri" w:hAnsi="Calibri" w:cs="Calibri"/>
        </w:rPr>
      </w:pPr>
      <w:r w:rsidRPr="00523C16">
        <w:rPr>
          <w:rFonts w:ascii="Calibri" w:hAnsi="Calibri" w:cs="Calibri"/>
        </w:rPr>
        <w:t>157.</w:t>
      </w:r>
      <w:r w:rsidRPr="00523C16">
        <w:rPr>
          <w:rFonts w:ascii="Calibri" w:hAnsi="Calibri" w:cs="Calibri"/>
        </w:rPr>
        <w:tab/>
        <w:t xml:space="preserve">Shah P, Goodyear B, Haq A, Puri V, Michniak-Kohn B. Evaluations of Quality by Design (QbD) Elements Impact for Developing Niosomes as a Promising Topical Drug Delivery Platform. Pharmaceutics. 2020 Mar 9;12(3):246. </w:t>
      </w:r>
    </w:p>
    <w:p w14:paraId="6B132575" w14:textId="77777777" w:rsidR="00523C16" w:rsidRPr="00523C16" w:rsidRDefault="00523C16" w:rsidP="00523C16">
      <w:pPr>
        <w:pStyle w:val="Bibliography"/>
        <w:rPr>
          <w:rFonts w:ascii="Calibri" w:hAnsi="Calibri" w:cs="Calibri"/>
        </w:rPr>
      </w:pPr>
      <w:r w:rsidRPr="00523C16">
        <w:rPr>
          <w:rFonts w:ascii="Calibri" w:hAnsi="Calibri" w:cs="Calibri"/>
        </w:rPr>
        <w:t>158.</w:t>
      </w:r>
      <w:r w:rsidRPr="00523C16">
        <w:rPr>
          <w:rFonts w:ascii="Calibri" w:hAnsi="Calibri" w:cs="Calibri"/>
        </w:rPr>
        <w:tab/>
        <w:t xml:space="preserve">Shoukat A, Vilches T, Moghadas SM. Cost-effectiveness of a potential Zika vaccine candidate: a case study for Colombia. BMC Med. 2018 Jul 3;16(1):100. </w:t>
      </w:r>
    </w:p>
    <w:p w14:paraId="5890E300" w14:textId="77777777" w:rsidR="00523C16" w:rsidRPr="00523C16" w:rsidRDefault="00523C16" w:rsidP="00523C16">
      <w:pPr>
        <w:pStyle w:val="Bibliography"/>
        <w:rPr>
          <w:rFonts w:ascii="Calibri" w:hAnsi="Calibri" w:cs="Calibri"/>
        </w:rPr>
      </w:pPr>
      <w:r w:rsidRPr="00523C16">
        <w:rPr>
          <w:rFonts w:ascii="Calibri" w:hAnsi="Calibri" w:cs="Calibri"/>
        </w:rPr>
        <w:t>159.</w:t>
      </w:r>
      <w:r w:rsidRPr="00523C16">
        <w:rPr>
          <w:rFonts w:ascii="Calibri" w:hAnsi="Calibri" w:cs="Calibri"/>
        </w:rPr>
        <w:tab/>
        <w:t xml:space="preserve">Silva J, Mendes M, Cova T, Sousa J, Pais A, Vitorino C. Unstructured Formulation Data Analysis for the Optimization of Lipid Nanoparticle Drug Delivery Vehicles. AAPS PharmSciTech. 2018 Jul;19(5):2383–94. </w:t>
      </w:r>
    </w:p>
    <w:p w14:paraId="49616D9C" w14:textId="77777777" w:rsidR="00523C16" w:rsidRPr="00523C16" w:rsidRDefault="00523C16" w:rsidP="00523C16">
      <w:pPr>
        <w:pStyle w:val="Bibliography"/>
        <w:rPr>
          <w:rFonts w:ascii="Calibri" w:hAnsi="Calibri" w:cs="Calibri"/>
        </w:rPr>
      </w:pPr>
      <w:r w:rsidRPr="00523C16">
        <w:rPr>
          <w:rFonts w:ascii="Calibri" w:hAnsi="Calibri" w:cs="Calibri"/>
        </w:rPr>
        <w:t>160.</w:t>
      </w:r>
      <w:r w:rsidRPr="00523C16">
        <w:rPr>
          <w:rFonts w:ascii="Calibri" w:hAnsi="Calibri" w:cs="Calibri"/>
        </w:rPr>
        <w:tab/>
        <w:t xml:space="preserve">Simpson S, Kaufmann MC, Glozman V, Chakrabarti A. Disease X: accelerating the development of medical countermeasures for the next pandemic. Lancet Infect Dis. 2020 May;20(5):e108–15. </w:t>
      </w:r>
    </w:p>
    <w:p w14:paraId="39B6E81E" w14:textId="77777777" w:rsidR="00523C16" w:rsidRPr="00523C16" w:rsidRDefault="00523C16" w:rsidP="00523C16">
      <w:pPr>
        <w:pStyle w:val="Bibliography"/>
        <w:rPr>
          <w:rFonts w:ascii="Calibri" w:hAnsi="Calibri" w:cs="Calibri"/>
        </w:rPr>
      </w:pPr>
      <w:r w:rsidRPr="00523C16">
        <w:rPr>
          <w:rFonts w:ascii="Calibri" w:hAnsi="Calibri" w:cs="Calibri"/>
        </w:rPr>
        <w:t>161.</w:t>
      </w:r>
      <w:r w:rsidRPr="00523C16">
        <w:rPr>
          <w:rFonts w:ascii="Calibri" w:hAnsi="Calibri" w:cs="Calibri"/>
        </w:rPr>
        <w:tab/>
        <w:t xml:space="preserve">Singhai VD, Maheshwari R, Sharma S, Paliwal S. Employment of Quality by Design Approach via Response Surface Methodology to Optimize and Develop Modified-release Formulation of Hydrochlorothiazide. Curr Comput Aided Drug Des. 2021;17(2):266–80. </w:t>
      </w:r>
    </w:p>
    <w:p w14:paraId="38F396B3" w14:textId="77777777" w:rsidR="00523C16" w:rsidRPr="00B76B43" w:rsidRDefault="00523C16" w:rsidP="00523C16">
      <w:pPr>
        <w:pStyle w:val="Bibliography"/>
        <w:rPr>
          <w:rFonts w:ascii="Calibri" w:hAnsi="Calibri" w:cs="Calibri"/>
          <w:lang w:val="de-DE"/>
        </w:rPr>
      </w:pPr>
      <w:r w:rsidRPr="00523C16">
        <w:rPr>
          <w:rFonts w:ascii="Calibri" w:hAnsi="Calibri" w:cs="Calibri"/>
        </w:rPr>
        <w:t>162.</w:t>
      </w:r>
      <w:r w:rsidRPr="00523C16">
        <w:rPr>
          <w:rFonts w:ascii="Calibri" w:hAnsi="Calibri" w:cs="Calibri"/>
        </w:rPr>
        <w:tab/>
        <w:t xml:space="preserve">Soeiro M de NC. Perspectives for a new drug candidate for Chagas disease therapy. </w:t>
      </w:r>
      <w:r w:rsidRPr="00B76B43">
        <w:rPr>
          <w:rFonts w:ascii="Calibri" w:hAnsi="Calibri" w:cs="Calibri"/>
          <w:lang w:val="de-DE"/>
        </w:rPr>
        <w:t xml:space="preserve">Mem Inst Oswaldo Cruz. 2022;117:e220004. </w:t>
      </w:r>
    </w:p>
    <w:p w14:paraId="73E915A9" w14:textId="2363A476" w:rsidR="00523C16" w:rsidRPr="00B76B43" w:rsidRDefault="00523C16" w:rsidP="00523C16">
      <w:pPr>
        <w:pStyle w:val="Bibliography"/>
        <w:rPr>
          <w:rFonts w:ascii="Calibri" w:hAnsi="Calibri" w:cs="Calibri"/>
          <w:lang w:val="de-DE"/>
        </w:rPr>
      </w:pPr>
      <w:r w:rsidRPr="00B76B43">
        <w:rPr>
          <w:rFonts w:ascii="Calibri" w:hAnsi="Calibri" w:cs="Calibri"/>
          <w:lang w:val="de-DE"/>
        </w:rPr>
        <w:t>163.</w:t>
      </w:r>
      <w:r w:rsidRPr="00B76B43">
        <w:rPr>
          <w:rFonts w:ascii="Calibri" w:hAnsi="Calibri" w:cs="Calibri"/>
          <w:lang w:val="de-DE"/>
        </w:rPr>
        <w:tab/>
        <w:t xml:space="preserve">Specht S, Pfarr KM, Arriens S, Hübner MP, Klarmann-Schulz U, Koschel M, et al. </w:t>
      </w:r>
      <w:r w:rsidRPr="00523C16">
        <w:rPr>
          <w:rFonts w:ascii="Calibri" w:hAnsi="Calibri" w:cs="Calibri"/>
        </w:rPr>
        <w:t xml:space="preserve">Combinations of registered drugs reduce treatment times required to deplete Wolbachia in the Litomosoides sigmodontis mouse model. </w:t>
      </w:r>
      <w:r w:rsidRPr="00B76B43">
        <w:rPr>
          <w:rFonts w:ascii="Calibri" w:hAnsi="Calibri" w:cs="Calibri"/>
          <w:lang w:val="de-DE"/>
        </w:rPr>
        <w:t xml:space="preserve">PLoS Negl Trop Dis. 2018 Jan;12(1):e0006116. </w:t>
      </w:r>
    </w:p>
    <w:p w14:paraId="4FF0DCEB" w14:textId="40A91909" w:rsidR="00523C16" w:rsidRPr="00523C16" w:rsidRDefault="00523C16" w:rsidP="00523C16">
      <w:pPr>
        <w:pStyle w:val="Bibliography"/>
        <w:rPr>
          <w:rFonts w:ascii="Calibri" w:hAnsi="Calibri" w:cs="Calibri"/>
        </w:rPr>
      </w:pPr>
      <w:r w:rsidRPr="00B76B43">
        <w:rPr>
          <w:rFonts w:ascii="Calibri" w:hAnsi="Calibri" w:cs="Calibri"/>
          <w:lang w:val="de-DE"/>
        </w:rPr>
        <w:t>164.</w:t>
      </w:r>
      <w:r w:rsidRPr="00B76B43">
        <w:rPr>
          <w:rFonts w:ascii="Calibri" w:hAnsi="Calibri" w:cs="Calibri"/>
          <w:lang w:val="de-DE"/>
        </w:rPr>
        <w:tab/>
        <w:t xml:space="preserve">Spooner E, Reddy T, Mchunu N, Reddy S, Daniels B, Ngomane N, et al. </w:t>
      </w:r>
      <w:r w:rsidRPr="00523C16">
        <w:rPr>
          <w:rFonts w:ascii="Calibri" w:hAnsi="Calibri" w:cs="Calibri"/>
        </w:rPr>
        <w:t xml:space="preserve">Point-of-care CD4 testing: Differentiated care for the most vulnerable. J Glob Health. 2022;12:04004. </w:t>
      </w:r>
    </w:p>
    <w:p w14:paraId="66580C32" w14:textId="77777777" w:rsidR="00523C16" w:rsidRPr="00523C16" w:rsidRDefault="00523C16" w:rsidP="00523C16">
      <w:pPr>
        <w:pStyle w:val="Bibliography"/>
        <w:rPr>
          <w:rFonts w:ascii="Calibri" w:hAnsi="Calibri" w:cs="Calibri"/>
        </w:rPr>
      </w:pPr>
      <w:r w:rsidRPr="00523C16">
        <w:rPr>
          <w:rFonts w:ascii="Calibri" w:hAnsi="Calibri" w:cs="Calibri"/>
        </w:rPr>
        <w:t>165.</w:t>
      </w:r>
      <w:r w:rsidRPr="00523C16">
        <w:rPr>
          <w:rFonts w:ascii="Calibri" w:hAnsi="Calibri" w:cs="Calibri"/>
        </w:rPr>
        <w:tab/>
        <w:t xml:space="preserve">Stegemann S. Patient centric drug product design in modern drug delivery as an opportunity to increase safety and effectiveness. Expert Opin Drug Deliv. 2018 Jun 3;15(6):619–27. </w:t>
      </w:r>
    </w:p>
    <w:p w14:paraId="5AD8B86C" w14:textId="323243C4" w:rsidR="00523C16" w:rsidRPr="00523C16" w:rsidRDefault="00523C16" w:rsidP="00523C16">
      <w:pPr>
        <w:pStyle w:val="Bibliography"/>
        <w:rPr>
          <w:rFonts w:ascii="Calibri" w:hAnsi="Calibri" w:cs="Calibri"/>
        </w:rPr>
      </w:pPr>
      <w:r w:rsidRPr="00523C16">
        <w:rPr>
          <w:rFonts w:ascii="Calibri" w:hAnsi="Calibri" w:cs="Calibri"/>
        </w:rPr>
        <w:t>166.</w:t>
      </w:r>
      <w:r w:rsidRPr="00523C16">
        <w:rPr>
          <w:rFonts w:ascii="Calibri" w:hAnsi="Calibri" w:cs="Calibri"/>
        </w:rPr>
        <w:tab/>
        <w:t xml:space="preserve">Stegemann S, Sheehan L, Rossi A, Barrett A, Paudel A, Crean A, et al. Rational and practical considerations to guide a target product profile for patient-centric drug product development with measurable patient outcomes – A proposed roadmap. Eur J Pharm Biopharm. 2022 Aug;177:81–8. </w:t>
      </w:r>
    </w:p>
    <w:p w14:paraId="4727F468" w14:textId="77777777" w:rsidR="00523C16" w:rsidRPr="00B76B43" w:rsidRDefault="00523C16" w:rsidP="00523C16">
      <w:pPr>
        <w:pStyle w:val="Bibliography"/>
        <w:rPr>
          <w:rFonts w:ascii="Calibri" w:hAnsi="Calibri" w:cs="Calibri"/>
          <w:lang w:val="it-IT"/>
        </w:rPr>
      </w:pPr>
      <w:r w:rsidRPr="00523C16">
        <w:rPr>
          <w:rFonts w:ascii="Calibri" w:hAnsi="Calibri" w:cs="Calibri"/>
        </w:rPr>
        <w:t>167.</w:t>
      </w:r>
      <w:r w:rsidRPr="00523C16">
        <w:rPr>
          <w:rFonts w:ascii="Calibri" w:hAnsi="Calibri" w:cs="Calibri"/>
        </w:rPr>
        <w:tab/>
        <w:t xml:space="preserve">Stevenson D, Cochrane T. Implementation of QbD Part 1 - Setting product specifications. </w:t>
      </w:r>
      <w:r w:rsidRPr="00B76B43">
        <w:rPr>
          <w:rFonts w:ascii="Calibri" w:hAnsi="Calibri" w:cs="Calibri"/>
          <w:lang w:val="it-IT"/>
        </w:rPr>
        <w:t xml:space="preserve">Regul Rapp. 2011;8(2):16–8. </w:t>
      </w:r>
    </w:p>
    <w:p w14:paraId="62D80635" w14:textId="4D5E7358" w:rsidR="00523C16" w:rsidRPr="00523C16" w:rsidRDefault="00523C16" w:rsidP="00523C16">
      <w:pPr>
        <w:pStyle w:val="Bibliography"/>
        <w:rPr>
          <w:rFonts w:ascii="Calibri" w:hAnsi="Calibri" w:cs="Calibri"/>
        </w:rPr>
      </w:pPr>
      <w:r w:rsidRPr="00B76B43">
        <w:rPr>
          <w:rFonts w:ascii="Calibri" w:hAnsi="Calibri" w:cs="Calibri"/>
          <w:lang w:val="it-IT"/>
        </w:rPr>
        <w:t>168.</w:t>
      </w:r>
      <w:r w:rsidRPr="00B76B43">
        <w:rPr>
          <w:rFonts w:ascii="Calibri" w:hAnsi="Calibri" w:cs="Calibri"/>
          <w:lang w:val="it-IT"/>
        </w:rPr>
        <w:tab/>
        <w:t xml:space="preserve">Subramanian VB, Katari NK, Ponnam V, Konduru N, Dongala T, Marisetti VM, et al. </w:t>
      </w:r>
      <w:r w:rsidRPr="00523C16">
        <w:rPr>
          <w:rFonts w:ascii="Calibri" w:hAnsi="Calibri" w:cs="Calibri"/>
        </w:rPr>
        <w:t xml:space="preserve">Stability-indicating reversed-phase-HPLC method development and validation for sacubitril/valsartan complex in the presence of impurities and degradation  products: Robustness by quality-by-design approach. Biomed Chromatogr BMC. 2022 Jan;36(1):e5240. </w:t>
      </w:r>
    </w:p>
    <w:p w14:paraId="14730396" w14:textId="77777777" w:rsidR="00523C16" w:rsidRPr="00523C16" w:rsidRDefault="00523C16" w:rsidP="00523C16">
      <w:pPr>
        <w:pStyle w:val="Bibliography"/>
        <w:rPr>
          <w:rFonts w:ascii="Calibri" w:hAnsi="Calibri" w:cs="Calibri"/>
        </w:rPr>
      </w:pPr>
      <w:r w:rsidRPr="00523C16">
        <w:rPr>
          <w:rFonts w:ascii="Calibri" w:hAnsi="Calibri" w:cs="Calibri"/>
        </w:rPr>
        <w:t>169.</w:t>
      </w:r>
      <w:r w:rsidRPr="00523C16">
        <w:rPr>
          <w:rFonts w:ascii="Calibri" w:hAnsi="Calibri" w:cs="Calibri"/>
        </w:rPr>
        <w:tab/>
        <w:t xml:space="preserve">Sulaiman TNS, Larasati D, Nugroho AK, Choiri S. Assessment of the Effect of PLGA Co-polymers and PEG on the Formation and Characteristics of PLGA-PEG-PLGA Co-block Polymer Using Statistical Approach. Adv Pharm Bull. 2019 Aug;9(3):382–92. </w:t>
      </w:r>
    </w:p>
    <w:p w14:paraId="1B5D4D4A" w14:textId="77777777" w:rsidR="00523C16" w:rsidRPr="00523C16" w:rsidRDefault="00523C16" w:rsidP="00523C16">
      <w:pPr>
        <w:pStyle w:val="Bibliography"/>
        <w:rPr>
          <w:rFonts w:ascii="Calibri" w:hAnsi="Calibri" w:cs="Calibri"/>
        </w:rPr>
      </w:pPr>
      <w:r w:rsidRPr="00523C16">
        <w:rPr>
          <w:rFonts w:ascii="Calibri" w:hAnsi="Calibri" w:cs="Calibri"/>
        </w:rPr>
        <w:t>170.</w:t>
      </w:r>
      <w:r w:rsidRPr="00523C16">
        <w:rPr>
          <w:rFonts w:ascii="Calibri" w:hAnsi="Calibri" w:cs="Calibri"/>
        </w:rPr>
        <w:tab/>
        <w:t xml:space="preserve">Sumner T, Fiore-Gartland A, Hatherill M, Houben RMGJ, Scriba TJ, White RG. The effect of new Mycobacterium tuberculosis infection on the sensitivity of prognostic TB signatures. Int J Tuberc Lung Dis Off J Int Union Tuberc Lung Dis. 2021 Dec 1;25(12):1001–5. </w:t>
      </w:r>
    </w:p>
    <w:p w14:paraId="656AC169" w14:textId="3B7BD933" w:rsidR="00523C16" w:rsidRPr="00523C16" w:rsidRDefault="00523C16" w:rsidP="00523C16">
      <w:pPr>
        <w:pStyle w:val="Bibliography"/>
        <w:rPr>
          <w:rFonts w:ascii="Calibri" w:hAnsi="Calibri" w:cs="Calibri"/>
        </w:rPr>
      </w:pPr>
      <w:r w:rsidRPr="00523C16">
        <w:rPr>
          <w:rFonts w:ascii="Calibri" w:hAnsi="Calibri" w:cs="Calibri"/>
        </w:rPr>
        <w:t>171.</w:t>
      </w:r>
      <w:r w:rsidRPr="00523C16">
        <w:rPr>
          <w:rFonts w:ascii="Calibri" w:hAnsi="Calibri" w:cs="Calibri"/>
        </w:rPr>
        <w:tab/>
        <w:t xml:space="preserve">Sutherland JS, van der Spuy G, Gindeh A, Thuong NTT, Namuganga A, Owolabi O, et al. Diagnostic Accuracy of the Cepheid 3-gene Host Response Fingerstick Blood Test in a Prospective, </w:t>
      </w:r>
      <w:r w:rsidRPr="00523C16">
        <w:rPr>
          <w:rFonts w:ascii="Calibri" w:hAnsi="Calibri" w:cs="Calibri"/>
        </w:rPr>
        <w:lastRenderedPageBreak/>
        <w:t xml:space="preserve">Multi-site Study: Interim Results. Clin Infect Dis Off Publ Infect Dis Soc Am. 2022 Jul 6;74(12):2136–41. </w:t>
      </w:r>
    </w:p>
    <w:p w14:paraId="4B8AB575" w14:textId="77777777" w:rsidR="00523C16" w:rsidRPr="00523C16" w:rsidRDefault="00523C16" w:rsidP="00523C16">
      <w:pPr>
        <w:pStyle w:val="Bibliography"/>
        <w:rPr>
          <w:rFonts w:ascii="Calibri" w:hAnsi="Calibri" w:cs="Calibri"/>
        </w:rPr>
      </w:pPr>
      <w:r w:rsidRPr="00523C16">
        <w:rPr>
          <w:rFonts w:ascii="Calibri" w:hAnsi="Calibri" w:cs="Calibri"/>
        </w:rPr>
        <w:t>172.</w:t>
      </w:r>
      <w:r w:rsidRPr="00523C16">
        <w:rPr>
          <w:rFonts w:ascii="Calibri" w:hAnsi="Calibri" w:cs="Calibri"/>
        </w:rPr>
        <w:tab/>
        <w:t xml:space="preserve">Swain S, Parhi R, Jena BR, Babu SM. Quality by Design: Concept to Applications. Curr Drug Discov Technol. 2019;16(3):240–50. </w:t>
      </w:r>
    </w:p>
    <w:p w14:paraId="23601AF4" w14:textId="77777777" w:rsidR="00523C16" w:rsidRPr="00523C16" w:rsidRDefault="00523C16" w:rsidP="00523C16">
      <w:pPr>
        <w:pStyle w:val="Bibliography"/>
        <w:rPr>
          <w:rFonts w:ascii="Calibri" w:hAnsi="Calibri" w:cs="Calibri"/>
        </w:rPr>
      </w:pPr>
      <w:r w:rsidRPr="00523C16">
        <w:rPr>
          <w:rFonts w:ascii="Calibri" w:hAnsi="Calibri" w:cs="Calibri"/>
        </w:rPr>
        <w:t>173.</w:t>
      </w:r>
      <w:r w:rsidRPr="00523C16">
        <w:rPr>
          <w:rFonts w:ascii="Calibri" w:hAnsi="Calibri" w:cs="Calibri"/>
        </w:rPr>
        <w:tab/>
        <w:t xml:space="preserve">Tan L, Chin SF, Miner VW, Dong L, Gupta S, Fields SM. Determination of apomorphine freebase in sublingual tablets by proton nuclear magnetic resonance spectroscopy. J Pharm Biomed Anal. 2016 Sep;129:378–82. </w:t>
      </w:r>
    </w:p>
    <w:p w14:paraId="38F6C720" w14:textId="77777777" w:rsidR="00523C16" w:rsidRPr="00523C16" w:rsidRDefault="00523C16" w:rsidP="00523C16">
      <w:pPr>
        <w:pStyle w:val="Bibliography"/>
        <w:rPr>
          <w:rFonts w:ascii="Calibri" w:hAnsi="Calibri" w:cs="Calibri"/>
        </w:rPr>
      </w:pPr>
      <w:r w:rsidRPr="00523C16">
        <w:rPr>
          <w:rFonts w:ascii="Calibri" w:hAnsi="Calibri" w:cs="Calibri"/>
        </w:rPr>
        <w:t>174.</w:t>
      </w:r>
      <w:r w:rsidRPr="00523C16">
        <w:rPr>
          <w:rFonts w:ascii="Calibri" w:hAnsi="Calibri" w:cs="Calibri"/>
        </w:rPr>
        <w:tab/>
        <w:t>Tari LW. The Utility of Structural Biology in Drug Discovery. In: Tari LW, editor. Structure-Based Drug Discovery [Internet]. Totowa, NJ: Humana Press; 2012 [cited 2023 Dec 21]. p. 1–27. (Methods in Molecular Biology; vol. 841). Available from: https://link.springer.com/10.1007/978-1-61779-520-6_1</w:t>
      </w:r>
    </w:p>
    <w:p w14:paraId="6E41F136" w14:textId="19485864" w:rsidR="00523C16" w:rsidRPr="00523C16" w:rsidRDefault="00523C16" w:rsidP="00523C16">
      <w:pPr>
        <w:pStyle w:val="Bibliography"/>
        <w:rPr>
          <w:rFonts w:ascii="Calibri" w:hAnsi="Calibri" w:cs="Calibri"/>
        </w:rPr>
      </w:pPr>
      <w:r w:rsidRPr="00523C16">
        <w:rPr>
          <w:rFonts w:ascii="Calibri" w:hAnsi="Calibri" w:cs="Calibri"/>
        </w:rPr>
        <w:t>175.</w:t>
      </w:r>
      <w:r w:rsidRPr="00523C16">
        <w:rPr>
          <w:rFonts w:ascii="Calibri" w:hAnsi="Calibri" w:cs="Calibri"/>
        </w:rPr>
        <w:tab/>
        <w:t xml:space="preserve">Teng Z, Gupta N, Hua Z, Liu G, Samnotra V, Venkatakrishnan K, et al. Model-Based Meta-Analysis for Multiple Myeloma: A Quantitative Drug-Independent Framework for Efficient Decisions in Oncology Drug Development. Clin Transl Sci. 2018 Mar;11(2):218–25. </w:t>
      </w:r>
    </w:p>
    <w:p w14:paraId="72CF959B" w14:textId="77777777" w:rsidR="00523C16" w:rsidRPr="00523C16" w:rsidRDefault="00523C16" w:rsidP="00523C16">
      <w:pPr>
        <w:pStyle w:val="Bibliography"/>
        <w:rPr>
          <w:rFonts w:ascii="Calibri" w:hAnsi="Calibri" w:cs="Calibri"/>
        </w:rPr>
      </w:pPr>
      <w:r w:rsidRPr="00523C16">
        <w:rPr>
          <w:rFonts w:ascii="Calibri" w:hAnsi="Calibri" w:cs="Calibri"/>
        </w:rPr>
        <w:t>176.</w:t>
      </w:r>
      <w:r w:rsidRPr="00523C16">
        <w:rPr>
          <w:rFonts w:ascii="Calibri" w:hAnsi="Calibri" w:cs="Calibri"/>
        </w:rPr>
        <w:tab/>
        <w:t xml:space="preserve">Thakkar R, Thakkar R, Pillai A, Ashour EA, Repka MA. Systematic screening of pharmaceutical polymers for hot melt extrusion processing: a comprehensive review. Int J Pharm. 2020 Feb;576:118989. </w:t>
      </w:r>
    </w:p>
    <w:p w14:paraId="20AB5837" w14:textId="77777777" w:rsidR="00523C16" w:rsidRPr="00523C16" w:rsidRDefault="00523C16" w:rsidP="00523C16">
      <w:pPr>
        <w:pStyle w:val="Bibliography"/>
        <w:rPr>
          <w:rFonts w:ascii="Calibri" w:hAnsi="Calibri" w:cs="Calibri"/>
        </w:rPr>
      </w:pPr>
      <w:r w:rsidRPr="00523C16">
        <w:rPr>
          <w:rFonts w:ascii="Calibri" w:hAnsi="Calibri" w:cs="Calibri"/>
        </w:rPr>
        <w:t>177.</w:t>
      </w:r>
      <w:r w:rsidRPr="00523C16">
        <w:rPr>
          <w:rFonts w:ascii="Calibri" w:hAnsi="Calibri" w:cs="Calibri"/>
        </w:rPr>
        <w:tab/>
        <w:t xml:space="preserve">Than YM, Titapiwatanakun V. Tailoring immediate release FDM 3D printed tablets using a quality by design (QbD) approach. Int J Pharm. 2021 Apr 15;599:120402. </w:t>
      </w:r>
    </w:p>
    <w:p w14:paraId="68640806" w14:textId="0773A629" w:rsidR="00523C16" w:rsidRPr="00523C16" w:rsidRDefault="00523C16" w:rsidP="00523C16">
      <w:pPr>
        <w:pStyle w:val="Bibliography"/>
        <w:rPr>
          <w:rFonts w:ascii="Calibri" w:hAnsi="Calibri" w:cs="Calibri"/>
        </w:rPr>
      </w:pPr>
      <w:r w:rsidRPr="00523C16">
        <w:rPr>
          <w:rFonts w:ascii="Calibri" w:hAnsi="Calibri" w:cs="Calibri"/>
        </w:rPr>
        <w:t>178.</w:t>
      </w:r>
      <w:r w:rsidRPr="00523C16">
        <w:rPr>
          <w:rFonts w:ascii="Calibri" w:hAnsi="Calibri" w:cs="Calibri"/>
        </w:rPr>
        <w:tab/>
        <w:t xml:space="preserve">Tietje K, Hawkins K, Clerk C, Ebels K, McGray S, Crudder C, et al. The essential role of infection-detection technologies for malaria elimination and eradication. Trends Parasitol. 2014 May;30(5):259–66. </w:t>
      </w:r>
    </w:p>
    <w:p w14:paraId="6094CA69" w14:textId="7ABA1E5A" w:rsidR="00523C16" w:rsidRPr="00523C16" w:rsidRDefault="00523C16" w:rsidP="00523C16">
      <w:pPr>
        <w:pStyle w:val="Bibliography"/>
        <w:rPr>
          <w:rFonts w:ascii="Calibri" w:hAnsi="Calibri" w:cs="Calibri"/>
        </w:rPr>
      </w:pPr>
      <w:r w:rsidRPr="00523C16">
        <w:rPr>
          <w:rFonts w:ascii="Calibri" w:hAnsi="Calibri" w:cs="Calibri"/>
        </w:rPr>
        <w:t>179.</w:t>
      </w:r>
      <w:r w:rsidRPr="00523C16">
        <w:rPr>
          <w:rFonts w:ascii="Calibri" w:hAnsi="Calibri" w:cs="Calibri"/>
        </w:rPr>
        <w:tab/>
        <w:t xml:space="preserve">Tolley EE, McKenna K, Mackenzie C, Ngabo F, Munyambanza E, Arcara J, et al. Preferences for a potential longer-acting injectable contraceptive: perspectives from women, providers, and policy makers in Kenya and Rwanda. Glob Health Sci Pract. 2014 May;2(2):182–94. </w:t>
      </w:r>
    </w:p>
    <w:p w14:paraId="4725FE21" w14:textId="77777777" w:rsidR="00523C16" w:rsidRPr="00523C16" w:rsidRDefault="00523C16" w:rsidP="00523C16">
      <w:pPr>
        <w:pStyle w:val="Bibliography"/>
        <w:rPr>
          <w:rFonts w:ascii="Calibri" w:hAnsi="Calibri" w:cs="Calibri"/>
        </w:rPr>
      </w:pPr>
      <w:r w:rsidRPr="00523C16">
        <w:rPr>
          <w:rFonts w:ascii="Calibri" w:hAnsi="Calibri" w:cs="Calibri"/>
        </w:rPr>
        <w:t>180.</w:t>
      </w:r>
      <w:r w:rsidRPr="00523C16">
        <w:rPr>
          <w:rFonts w:ascii="Calibri" w:hAnsi="Calibri" w:cs="Calibri"/>
        </w:rPr>
        <w:tab/>
        <w:t xml:space="preserve">Troiano G, Nolan J, Parsons D, Van Geen Hoven C, Zale S. A Quality by Design Approach to Developing and Manufacturing Polymeric Nanoparticle Drug Products. AAPS J. 2016 Nov;18(6):1354–65. </w:t>
      </w:r>
    </w:p>
    <w:p w14:paraId="1793059E" w14:textId="512B4A05" w:rsidR="00523C16" w:rsidRPr="00523C16" w:rsidRDefault="00523C16" w:rsidP="00523C16">
      <w:pPr>
        <w:pStyle w:val="Bibliography"/>
        <w:rPr>
          <w:rFonts w:ascii="Calibri" w:hAnsi="Calibri" w:cs="Calibri"/>
        </w:rPr>
      </w:pPr>
      <w:r w:rsidRPr="00523C16">
        <w:rPr>
          <w:rFonts w:ascii="Calibri" w:hAnsi="Calibri" w:cs="Calibri"/>
        </w:rPr>
        <w:t>181.</w:t>
      </w:r>
      <w:r w:rsidRPr="00523C16">
        <w:rPr>
          <w:rFonts w:ascii="Calibri" w:hAnsi="Calibri" w:cs="Calibri"/>
        </w:rPr>
        <w:tab/>
        <w:t xml:space="preserve">Turner CT, Gupta RK, Tsaliki E, Roe JK, Mondal P, Nyawo GR, et al. Blood transcriptional biomarkers for active pulmonary tuberculosis in a high-burden setting: a prospective, observational, diagnostic accuracy study. Lancet Respir Med. 2020 Apr;8(4):407–19. </w:t>
      </w:r>
    </w:p>
    <w:p w14:paraId="7E4B38C4" w14:textId="77777777" w:rsidR="00523C16" w:rsidRPr="00523C16" w:rsidRDefault="00523C16" w:rsidP="00523C16">
      <w:pPr>
        <w:pStyle w:val="Bibliography"/>
        <w:rPr>
          <w:rFonts w:ascii="Calibri" w:hAnsi="Calibri" w:cs="Calibri"/>
        </w:rPr>
      </w:pPr>
      <w:r w:rsidRPr="00523C16">
        <w:rPr>
          <w:rFonts w:ascii="Calibri" w:hAnsi="Calibri" w:cs="Calibri"/>
        </w:rPr>
        <w:t>182.</w:t>
      </w:r>
      <w:r w:rsidRPr="00523C16">
        <w:rPr>
          <w:rFonts w:ascii="Calibri" w:hAnsi="Calibri" w:cs="Calibri"/>
        </w:rPr>
        <w:tab/>
        <w:t xml:space="preserve">Turner JA, Ruscoe CNE, Perrior TR. Discovery to Development: Insecticides for Malaria Vector Control. CHIMIA. 2016 Oct 26;70(10):684. </w:t>
      </w:r>
    </w:p>
    <w:p w14:paraId="26CDA427" w14:textId="77777777" w:rsidR="00523C16" w:rsidRPr="00523C16" w:rsidRDefault="00523C16" w:rsidP="00523C16">
      <w:pPr>
        <w:pStyle w:val="Bibliography"/>
        <w:rPr>
          <w:rFonts w:ascii="Calibri" w:hAnsi="Calibri" w:cs="Calibri"/>
        </w:rPr>
      </w:pPr>
      <w:r w:rsidRPr="00523C16">
        <w:rPr>
          <w:rFonts w:ascii="Calibri" w:hAnsi="Calibri" w:cs="Calibri"/>
        </w:rPr>
        <w:t>183.</w:t>
      </w:r>
      <w:r w:rsidRPr="00523C16">
        <w:rPr>
          <w:rFonts w:ascii="Calibri" w:hAnsi="Calibri" w:cs="Calibri"/>
        </w:rPr>
        <w:tab/>
        <w:t xml:space="preserve">Tyndall A, Du W, Breder CD. Regulatory watch: The target product profile as a tool for regulatory communication: advantageous but underused. Nat Rev Drug Discov. 2017 Mar;16(3):156. </w:t>
      </w:r>
    </w:p>
    <w:p w14:paraId="3A1F23D7" w14:textId="04C38E3E" w:rsidR="00523C16" w:rsidRPr="00523C16" w:rsidRDefault="00523C16" w:rsidP="00523C16">
      <w:pPr>
        <w:pStyle w:val="Bibliography"/>
        <w:rPr>
          <w:rFonts w:ascii="Calibri" w:hAnsi="Calibri" w:cs="Calibri"/>
        </w:rPr>
      </w:pPr>
      <w:r w:rsidRPr="00523C16">
        <w:rPr>
          <w:rFonts w:ascii="Calibri" w:hAnsi="Calibri" w:cs="Calibri"/>
        </w:rPr>
        <w:t>184.</w:t>
      </w:r>
      <w:r w:rsidRPr="00523C16">
        <w:rPr>
          <w:rFonts w:ascii="Calibri" w:hAnsi="Calibri" w:cs="Calibri"/>
        </w:rPr>
        <w:tab/>
        <w:t xml:space="preserve">Vannice KS, Giersing BK, Kaslow DC, Griffiths E, Meyer H, Barrett A, et al. Meeting Report: WHO consultation on considerations for regulatory expectations of Zika virus vaccines for use during an emergency. Vaccine. 2019 Nov 28;37(50):7443–50. </w:t>
      </w:r>
    </w:p>
    <w:p w14:paraId="57AEC75F" w14:textId="77777777" w:rsidR="00523C16" w:rsidRPr="00B76B43" w:rsidRDefault="00523C16" w:rsidP="00523C16">
      <w:pPr>
        <w:pStyle w:val="Bibliography"/>
        <w:rPr>
          <w:rFonts w:ascii="Calibri" w:hAnsi="Calibri" w:cs="Calibri"/>
          <w:lang w:val="de-DE"/>
        </w:rPr>
      </w:pPr>
      <w:r w:rsidRPr="00523C16">
        <w:rPr>
          <w:rFonts w:ascii="Calibri" w:hAnsi="Calibri" w:cs="Calibri"/>
        </w:rPr>
        <w:t>185.</w:t>
      </w:r>
      <w:r w:rsidRPr="00523C16">
        <w:rPr>
          <w:rFonts w:ascii="Calibri" w:hAnsi="Calibri" w:cs="Calibri"/>
        </w:rPr>
        <w:tab/>
        <w:t xml:space="preserve">Visser JC, Dohmen WMC, Hinrichs WLJ, Breitkreutz J, Frijlink HW, Woerdenbag HJ. Quality by design approach for optimizing the formulation and physical properties of extemporaneously prepared orodispersible films. </w:t>
      </w:r>
      <w:r w:rsidRPr="00B76B43">
        <w:rPr>
          <w:rFonts w:ascii="Calibri" w:hAnsi="Calibri" w:cs="Calibri"/>
          <w:lang w:val="de-DE"/>
        </w:rPr>
        <w:t xml:space="preserve">Int J Pharm. 2015 May 15;485(1–2):70–6. </w:t>
      </w:r>
    </w:p>
    <w:p w14:paraId="6723604D" w14:textId="77777777" w:rsidR="00523C16" w:rsidRPr="00523C16" w:rsidRDefault="00523C16" w:rsidP="00523C16">
      <w:pPr>
        <w:pStyle w:val="Bibliography"/>
        <w:rPr>
          <w:rFonts w:ascii="Calibri" w:hAnsi="Calibri" w:cs="Calibri"/>
        </w:rPr>
      </w:pPr>
      <w:r w:rsidRPr="00B76B43">
        <w:rPr>
          <w:rFonts w:ascii="Calibri" w:hAnsi="Calibri" w:cs="Calibri"/>
          <w:lang w:val="de-DE"/>
        </w:rPr>
        <w:lastRenderedPageBreak/>
        <w:t>186.</w:t>
      </w:r>
      <w:r w:rsidRPr="00B76B43">
        <w:rPr>
          <w:rFonts w:ascii="Calibri" w:hAnsi="Calibri" w:cs="Calibri"/>
          <w:lang w:val="de-DE"/>
        </w:rPr>
        <w:tab/>
        <w:t xml:space="preserve">Wang T, McAuslane N, Goettsch WG, Leufkens HGM, De Bruin ML. </w:t>
      </w:r>
      <w:r w:rsidRPr="00523C16">
        <w:rPr>
          <w:rFonts w:ascii="Calibri" w:hAnsi="Calibri" w:cs="Calibri"/>
        </w:rPr>
        <w:t xml:space="preserve">Challenges and Opportunities for Companies to Build HTA/Payer Perspectives Into Drug Development Through the Use of a Dynamic Target Product Profile. Front Pharmacol. 2022 Jul 18;13:948161. </w:t>
      </w:r>
    </w:p>
    <w:p w14:paraId="53324D2D" w14:textId="5D348DA1" w:rsidR="00523C16" w:rsidRPr="00523C16" w:rsidRDefault="00523C16" w:rsidP="00523C16">
      <w:pPr>
        <w:pStyle w:val="Bibliography"/>
        <w:rPr>
          <w:rFonts w:ascii="Calibri" w:hAnsi="Calibri" w:cs="Calibri"/>
        </w:rPr>
      </w:pPr>
      <w:r w:rsidRPr="00523C16">
        <w:rPr>
          <w:rFonts w:ascii="Calibri" w:hAnsi="Calibri" w:cs="Calibri"/>
        </w:rPr>
        <w:t>187.</w:t>
      </w:r>
      <w:r w:rsidRPr="00523C16">
        <w:rPr>
          <w:rFonts w:ascii="Calibri" w:hAnsi="Calibri" w:cs="Calibri"/>
        </w:rPr>
        <w:tab/>
        <w:t xml:space="preserve">Warman AJ, Rito TS, Fisher NE, Moss DM, Berry NG, O’Neill PM, et al. Antitubercular pharmacodynamics of phenothiazines. J Antimicrob Chemother. 2013 Apr;68(4):869–80. </w:t>
      </w:r>
    </w:p>
    <w:p w14:paraId="4BC7A411" w14:textId="442A40AA" w:rsidR="00523C16" w:rsidRPr="00523C16" w:rsidRDefault="00523C16" w:rsidP="00523C16">
      <w:pPr>
        <w:pStyle w:val="Bibliography"/>
        <w:rPr>
          <w:rFonts w:ascii="Calibri" w:hAnsi="Calibri" w:cs="Calibri"/>
        </w:rPr>
      </w:pPr>
      <w:r w:rsidRPr="00523C16">
        <w:rPr>
          <w:rFonts w:ascii="Calibri" w:hAnsi="Calibri" w:cs="Calibri"/>
        </w:rPr>
        <w:t>188.</w:t>
      </w:r>
      <w:r w:rsidRPr="00523C16">
        <w:rPr>
          <w:rFonts w:ascii="Calibri" w:hAnsi="Calibri" w:cs="Calibri"/>
        </w:rPr>
        <w:tab/>
        <w:t xml:space="preserve">Warsinske HC, Rao AM, Moreira FMF, Santos PCP, Liu AB, Scott M, et al. Assessment of Validity of a Blood-Based 3-Gene Signature Score for Progression and Diagnosis of Tuberculosis, Disease Severity, and Treatment Response. JAMA Netw Open. 2018 Oct 5;1(6):e183779. </w:t>
      </w:r>
    </w:p>
    <w:p w14:paraId="44EE0F85" w14:textId="77777777" w:rsidR="00523C16" w:rsidRPr="00523C16" w:rsidRDefault="00523C16" w:rsidP="00523C16">
      <w:pPr>
        <w:pStyle w:val="Bibliography"/>
        <w:rPr>
          <w:rFonts w:ascii="Calibri" w:hAnsi="Calibri" w:cs="Calibri"/>
        </w:rPr>
      </w:pPr>
      <w:r w:rsidRPr="00523C16">
        <w:rPr>
          <w:rFonts w:ascii="Calibri" w:hAnsi="Calibri" w:cs="Calibri"/>
        </w:rPr>
        <w:t>189.</w:t>
      </w:r>
      <w:r w:rsidRPr="00523C16">
        <w:rPr>
          <w:rFonts w:ascii="Calibri" w:hAnsi="Calibri" w:cs="Calibri"/>
        </w:rPr>
        <w:tab/>
        <w:t>Watson TJ, Nosal R. Scientific opportunities through quality by design. In: Chemical Engineering in the Pharmaceutical Industry [Internet]. 2019. p. 1067–71. Available from: https://www.scopus.com/inward/record.uri?eid=2-s2.0-85103345185&amp;doi=10.1002%2f9781119600800.ch48&amp;partnerID=40&amp;md5=78fb3feb17e15f902e1b355632e2f7fa</w:t>
      </w:r>
    </w:p>
    <w:p w14:paraId="7BD63801" w14:textId="77777777" w:rsidR="00523C16" w:rsidRPr="00523C16" w:rsidRDefault="00523C16" w:rsidP="00523C16">
      <w:pPr>
        <w:pStyle w:val="Bibliography"/>
        <w:rPr>
          <w:rFonts w:ascii="Calibri" w:hAnsi="Calibri" w:cs="Calibri"/>
        </w:rPr>
      </w:pPr>
      <w:r w:rsidRPr="00523C16">
        <w:rPr>
          <w:rFonts w:ascii="Calibri" w:hAnsi="Calibri" w:cs="Calibri"/>
        </w:rPr>
        <w:t>190.</w:t>
      </w:r>
      <w:r w:rsidRPr="00523C16">
        <w:rPr>
          <w:rFonts w:ascii="Calibri" w:hAnsi="Calibri" w:cs="Calibri"/>
        </w:rPr>
        <w:tab/>
        <w:t xml:space="preserve">Wen Y, Jawa V. The Impact of Product and Process Related Critical Quality Attributes on Immunogenicity and Adverse Immunological Effects of Biotherapeutics. J Pharm Sci. 2021 Mar;110(3):1025–41. </w:t>
      </w:r>
    </w:p>
    <w:p w14:paraId="642F84A2" w14:textId="77777777" w:rsidR="00523C16" w:rsidRPr="00523C16" w:rsidRDefault="00523C16" w:rsidP="00523C16">
      <w:pPr>
        <w:pStyle w:val="Bibliography"/>
        <w:rPr>
          <w:rFonts w:ascii="Calibri" w:hAnsi="Calibri" w:cs="Calibri"/>
        </w:rPr>
      </w:pPr>
      <w:r w:rsidRPr="00523C16">
        <w:rPr>
          <w:rFonts w:ascii="Calibri" w:hAnsi="Calibri" w:cs="Calibri"/>
        </w:rPr>
        <w:t>191.</w:t>
      </w:r>
      <w:r w:rsidRPr="00523C16">
        <w:rPr>
          <w:rFonts w:ascii="Calibri" w:hAnsi="Calibri" w:cs="Calibri"/>
        </w:rPr>
        <w:tab/>
        <w:t xml:space="preserve">White NJ, Nosten FH. SERCAP: is the perfect the enemy of the good? Malar J. 2021 Jun 24;20(1):281. </w:t>
      </w:r>
    </w:p>
    <w:p w14:paraId="0E0027E0" w14:textId="77777777" w:rsidR="00523C16" w:rsidRPr="00523C16" w:rsidRDefault="00523C16" w:rsidP="00523C16">
      <w:pPr>
        <w:pStyle w:val="Bibliography"/>
        <w:rPr>
          <w:rFonts w:ascii="Calibri" w:hAnsi="Calibri" w:cs="Calibri"/>
        </w:rPr>
      </w:pPr>
      <w:r w:rsidRPr="00523C16">
        <w:rPr>
          <w:rFonts w:ascii="Calibri" w:hAnsi="Calibri" w:cs="Calibri"/>
        </w:rPr>
        <w:t>192.</w:t>
      </w:r>
      <w:r w:rsidRPr="00523C16">
        <w:rPr>
          <w:rFonts w:ascii="Calibri" w:hAnsi="Calibri" w:cs="Calibri"/>
        </w:rPr>
        <w:tab/>
        <w:t xml:space="preserve">Winter JR, Taylor GS, Thomas OG, Jackson C, Lewis JEA, Stagg HR. Predictors of Epstein-Barr virus serostatus in young people in England. BMC Infect Dis. 2019 Nov 28;19(1):1007. </w:t>
      </w:r>
    </w:p>
    <w:p w14:paraId="37067ADE" w14:textId="77777777" w:rsidR="00523C16" w:rsidRPr="00523C16" w:rsidRDefault="00523C16" w:rsidP="00523C16">
      <w:pPr>
        <w:pStyle w:val="Bibliography"/>
        <w:rPr>
          <w:rFonts w:ascii="Calibri" w:hAnsi="Calibri" w:cs="Calibri"/>
        </w:rPr>
      </w:pPr>
      <w:r w:rsidRPr="00523C16">
        <w:rPr>
          <w:rFonts w:ascii="Calibri" w:hAnsi="Calibri" w:cs="Calibri"/>
        </w:rPr>
        <w:t>193.</w:t>
      </w:r>
      <w:r w:rsidRPr="00523C16">
        <w:rPr>
          <w:rFonts w:ascii="Calibri" w:hAnsi="Calibri" w:cs="Calibri"/>
        </w:rPr>
        <w:tab/>
        <w:t xml:space="preserve">Wyatt PG, Gilbert IH, Read KD, Fairlamb AH. Target validation: linking target and chemical properties to desired product profile. Curr Top Med Chem. 2011;11(10):1275–83. </w:t>
      </w:r>
    </w:p>
    <w:p w14:paraId="0EA45CDC" w14:textId="77777777" w:rsidR="00523C16" w:rsidRPr="00523C16" w:rsidRDefault="00523C16" w:rsidP="00523C16">
      <w:pPr>
        <w:pStyle w:val="Bibliography"/>
        <w:rPr>
          <w:rFonts w:ascii="Calibri" w:hAnsi="Calibri" w:cs="Calibri"/>
        </w:rPr>
      </w:pPr>
      <w:r w:rsidRPr="00523C16">
        <w:rPr>
          <w:rFonts w:ascii="Calibri" w:hAnsi="Calibri" w:cs="Calibri"/>
        </w:rPr>
        <w:t>194.</w:t>
      </w:r>
      <w:r w:rsidRPr="00523C16">
        <w:rPr>
          <w:rFonts w:ascii="Calibri" w:hAnsi="Calibri" w:cs="Calibri"/>
        </w:rPr>
        <w:tab/>
        <w:t xml:space="preserve">Xu Y, Constantine F, Yuan Y, Pritchett YL. ASIED: a Bayesian adaptive subgroup-identification enrichment design. J Biopharm Stat. 2020 Jul 3;30(4):623–38. </w:t>
      </w:r>
    </w:p>
    <w:p w14:paraId="528B1EF7" w14:textId="77777777" w:rsidR="00523C16" w:rsidRPr="00523C16" w:rsidRDefault="00523C16" w:rsidP="00523C16">
      <w:pPr>
        <w:pStyle w:val="Bibliography"/>
        <w:rPr>
          <w:rFonts w:ascii="Calibri" w:hAnsi="Calibri" w:cs="Calibri"/>
        </w:rPr>
      </w:pPr>
      <w:r w:rsidRPr="00523C16">
        <w:rPr>
          <w:rFonts w:ascii="Calibri" w:hAnsi="Calibri" w:cs="Calibri"/>
        </w:rPr>
        <w:t>195.</w:t>
      </w:r>
      <w:r w:rsidRPr="00523C16">
        <w:rPr>
          <w:rFonts w:ascii="Calibri" w:hAnsi="Calibri" w:cs="Calibri"/>
        </w:rPr>
        <w:tab/>
        <w:t xml:space="preserve">Yang PY, Hui CJ, Tien DJ, Snowden AW, Derfus GE, Opel CF. Accurate definition of control strategies using cross validated stepwise regression and Monte Carlo simulation. J Biotechnol. 2019;306:100006. </w:t>
      </w:r>
    </w:p>
    <w:p w14:paraId="3E2FC8AA" w14:textId="23FF982B" w:rsidR="00523C16" w:rsidRPr="00523C16" w:rsidRDefault="00523C16" w:rsidP="00523C16">
      <w:pPr>
        <w:pStyle w:val="Bibliography"/>
        <w:rPr>
          <w:rFonts w:ascii="Calibri" w:hAnsi="Calibri" w:cs="Calibri"/>
        </w:rPr>
      </w:pPr>
      <w:r w:rsidRPr="00523C16">
        <w:rPr>
          <w:rFonts w:ascii="Calibri" w:hAnsi="Calibri" w:cs="Calibri"/>
        </w:rPr>
        <w:t>196.</w:t>
      </w:r>
      <w:r w:rsidRPr="00523C16">
        <w:rPr>
          <w:rFonts w:ascii="Calibri" w:hAnsi="Calibri" w:cs="Calibri"/>
        </w:rPr>
        <w:tab/>
        <w:t xml:space="preserve">Yao B, Zhang D, Cao W, Yang G, Li W, Hui X, et al. Drifts in N-Linked Glycosylation Result in ADCC Potency Variation of Perjeta® from August 2020 to October 2021 in China. Siemianowicz K, editor. BioMed Res Int. 2022 Apr 30;2022:1–13. </w:t>
      </w:r>
    </w:p>
    <w:p w14:paraId="4A3200EB" w14:textId="77777777" w:rsidR="00523C16" w:rsidRPr="00523C16" w:rsidRDefault="00523C16" w:rsidP="00523C16">
      <w:pPr>
        <w:pStyle w:val="Bibliography"/>
        <w:rPr>
          <w:rFonts w:ascii="Calibri" w:hAnsi="Calibri" w:cs="Calibri"/>
        </w:rPr>
      </w:pPr>
      <w:r w:rsidRPr="00523C16">
        <w:rPr>
          <w:rFonts w:ascii="Calibri" w:hAnsi="Calibri" w:cs="Calibri"/>
        </w:rPr>
        <w:t>197.</w:t>
      </w:r>
      <w:r w:rsidRPr="00523C16">
        <w:rPr>
          <w:rFonts w:ascii="Calibri" w:hAnsi="Calibri" w:cs="Calibri"/>
        </w:rPr>
        <w:tab/>
        <w:t xml:space="preserve">Yost E, Mazel V, Sluga KK, Nagapudi K, Muliadi AR. Beyond Brittle/Ductile Classification: Applying Proper Constitutive Mechanical Metrics to Understand the Compression Characteristics of Pharmaceutical  Materials. J Pharm Sci. 2022 Jul;111(7):1984–91. </w:t>
      </w:r>
    </w:p>
    <w:p w14:paraId="7B5A0512" w14:textId="1F7D7E5E" w:rsidR="00523C16" w:rsidRPr="00523C16" w:rsidRDefault="00523C16" w:rsidP="00523C16">
      <w:pPr>
        <w:pStyle w:val="Bibliography"/>
        <w:rPr>
          <w:rFonts w:ascii="Calibri" w:hAnsi="Calibri" w:cs="Calibri"/>
        </w:rPr>
      </w:pPr>
      <w:r w:rsidRPr="00523C16">
        <w:rPr>
          <w:rFonts w:ascii="Calibri" w:hAnsi="Calibri" w:cs="Calibri"/>
        </w:rPr>
        <w:t>198.</w:t>
      </w:r>
      <w:r w:rsidRPr="00523C16">
        <w:rPr>
          <w:rFonts w:ascii="Calibri" w:hAnsi="Calibri" w:cs="Calibri"/>
        </w:rPr>
        <w:tab/>
        <w:t xml:space="preserve">Yu LX, Amidon G, Khan MA, Hoag SW, Polli J, Raju GK, et al. Understanding Pharmaceutical Quality by Design. AAPS J. 2014 Jul;16(4):771–83. </w:t>
      </w:r>
    </w:p>
    <w:p w14:paraId="47816B3D" w14:textId="77777777" w:rsidR="00523C16" w:rsidRPr="00523C16" w:rsidRDefault="00523C16" w:rsidP="00523C16">
      <w:pPr>
        <w:pStyle w:val="Bibliography"/>
        <w:rPr>
          <w:rFonts w:ascii="Calibri" w:hAnsi="Calibri" w:cs="Calibri"/>
        </w:rPr>
      </w:pPr>
      <w:r w:rsidRPr="00523C16">
        <w:rPr>
          <w:rFonts w:ascii="Calibri" w:hAnsi="Calibri" w:cs="Calibri"/>
        </w:rPr>
        <w:t>199.</w:t>
      </w:r>
      <w:r w:rsidRPr="00523C16">
        <w:rPr>
          <w:rFonts w:ascii="Calibri" w:hAnsi="Calibri" w:cs="Calibri"/>
        </w:rPr>
        <w:tab/>
        <w:t xml:space="preserve">Chua A, Prat I, Nuebling CM, Wood D, Moussy F. Update on Zika Diagnostic Tests and WHO’s Related Activities. De Silva AM, editor. PLoS Negl Trop Dis. 2017 Feb 2;11(2):e0005269. </w:t>
      </w:r>
    </w:p>
    <w:p w14:paraId="4AFBEBFC" w14:textId="2C65A056" w:rsidR="00523C16" w:rsidRPr="00523C16" w:rsidRDefault="00523C16" w:rsidP="00523C16">
      <w:pPr>
        <w:pStyle w:val="Bibliography"/>
        <w:rPr>
          <w:rFonts w:ascii="Calibri" w:hAnsi="Calibri" w:cs="Calibri"/>
        </w:rPr>
      </w:pPr>
      <w:r w:rsidRPr="00523C16">
        <w:rPr>
          <w:rFonts w:ascii="Calibri" w:hAnsi="Calibri" w:cs="Calibri"/>
        </w:rPr>
        <w:t>200.</w:t>
      </w:r>
      <w:r w:rsidRPr="00523C16">
        <w:rPr>
          <w:rFonts w:ascii="Calibri" w:hAnsi="Calibri" w:cs="Calibri"/>
        </w:rPr>
        <w:tab/>
        <w:t xml:space="preserve">Denkinger CM, Kik SV, Cirillo DM, Casenghi M, Shinnick T, Weyer K, et al. Defining the Needs for Next Generation Assays for Tuberculosis. J Infect Dis. 2015 Apr;211(suppl_2):S29–38. </w:t>
      </w:r>
    </w:p>
    <w:p w14:paraId="3D9900CF" w14:textId="51C4C1F5" w:rsidR="00523C16" w:rsidRPr="00523C16" w:rsidRDefault="00523C16" w:rsidP="00523C16">
      <w:pPr>
        <w:pStyle w:val="Bibliography"/>
        <w:rPr>
          <w:rFonts w:ascii="Calibri" w:hAnsi="Calibri" w:cs="Calibri"/>
        </w:rPr>
      </w:pPr>
      <w:r w:rsidRPr="00523C16">
        <w:rPr>
          <w:rFonts w:ascii="Calibri" w:hAnsi="Calibri" w:cs="Calibri"/>
        </w:rPr>
        <w:t>201.</w:t>
      </w:r>
      <w:r w:rsidRPr="00523C16">
        <w:rPr>
          <w:rFonts w:ascii="Calibri" w:hAnsi="Calibri" w:cs="Calibri"/>
        </w:rPr>
        <w:tab/>
        <w:t xml:space="preserve">Ding XC, Ade MP, Baird JK, Cheng Q, Cunningham J, Dhorda M, et al. Defining the next generation of Plasmodium vivax diagnostic tests for control and elimination: Target product profiles. Pimenta PF, editor. PLoS Negl Trop Dis. 2017 Apr 3;11(4):e0005516. </w:t>
      </w:r>
    </w:p>
    <w:p w14:paraId="31C0CC02" w14:textId="77777777" w:rsidR="00523C16" w:rsidRPr="00523C16" w:rsidRDefault="00523C16" w:rsidP="00523C16">
      <w:pPr>
        <w:pStyle w:val="Bibliography"/>
        <w:rPr>
          <w:rFonts w:ascii="Calibri" w:hAnsi="Calibri" w:cs="Calibri"/>
        </w:rPr>
      </w:pPr>
      <w:r w:rsidRPr="00523C16">
        <w:rPr>
          <w:rFonts w:ascii="Calibri" w:hAnsi="Calibri" w:cs="Calibri"/>
        </w:rPr>
        <w:lastRenderedPageBreak/>
        <w:t>202.</w:t>
      </w:r>
      <w:r w:rsidRPr="00523C16">
        <w:rPr>
          <w:rFonts w:ascii="Calibri" w:hAnsi="Calibri" w:cs="Calibri"/>
        </w:rPr>
        <w:tab/>
        <w:t xml:space="preserve">Donadeu M, Fahrion AS, Olliaro PL, Abela-Ridder B. Target product profiles for the diagnosis of Taenia solium taeniasis, neurocysticercosis and porcine cysticercosis. Garcia HH, editor. PLoS Negl Trop Dis. 2017 Sep 11;11(9):e0005875. </w:t>
      </w:r>
    </w:p>
    <w:p w14:paraId="4C5F3527" w14:textId="0451AF1F" w:rsidR="00523C16" w:rsidRPr="00523C16" w:rsidRDefault="00523C16" w:rsidP="00523C16">
      <w:pPr>
        <w:pStyle w:val="Bibliography"/>
        <w:rPr>
          <w:rFonts w:ascii="Calibri" w:hAnsi="Calibri" w:cs="Calibri"/>
        </w:rPr>
      </w:pPr>
      <w:r w:rsidRPr="00523C16">
        <w:rPr>
          <w:rFonts w:ascii="Calibri" w:hAnsi="Calibri" w:cs="Calibri"/>
        </w:rPr>
        <w:t>203.</w:t>
      </w:r>
      <w:r w:rsidRPr="00523C16">
        <w:rPr>
          <w:rFonts w:ascii="Calibri" w:hAnsi="Calibri" w:cs="Calibri"/>
        </w:rPr>
        <w:tab/>
        <w:t>Ebels KB, Clerk C, Crudder CH, McGray S, Magnuson K, Tietje K, et al. Incorporating user needs into product development for improved infection detection for malaria elimination programs. In: IEEE Global Humanitarian Technology Conference (GHTC 2014) [Internet]. San Jose, CA: IEEE; 2014 [cited 2023 Nov 2]. p. 555–60. Available from: http://ieeexplore.ieee.org/document/6970338/</w:t>
      </w:r>
    </w:p>
    <w:p w14:paraId="7B86FD7E" w14:textId="4CB7E6F1" w:rsidR="00523C16" w:rsidRPr="00523C16" w:rsidRDefault="00523C16" w:rsidP="00523C16">
      <w:pPr>
        <w:pStyle w:val="Bibliography"/>
        <w:rPr>
          <w:rFonts w:ascii="Calibri" w:hAnsi="Calibri" w:cs="Calibri"/>
        </w:rPr>
      </w:pPr>
      <w:r w:rsidRPr="00523C16">
        <w:rPr>
          <w:rFonts w:ascii="Calibri" w:hAnsi="Calibri" w:cs="Calibri"/>
        </w:rPr>
        <w:t>204.</w:t>
      </w:r>
      <w:r w:rsidRPr="00523C16">
        <w:rPr>
          <w:rFonts w:ascii="Calibri" w:hAnsi="Calibri" w:cs="Calibri"/>
        </w:rPr>
        <w:tab/>
        <w:t xml:space="preserve">Lim MD, Brooker SJ, Belizario VY, Gay-Andrieu F, Gilleard J, Levecke B, et al. Diagnostic tools for soil-transmitted helminths control and elimination programs: A pathway for diagnostic product development. Maruyama H, editor. PLoS Negl Trop Dis. 2018 Mar 1;12(3):e0006213. </w:t>
      </w:r>
    </w:p>
    <w:p w14:paraId="04B7D34C" w14:textId="46238B9C" w:rsidR="00523C16" w:rsidRPr="00523C16" w:rsidRDefault="00523C16" w:rsidP="00523C16">
      <w:pPr>
        <w:pStyle w:val="Bibliography"/>
        <w:rPr>
          <w:rFonts w:ascii="Calibri" w:hAnsi="Calibri" w:cs="Calibri"/>
        </w:rPr>
      </w:pPr>
      <w:r w:rsidRPr="00523C16">
        <w:rPr>
          <w:rFonts w:ascii="Calibri" w:hAnsi="Calibri" w:cs="Calibri"/>
        </w:rPr>
        <w:t>205.</w:t>
      </w:r>
      <w:r w:rsidRPr="00523C16">
        <w:rPr>
          <w:rFonts w:ascii="Calibri" w:hAnsi="Calibri" w:cs="Calibri"/>
        </w:rPr>
        <w:tab/>
        <w:t xml:space="preserve">Pal S, Jasper LE, Lawrence KL, Walter M, Gilliland T, Dauner AL, et al. Assessing the Dengue Diagnosis Capability Gap in the Military Health System. Mil Med. 2016 Aug;181(8):756–66. </w:t>
      </w:r>
    </w:p>
    <w:p w14:paraId="1B31BC4A" w14:textId="5CAFB444" w:rsidR="00523C16" w:rsidRPr="00523C16" w:rsidRDefault="00523C16" w:rsidP="00523C16">
      <w:pPr>
        <w:pStyle w:val="Bibliography"/>
        <w:rPr>
          <w:rFonts w:ascii="Calibri" w:hAnsi="Calibri" w:cs="Calibri"/>
        </w:rPr>
      </w:pPr>
      <w:r w:rsidRPr="00523C16">
        <w:rPr>
          <w:rFonts w:ascii="Calibri" w:hAnsi="Calibri" w:cs="Calibri"/>
        </w:rPr>
        <w:t>206.</w:t>
      </w:r>
      <w:r w:rsidRPr="00523C16">
        <w:rPr>
          <w:rFonts w:ascii="Calibri" w:hAnsi="Calibri" w:cs="Calibri"/>
        </w:rPr>
        <w:tab/>
        <w:t xml:space="preserve">Solomon AW, Engels D, Bailey RL, Blake IM, Brooker S, Chen JX, et al. A Diagnostics Platform for the Integrated Mapping, Monitoring, and Surveillance of Neglected Tropical Diseases: Rationale and Target Product Profiles. McCarthy JS, editor. PLoS Negl Trop Dis. 2012 Jul 31;6(7):e1746. </w:t>
      </w:r>
    </w:p>
    <w:p w14:paraId="5E1126C4" w14:textId="77777777" w:rsidR="00523C16" w:rsidRPr="00523C16" w:rsidRDefault="00523C16" w:rsidP="00523C16">
      <w:pPr>
        <w:pStyle w:val="Bibliography"/>
        <w:rPr>
          <w:rFonts w:ascii="Calibri" w:hAnsi="Calibri" w:cs="Calibri"/>
        </w:rPr>
      </w:pPr>
      <w:r w:rsidRPr="00523C16">
        <w:rPr>
          <w:rFonts w:ascii="Calibri" w:hAnsi="Calibri" w:cs="Calibri"/>
        </w:rPr>
        <w:t>207.</w:t>
      </w:r>
      <w:r w:rsidRPr="00523C16">
        <w:rPr>
          <w:rFonts w:ascii="Calibri" w:hAnsi="Calibri" w:cs="Calibri"/>
        </w:rPr>
        <w:tab/>
        <w:t xml:space="preserve">Toskin I, Murtagh M, Peeling RW, Blondeel K, Cordero J, Kiarie J. Advancing prevention of sexually transmitted infections through point-of-care testing: target product profiles and landscape analysis. Sex Transm Infect. 2017 Dec;93(S4):S69–80. </w:t>
      </w:r>
    </w:p>
    <w:p w14:paraId="53091CC5" w14:textId="77777777" w:rsidR="00523C16" w:rsidRPr="00523C16" w:rsidRDefault="00523C16" w:rsidP="00523C16">
      <w:pPr>
        <w:pStyle w:val="Bibliography"/>
        <w:rPr>
          <w:rFonts w:ascii="Calibri" w:hAnsi="Calibri" w:cs="Calibri"/>
        </w:rPr>
      </w:pPr>
      <w:r w:rsidRPr="00523C16">
        <w:rPr>
          <w:rFonts w:ascii="Calibri" w:hAnsi="Calibri" w:cs="Calibri"/>
        </w:rPr>
        <w:t>208.</w:t>
      </w:r>
      <w:r w:rsidRPr="00523C16">
        <w:rPr>
          <w:rFonts w:ascii="Calibri" w:hAnsi="Calibri" w:cs="Calibri"/>
        </w:rPr>
        <w:tab/>
        <w:t xml:space="preserve">Alafeef M, Pan D. Diagnostic Approaches For COVID-19: Lessons Learned and the Path Forward. ACS Nano. 2022 Aug 23;16(8):11545–76. </w:t>
      </w:r>
    </w:p>
    <w:p w14:paraId="1FA19D2A" w14:textId="5BA37150" w:rsidR="00523C16" w:rsidRPr="00523C16" w:rsidRDefault="00523C16" w:rsidP="00523C16">
      <w:pPr>
        <w:pStyle w:val="Bibliography"/>
        <w:rPr>
          <w:rFonts w:ascii="Calibri" w:hAnsi="Calibri" w:cs="Calibri"/>
        </w:rPr>
      </w:pPr>
      <w:r w:rsidRPr="00523C16">
        <w:rPr>
          <w:rFonts w:ascii="Calibri" w:hAnsi="Calibri" w:cs="Calibri"/>
        </w:rPr>
        <w:t>209.</w:t>
      </w:r>
      <w:r w:rsidRPr="00523C16">
        <w:rPr>
          <w:rFonts w:ascii="Calibri" w:hAnsi="Calibri" w:cs="Calibri"/>
        </w:rPr>
        <w:tab/>
        <w:t xml:space="preserve">Alonso-Padilla J, Abril M, Alarcón De Noya B, Almeida IC, Angheben A, Araujo Jorge T, et al. Target product profile for a test for the early assessment of treatment efficacy in Chagas disease patients: An expert consensus. Santiago HDC, editor. PLoS Negl Trop Dis. 2020 Apr 23;14(4):e0008035. </w:t>
      </w:r>
    </w:p>
    <w:p w14:paraId="161727CE" w14:textId="77777777" w:rsidR="00523C16" w:rsidRPr="00523C16" w:rsidRDefault="00523C16" w:rsidP="00523C16">
      <w:pPr>
        <w:pStyle w:val="Bibliography"/>
        <w:rPr>
          <w:rFonts w:ascii="Calibri" w:hAnsi="Calibri" w:cs="Calibri"/>
        </w:rPr>
      </w:pPr>
      <w:r w:rsidRPr="00523C16">
        <w:rPr>
          <w:rFonts w:ascii="Calibri" w:hAnsi="Calibri" w:cs="Calibri"/>
        </w:rPr>
        <w:t>210.</w:t>
      </w:r>
      <w:r w:rsidRPr="00523C16">
        <w:rPr>
          <w:rFonts w:ascii="Calibri" w:hAnsi="Calibri" w:cs="Calibri"/>
        </w:rPr>
        <w:tab/>
        <w:t xml:space="preserve">Amasya G, Badilli U, Aksu B, Tarimci N. Quality by design case study 1: Design of 5-fluorouracil loaded lipid nanoparticles by the W/O/W double emulsion — Solvent evaporation method. Eur J Pharm Sci. 2016 Mar;84:92–102. </w:t>
      </w:r>
    </w:p>
    <w:p w14:paraId="115ED19F" w14:textId="77777777" w:rsidR="00523C16" w:rsidRPr="00523C16" w:rsidRDefault="00523C16" w:rsidP="00523C16">
      <w:pPr>
        <w:pStyle w:val="Bibliography"/>
        <w:rPr>
          <w:rFonts w:ascii="Calibri" w:hAnsi="Calibri" w:cs="Calibri"/>
        </w:rPr>
      </w:pPr>
      <w:r w:rsidRPr="00523C16">
        <w:rPr>
          <w:rFonts w:ascii="Calibri" w:hAnsi="Calibri" w:cs="Calibri"/>
        </w:rPr>
        <w:t>211.</w:t>
      </w:r>
      <w:r w:rsidRPr="00523C16">
        <w:rPr>
          <w:rFonts w:ascii="Calibri" w:hAnsi="Calibri" w:cs="Calibri"/>
        </w:rPr>
        <w:tab/>
        <w:t xml:space="preserve">Apolinário AC, Ferraro RB, De Oliveira CA, Pessoa Jr A, De Oliveira Rangel-Yagui C. Quality-by-Design Approach for Biological API Encapsulation into Polymersomes Using “Off-the-Shelf” Materials: a Study on L-Asparaginase. AAPS PharmSciTech. 2019 Aug;20(6):251. </w:t>
      </w:r>
    </w:p>
    <w:p w14:paraId="7D9C74AF" w14:textId="77777777" w:rsidR="00523C16" w:rsidRPr="00523C16" w:rsidRDefault="00523C16" w:rsidP="00523C16">
      <w:pPr>
        <w:pStyle w:val="Bibliography"/>
        <w:rPr>
          <w:rFonts w:ascii="Calibri" w:hAnsi="Calibri" w:cs="Calibri"/>
        </w:rPr>
      </w:pPr>
      <w:r w:rsidRPr="00523C16">
        <w:rPr>
          <w:rFonts w:ascii="Calibri" w:hAnsi="Calibri" w:cs="Calibri"/>
        </w:rPr>
        <w:t>212.</w:t>
      </w:r>
      <w:r w:rsidRPr="00523C16">
        <w:rPr>
          <w:rFonts w:ascii="Calibri" w:hAnsi="Calibri" w:cs="Calibri"/>
        </w:rPr>
        <w:tab/>
        <w:t xml:space="preserve">Arnold SLM. Target Product Profile and Development Path for Shigellosis Treatment with Antibacterials. ACS Infect Dis. 2021 May 14;7(5):948–58. </w:t>
      </w:r>
    </w:p>
    <w:p w14:paraId="7635590E" w14:textId="77777777" w:rsidR="00523C16" w:rsidRPr="00523C16" w:rsidRDefault="00523C16" w:rsidP="00523C16">
      <w:pPr>
        <w:pStyle w:val="Bibliography"/>
        <w:rPr>
          <w:rFonts w:ascii="Calibri" w:hAnsi="Calibri" w:cs="Calibri"/>
        </w:rPr>
      </w:pPr>
      <w:r w:rsidRPr="00523C16">
        <w:rPr>
          <w:rFonts w:ascii="Calibri" w:hAnsi="Calibri" w:cs="Calibri"/>
        </w:rPr>
        <w:t>213.</w:t>
      </w:r>
      <w:r w:rsidRPr="00523C16">
        <w:rPr>
          <w:rFonts w:ascii="Calibri" w:hAnsi="Calibri" w:cs="Calibri"/>
        </w:rPr>
        <w:tab/>
        <w:t xml:space="preserve">Arora D, Nanda S. Quality by design driven development of resveratrol loaded ethosomal hydrogel for improved dermatological benefits via enhanced skin permeation and retention. Int J Pharm. 2019 Aug;567:118448. </w:t>
      </w:r>
    </w:p>
    <w:p w14:paraId="77A6551C" w14:textId="283EF762" w:rsidR="00523C16" w:rsidRPr="00523C16" w:rsidRDefault="00523C16" w:rsidP="00523C16">
      <w:pPr>
        <w:pStyle w:val="Bibliography"/>
        <w:rPr>
          <w:rFonts w:ascii="Calibri" w:hAnsi="Calibri" w:cs="Calibri"/>
        </w:rPr>
      </w:pPr>
      <w:r w:rsidRPr="00523C16">
        <w:rPr>
          <w:rFonts w:ascii="Calibri" w:hAnsi="Calibri" w:cs="Calibri"/>
        </w:rPr>
        <w:t>214.</w:t>
      </w:r>
      <w:r w:rsidRPr="00523C16">
        <w:rPr>
          <w:rFonts w:ascii="Calibri" w:hAnsi="Calibri" w:cs="Calibri"/>
        </w:rPr>
        <w:tab/>
        <w:t xml:space="preserve">Arranja A, Gouveia LF, Gener P, Rafael DF, Pereira C, Schwartz S, et al. Self-assembly PEGylation assists SLN-paclitaxel delivery inducing cancer cell apoptosis upon internalization. Int J Pharm. 2016 Mar;501(1–2):180–9. </w:t>
      </w:r>
    </w:p>
    <w:p w14:paraId="431C0A15" w14:textId="12A544F8" w:rsidR="00523C16" w:rsidRPr="00523C16" w:rsidRDefault="00523C16" w:rsidP="00523C16">
      <w:pPr>
        <w:pStyle w:val="Bibliography"/>
        <w:rPr>
          <w:rFonts w:ascii="Calibri" w:hAnsi="Calibri" w:cs="Calibri"/>
        </w:rPr>
      </w:pPr>
      <w:r w:rsidRPr="00523C16">
        <w:rPr>
          <w:rFonts w:ascii="Calibri" w:hAnsi="Calibri" w:cs="Calibri"/>
        </w:rPr>
        <w:t>215.</w:t>
      </w:r>
      <w:r w:rsidRPr="00523C16">
        <w:rPr>
          <w:rFonts w:ascii="Calibri" w:hAnsi="Calibri" w:cs="Calibri"/>
        </w:rPr>
        <w:tab/>
        <w:t xml:space="preserve">Awotwe-Otoo D, Agarabi C, Wu GK, Casey E, Read E, Lute S, et al. Quality by design: Impact of formulation variables and their interactions on quality attributes of a lyophilized monoclonal antibody. Int J Pharm. 2012 Nov;438(1–2):167–75. </w:t>
      </w:r>
    </w:p>
    <w:p w14:paraId="25BBABA9" w14:textId="77777777" w:rsidR="00523C16" w:rsidRPr="00523C16" w:rsidRDefault="00523C16" w:rsidP="00523C16">
      <w:pPr>
        <w:pStyle w:val="Bibliography"/>
        <w:rPr>
          <w:rFonts w:ascii="Calibri" w:hAnsi="Calibri" w:cs="Calibri"/>
        </w:rPr>
      </w:pPr>
      <w:r w:rsidRPr="00523C16">
        <w:rPr>
          <w:rFonts w:ascii="Calibri" w:hAnsi="Calibri" w:cs="Calibri"/>
        </w:rPr>
        <w:t>216.</w:t>
      </w:r>
      <w:r w:rsidRPr="00523C16">
        <w:rPr>
          <w:rFonts w:ascii="Calibri" w:hAnsi="Calibri" w:cs="Calibri"/>
        </w:rPr>
        <w:tab/>
        <w:t xml:space="preserve">Beg S, Katare OP, Singh B. Formulation by design approach for development of ultrafine self-nanoemulsifying systems of rosuvastatin calcium containing long-chain lipophiles for hyperlipidemia management. Colloids Surf B Biointerfaces. 2017 Nov;159:869–79. </w:t>
      </w:r>
    </w:p>
    <w:p w14:paraId="2BB538AE" w14:textId="77777777" w:rsidR="00523C16" w:rsidRPr="00523C16" w:rsidRDefault="00523C16" w:rsidP="00523C16">
      <w:pPr>
        <w:pStyle w:val="Bibliography"/>
        <w:rPr>
          <w:rFonts w:ascii="Calibri" w:hAnsi="Calibri" w:cs="Calibri"/>
        </w:rPr>
      </w:pPr>
      <w:r w:rsidRPr="00523C16">
        <w:rPr>
          <w:rFonts w:ascii="Calibri" w:hAnsi="Calibri" w:cs="Calibri"/>
        </w:rPr>
        <w:t>217.</w:t>
      </w:r>
      <w:r w:rsidRPr="00523C16">
        <w:rPr>
          <w:rFonts w:ascii="Calibri" w:hAnsi="Calibri" w:cs="Calibri"/>
        </w:rPr>
        <w:tab/>
        <w:t xml:space="preserve">Bell M, Webster L, Woodland A. Research Techniques Made Simple: An Introduction to Drug Discovery for Dermatology. J Invest Dermatol. 2019 Nov;139(11):2252-2257.e1. </w:t>
      </w:r>
    </w:p>
    <w:p w14:paraId="624C2D39" w14:textId="695393D1" w:rsidR="00523C16" w:rsidRPr="00523C16" w:rsidRDefault="00523C16" w:rsidP="00523C16">
      <w:pPr>
        <w:pStyle w:val="Bibliography"/>
        <w:rPr>
          <w:rFonts w:ascii="Calibri" w:hAnsi="Calibri" w:cs="Calibri"/>
        </w:rPr>
      </w:pPr>
      <w:r w:rsidRPr="00523C16">
        <w:rPr>
          <w:rFonts w:ascii="Calibri" w:hAnsi="Calibri" w:cs="Calibri"/>
        </w:rPr>
        <w:t>218.</w:t>
      </w:r>
      <w:r w:rsidRPr="00523C16">
        <w:rPr>
          <w:rFonts w:ascii="Calibri" w:hAnsi="Calibri" w:cs="Calibri"/>
        </w:rPr>
        <w:tab/>
        <w:t xml:space="preserve">Bengtson M, Bharadwaj M, Bosch AT, Nyakundi H, Matoke-Muhia D, Dekker C, et al. Matching Development of Point-of-Care Diagnostic Tests to the Local Context: A Case Study of Visceral Leishmaniasis in Kenya and Uganda. Glob Health Sci Pract. 2020 Sep 30;8(3):549–65. </w:t>
      </w:r>
    </w:p>
    <w:p w14:paraId="1F6FBE86" w14:textId="77777777" w:rsidR="00523C16" w:rsidRPr="00523C16" w:rsidRDefault="00523C16" w:rsidP="00523C16">
      <w:pPr>
        <w:pStyle w:val="Bibliography"/>
        <w:rPr>
          <w:rFonts w:ascii="Calibri" w:hAnsi="Calibri" w:cs="Calibri"/>
        </w:rPr>
      </w:pPr>
      <w:r w:rsidRPr="00523C16">
        <w:rPr>
          <w:rFonts w:ascii="Calibri" w:hAnsi="Calibri" w:cs="Calibri"/>
        </w:rPr>
        <w:t>219.</w:t>
      </w:r>
      <w:r w:rsidRPr="00523C16">
        <w:rPr>
          <w:rFonts w:ascii="Calibri" w:hAnsi="Calibri" w:cs="Calibri"/>
        </w:rPr>
        <w:tab/>
        <w:t xml:space="preserve">Bergström F, Lindmark B. Accelerated drug discovery by rapid candidate drug identification. Drug Discov Today. 2019 Jun;24(6):1237–41. </w:t>
      </w:r>
    </w:p>
    <w:p w14:paraId="1CECD3DA" w14:textId="77777777" w:rsidR="00523C16" w:rsidRPr="00523C16" w:rsidRDefault="00523C16" w:rsidP="00523C16">
      <w:pPr>
        <w:pStyle w:val="Bibliography"/>
        <w:rPr>
          <w:rFonts w:ascii="Calibri" w:hAnsi="Calibri" w:cs="Calibri"/>
        </w:rPr>
      </w:pPr>
      <w:r w:rsidRPr="00523C16">
        <w:rPr>
          <w:rFonts w:ascii="Calibri" w:hAnsi="Calibri" w:cs="Calibri"/>
        </w:rPr>
        <w:t>220.</w:t>
      </w:r>
      <w:r w:rsidRPr="00523C16">
        <w:rPr>
          <w:rFonts w:ascii="Calibri" w:hAnsi="Calibri" w:cs="Calibri"/>
        </w:rPr>
        <w:tab/>
        <w:t xml:space="preserve">Bernatchez JA, Tran LT, Li J, Luan Y, Siqueira-Neto JL, Li R. Drugs for the Treatment of Zika Virus Infection. J Med Chem. 2020 Jan 23;63(2):470–89. </w:t>
      </w:r>
    </w:p>
    <w:p w14:paraId="44881C60" w14:textId="465A9BD5" w:rsidR="00523C16" w:rsidRPr="00523C16" w:rsidRDefault="00523C16" w:rsidP="00523C16">
      <w:pPr>
        <w:pStyle w:val="Bibliography"/>
        <w:rPr>
          <w:rFonts w:ascii="Calibri" w:hAnsi="Calibri" w:cs="Calibri"/>
        </w:rPr>
      </w:pPr>
      <w:r w:rsidRPr="00523C16">
        <w:rPr>
          <w:rFonts w:ascii="Calibri" w:hAnsi="Calibri" w:cs="Calibri"/>
        </w:rPr>
        <w:t>221.</w:t>
      </w:r>
      <w:r w:rsidRPr="00523C16">
        <w:rPr>
          <w:rFonts w:ascii="Calibri" w:hAnsi="Calibri" w:cs="Calibri"/>
        </w:rPr>
        <w:tab/>
        <w:t xml:space="preserve">Burrows JN, Duparc S, Gutteridge WE, Hooft Van Huijsduijnen R, Kaszubska W, Macintyre F, et al. New developments in anti-malarial target candidate and product profiles. Malar J. 2017 Dec;16(1):26. </w:t>
      </w:r>
    </w:p>
    <w:p w14:paraId="34B561F9" w14:textId="1D190B3B" w:rsidR="00523C16" w:rsidRPr="00523C16" w:rsidRDefault="00523C16" w:rsidP="00523C16">
      <w:pPr>
        <w:pStyle w:val="Bibliography"/>
        <w:rPr>
          <w:rFonts w:ascii="Calibri" w:hAnsi="Calibri" w:cs="Calibri"/>
        </w:rPr>
      </w:pPr>
      <w:r w:rsidRPr="00523C16">
        <w:rPr>
          <w:rFonts w:ascii="Calibri" w:hAnsi="Calibri" w:cs="Calibri"/>
        </w:rPr>
        <w:t>222.</w:t>
      </w:r>
      <w:r w:rsidRPr="00523C16">
        <w:rPr>
          <w:rFonts w:ascii="Calibri" w:hAnsi="Calibri" w:cs="Calibri"/>
        </w:rPr>
        <w:tab/>
        <w:t xml:space="preserve">Burrows J, Slater H, Macintyre F, Rees S, Thomas A, Okumu F, et al. A discovery and development roadmap for new endectocidal transmission-blocking agents in malaria. Malar J. 2018 Dec;17(1):462. </w:t>
      </w:r>
    </w:p>
    <w:p w14:paraId="2D7C51CB" w14:textId="64D08988" w:rsidR="00523C16" w:rsidRPr="00523C16" w:rsidRDefault="00523C16" w:rsidP="00523C16">
      <w:pPr>
        <w:pStyle w:val="Bibliography"/>
        <w:rPr>
          <w:rFonts w:ascii="Calibri" w:hAnsi="Calibri" w:cs="Calibri"/>
        </w:rPr>
      </w:pPr>
      <w:r w:rsidRPr="00523C16">
        <w:rPr>
          <w:rFonts w:ascii="Calibri" w:hAnsi="Calibri" w:cs="Calibri"/>
        </w:rPr>
        <w:t>223.</w:t>
      </w:r>
      <w:r w:rsidRPr="00523C16">
        <w:rPr>
          <w:rFonts w:ascii="Calibri" w:hAnsi="Calibri" w:cs="Calibri"/>
        </w:rPr>
        <w:tab/>
        <w:t xml:space="preserve">Campbell A, Brieva T, Raviv L, Rowley J, Niss K, Brandwein H, et al. Concise Review: Process Development Considerations for Cell Therapy. Stem Cells Transl Med. 2015 Oct 1;4(10):1155–63. </w:t>
      </w:r>
    </w:p>
    <w:p w14:paraId="155AA567" w14:textId="2F3921F7" w:rsidR="00523C16" w:rsidRPr="00523C16" w:rsidRDefault="00523C16" w:rsidP="00523C16">
      <w:pPr>
        <w:pStyle w:val="Bibliography"/>
        <w:rPr>
          <w:rFonts w:ascii="Calibri" w:hAnsi="Calibri" w:cs="Calibri"/>
        </w:rPr>
      </w:pPr>
      <w:r w:rsidRPr="00523C16">
        <w:rPr>
          <w:rFonts w:ascii="Calibri" w:hAnsi="Calibri" w:cs="Calibri"/>
        </w:rPr>
        <w:t>224.</w:t>
      </w:r>
      <w:r w:rsidRPr="00523C16">
        <w:rPr>
          <w:rFonts w:ascii="Calibri" w:hAnsi="Calibri" w:cs="Calibri"/>
        </w:rPr>
        <w:tab/>
        <w:t xml:space="preserve">Carballar-Lejarazú R, Ogaugwu C, Tushar T, Kelsey A, Pham TB, Murphy J, et al. Next-generation gene drive for population modification of the malaria vector mosquito, </w:t>
      </w:r>
      <w:r w:rsidRPr="00523C16">
        <w:rPr>
          <w:rFonts w:ascii="Calibri" w:hAnsi="Calibri" w:cs="Calibri"/>
          <w:i/>
          <w:iCs/>
        </w:rPr>
        <w:t>Anopheles gambiae</w:t>
      </w:r>
      <w:r w:rsidRPr="00523C16">
        <w:rPr>
          <w:rFonts w:ascii="Calibri" w:hAnsi="Calibri" w:cs="Calibri"/>
        </w:rPr>
        <w:t xml:space="preserve">. Proc Natl Acad Sci. 2020 Sep 15;117(37):22805–14. </w:t>
      </w:r>
    </w:p>
    <w:p w14:paraId="51880CED" w14:textId="77777777" w:rsidR="00523C16" w:rsidRPr="00523C16" w:rsidRDefault="00523C16" w:rsidP="00523C16">
      <w:pPr>
        <w:pStyle w:val="Bibliography"/>
        <w:rPr>
          <w:rFonts w:ascii="Calibri" w:hAnsi="Calibri" w:cs="Calibri"/>
        </w:rPr>
      </w:pPr>
      <w:r w:rsidRPr="00523C16">
        <w:rPr>
          <w:rFonts w:ascii="Calibri" w:hAnsi="Calibri" w:cs="Calibri"/>
        </w:rPr>
        <w:t>225.</w:t>
      </w:r>
      <w:r w:rsidRPr="00523C16">
        <w:rPr>
          <w:rFonts w:ascii="Calibri" w:hAnsi="Calibri" w:cs="Calibri"/>
        </w:rPr>
        <w:tab/>
        <w:t xml:space="preserve">Chang RK, Raw A, Lionberger R, Yu L. Generic Development of Topical Dermatologic Products, Part II: Quality by Design for Topical Semisolid Products. AAPS J. 2013 Jul;15(3):674–83. </w:t>
      </w:r>
    </w:p>
    <w:p w14:paraId="6B64B5E3" w14:textId="3DD8C85D" w:rsidR="00523C16" w:rsidRPr="00523C16" w:rsidRDefault="00523C16" w:rsidP="00523C16">
      <w:pPr>
        <w:pStyle w:val="Bibliography"/>
        <w:rPr>
          <w:rFonts w:ascii="Calibri" w:hAnsi="Calibri" w:cs="Calibri"/>
        </w:rPr>
      </w:pPr>
      <w:r w:rsidRPr="00523C16">
        <w:rPr>
          <w:rFonts w:ascii="Calibri" w:hAnsi="Calibri" w:cs="Calibri"/>
        </w:rPr>
        <w:t>226.</w:t>
      </w:r>
      <w:r w:rsidRPr="00523C16">
        <w:rPr>
          <w:rFonts w:ascii="Calibri" w:hAnsi="Calibri" w:cs="Calibri"/>
        </w:rPr>
        <w:tab/>
        <w:t xml:space="preserve">Chappidi SR, Bhargav E, Marikunte V, Chinthaginjala H, Vijaya Jyothi M, Pisay M, et al. A Cost Effective (QbD) Approach in the Development and Optimization of Rosiglitazone Maleate Mucoadhesive Extended Release Tablets – In Vitro and Ex Vivo. Adv Pharm Bull. 2019 Jun 1;9(2):281–8. </w:t>
      </w:r>
    </w:p>
    <w:p w14:paraId="11A2C4D9" w14:textId="77777777" w:rsidR="00523C16" w:rsidRPr="00523C16" w:rsidRDefault="00523C16" w:rsidP="00523C16">
      <w:pPr>
        <w:pStyle w:val="Bibliography"/>
        <w:rPr>
          <w:rFonts w:ascii="Calibri" w:hAnsi="Calibri" w:cs="Calibri"/>
        </w:rPr>
      </w:pPr>
      <w:r w:rsidRPr="00523C16">
        <w:rPr>
          <w:rFonts w:ascii="Calibri" w:hAnsi="Calibri" w:cs="Calibri"/>
        </w:rPr>
        <w:t>227.</w:t>
      </w:r>
      <w:r w:rsidRPr="00523C16">
        <w:rPr>
          <w:rFonts w:ascii="Calibri" w:hAnsi="Calibri" w:cs="Calibri"/>
        </w:rPr>
        <w:tab/>
        <w:t xml:space="preserve">Charoo NA, Shamsher AAA, Zidan AS, Rahman Z. Quality by design approach for formulation development: A case study of dispersible tablets. Int J Pharm. 2012 Feb;423(2):167–78. </w:t>
      </w:r>
    </w:p>
    <w:p w14:paraId="2C666438" w14:textId="77777777" w:rsidR="00523C16" w:rsidRPr="00523C16" w:rsidRDefault="00523C16" w:rsidP="00523C16">
      <w:pPr>
        <w:pStyle w:val="Bibliography"/>
        <w:rPr>
          <w:rFonts w:ascii="Calibri" w:hAnsi="Calibri" w:cs="Calibri"/>
        </w:rPr>
      </w:pPr>
      <w:r w:rsidRPr="00523C16">
        <w:rPr>
          <w:rFonts w:ascii="Calibri" w:hAnsi="Calibri" w:cs="Calibri"/>
        </w:rPr>
        <w:t>228.</w:t>
      </w:r>
      <w:r w:rsidRPr="00523C16">
        <w:rPr>
          <w:rFonts w:ascii="Calibri" w:hAnsi="Calibri" w:cs="Calibri"/>
        </w:rPr>
        <w:tab/>
        <w:t xml:space="preserve">Chudiwal SS, Dehghan MHG. Quality by design approach for development of suspension nasal spray products: a case study on budesonide nasal suspension. Drug Dev Ind Pharm. 2016 Oct 2;42(10):1643–52. </w:t>
      </w:r>
    </w:p>
    <w:p w14:paraId="6F1F7256" w14:textId="77777777" w:rsidR="00523C16" w:rsidRPr="00523C16" w:rsidRDefault="00523C16" w:rsidP="00523C16">
      <w:pPr>
        <w:pStyle w:val="Bibliography"/>
        <w:rPr>
          <w:rFonts w:ascii="Calibri" w:hAnsi="Calibri" w:cs="Calibri"/>
        </w:rPr>
      </w:pPr>
      <w:r w:rsidRPr="00523C16">
        <w:rPr>
          <w:rFonts w:ascii="Calibri" w:hAnsi="Calibri" w:cs="Calibri"/>
        </w:rPr>
        <w:t>229.</w:t>
      </w:r>
      <w:r w:rsidRPr="00523C16">
        <w:rPr>
          <w:rFonts w:ascii="Calibri" w:hAnsi="Calibri" w:cs="Calibri"/>
        </w:rPr>
        <w:tab/>
        <w:t xml:space="preserve">Chudiwal SS, Dehghan MHG. Quality by design (QbD) approach for design and development of drug-device combination products: a case study on flunisolide nasal spray. Pharm Dev Technol. 2018 Nov 26;23(10):1077–87. </w:t>
      </w:r>
    </w:p>
    <w:p w14:paraId="24723DB6" w14:textId="77777777" w:rsidR="00523C16" w:rsidRPr="00523C16" w:rsidRDefault="00523C16" w:rsidP="00523C16">
      <w:pPr>
        <w:pStyle w:val="Bibliography"/>
        <w:rPr>
          <w:rFonts w:ascii="Calibri" w:hAnsi="Calibri" w:cs="Calibri"/>
        </w:rPr>
      </w:pPr>
      <w:r w:rsidRPr="00523C16">
        <w:rPr>
          <w:rFonts w:ascii="Calibri" w:hAnsi="Calibri" w:cs="Calibri"/>
        </w:rPr>
        <w:t>230.</w:t>
      </w:r>
      <w:r w:rsidRPr="00523C16">
        <w:rPr>
          <w:rFonts w:ascii="Calibri" w:hAnsi="Calibri" w:cs="Calibri"/>
        </w:rPr>
        <w:tab/>
        <w:t xml:space="preserve">Chudiwal VS, Shahi S, Chudiwal S. Development of sustained release gastro-retentive tablet formulation of nicardipine hydrochloride using quality by design (QbD) approach. Drug Dev Ind Pharm. 2018 May 4;44(5):787–99. </w:t>
      </w:r>
    </w:p>
    <w:p w14:paraId="4DB63B52" w14:textId="408B6423" w:rsidR="00523C16" w:rsidRPr="00523C16" w:rsidRDefault="00523C16" w:rsidP="00523C16">
      <w:pPr>
        <w:pStyle w:val="Bibliography"/>
        <w:rPr>
          <w:rFonts w:ascii="Calibri" w:hAnsi="Calibri" w:cs="Calibri"/>
        </w:rPr>
      </w:pPr>
      <w:r w:rsidRPr="00523C16">
        <w:rPr>
          <w:rFonts w:ascii="Calibri" w:hAnsi="Calibri" w:cs="Calibri"/>
        </w:rPr>
        <w:t>231.</w:t>
      </w:r>
      <w:r w:rsidRPr="00523C16">
        <w:rPr>
          <w:rFonts w:ascii="Calibri" w:hAnsi="Calibri" w:cs="Calibri"/>
        </w:rPr>
        <w:tab/>
        <w:t xml:space="preserve">Costa CP, Cunha S, Moreira JN, Silva R, Gil-Martins E, Silva V, et al. Quality by design (QbD) optimization of diazepam-loaded nanostructured lipid carriers (NLC) for nose-to-brain delivery: Toxicological effect of surface charge on human neuronal cells. Int J Pharm. 2021 Sep;607:120933. </w:t>
      </w:r>
    </w:p>
    <w:p w14:paraId="630E8836" w14:textId="77777777" w:rsidR="00523C16" w:rsidRPr="00B76B43" w:rsidRDefault="00523C16" w:rsidP="00523C16">
      <w:pPr>
        <w:pStyle w:val="Bibliography"/>
        <w:rPr>
          <w:rFonts w:ascii="Calibri" w:hAnsi="Calibri" w:cs="Calibri"/>
          <w:lang w:val="it-IT"/>
        </w:rPr>
      </w:pPr>
      <w:r w:rsidRPr="00523C16">
        <w:rPr>
          <w:rFonts w:ascii="Calibri" w:hAnsi="Calibri" w:cs="Calibri"/>
        </w:rPr>
        <w:t>232.</w:t>
      </w:r>
      <w:r w:rsidRPr="00523C16">
        <w:rPr>
          <w:rFonts w:ascii="Calibri" w:hAnsi="Calibri" w:cs="Calibri"/>
        </w:rPr>
        <w:tab/>
        <w:t xml:space="preserve">Crcarevska M, Dimitrovska A, Sibinovska N, Mladenovska K, Slavevska Raicki R, Glavas Dodov M. Implementation of quality by design principles in the development of microsponges as drug delivery carriers: Identification and optimization of critical factors using multivariate statistical analyses and design of experiments studies. </w:t>
      </w:r>
      <w:r w:rsidRPr="00B76B43">
        <w:rPr>
          <w:rFonts w:ascii="Calibri" w:hAnsi="Calibri" w:cs="Calibri"/>
          <w:lang w:val="it-IT"/>
        </w:rPr>
        <w:t xml:space="preserve">Int J Pharm. 2015 Jul;489(1–2):58–72. </w:t>
      </w:r>
    </w:p>
    <w:p w14:paraId="3F8C6E23" w14:textId="3E8D7013" w:rsidR="00523C16" w:rsidRPr="00523C16" w:rsidRDefault="00523C16" w:rsidP="00523C16">
      <w:pPr>
        <w:pStyle w:val="Bibliography"/>
        <w:rPr>
          <w:rFonts w:ascii="Calibri" w:hAnsi="Calibri" w:cs="Calibri"/>
        </w:rPr>
      </w:pPr>
      <w:r w:rsidRPr="00B76B43">
        <w:rPr>
          <w:rFonts w:ascii="Calibri" w:hAnsi="Calibri" w:cs="Calibri"/>
          <w:lang w:val="it-IT"/>
        </w:rPr>
        <w:t>233.</w:t>
      </w:r>
      <w:r w:rsidRPr="00B76B43">
        <w:rPr>
          <w:rFonts w:ascii="Calibri" w:hAnsi="Calibri" w:cs="Calibri"/>
          <w:lang w:val="it-IT"/>
        </w:rPr>
        <w:tab/>
        <w:t xml:space="preserve">Cruz I, Albertini A, Barbeitas M, Arana B, Picado A, Ruiz-Postigo JA, et al. </w:t>
      </w:r>
      <w:r w:rsidRPr="00523C16">
        <w:rPr>
          <w:rFonts w:ascii="Calibri" w:hAnsi="Calibri" w:cs="Calibri"/>
        </w:rPr>
        <w:t xml:space="preserve">Target Product Profile for a point-of-care diagnostic test for dermal leishmaniases. Parasite Epidemiol Control. 2019 May;5:e00103. </w:t>
      </w:r>
    </w:p>
    <w:p w14:paraId="096A0B7C" w14:textId="53116F2E" w:rsidR="00523C16" w:rsidRPr="00523C16" w:rsidRDefault="00523C16" w:rsidP="00523C16">
      <w:pPr>
        <w:pStyle w:val="Bibliography"/>
        <w:rPr>
          <w:rFonts w:ascii="Calibri" w:hAnsi="Calibri" w:cs="Calibri"/>
        </w:rPr>
      </w:pPr>
      <w:r w:rsidRPr="00523C16">
        <w:rPr>
          <w:rFonts w:ascii="Calibri" w:hAnsi="Calibri" w:cs="Calibri"/>
        </w:rPr>
        <w:t>234.</w:t>
      </w:r>
      <w:r w:rsidRPr="00523C16">
        <w:rPr>
          <w:rFonts w:ascii="Calibri" w:hAnsi="Calibri" w:cs="Calibri"/>
        </w:rPr>
        <w:tab/>
        <w:t xml:space="preserve">Cunha S, Costa CP, Loureiro JA, Alves J, Peixoto AF, Forbes B, et al. Double Optimization of Rivastigmine-Loaded Nanostructured Lipid Carriers (NLC) for Nose-to-Brain Delivery Using the Quality by Design (QbD) Approach: Formulation Variables and Instrumental Parameters. Pharmaceutics. 2020 Jun 28;12(7):599. </w:t>
      </w:r>
    </w:p>
    <w:p w14:paraId="4447548F" w14:textId="5EE30F3A" w:rsidR="00523C16" w:rsidRPr="00523C16" w:rsidRDefault="00523C16" w:rsidP="00523C16">
      <w:pPr>
        <w:pStyle w:val="Bibliography"/>
        <w:rPr>
          <w:rFonts w:ascii="Calibri" w:hAnsi="Calibri" w:cs="Calibri"/>
        </w:rPr>
      </w:pPr>
      <w:r w:rsidRPr="00523C16">
        <w:rPr>
          <w:rFonts w:ascii="Calibri" w:hAnsi="Calibri" w:cs="Calibri"/>
        </w:rPr>
        <w:t>235.</w:t>
      </w:r>
      <w:r w:rsidRPr="00523C16">
        <w:rPr>
          <w:rFonts w:ascii="Calibri" w:hAnsi="Calibri" w:cs="Calibri"/>
        </w:rPr>
        <w:tab/>
        <w:t xml:space="preserve">Dailey P, Osborn J, Ashley E, Baron E, Dance D, Fusco D, et al. Defining System Requirements for Simplified Blood Culture to Enable Widespread Use in Resource-Limited Settings. Diagnostics. 2019 Jan 11;9(1):10. </w:t>
      </w:r>
    </w:p>
    <w:p w14:paraId="7F83DAD8" w14:textId="47CC03E7" w:rsidR="00523C16" w:rsidRPr="00523C16" w:rsidRDefault="00523C16" w:rsidP="00523C16">
      <w:pPr>
        <w:pStyle w:val="Bibliography"/>
        <w:rPr>
          <w:rFonts w:ascii="Calibri" w:hAnsi="Calibri" w:cs="Calibri"/>
        </w:rPr>
      </w:pPr>
      <w:r w:rsidRPr="00523C16">
        <w:rPr>
          <w:rFonts w:ascii="Calibri" w:hAnsi="Calibri" w:cs="Calibri"/>
        </w:rPr>
        <w:t>236.</w:t>
      </w:r>
      <w:r w:rsidRPr="00523C16">
        <w:rPr>
          <w:rFonts w:ascii="Calibri" w:hAnsi="Calibri" w:cs="Calibri"/>
        </w:rPr>
        <w:tab/>
        <w:t xml:space="preserve">Dalal R, Shah J, Gorain B, Choudhury H, Jacob S, Mehta TA, et al. Development and Optimization of Asenapine Sublingual Film Using QbD Approach. AAPS PharmSciTech. 2021 Oct;22(7):244. </w:t>
      </w:r>
    </w:p>
    <w:p w14:paraId="006F9C10" w14:textId="77777777" w:rsidR="00523C16" w:rsidRPr="00523C16" w:rsidRDefault="00523C16" w:rsidP="00523C16">
      <w:pPr>
        <w:pStyle w:val="Bibliography"/>
        <w:rPr>
          <w:rFonts w:ascii="Calibri" w:hAnsi="Calibri" w:cs="Calibri"/>
        </w:rPr>
      </w:pPr>
      <w:r w:rsidRPr="00523C16">
        <w:rPr>
          <w:rFonts w:ascii="Calibri" w:hAnsi="Calibri" w:cs="Calibri"/>
        </w:rPr>
        <w:t>237.</w:t>
      </w:r>
      <w:r w:rsidRPr="00523C16">
        <w:rPr>
          <w:rFonts w:ascii="Calibri" w:hAnsi="Calibri" w:cs="Calibri"/>
        </w:rPr>
        <w:tab/>
        <w:t xml:space="preserve">Deng Y, Zhong G, Wang Y, Wang N, Yu Q, Yu X. Quality by design approach for the preparation of fat-soluble vitamins lipid injectable emulsion. Int J Pharm. 2019 Nov;571:118717. </w:t>
      </w:r>
    </w:p>
    <w:p w14:paraId="54C2D493" w14:textId="78BE9AF8" w:rsidR="00523C16" w:rsidRPr="00523C16" w:rsidRDefault="00523C16" w:rsidP="00523C16">
      <w:pPr>
        <w:pStyle w:val="Bibliography"/>
        <w:rPr>
          <w:rFonts w:ascii="Calibri" w:hAnsi="Calibri" w:cs="Calibri"/>
        </w:rPr>
      </w:pPr>
      <w:r w:rsidRPr="00523C16">
        <w:rPr>
          <w:rFonts w:ascii="Calibri" w:hAnsi="Calibri" w:cs="Calibri"/>
        </w:rPr>
        <w:t>238.</w:t>
      </w:r>
      <w:r w:rsidRPr="00523C16">
        <w:rPr>
          <w:rFonts w:ascii="Calibri" w:hAnsi="Calibri" w:cs="Calibri"/>
        </w:rPr>
        <w:tab/>
        <w:t xml:space="preserve">Denkinger CM, Dolinger D, Schito M, Wells W, Cobelens F, Pai M, et al. Target Product Profile of a Molecular Drug-Susceptibility Test for Use in Microscopy Centers. J Infect Dis. 2015 Apr;211(suppl_2):S39–49. </w:t>
      </w:r>
    </w:p>
    <w:p w14:paraId="5161DF2C" w14:textId="434C0512" w:rsidR="00523C16" w:rsidRPr="00523C16" w:rsidRDefault="00523C16" w:rsidP="00523C16">
      <w:pPr>
        <w:pStyle w:val="Bibliography"/>
        <w:rPr>
          <w:rFonts w:ascii="Calibri" w:hAnsi="Calibri" w:cs="Calibri"/>
        </w:rPr>
      </w:pPr>
      <w:r w:rsidRPr="00523C16">
        <w:rPr>
          <w:rFonts w:ascii="Calibri" w:hAnsi="Calibri" w:cs="Calibri"/>
        </w:rPr>
        <w:t>239.</w:t>
      </w:r>
      <w:r w:rsidRPr="00523C16">
        <w:rPr>
          <w:rFonts w:ascii="Calibri" w:hAnsi="Calibri" w:cs="Calibri"/>
        </w:rPr>
        <w:tab/>
        <w:t xml:space="preserve">Dittrich S, Tadesse BT, Moussy F, Chua A, Zorzet A, Tängdén T, et al. Target Product Profile for a Diagnostic Assay to Differentiate between Bacterial and Non-Bacterial Infections and Reduce Antimicrobial Overuse in Resource-Limited Settings: An Expert Consensus. Yansouni C, editor. PLOS ONE. 2016 Aug 25;11(8):e0161721. </w:t>
      </w:r>
    </w:p>
    <w:p w14:paraId="32BB8323" w14:textId="566B4972" w:rsidR="00523C16" w:rsidRPr="00523C16" w:rsidRDefault="00523C16" w:rsidP="00523C16">
      <w:pPr>
        <w:pStyle w:val="Bibliography"/>
        <w:rPr>
          <w:rFonts w:ascii="Calibri" w:hAnsi="Calibri" w:cs="Calibri"/>
        </w:rPr>
      </w:pPr>
      <w:r w:rsidRPr="00523C16">
        <w:rPr>
          <w:rFonts w:ascii="Calibri" w:hAnsi="Calibri" w:cs="Calibri"/>
        </w:rPr>
        <w:t>240.</w:t>
      </w:r>
      <w:r w:rsidRPr="00523C16">
        <w:rPr>
          <w:rFonts w:ascii="Calibri" w:hAnsi="Calibri" w:cs="Calibri"/>
        </w:rPr>
        <w:tab/>
        <w:t xml:space="preserve">Dormenval C, Lokras A, Cano-Garcia G, Wadhwa A, Thanki K, Rose F, et al. Identification of Factors of Importance for Spray Drying of Small Interfering RNA-Loaded Lipidoid-Polymer Hybrid Nanoparticles for Inhalation. Pharm Res. 2019 Oct;36(10):142. </w:t>
      </w:r>
    </w:p>
    <w:p w14:paraId="5EA29B9F" w14:textId="6CED864F" w:rsidR="00523C16" w:rsidRPr="00523C16" w:rsidRDefault="00523C16" w:rsidP="00523C16">
      <w:pPr>
        <w:pStyle w:val="Bibliography"/>
        <w:rPr>
          <w:rFonts w:ascii="Calibri" w:hAnsi="Calibri" w:cs="Calibri"/>
        </w:rPr>
      </w:pPr>
      <w:r w:rsidRPr="00523C16">
        <w:rPr>
          <w:rFonts w:ascii="Calibri" w:hAnsi="Calibri" w:cs="Calibri"/>
        </w:rPr>
        <w:t>241.</w:t>
      </w:r>
      <w:r w:rsidRPr="00523C16">
        <w:rPr>
          <w:rFonts w:ascii="Calibri" w:hAnsi="Calibri" w:cs="Calibri"/>
        </w:rPr>
        <w:tab/>
        <w:t xml:space="preserve">Fongwen N, Wilder-Smith A, Gubler DJ, Ooi EE, T. Salvana EM, De Lamballerie X, et al. Target product profile for a dengue pre-vaccination screening test. Gawarammana I, editor. PLoS Negl Trop Dis. 2021 Jul 29;15(7):e0009557. </w:t>
      </w:r>
    </w:p>
    <w:p w14:paraId="1F390EA9" w14:textId="77777777" w:rsidR="00523C16" w:rsidRPr="00523C16" w:rsidRDefault="00523C16" w:rsidP="00523C16">
      <w:pPr>
        <w:pStyle w:val="Bibliography"/>
        <w:rPr>
          <w:rFonts w:ascii="Calibri" w:hAnsi="Calibri" w:cs="Calibri"/>
        </w:rPr>
      </w:pPr>
      <w:r w:rsidRPr="00523C16">
        <w:rPr>
          <w:rFonts w:ascii="Calibri" w:hAnsi="Calibri" w:cs="Calibri"/>
        </w:rPr>
        <w:t>242.</w:t>
      </w:r>
      <w:r w:rsidRPr="00523C16">
        <w:rPr>
          <w:rFonts w:ascii="Calibri" w:hAnsi="Calibri" w:cs="Calibri"/>
        </w:rPr>
        <w:tab/>
        <w:t xml:space="preserve">Funk CD, Laferrière C, Ardakani A. A Snapshot of the Global Race for Vaccines Targeting SARS-CoV-2 and the COVID-19 Pandemic. Front Pharmacol. 2020 Jun 19;11:937. </w:t>
      </w:r>
    </w:p>
    <w:p w14:paraId="6AF43273" w14:textId="6F46741D" w:rsidR="00523C16" w:rsidRPr="00B76B43" w:rsidRDefault="00523C16" w:rsidP="00523C16">
      <w:pPr>
        <w:pStyle w:val="Bibliography"/>
        <w:rPr>
          <w:rFonts w:ascii="Calibri" w:hAnsi="Calibri" w:cs="Calibri"/>
          <w:lang w:val="it-IT"/>
        </w:rPr>
      </w:pPr>
      <w:r w:rsidRPr="00523C16">
        <w:rPr>
          <w:rFonts w:ascii="Calibri" w:hAnsi="Calibri" w:cs="Calibri"/>
        </w:rPr>
        <w:t>243.</w:t>
      </w:r>
      <w:r w:rsidRPr="00523C16">
        <w:rPr>
          <w:rFonts w:ascii="Calibri" w:hAnsi="Calibri" w:cs="Calibri"/>
        </w:rPr>
        <w:tab/>
        <w:t xml:space="preserve">Gal M, Francis NA, Hood K, Villacian J, Goossens H, Watkins A, et al. Matching diagnostics development to clinical need: Target product profile development for a point of care test for community-acquired lower respiratory tract infection. </w:t>
      </w:r>
      <w:r w:rsidRPr="00B76B43">
        <w:rPr>
          <w:rFonts w:ascii="Calibri" w:hAnsi="Calibri" w:cs="Calibri"/>
          <w:lang w:val="it-IT"/>
        </w:rPr>
        <w:t xml:space="preserve">Gupta V, editor. PLOS ONE. 2018 Aug 1;13(8):e0200531. </w:t>
      </w:r>
    </w:p>
    <w:p w14:paraId="35404370" w14:textId="7CE180A1" w:rsidR="00523C16" w:rsidRPr="00523C16" w:rsidRDefault="00523C16" w:rsidP="00523C16">
      <w:pPr>
        <w:pStyle w:val="Bibliography"/>
        <w:rPr>
          <w:rFonts w:ascii="Calibri" w:hAnsi="Calibri" w:cs="Calibri"/>
        </w:rPr>
      </w:pPr>
      <w:r w:rsidRPr="00B76B43">
        <w:rPr>
          <w:rFonts w:ascii="Calibri" w:hAnsi="Calibri" w:cs="Calibri"/>
          <w:lang w:val="it-IT"/>
        </w:rPr>
        <w:t>244.</w:t>
      </w:r>
      <w:r w:rsidRPr="00B76B43">
        <w:rPr>
          <w:rFonts w:ascii="Calibri" w:hAnsi="Calibri" w:cs="Calibri"/>
          <w:lang w:val="it-IT"/>
        </w:rPr>
        <w:tab/>
        <w:t xml:space="preserve">García-Basteiro AL, DiNardo A, Saavedra B, Silva DR, Palmero D, Gegia M, et al. </w:t>
      </w:r>
      <w:r w:rsidRPr="00523C16">
        <w:rPr>
          <w:rFonts w:ascii="Calibri" w:hAnsi="Calibri" w:cs="Calibri"/>
        </w:rPr>
        <w:t xml:space="preserve">Point of care diagnostics for tuberculosis. Pulmonology. 2018 Mar;24(2):73–85. </w:t>
      </w:r>
    </w:p>
    <w:p w14:paraId="7D67FB9F" w14:textId="77777777" w:rsidR="00523C16" w:rsidRPr="00523C16" w:rsidRDefault="00523C16" w:rsidP="00523C16">
      <w:pPr>
        <w:pStyle w:val="Bibliography"/>
        <w:rPr>
          <w:rFonts w:ascii="Calibri" w:hAnsi="Calibri" w:cs="Calibri"/>
        </w:rPr>
      </w:pPr>
      <w:r w:rsidRPr="00523C16">
        <w:rPr>
          <w:rFonts w:ascii="Calibri" w:hAnsi="Calibri" w:cs="Calibri"/>
        </w:rPr>
        <w:t>245.</w:t>
      </w:r>
      <w:r w:rsidRPr="00523C16">
        <w:rPr>
          <w:rFonts w:ascii="Calibri" w:hAnsi="Calibri" w:cs="Calibri"/>
        </w:rPr>
        <w:tab/>
        <w:t xml:space="preserve">Garg B, Katare OP, Beg S, Lohan S, Singh B. Systematic development of solid self-nanoemulsifying oily formulations (S-SNEOFs) for enhancing the oral bioavailability and intestinal lymphatic uptake of lopinavir. Colloids Surf B Biointerfaces. 2016 May;141:611–22. </w:t>
      </w:r>
    </w:p>
    <w:p w14:paraId="192CFE19" w14:textId="7210A9AE" w:rsidR="00523C16" w:rsidRPr="00523C16" w:rsidRDefault="00523C16" w:rsidP="00523C16">
      <w:pPr>
        <w:pStyle w:val="Bibliography"/>
        <w:rPr>
          <w:rFonts w:ascii="Calibri" w:hAnsi="Calibri" w:cs="Calibri"/>
        </w:rPr>
      </w:pPr>
      <w:r w:rsidRPr="00523C16">
        <w:rPr>
          <w:rFonts w:ascii="Calibri" w:hAnsi="Calibri" w:cs="Calibri"/>
        </w:rPr>
        <w:t>246.</w:t>
      </w:r>
      <w:r w:rsidRPr="00523C16">
        <w:rPr>
          <w:rFonts w:ascii="Calibri" w:hAnsi="Calibri" w:cs="Calibri"/>
        </w:rPr>
        <w:tab/>
        <w:t xml:space="preserve">Garg S, Tambwekar KR, Vermani K, Kandarapu R, Garg A, Waller DP, et al. Development Pharmaceutics of Microbicide Formulations. Part II: Formulation, Evaluation, and Challenges. AIDS Patient Care STDs. 2003 Aug;17(8):377–99. </w:t>
      </w:r>
    </w:p>
    <w:p w14:paraId="6E1CB7F5" w14:textId="77777777" w:rsidR="00523C16" w:rsidRPr="00523C16" w:rsidRDefault="00523C16" w:rsidP="00523C16">
      <w:pPr>
        <w:pStyle w:val="Bibliography"/>
        <w:rPr>
          <w:rFonts w:ascii="Calibri" w:hAnsi="Calibri" w:cs="Calibri"/>
        </w:rPr>
      </w:pPr>
      <w:r w:rsidRPr="00523C16">
        <w:rPr>
          <w:rFonts w:ascii="Calibri" w:hAnsi="Calibri" w:cs="Calibri"/>
        </w:rPr>
        <w:t>247.</w:t>
      </w:r>
      <w:r w:rsidRPr="00523C16">
        <w:rPr>
          <w:rFonts w:ascii="Calibri" w:hAnsi="Calibri" w:cs="Calibri"/>
        </w:rPr>
        <w:tab/>
        <w:t xml:space="preserve">Gavan A, Porfire A, Marina C, Tomuta I. Formulation and pharmaceutical development of quetiapine fumarate sustained release matrix tablets using a QbD approach. Acta Pharm. 2017 Mar 1;67(1):53–70. </w:t>
      </w:r>
    </w:p>
    <w:p w14:paraId="5ECA18A7" w14:textId="77777777" w:rsidR="00523C16" w:rsidRPr="00523C16" w:rsidRDefault="00523C16" w:rsidP="00523C16">
      <w:pPr>
        <w:pStyle w:val="Bibliography"/>
        <w:rPr>
          <w:rFonts w:ascii="Calibri" w:hAnsi="Calibri" w:cs="Calibri"/>
        </w:rPr>
      </w:pPr>
      <w:r w:rsidRPr="00523C16">
        <w:rPr>
          <w:rFonts w:ascii="Calibri" w:hAnsi="Calibri" w:cs="Calibri"/>
        </w:rPr>
        <w:t>248.</w:t>
      </w:r>
      <w:r w:rsidRPr="00523C16">
        <w:rPr>
          <w:rFonts w:ascii="Calibri" w:hAnsi="Calibri" w:cs="Calibri"/>
        </w:rPr>
        <w:tab/>
        <w:t xml:space="preserve">Gurumukhi VC, Bari SB. Development of ritonavir-loaded nanostructured lipid carriers employing quality by design (QbD) as a tool: characterizations, permeability, and bioavailability studies. Drug Deliv Transl Res. 2022 Jul;12(7):1753–73. </w:t>
      </w:r>
    </w:p>
    <w:p w14:paraId="0A20B92E" w14:textId="044A6888" w:rsidR="00523C16" w:rsidRPr="00523C16" w:rsidRDefault="00523C16" w:rsidP="00523C16">
      <w:pPr>
        <w:pStyle w:val="Bibliography"/>
        <w:rPr>
          <w:rFonts w:ascii="Calibri" w:hAnsi="Calibri" w:cs="Calibri"/>
        </w:rPr>
      </w:pPr>
      <w:r w:rsidRPr="00523C16">
        <w:rPr>
          <w:rFonts w:ascii="Calibri" w:hAnsi="Calibri" w:cs="Calibri"/>
        </w:rPr>
        <w:t>249.</w:t>
      </w:r>
      <w:r w:rsidRPr="00523C16">
        <w:rPr>
          <w:rFonts w:ascii="Calibri" w:hAnsi="Calibri" w:cs="Calibri"/>
        </w:rPr>
        <w:tab/>
        <w:t xml:space="preserve">Ha JM, Seo JW, Kim SH, Kim JY, Park CW, Rhee YS, et al. Implementation of Quality by Design for Formulation of Rebamipide Gastro-retentive Tablet. AAPS PharmSciTech. 2017 Nov;18(8):3129–39. </w:t>
      </w:r>
    </w:p>
    <w:p w14:paraId="246CCC84" w14:textId="3598E7AC" w:rsidR="00523C16" w:rsidRPr="00523C16" w:rsidRDefault="00523C16" w:rsidP="00523C16">
      <w:pPr>
        <w:pStyle w:val="Bibliography"/>
        <w:rPr>
          <w:rFonts w:ascii="Calibri" w:hAnsi="Calibri" w:cs="Calibri"/>
        </w:rPr>
      </w:pPr>
      <w:r w:rsidRPr="00523C16">
        <w:rPr>
          <w:rFonts w:ascii="Calibri" w:hAnsi="Calibri" w:cs="Calibri"/>
        </w:rPr>
        <w:t>250.</w:t>
      </w:r>
      <w:r w:rsidRPr="00523C16">
        <w:rPr>
          <w:rFonts w:ascii="Calibri" w:hAnsi="Calibri" w:cs="Calibri"/>
        </w:rPr>
        <w:tab/>
        <w:t xml:space="preserve">Hales D, Vlase L, Porav SA, Bodoki A, Barbu-Tudoran L, Achim M, et al. A quality by design (QbD) study on enoxaparin sodium loaded polymeric microspheres for colon-specific delivery. Eur J Pharm Sci. 2017 Mar;100:249–61. </w:t>
      </w:r>
    </w:p>
    <w:p w14:paraId="7CEE9D45" w14:textId="77777777" w:rsidR="00523C16" w:rsidRPr="00523C16" w:rsidRDefault="00523C16" w:rsidP="00523C16">
      <w:pPr>
        <w:pStyle w:val="Bibliography"/>
        <w:rPr>
          <w:rFonts w:ascii="Calibri" w:hAnsi="Calibri" w:cs="Calibri"/>
        </w:rPr>
      </w:pPr>
      <w:r w:rsidRPr="00523C16">
        <w:rPr>
          <w:rFonts w:ascii="Calibri" w:hAnsi="Calibri" w:cs="Calibri"/>
        </w:rPr>
        <w:t>251.</w:t>
      </w:r>
      <w:r w:rsidRPr="00523C16">
        <w:rPr>
          <w:rFonts w:ascii="Calibri" w:hAnsi="Calibri" w:cs="Calibri"/>
        </w:rPr>
        <w:tab/>
        <w:t xml:space="preserve">Hastings IM, Hodel EM. Pharmacological considerations in the design of anti-malarial drug combination therapies – is matching half-lives enough? Malar J. 2014 Dec;13(1):62. </w:t>
      </w:r>
    </w:p>
    <w:p w14:paraId="69145E8B" w14:textId="77777777" w:rsidR="00523C16" w:rsidRPr="00523C16" w:rsidRDefault="00523C16" w:rsidP="00523C16">
      <w:pPr>
        <w:pStyle w:val="Bibliography"/>
        <w:rPr>
          <w:rFonts w:ascii="Calibri" w:hAnsi="Calibri" w:cs="Calibri"/>
        </w:rPr>
      </w:pPr>
      <w:r w:rsidRPr="00523C16">
        <w:rPr>
          <w:rFonts w:ascii="Calibri" w:hAnsi="Calibri" w:cs="Calibri"/>
        </w:rPr>
        <w:t>252.</w:t>
      </w:r>
      <w:r w:rsidRPr="00523C16">
        <w:rPr>
          <w:rFonts w:ascii="Calibri" w:hAnsi="Calibri" w:cs="Calibri"/>
        </w:rPr>
        <w:tab/>
        <w:t xml:space="preserve">Heal DJ, Smith SL. Prospects for new drugs to treat binge-eating disorder: Insights from psychopathology and neuropharmacology. J Psychopharmacol (Oxf). 2022 Jun;36(6):680–703. </w:t>
      </w:r>
    </w:p>
    <w:p w14:paraId="4D7BEBB6" w14:textId="77777777" w:rsidR="00523C16" w:rsidRPr="00523C16" w:rsidRDefault="00523C16" w:rsidP="00523C16">
      <w:pPr>
        <w:pStyle w:val="Bibliography"/>
        <w:rPr>
          <w:rFonts w:ascii="Calibri" w:hAnsi="Calibri" w:cs="Calibri"/>
        </w:rPr>
      </w:pPr>
      <w:r w:rsidRPr="00523C16">
        <w:rPr>
          <w:rFonts w:ascii="Calibri" w:hAnsi="Calibri" w:cs="Calibri"/>
        </w:rPr>
        <w:t>253.</w:t>
      </w:r>
      <w:r w:rsidRPr="00523C16">
        <w:rPr>
          <w:rFonts w:ascii="Calibri" w:hAnsi="Calibri" w:cs="Calibri"/>
        </w:rPr>
        <w:tab/>
        <w:t>Hernandez-Morales I, Van Loock M. An Industry Perspective on Dengue Drug Discovery and Development. In: Hilgenfeld R, Vasudevan SG, editors. Dengue and Zika: Control and Antiviral Treatment Strategies [Internet]. Singapore: Springer Singapore; 2018 [cited 2023 Nov 2]. p. 333–53. (Advances in Experimental Medicine and Biology; vol. 1062). Available from: http://link.springer.com/10.1007/978-981-10-8727-1_23</w:t>
      </w:r>
    </w:p>
    <w:p w14:paraId="260E9091" w14:textId="77777777" w:rsidR="00523C16" w:rsidRPr="00523C16" w:rsidRDefault="00523C16" w:rsidP="00523C16">
      <w:pPr>
        <w:pStyle w:val="Bibliography"/>
        <w:rPr>
          <w:rFonts w:ascii="Calibri" w:hAnsi="Calibri" w:cs="Calibri"/>
        </w:rPr>
      </w:pPr>
      <w:r w:rsidRPr="00523C16">
        <w:rPr>
          <w:rFonts w:ascii="Calibri" w:hAnsi="Calibri" w:cs="Calibri"/>
        </w:rPr>
        <w:t>254.</w:t>
      </w:r>
      <w:r w:rsidRPr="00523C16">
        <w:rPr>
          <w:rFonts w:ascii="Calibri" w:hAnsi="Calibri" w:cs="Calibri"/>
        </w:rPr>
        <w:tab/>
        <w:t xml:space="preserve">Huston CD, Spangenberg T, Burrows J, Willis P, Wells TNC, Van Voorhis W. A Proposed Target Product Profile and Developmental Cascade for New Cryptosporidiosis Treatments. Vinetz JM, editor. PLoS Negl Trop Dis. 2015 Oct 8;9(10):e0003987. </w:t>
      </w:r>
    </w:p>
    <w:p w14:paraId="17CCD049" w14:textId="45FC8927" w:rsidR="00523C16" w:rsidRPr="00523C16" w:rsidRDefault="00523C16" w:rsidP="00523C16">
      <w:pPr>
        <w:pStyle w:val="Bibliography"/>
        <w:rPr>
          <w:rFonts w:ascii="Calibri" w:hAnsi="Calibri" w:cs="Calibri"/>
        </w:rPr>
      </w:pPr>
      <w:r w:rsidRPr="00523C16">
        <w:rPr>
          <w:rFonts w:ascii="Calibri" w:hAnsi="Calibri" w:cs="Calibri"/>
        </w:rPr>
        <w:t>255.</w:t>
      </w:r>
      <w:r w:rsidRPr="00523C16">
        <w:rPr>
          <w:rFonts w:ascii="Calibri" w:hAnsi="Calibri" w:cs="Calibri"/>
        </w:rPr>
        <w:tab/>
        <w:t xml:space="preserve">Ignjatović J, Đuriš J, Cvijić S, Dobričić V, Montepietra A, Lombardi C, et al. Development of solid lipid microparticles by melt-emulsification/spray-drying processes as carriers for pulmonary drug delivery. Eur J Pharm Sci. 2021 Jan;156:105588. </w:t>
      </w:r>
    </w:p>
    <w:p w14:paraId="275F508B" w14:textId="77777777" w:rsidR="00523C16" w:rsidRPr="00523C16" w:rsidRDefault="00523C16" w:rsidP="00523C16">
      <w:pPr>
        <w:pStyle w:val="Bibliography"/>
        <w:rPr>
          <w:rFonts w:ascii="Calibri" w:hAnsi="Calibri" w:cs="Calibri"/>
        </w:rPr>
      </w:pPr>
      <w:r w:rsidRPr="00523C16">
        <w:rPr>
          <w:rFonts w:ascii="Calibri" w:hAnsi="Calibri" w:cs="Calibri"/>
        </w:rPr>
        <w:t>256.</w:t>
      </w:r>
      <w:r w:rsidRPr="00523C16">
        <w:rPr>
          <w:rFonts w:ascii="Calibri" w:hAnsi="Calibri" w:cs="Calibri"/>
        </w:rPr>
        <w:tab/>
        <w:t xml:space="preserve">Ingvarsson PT, Yang M, Mulvad H, Nielsen HM, Rantanen J, Foged C. Engineering of an Inhalable DDA/TDB Liposomal Adjuvant: A Quality-by-Design Approach Towards Optimization of the Spray Drying Process. Pharm Res. 2013 Nov;30(11):2772–84. </w:t>
      </w:r>
    </w:p>
    <w:p w14:paraId="0EA1BE0A" w14:textId="04266494" w:rsidR="00523C16" w:rsidRPr="00523C16" w:rsidRDefault="00523C16" w:rsidP="00523C16">
      <w:pPr>
        <w:pStyle w:val="Bibliography"/>
        <w:rPr>
          <w:rFonts w:ascii="Calibri" w:hAnsi="Calibri" w:cs="Calibri"/>
        </w:rPr>
      </w:pPr>
      <w:r w:rsidRPr="00523C16">
        <w:rPr>
          <w:rFonts w:ascii="Calibri" w:hAnsi="Calibri" w:cs="Calibri"/>
        </w:rPr>
        <w:t>257.</w:t>
      </w:r>
      <w:r w:rsidRPr="00523C16">
        <w:rPr>
          <w:rFonts w:ascii="Calibri" w:hAnsi="Calibri" w:cs="Calibri"/>
        </w:rPr>
        <w:tab/>
        <w:t xml:space="preserve">Ivanova Reipold E, Easterbrook P, Trianni A, Panneer N, Krakower D, Ongarello S, et al. Optimising diagnosis of viraemic hepatitis C infection: the development of a target product profile. BMC Infect Dis. 2017 Nov;17(S1):707. </w:t>
      </w:r>
    </w:p>
    <w:p w14:paraId="6E043B6E" w14:textId="4FED3936" w:rsidR="00523C16" w:rsidRPr="00523C16" w:rsidRDefault="00523C16" w:rsidP="00523C16">
      <w:pPr>
        <w:pStyle w:val="Bibliography"/>
        <w:rPr>
          <w:rFonts w:ascii="Calibri" w:hAnsi="Calibri" w:cs="Calibri"/>
        </w:rPr>
      </w:pPr>
      <w:r w:rsidRPr="00523C16">
        <w:rPr>
          <w:rFonts w:ascii="Calibri" w:hAnsi="Calibri" w:cs="Calibri"/>
        </w:rPr>
        <w:t>258.</w:t>
      </w:r>
      <w:r w:rsidRPr="00523C16">
        <w:rPr>
          <w:rFonts w:ascii="Calibri" w:hAnsi="Calibri" w:cs="Calibri"/>
        </w:rPr>
        <w:tab/>
        <w:t xml:space="preserve">Jaffar-Aghaei M, Khanipour F, Maghsoudi A, Sarvestani R, Mohammadian M, Maleki M, et al. QbD-guided pharmaceutical development of Pembrolizumab biosimilar candidate PSG-024 propelled to industry meeting primary requirements of comparability to Keytruda®. Eur J Pharm Sci. 2022 Jun;173:106171. </w:t>
      </w:r>
    </w:p>
    <w:p w14:paraId="3368D4D6" w14:textId="77777777" w:rsidR="00523C16" w:rsidRPr="00523C16" w:rsidRDefault="00523C16" w:rsidP="00523C16">
      <w:pPr>
        <w:pStyle w:val="Bibliography"/>
        <w:rPr>
          <w:rFonts w:ascii="Calibri" w:hAnsi="Calibri" w:cs="Calibri"/>
        </w:rPr>
      </w:pPr>
      <w:r w:rsidRPr="00523C16">
        <w:rPr>
          <w:rFonts w:ascii="Calibri" w:hAnsi="Calibri" w:cs="Calibri"/>
        </w:rPr>
        <w:t>259.</w:t>
      </w:r>
      <w:r w:rsidRPr="00523C16">
        <w:rPr>
          <w:rFonts w:ascii="Calibri" w:hAnsi="Calibri" w:cs="Calibri"/>
        </w:rPr>
        <w:tab/>
        <w:t>Jambulingam T. The R&amp;D Marketing Interface in Biopharma and MedTech. J Commer Biotechnol [Internet]. 2019 Sep 7 [cited 2023 Nov 2];24(4). Available from: https://www.commercialbiotechnology.com/index.php/jcb/article/view/924</w:t>
      </w:r>
    </w:p>
    <w:p w14:paraId="57B9E28B" w14:textId="77777777" w:rsidR="00523C16" w:rsidRPr="00523C16" w:rsidRDefault="00523C16" w:rsidP="00523C16">
      <w:pPr>
        <w:pStyle w:val="Bibliography"/>
        <w:rPr>
          <w:rFonts w:ascii="Calibri" w:hAnsi="Calibri" w:cs="Calibri"/>
        </w:rPr>
      </w:pPr>
      <w:r w:rsidRPr="00523C16">
        <w:rPr>
          <w:rFonts w:ascii="Calibri" w:hAnsi="Calibri" w:cs="Calibri"/>
        </w:rPr>
        <w:t>260.</w:t>
      </w:r>
      <w:r w:rsidRPr="00523C16">
        <w:rPr>
          <w:rFonts w:ascii="Calibri" w:hAnsi="Calibri" w:cs="Calibri"/>
        </w:rPr>
        <w:tab/>
        <w:t xml:space="preserve">Javed MN, Kohli K, Amin S. Risk Assessment Integrated QbD Approach for Development of Optimized Bicontinuous Mucoadhesive Limicubes for Oral Delivery of Rosuvastatin. AAPS PharmSciTech. 2018 Apr;19(3):1377–91. </w:t>
      </w:r>
    </w:p>
    <w:p w14:paraId="1134CF4E" w14:textId="77777777" w:rsidR="00523C16" w:rsidRPr="00523C16" w:rsidRDefault="00523C16" w:rsidP="00523C16">
      <w:pPr>
        <w:pStyle w:val="Bibliography"/>
        <w:rPr>
          <w:rFonts w:ascii="Calibri" w:hAnsi="Calibri" w:cs="Calibri"/>
        </w:rPr>
      </w:pPr>
      <w:r w:rsidRPr="00523C16">
        <w:rPr>
          <w:rFonts w:ascii="Calibri" w:hAnsi="Calibri" w:cs="Calibri"/>
        </w:rPr>
        <w:t>261.</w:t>
      </w:r>
      <w:r w:rsidRPr="00523C16">
        <w:rPr>
          <w:rFonts w:ascii="Calibri" w:hAnsi="Calibri" w:cs="Calibri"/>
        </w:rPr>
        <w:tab/>
        <w:t xml:space="preserve">Joshi M, Yadav KS, Prabhakar B. Quality by Design Approach for Development and Optimization of Rifampicin Loaded Bovine Serum Albumin Nanoparticles and Characterization. Curr Drug Deliv. 2021 Dec 30;18(9):1338–51. </w:t>
      </w:r>
    </w:p>
    <w:p w14:paraId="3201B0E3" w14:textId="77777777" w:rsidR="00523C16" w:rsidRPr="00523C16" w:rsidRDefault="00523C16" w:rsidP="00523C16">
      <w:pPr>
        <w:pStyle w:val="Bibliography"/>
        <w:rPr>
          <w:rFonts w:ascii="Calibri" w:hAnsi="Calibri" w:cs="Calibri"/>
        </w:rPr>
      </w:pPr>
      <w:r w:rsidRPr="00523C16">
        <w:rPr>
          <w:rFonts w:ascii="Calibri" w:hAnsi="Calibri" w:cs="Calibri"/>
        </w:rPr>
        <w:t>262.</w:t>
      </w:r>
      <w:r w:rsidRPr="00523C16">
        <w:rPr>
          <w:rFonts w:ascii="Calibri" w:hAnsi="Calibri" w:cs="Calibri"/>
        </w:rPr>
        <w:tab/>
        <w:t xml:space="preserve">Kadam R, White W, Banks N, Katz Z, Dittrich S, Kelly-Cirino C. Target Product Profile for a mobile app to read rapid diagnostic tests to strengthen infectious disease surveillance. Yansouni C, editor. PLOS ONE. 2020 Jan 29;15(1):e0228311. </w:t>
      </w:r>
    </w:p>
    <w:p w14:paraId="05EBCE3C" w14:textId="77777777" w:rsidR="00523C16" w:rsidRPr="00B76B43" w:rsidRDefault="00523C16" w:rsidP="00523C16">
      <w:pPr>
        <w:pStyle w:val="Bibliography"/>
        <w:rPr>
          <w:rFonts w:ascii="Calibri" w:hAnsi="Calibri" w:cs="Calibri"/>
          <w:lang w:val="de-DE"/>
        </w:rPr>
      </w:pPr>
      <w:r w:rsidRPr="00523C16">
        <w:rPr>
          <w:rFonts w:ascii="Calibri" w:hAnsi="Calibri" w:cs="Calibri"/>
        </w:rPr>
        <w:t>263.</w:t>
      </w:r>
      <w:r w:rsidRPr="00523C16">
        <w:rPr>
          <w:rFonts w:ascii="Calibri" w:hAnsi="Calibri" w:cs="Calibri"/>
        </w:rPr>
        <w:tab/>
        <w:t xml:space="preserve">Kakade P, Gite S, Patravale V. Development of Atovaquone Nanosuspension: Quality by Design Approach. </w:t>
      </w:r>
      <w:r w:rsidRPr="00B76B43">
        <w:rPr>
          <w:rFonts w:ascii="Calibri" w:hAnsi="Calibri" w:cs="Calibri"/>
          <w:lang w:val="de-DE"/>
        </w:rPr>
        <w:t xml:space="preserve">Curr Drug Deliv. 2020 Mar 12;17(2):112–25. </w:t>
      </w:r>
    </w:p>
    <w:p w14:paraId="42537823" w14:textId="77777777" w:rsidR="00523C16" w:rsidRPr="00523C16" w:rsidRDefault="00523C16" w:rsidP="00523C16">
      <w:pPr>
        <w:pStyle w:val="Bibliography"/>
        <w:rPr>
          <w:rFonts w:ascii="Calibri" w:hAnsi="Calibri" w:cs="Calibri"/>
        </w:rPr>
      </w:pPr>
      <w:r w:rsidRPr="00B76B43">
        <w:rPr>
          <w:rFonts w:ascii="Calibri" w:hAnsi="Calibri" w:cs="Calibri"/>
          <w:lang w:val="de-DE"/>
        </w:rPr>
        <w:t>264.</w:t>
      </w:r>
      <w:r w:rsidRPr="00B76B43">
        <w:rPr>
          <w:rFonts w:ascii="Calibri" w:hAnsi="Calibri" w:cs="Calibri"/>
          <w:lang w:val="de-DE"/>
        </w:rPr>
        <w:tab/>
        <w:t xml:space="preserve">Kraan H, Van Der Stel W, Kersten G, Amorij JP. </w:t>
      </w:r>
      <w:r w:rsidRPr="00523C16">
        <w:rPr>
          <w:rFonts w:ascii="Calibri" w:hAnsi="Calibri" w:cs="Calibri"/>
        </w:rPr>
        <w:t xml:space="preserve">Alternative administration routes and delivery technologies for polio vaccines. Expert Rev Vaccines. 2016 Aug 2;15(8):1029–40. </w:t>
      </w:r>
    </w:p>
    <w:p w14:paraId="1734B43A" w14:textId="5AB8B657" w:rsidR="00523C16" w:rsidRPr="00523C16" w:rsidRDefault="00523C16" w:rsidP="00523C16">
      <w:pPr>
        <w:pStyle w:val="Bibliography"/>
        <w:rPr>
          <w:rFonts w:ascii="Calibri" w:hAnsi="Calibri" w:cs="Calibri"/>
        </w:rPr>
      </w:pPr>
      <w:r w:rsidRPr="00523C16">
        <w:rPr>
          <w:rFonts w:ascii="Calibri" w:hAnsi="Calibri" w:cs="Calibri"/>
        </w:rPr>
        <w:t>265.</w:t>
      </w:r>
      <w:r w:rsidRPr="00523C16">
        <w:rPr>
          <w:rFonts w:ascii="Calibri" w:hAnsi="Calibri" w:cs="Calibri"/>
        </w:rPr>
        <w:tab/>
        <w:t xml:space="preserve">Kuk DH, Ha ES, Ha DH, Sim WY, Lee SK, Jeong JS, et al. Development of a Resveratrol Nanosuspension Using the Antisolvent Precipitation Method without Solvent Removal, Based on a Quality by Design (QbD) Approach. Pharmaceutics. 2019 Dec 17;11(12):688. </w:t>
      </w:r>
    </w:p>
    <w:p w14:paraId="5BF2E2EB" w14:textId="77777777" w:rsidR="00523C16" w:rsidRPr="00523C16" w:rsidRDefault="00523C16" w:rsidP="00523C16">
      <w:pPr>
        <w:pStyle w:val="Bibliography"/>
        <w:rPr>
          <w:rFonts w:ascii="Calibri" w:hAnsi="Calibri" w:cs="Calibri"/>
        </w:rPr>
      </w:pPr>
      <w:r w:rsidRPr="00523C16">
        <w:rPr>
          <w:rFonts w:ascii="Calibri" w:hAnsi="Calibri" w:cs="Calibri"/>
        </w:rPr>
        <w:t>266.</w:t>
      </w:r>
      <w:r w:rsidRPr="00523C16">
        <w:rPr>
          <w:rFonts w:ascii="Calibri" w:hAnsi="Calibri" w:cs="Calibri"/>
        </w:rPr>
        <w:tab/>
        <w:t xml:space="preserve">Lambert WJ. Considerations in Developing a Target Product Profile for Parenteral Pharmaceutical Products. AAPS PharmSciTech. 2010 Sep;11(3):1476–81. </w:t>
      </w:r>
    </w:p>
    <w:p w14:paraId="0FF84703" w14:textId="77777777" w:rsidR="00523C16" w:rsidRPr="00523C16" w:rsidRDefault="00523C16" w:rsidP="00523C16">
      <w:pPr>
        <w:pStyle w:val="Bibliography"/>
        <w:rPr>
          <w:rFonts w:ascii="Calibri" w:hAnsi="Calibri" w:cs="Calibri"/>
        </w:rPr>
      </w:pPr>
      <w:r w:rsidRPr="00523C16">
        <w:rPr>
          <w:rFonts w:ascii="Calibri" w:hAnsi="Calibri" w:cs="Calibri"/>
        </w:rPr>
        <w:t>267.</w:t>
      </w:r>
      <w:r w:rsidRPr="00523C16">
        <w:rPr>
          <w:rFonts w:ascii="Calibri" w:hAnsi="Calibri" w:cs="Calibri"/>
        </w:rPr>
        <w:tab/>
        <w:t xml:space="preserve">Leng D, Thanki K, Fattal E, Foged C, Yang M. Engineering of budesonide-loaded lipid-polymer hybrid nanoparticles using a quality-by-design approach. Int J Pharm. 2018 Sep;548(2):740–6. </w:t>
      </w:r>
    </w:p>
    <w:p w14:paraId="42C8F84F" w14:textId="7B380CC1" w:rsidR="00523C16" w:rsidRPr="00523C16" w:rsidRDefault="00523C16" w:rsidP="00523C16">
      <w:pPr>
        <w:pStyle w:val="Bibliography"/>
        <w:rPr>
          <w:rFonts w:ascii="Calibri" w:hAnsi="Calibri" w:cs="Calibri"/>
        </w:rPr>
      </w:pPr>
      <w:r w:rsidRPr="00523C16">
        <w:rPr>
          <w:rFonts w:ascii="Calibri" w:hAnsi="Calibri" w:cs="Calibri"/>
        </w:rPr>
        <w:t>268.</w:t>
      </w:r>
      <w:r w:rsidRPr="00523C16">
        <w:rPr>
          <w:rFonts w:ascii="Calibri" w:hAnsi="Calibri" w:cs="Calibri"/>
        </w:rPr>
        <w:tab/>
        <w:t xml:space="preserve">Lewin SR, Attoye T, Bansbach C, Doehle B, Dubé K, Dybul M, et al. Multi-stakeholder consensus on a target product profile for an HIV cure. Lancet HIV. 2021 Jan;8(1):e42–50. </w:t>
      </w:r>
    </w:p>
    <w:p w14:paraId="32EACDB6" w14:textId="77777777" w:rsidR="00523C16" w:rsidRPr="00523C16" w:rsidRDefault="00523C16" w:rsidP="00523C16">
      <w:pPr>
        <w:pStyle w:val="Bibliography"/>
        <w:rPr>
          <w:rFonts w:ascii="Calibri" w:hAnsi="Calibri" w:cs="Calibri"/>
        </w:rPr>
      </w:pPr>
      <w:r w:rsidRPr="00523C16">
        <w:rPr>
          <w:rFonts w:ascii="Calibri" w:hAnsi="Calibri" w:cs="Calibri"/>
        </w:rPr>
        <w:t>269.</w:t>
      </w:r>
      <w:r w:rsidRPr="00523C16">
        <w:rPr>
          <w:rFonts w:ascii="Calibri" w:hAnsi="Calibri" w:cs="Calibri"/>
        </w:rPr>
        <w:tab/>
        <w:t xml:space="preserve">Lokras A, Thakur A, Wadhwa A, Thanki K, Franzyk H, Foged C. Optimizing the Intracellular Delivery of Therapeutic Anti-inflammatory TNF-α siRNA to Activated Macrophages Using Lipidoid-Polymer Hybrid Nanoparticles. Front Bioeng Biotechnol. 2021 Jan 14;8:601155. </w:t>
      </w:r>
    </w:p>
    <w:p w14:paraId="74E27EE1" w14:textId="304E508F" w:rsidR="00523C16" w:rsidRPr="00B76B43" w:rsidRDefault="00523C16" w:rsidP="00523C16">
      <w:pPr>
        <w:pStyle w:val="Bibliography"/>
        <w:rPr>
          <w:rFonts w:ascii="Calibri" w:hAnsi="Calibri" w:cs="Calibri"/>
          <w:lang w:val="it-IT"/>
        </w:rPr>
      </w:pPr>
      <w:r w:rsidRPr="00523C16">
        <w:rPr>
          <w:rFonts w:ascii="Calibri" w:hAnsi="Calibri" w:cs="Calibri"/>
        </w:rPr>
        <w:t>270.</w:t>
      </w:r>
      <w:r w:rsidRPr="00523C16">
        <w:rPr>
          <w:rFonts w:ascii="Calibri" w:hAnsi="Calibri" w:cs="Calibri"/>
        </w:rPr>
        <w:tab/>
        <w:t xml:space="preserve">Macintyre F, Ramachandruni H, Burrows JN, Holm R, Thomas A, Möhrle JJ, et al. Injectable anti-malarials revisited: discovery and development of new agents to protect against malaria. </w:t>
      </w:r>
      <w:r w:rsidRPr="00B76B43">
        <w:rPr>
          <w:rFonts w:ascii="Calibri" w:hAnsi="Calibri" w:cs="Calibri"/>
          <w:lang w:val="it-IT"/>
        </w:rPr>
        <w:t xml:space="preserve">Malar J. 2018 Dec;17(1):402. </w:t>
      </w:r>
    </w:p>
    <w:p w14:paraId="302A6DAF" w14:textId="77777777" w:rsidR="00523C16" w:rsidRPr="00523C16" w:rsidRDefault="00523C16" w:rsidP="00523C16">
      <w:pPr>
        <w:pStyle w:val="Bibliography"/>
        <w:rPr>
          <w:rFonts w:ascii="Calibri" w:hAnsi="Calibri" w:cs="Calibri"/>
        </w:rPr>
      </w:pPr>
      <w:r w:rsidRPr="00B76B43">
        <w:rPr>
          <w:rFonts w:ascii="Calibri" w:hAnsi="Calibri" w:cs="Calibri"/>
          <w:lang w:val="it-IT"/>
        </w:rPr>
        <w:t>271.</w:t>
      </w:r>
      <w:r w:rsidRPr="00B76B43">
        <w:rPr>
          <w:rFonts w:ascii="Calibri" w:hAnsi="Calibri" w:cs="Calibri"/>
          <w:lang w:val="it-IT"/>
        </w:rPr>
        <w:tab/>
        <w:t xml:space="preserve">Malvolti S, Malhame M, Mantel CF, Le Rutte EA, Kaye PM. </w:t>
      </w:r>
      <w:r w:rsidRPr="00523C16">
        <w:rPr>
          <w:rFonts w:ascii="Calibri" w:hAnsi="Calibri" w:cs="Calibri"/>
        </w:rPr>
        <w:t xml:space="preserve">Human leishmaniasis vaccines: Use cases, target population and potential global demand. Laouini D, editor. PLoS Negl Trop Dis. 2021 Sep 21;15(9):e0009742. </w:t>
      </w:r>
    </w:p>
    <w:p w14:paraId="66BE946F" w14:textId="77777777" w:rsidR="00523C16" w:rsidRPr="00523C16" w:rsidRDefault="00523C16" w:rsidP="00523C16">
      <w:pPr>
        <w:pStyle w:val="Bibliography"/>
        <w:rPr>
          <w:rFonts w:ascii="Calibri" w:hAnsi="Calibri" w:cs="Calibri"/>
        </w:rPr>
      </w:pPr>
      <w:r w:rsidRPr="00523C16">
        <w:rPr>
          <w:rFonts w:ascii="Calibri" w:hAnsi="Calibri" w:cs="Calibri"/>
        </w:rPr>
        <w:t>272.</w:t>
      </w:r>
      <w:r w:rsidRPr="00523C16">
        <w:rPr>
          <w:rFonts w:ascii="Calibri" w:hAnsi="Calibri" w:cs="Calibri"/>
        </w:rPr>
        <w:tab/>
        <w:t xml:space="preserve">Manjunatha UH, Chao AT, Leong FJ, Diagana TT. Cryptosporidiosis Drug Discovery: Opportunities and Challenges. ACS Infect Dis. 2016 Aug 12;2(8):530–7. </w:t>
      </w:r>
    </w:p>
    <w:p w14:paraId="38515991" w14:textId="47754EF2" w:rsidR="00523C16" w:rsidRPr="00523C16" w:rsidRDefault="00523C16" w:rsidP="00523C16">
      <w:pPr>
        <w:pStyle w:val="Bibliography"/>
        <w:rPr>
          <w:rFonts w:ascii="Calibri" w:hAnsi="Calibri" w:cs="Calibri"/>
        </w:rPr>
      </w:pPr>
      <w:r w:rsidRPr="00523C16">
        <w:rPr>
          <w:rFonts w:ascii="Calibri" w:hAnsi="Calibri" w:cs="Calibri"/>
        </w:rPr>
        <w:t>273.</w:t>
      </w:r>
      <w:r w:rsidRPr="00523C16">
        <w:rPr>
          <w:rFonts w:ascii="Calibri" w:hAnsi="Calibri" w:cs="Calibri"/>
        </w:rPr>
        <w:tab/>
        <w:t xml:space="preserve">Mateus D, Marto J, Trindade P, Gonçalves H, Salgado A, Machado P, et al. Improved Morphine-Loaded Hydrogels for Wound-Related Pain Relief. Pharmaceutics. 2019 Feb 12;11(2):76. </w:t>
      </w:r>
    </w:p>
    <w:p w14:paraId="23E5D117" w14:textId="77777777" w:rsidR="00523C16" w:rsidRPr="00523C16" w:rsidRDefault="00523C16" w:rsidP="00523C16">
      <w:pPr>
        <w:pStyle w:val="Bibliography"/>
        <w:rPr>
          <w:rFonts w:ascii="Calibri" w:hAnsi="Calibri" w:cs="Calibri"/>
        </w:rPr>
      </w:pPr>
      <w:r w:rsidRPr="00523C16">
        <w:rPr>
          <w:rFonts w:ascii="Calibri" w:hAnsi="Calibri" w:cs="Calibri"/>
        </w:rPr>
        <w:t>274.</w:t>
      </w:r>
      <w:r w:rsidRPr="00523C16">
        <w:rPr>
          <w:rFonts w:ascii="Calibri" w:hAnsi="Calibri" w:cs="Calibri"/>
        </w:rPr>
        <w:tab/>
        <w:t xml:space="preserve">Mather RG, Hopkins H, Parry CM, Dittrich S. Redefining typhoid diagnosis: what would an improved test need to look like? BMJ Glob Health. 2019 Oct;4(5):e001831. </w:t>
      </w:r>
    </w:p>
    <w:p w14:paraId="429328C9" w14:textId="77777777" w:rsidR="00523C16" w:rsidRPr="00523C16" w:rsidRDefault="00523C16" w:rsidP="00523C16">
      <w:pPr>
        <w:pStyle w:val="Bibliography"/>
        <w:rPr>
          <w:rFonts w:ascii="Calibri" w:hAnsi="Calibri" w:cs="Calibri"/>
        </w:rPr>
      </w:pPr>
      <w:r w:rsidRPr="00523C16">
        <w:rPr>
          <w:rFonts w:ascii="Calibri" w:hAnsi="Calibri" w:cs="Calibri"/>
        </w:rPr>
        <w:t>275.</w:t>
      </w:r>
      <w:r w:rsidRPr="00523C16">
        <w:rPr>
          <w:rFonts w:ascii="Calibri" w:hAnsi="Calibri" w:cs="Calibri"/>
        </w:rPr>
        <w:tab/>
        <w:t xml:space="preserve">Mercuri AM. Quality by Design Applied to Ocular Solid Lipid Nanoparticles Containing a Hydrophilic Peptide Prepared via Hot High Pressure Homogeniser. Curr Drug Deliv. 2016 Nov 8;13(8):1247–60. </w:t>
      </w:r>
    </w:p>
    <w:p w14:paraId="22908129" w14:textId="77777777" w:rsidR="00523C16" w:rsidRPr="00523C16" w:rsidRDefault="00523C16" w:rsidP="00523C16">
      <w:pPr>
        <w:pStyle w:val="Bibliography"/>
        <w:rPr>
          <w:rFonts w:ascii="Calibri" w:hAnsi="Calibri" w:cs="Calibri"/>
        </w:rPr>
      </w:pPr>
      <w:r w:rsidRPr="00523C16">
        <w:rPr>
          <w:rFonts w:ascii="Calibri" w:hAnsi="Calibri" w:cs="Calibri"/>
        </w:rPr>
        <w:t>276.</w:t>
      </w:r>
      <w:r w:rsidRPr="00523C16">
        <w:rPr>
          <w:rFonts w:ascii="Calibri" w:hAnsi="Calibri" w:cs="Calibri"/>
        </w:rPr>
        <w:tab/>
        <w:t xml:space="preserve">Mirani AG, Patankar SP, Kadam VJ. Risk-based approach for systematic development of gastroretentive drug delivery system. Drug Deliv Transl Res. 2016 Oct;6(5):579–96. </w:t>
      </w:r>
    </w:p>
    <w:p w14:paraId="1CB7C914" w14:textId="77777777" w:rsidR="00523C16" w:rsidRPr="00523C16" w:rsidRDefault="00523C16" w:rsidP="00523C16">
      <w:pPr>
        <w:pStyle w:val="Bibliography"/>
        <w:rPr>
          <w:rFonts w:ascii="Calibri" w:hAnsi="Calibri" w:cs="Calibri"/>
        </w:rPr>
      </w:pPr>
      <w:r w:rsidRPr="00523C16">
        <w:rPr>
          <w:rFonts w:ascii="Calibri" w:hAnsi="Calibri" w:cs="Calibri"/>
        </w:rPr>
        <w:t>277.</w:t>
      </w:r>
      <w:r w:rsidRPr="00523C16">
        <w:rPr>
          <w:rFonts w:ascii="Calibri" w:hAnsi="Calibri" w:cs="Calibri"/>
        </w:rPr>
        <w:tab/>
        <w:t xml:space="preserve">Mishra SM, Rohera BD. An integrated, quality by design (QbD) approach for design, development and optimization of orally disintegrating tablet formulation of carbamazepine. Pharm Dev Technol. 2017 Oct 3;22(7):889–903. </w:t>
      </w:r>
    </w:p>
    <w:p w14:paraId="51A9CD2C" w14:textId="77777777" w:rsidR="00523C16" w:rsidRPr="00523C16" w:rsidRDefault="00523C16" w:rsidP="00523C16">
      <w:pPr>
        <w:pStyle w:val="Bibliography"/>
        <w:rPr>
          <w:rFonts w:ascii="Calibri" w:hAnsi="Calibri" w:cs="Calibri"/>
        </w:rPr>
      </w:pPr>
      <w:r w:rsidRPr="00523C16">
        <w:rPr>
          <w:rFonts w:ascii="Calibri" w:hAnsi="Calibri" w:cs="Calibri"/>
        </w:rPr>
        <w:t>278.</w:t>
      </w:r>
      <w:r w:rsidRPr="00523C16">
        <w:rPr>
          <w:rFonts w:ascii="Calibri" w:hAnsi="Calibri" w:cs="Calibri"/>
        </w:rPr>
        <w:tab/>
        <w:t xml:space="preserve">Mo AX, Colley DG. Workshop report: Schistosomiasis vaccine clinical development and product characteristics. Vaccine. 2016 Feb;34(8):995–1001. </w:t>
      </w:r>
    </w:p>
    <w:p w14:paraId="7A30E0B4" w14:textId="77777777" w:rsidR="00523C16" w:rsidRPr="00523C16" w:rsidRDefault="00523C16" w:rsidP="00523C16">
      <w:pPr>
        <w:pStyle w:val="Bibliography"/>
        <w:rPr>
          <w:rFonts w:ascii="Calibri" w:hAnsi="Calibri" w:cs="Calibri"/>
        </w:rPr>
      </w:pPr>
      <w:r w:rsidRPr="00523C16">
        <w:rPr>
          <w:rFonts w:ascii="Calibri" w:hAnsi="Calibri" w:cs="Calibri"/>
        </w:rPr>
        <w:t>279.</w:t>
      </w:r>
      <w:r w:rsidRPr="00523C16">
        <w:rPr>
          <w:rFonts w:ascii="Calibri" w:hAnsi="Calibri" w:cs="Calibri"/>
        </w:rPr>
        <w:tab/>
        <w:t xml:space="preserve">Nakas A, Dalatsi AM, Kapourani A, Kontogiannopoulos KN, Assimopoulou AN, Barmpalexis P. Quality Risk Management and Quality by Design for the Development of Diclofenac Sodium Intra-articular Gelatin Microspheres. AAPS PharmSciTech. 2020 May;21(4):127. </w:t>
      </w:r>
    </w:p>
    <w:p w14:paraId="402963C9" w14:textId="77777777" w:rsidR="00523C16" w:rsidRPr="00523C16" w:rsidRDefault="00523C16" w:rsidP="00523C16">
      <w:pPr>
        <w:pStyle w:val="Bibliography"/>
        <w:rPr>
          <w:rFonts w:ascii="Calibri" w:hAnsi="Calibri" w:cs="Calibri"/>
        </w:rPr>
      </w:pPr>
      <w:r w:rsidRPr="00523C16">
        <w:rPr>
          <w:rFonts w:ascii="Calibri" w:hAnsi="Calibri" w:cs="Calibri"/>
        </w:rPr>
        <w:t>280.</w:t>
      </w:r>
      <w:r w:rsidRPr="00523C16">
        <w:rPr>
          <w:rFonts w:ascii="Calibri" w:hAnsi="Calibri" w:cs="Calibri"/>
        </w:rPr>
        <w:tab/>
        <w:t xml:space="preserve">Namjoshi S, Dabbaghi M, Roberts MS, Grice JE, Mohammed Y. Quality by Design: Development of the Quality Target Product Profile (QTPP) for Semisolid Topical Products. Pharmaceutics. 2020 Mar 23;12(3):287. </w:t>
      </w:r>
    </w:p>
    <w:p w14:paraId="0EE5DC61" w14:textId="7A628150" w:rsidR="00523C16" w:rsidRPr="00523C16" w:rsidRDefault="00523C16" w:rsidP="00523C16">
      <w:pPr>
        <w:pStyle w:val="Bibliography"/>
        <w:rPr>
          <w:rFonts w:ascii="Calibri" w:hAnsi="Calibri" w:cs="Calibri"/>
        </w:rPr>
      </w:pPr>
      <w:r w:rsidRPr="00523C16">
        <w:rPr>
          <w:rFonts w:ascii="Calibri" w:hAnsi="Calibri" w:cs="Calibri"/>
        </w:rPr>
        <w:t>281.</w:t>
      </w:r>
      <w:r w:rsidRPr="00523C16">
        <w:rPr>
          <w:rFonts w:ascii="Calibri" w:hAnsi="Calibri" w:cs="Calibri"/>
        </w:rPr>
        <w:tab/>
        <w:t xml:space="preserve">Nazari K, Mehta P, Arshad MS, Ahmed S, Andriotis EG, Singh N, et al. Quality by Design Micro-Engineering Optimisation of NSAID-Loaded Electrospun Fibrous Patches. Pharmaceutics. 2019 Dec 18;12(1):2. </w:t>
      </w:r>
    </w:p>
    <w:p w14:paraId="23443E38" w14:textId="77777777" w:rsidR="00523C16" w:rsidRPr="00523C16" w:rsidRDefault="00523C16" w:rsidP="00523C16">
      <w:pPr>
        <w:pStyle w:val="Bibliography"/>
        <w:rPr>
          <w:rFonts w:ascii="Calibri" w:hAnsi="Calibri" w:cs="Calibri"/>
        </w:rPr>
      </w:pPr>
      <w:r w:rsidRPr="00523C16">
        <w:rPr>
          <w:rFonts w:ascii="Calibri" w:hAnsi="Calibri" w:cs="Calibri"/>
        </w:rPr>
        <w:t>282.</w:t>
      </w:r>
      <w:r w:rsidRPr="00523C16">
        <w:rPr>
          <w:rFonts w:ascii="Calibri" w:hAnsi="Calibri" w:cs="Calibri"/>
        </w:rPr>
        <w:tab/>
        <w:t xml:space="preserve">Németh Z, Pallagi E, Dobó DG, Csóka I. A Proposed Methodology for a Risk Assessment-Based Liposome Development Process. Pharmaceutics. 2020 Nov 29;12(12):1164. </w:t>
      </w:r>
    </w:p>
    <w:p w14:paraId="0C13C10A" w14:textId="3007CD61" w:rsidR="00523C16" w:rsidRPr="00523C16" w:rsidRDefault="00523C16" w:rsidP="00523C16">
      <w:pPr>
        <w:pStyle w:val="Bibliography"/>
        <w:rPr>
          <w:rFonts w:ascii="Calibri" w:hAnsi="Calibri" w:cs="Calibri"/>
        </w:rPr>
      </w:pPr>
      <w:r w:rsidRPr="00523C16">
        <w:rPr>
          <w:rFonts w:ascii="Calibri" w:hAnsi="Calibri" w:cs="Calibri"/>
        </w:rPr>
        <w:t>283.</w:t>
      </w:r>
      <w:r w:rsidRPr="00523C16">
        <w:rPr>
          <w:rFonts w:ascii="Calibri" w:hAnsi="Calibri" w:cs="Calibri"/>
        </w:rPr>
        <w:tab/>
        <w:t xml:space="preserve">Nsanzabana C, Ariey F, Beck HP, Ding XC, Kamau E, Krishna S, et al. Molecular assays for antimalarial drug resistance surveillance: A target product profile. Huijben S, editor. PLOS ONE. 2018 Sep 20;13(9):e0204347. </w:t>
      </w:r>
    </w:p>
    <w:p w14:paraId="6CE1562D" w14:textId="77777777" w:rsidR="00523C16" w:rsidRPr="00523C16" w:rsidRDefault="00523C16" w:rsidP="00523C16">
      <w:pPr>
        <w:pStyle w:val="Bibliography"/>
        <w:rPr>
          <w:rFonts w:ascii="Calibri" w:hAnsi="Calibri" w:cs="Calibri"/>
        </w:rPr>
      </w:pPr>
      <w:r w:rsidRPr="00523C16">
        <w:rPr>
          <w:rFonts w:ascii="Calibri" w:hAnsi="Calibri" w:cs="Calibri"/>
        </w:rPr>
        <w:t>284.</w:t>
      </w:r>
      <w:r w:rsidRPr="00523C16">
        <w:rPr>
          <w:rFonts w:ascii="Calibri" w:hAnsi="Calibri" w:cs="Calibri"/>
        </w:rPr>
        <w:tab/>
        <w:t xml:space="preserve">Oh GH, Park JH, Shin HW, Kim JE, Park YJ. Quality-by-design approach for the development of telmisartan potassium tablets. Drug Dev Ind Pharm. 2018 May 4;44(5):837–48. </w:t>
      </w:r>
    </w:p>
    <w:p w14:paraId="1BB3E95F" w14:textId="77777777" w:rsidR="00523C16" w:rsidRPr="00523C16" w:rsidRDefault="00523C16" w:rsidP="00523C16">
      <w:pPr>
        <w:pStyle w:val="Bibliography"/>
        <w:rPr>
          <w:rFonts w:ascii="Calibri" w:hAnsi="Calibri" w:cs="Calibri"/>
        </w:rPr>
      </w:pPr>
      <w:r w:rsidRPr="00523C16">
        <w:rPr>
          <w:rFonts w:ascii="Calibri" w:hAnsi="Calibri" w:cs="Calibri"/>
        </w:rPr>
        <w:t>285.</w:t>
      </w:r>
      <w:r w:rsidRPr="00523C16">
        <w:rPr>
          <w:rFonts w:ascii="Calibri" w:hAnsi="Calibri" w:cs="Calibri"/>
        </w:rPr>
        <w:tab/>
        <w:t xml:space="preserve">Pallagi E, Ambrus R, Szabó-Révész P, Csóka I. Adaptation of the quality by design concept in early pharmaceutical development of an intranasal nanosized formulation. Int J Pharm. 2015 Aug;491(1–2):384–92. </w:t>
      </w:r>
    </w:p>
    <w:p w14:paraId="600CA013" w14:textId="77777777" w:rsidR="00523C16" w:rsidRPr="00523C16" w:rsidRDefault="00523C16" w:rsidP="00523C16">
      <w:pPr>
        <w:pStyle w:val="Bibliography"/>
        <w:rPr>
          <w:rFonts w:ascii="Calibri" w:hAnsi="Calibri" w:cs="Calibri"/>
        </w:rPr>
      </w:pPr>
      <w:r w:rsidRPr="00523C16">
        <w:rPr>
          <w:rFonts w:ascii="Calibri" w:hAnsi="Calibri" w:cs="Calibri"/>
        </w:rPr>
        <w:t>286.</w:t>
      </w:r>
      <w:r w:rsidRPr="00523C16">
        <w:rPr>
          <w:rFonts w:ascii="Calibri" w:hAnsi="Calibri" w:cs="Calibri"/>
        </w:rPr>
        <w:tab/>
        <w:t xml:space="preserve">Pallagi E, Jójárt-Laczkovich O, Németh Z, Szabó-Révész P, Csóka I. Application of the QbD-based approach in the early development of liposomes for nasal administration. Int J Pharm. 2019 May;562:11–22. </w:t>
      </w:r>
    </w:p>
    <w:p w14:paraId="5F65EC71" w14:textId="77777777" w:rsidR="00523C16" w:rsidRPr="00523C16" w:rsidRDefault="00523C16" w:rsidP="00523C16">
      <w:pPr>
        <w:pStyle w:val="Bibliography"/>
        <w:rPr>
          <w:rFonts w:ascii="Calibri" w:hAnsi="Calibri" w:cs="Calibri"/>
        </w:rPr>
      </w:pPr>
      <w:r w:rsidRPr="00523C16">
        <w:rPr>
          <w:rFonts w:ascii="Calibri" w:hAnsi="Calibri" w:cs="Calibri"/>
        </w:rPr>
        <w:t>287.</w:t>
      </w:r>
      <w:r w:rsidRPr="00523C16">
        <w:rPr>
          <w:rFonts w:ascii="Calibri" w:hAnsi="Calibri" w:cs="Calibri"/>
        </w:rPr>
        <w:tab/>
        <w:t xml:space="preserve">Patadia R, Vora C, Mittal K, Mashru RC. Quality by Design Empowered Development and Optimisation of Time-Controlled Pulsatile Release Platform Formulation Employing Compression Coating Technology. AAPS PharmSciTech. 2017 May;18(4):1213–27. </w:t>
      </w:r>
    </w:p>
    <w:p w14:paraId="642C8856" w14:textId="77777777" w:rsidR="00523C16" w:rsidRPr="00523C16" w:rsidRDefault="00523C16" w:rsidP="00523C16">
      <w:pPr>
        <w:pStyle w:val="Bibliography"/>
        <w:rPr>
          <w:rFonts w:ascii="Calibri" w:hAnsi="Calibri" w:cs="Calibri"/>
        </w:rPr>
      </w:pPr>
      <w:r w:rsidRPr="00523C16">
        <w:rPr>
          <w:rFonts w:ascii="Calibri" w:hAnsi="Calibri" w:cs="Calibri"/>
        </w:rPr>
        <w:t>288.</w:t>
      </w:r>
      <w:r w:rsidRPr="00523C16">
        <w:rPr>
          <w:rFonts w:ascii="Calibri" w:hAnsi="Calibri" w:cs="Calibri"/>
        </w:rPr>
        <w:tab/>
        <w:t xml:space="preserve">Patel GM, Shelat PK, Lalwani AN. QbD based development of proliposome of lopinavir for improved oral bioavailability. Eur J Pharm Sci. 2017 Oct;108:50–61. </w:t>
      </w:r>
    </w:p>
    <w:p w14:paraId="1B772A8E" w14:textId="365ECAB2" w:rsidR="00523C16" w:rsidRPr="00523C16" w:rsidRDefault="00523C16" w:rsidP="00523C16">
      <w:pPr>
        <w:pStyle w:val="Bibliography"/>
        <w:rPr>
          <w:rFonts w:ascii="Calibri" w:hAnsi="Calibri" w:cs="Calibri"/>
        </w:rPr>
      </w:pPr>
      <w:r w:rsidRPr="00523C16">
        <w:rPr>
          <w:rFonts w:ascii="Calibri" w:hAnsi="Calibri" w:cs="Calibri"/>
        </w:rPr>
        <w:t>289.</w:t>
      </w:r>
      <w:r w:rsidRPr="00523C16">
        <w:rPr>
          <w:rFonts w:ascii="Calibri" w:hAnsi="Calibri" w:cs="Calibri"/>
        </w:rPr>
        <w:tab/>
        <w:t xml:space="preserve">Patel HP, Chaudhari PS, Gandhi PA, Desai BV, Desai DT, Dedhiya PP, et al. Nose to brain delivery of tailored clozapine nanosuspension stabilized using (+)-alpha-tocopherol polyethylene glycol 1000 succinate: Optimization and in vivo pharmacokinetic studies. Int J Pharm. 2021 May;600:120474. </w:t>
      </w:r>
    </w:p>
    <w:p w14:paraId="45A83EDC" w14:textId="77777777" w:rsidR="00523C16" w:rsidRPr="00523C16" w:rsidRDefault="00523C16" w:rsidP="00523C16">
      <w:pPr>
        <w:pStyle w:val="Bibliography"/>
        <w:rPr>
          <w:rFonts w:ascii="Calibri" w:hAnsi="Calibri" w:cs="Calibri"/>
        </w:rPr>
      </w:pPr>
      <w:r w:rsidRPr="00523C16">
        <w:rPr>
          <w:rFonts w:ascii="Calibri" w:hAnsi="Calibri" w:cs="Calibri"/>
        </w:rPr>
        <w:t>290.</w:t>
      </w:r>
      <w:r w:rsidRPr="00523C16">
        <w:rPr>
          <w:rFonts w:ascii="Calibri" w:hAnsi="Calibri" w:cs="Calibri"/>
        </w:rPr>
        <w:tab/>
        <w:t xml:space="preserve">Patel H, Patel K, Tiwari S, Pandey S, Shah S, Gohel M. Quality by Design (QbD) Approach for Development of Co-Processed Excipient Pellets (MOMLETS) By Extrusion-Spheronization Technique. Recent Pat Drug Deliv Formul. 2016 Dec 7;10(3):192–206. </w:t>
      </w:r>
    </w:p>
    <w:p w14:paraId="62805D61" w14:textId="6D92DAF0" w:rsidR="00523C16" w:rsidRPr="00523C16" w:rsidRDefault="00523C16" w:rsidP="00523C16">
      <w:pPr>
        <w:pStyle w:val="Bibliography"/>
        <w:rPr>
          <w:rFonts w:ascii="Calibri" w:hAnsi="Calibri" w:cs="Calibri"/>
        </w:rPr>
      </w:pPr>
      <w:r w:rsidRPr="00523C16">
        <w:rPr>
          <w:rFonts w:ascii="Calibri" w:hAnsi="Calibri" w:cs="Calibri"/>
        </w:rPr>
        <w:t>291.</w:t>
      </w:r>
      <w:r w:rsidRPr="00523C16">
        <w:rPr>
          <w:rFonts w:ascii="Calibri" w:hAnsi="Calibri" w:cs="Calibri"/>
        </w:rPr>
        <w:tab/>
        <w:t xml:space="preserve">Pellé KG, Rambaud-Althaus C, D’Acremont V, Moran G, Sampath R, Katz Z, et al. Electronic clinical decision support algorithms incorporating point-of-care diagnostic tests in low-resource settings: a target product profile. BMJ Glob Health. 2020 Feb;5(2):e002067. </w:t>
      </w:r>
    </w:p>
    <w:p w14:paraId="718B3BCF" w14:textId="77777777" w:rsidR="00523C16" w:rsidRPr="00523C16" w:rsidRDefault="00523C16" w:rsidP="00523C16">
      <w:pPr>
        <w:pStyle w:val="Bibliography"/>
        <w:rPr>
          <w:rFonts w:ascii="Calibri" w:hAnsi="Calibri" w:cs="Calibri"/>
        </w:rPr>
      </w:pPr>
      <w:r w:rsidRPr="00523C16">
        <w:rPr>
          <w:rFonts w:ascii="Calibri" w:hAnsi="Calibri" w:cs="Calibri"/>
        </w:rPr>
        <w:t>292.</w:t>
      </w:r>
      <w:r w:rsidRPr="00523C16">
        <w:rPr>
          <w:rFonts w:ascii="Calibri" w:hAnsi="Calibri" w:cs="Calibri"/>
        </w:rPr>
        <w:tab/>
        <w:t xml:space="preserve">Peraman R, Bhadraya K, Reddy Yp, Reddy Cs, Lokesh T. Analytical quality by design approach in RP-HPLC method development for the assay of etofenamate in dosage forms. Indian J Pharm Sci. 2015;77(6):751. </w:t>
      </w:r>
    </w:p>
    <w:p w14:paraId="058271C8" w14:textId="35E625F2" w:rsidR="00523C16" w:rsidRPr="00523C16" w:rsidRDefault="00523C16" w:rsidP="00523C16">
      <w:pPr>
        <w:pStyle w:val="Bibliography"/>
        <w:rPr>
          <w:rFonts w:ascii="Calibri" w:hAnsi="Calibri" w:cs="Calibri"/>
        </w:rPr>
      </w:pPr>
      <w:r w:rsidRPr="00523C16">
        <w:rPr>
          <w:rFonts w:ascii="Calibri" w:hAnsi="Calibri" w:cs="Calibri"/>
        </w:rPr>
        <w:t>293.</w:t>
      </w:r>
      <w:r w:rsidRPr="00523C16">
        <w:rPr>
          <w:rFonts w:ascii="Calibri" w:hAnsi="Calibri" w:cs="Calibri"/>
        </w:rPr>
        <w:tab/>
        <w:t xml:space="preserve">Perrier Q, Piquemal M, Leenhardt J, Choisnard L, Mazet R, Desruet MD, et al. A quality by design approach for the qualification of automating compounding device for parenteral nutrition. Eur J Pharm Sci. 2022 Dec;179:106275. </w:t>
      </w:r>
    </w:p>
    <w:p w14:paraId="7853C99D" w14:textId="594A7906" w:rsidR="00523C16" w:rsidRPr="00523C16" w:rsidRDefault="00523C16" w:rsidP="00523C16">
      <w:pPr>
        <w:pStyle w:val="Bibliography"/>
        <w:rPr>
          <w:rFonts w:ascii="Calibri" w:hAnsi="Calibri" w:cs="Calibri"/>
        </w:rPr>
      </w:pPr>
      <w:r w:rsidRPr="00523C16">
        <w:rPr>
          <w:rFonts w:ascii="Calibri" w:hAnsi="Calibri" w:cs="Calibri"/>
        </w:rPr>
        <w:t>294.</w:t>
      </w:r>
      <w:r w:rsidRPr="00523C16">
        <w:rPr>
          <w:rFonts w:ascii="Calibri" w:hAnsi="Calibri" w:cs="Calibri"/>
        </w:rPr>
        <w:tab/>
        <w:t xml:space="preserve">Porrás AI, Yadon ZE, Altcheh J, Britto C, Chaves GC, Flevaud L, et al. Target Product Profile (TPP) for Chagas Disease Point-of-Care Diagnosis and Assessment of Response to Treatment. Debrabant A, editor. PLoS Negl Trop Dis. 2015 Jun 4;9(6):e0003697. </w:t>
      </w:r>
    </w:p>
    <w:p w14:paraId="416A8292" w14:textId="77777777" w:rsidR="00523C16" w:rsidRPr="00523C16" w:rsidRDefault="00523C16" w:rsidP="00523C16">
      <w:pPr>
        <w:pStyle w:val="Bibliography"/>
        <w:rPr>
          <w:rFonts w:ascii="Calibri" w:hAnsi="Calibri" w:cs="Calibri"/>
        </w:rPr>
      </w:pPr>
      <w:r w:rsidRPr="00523C16">
        <w:rPr>
          <w:rFonts w:ascii="Calibri" w:hAnsi="Calibri" w:cs="Calibri"/>
        </w:rPr>
        <w:t>295.</w:t>
      </w:r>
      <w:r w:rsidRPr="00523C16">
        <w:rPr>
          <w:rFonts w:ascii="Calibri" w:hAnsi="Calibri" w:cs="Calibri"/>
        </w:rPr>
        <w:tab/>
        <w:t xml:space="preserve">Reinhard-Rupp J, Klohe K. Developing a comprehensive response for treatment of children under 6 years of age with schistosomiasis: research and development of a pediatric formulation of praziquantel. Infect Dis Poverty. 2017 Dec;6(1):122. </w:t>
      </w:r>
    </w:p>
    <w:p w14:paraId="2E2002AB" w14:textId="77777777" w:rsidR="00523C16" w:rsidRPr="00523C16" w:rsidRDefault="00523C16" w:rsidP="00523C16">
      <w:pPr>
        <w:pStyle w:val="Bibliography"/>
        <w:rPr>
          <w:rFonts w:ascii="Calibri" w:hAnsi="Calibri" w:cs="Calibri"/>
        </w:rPr>
      </w:pPr>
      <w:r w:rsidRPr="00523C16">
        <w:rPr>
          <w:rFonts w:ascii="Calibri" w:hAnsi="Calibri" w:cs="Calibri"/>
        </w:rPr>
        <w:t>296.</w:t>
      </w:r>
      <w:r w:rsidRPr="00523C16">
        <w:rPr>
          <w:rFonts w:ascii="Calibri" w:hAnsi="Calibri" w:cs="Calibri"/>
        </w:rPr>
        <w:tab/>
        <w:t xml:space="preserve">Romano J, Manning J, Hemmerling A, McGrory E, Young Holt B. Prioritizing multipurpose prevention technology development and investments using a target product profile. Antiviral Res. 2013 Dec;100:S32–8. </w:t>
      </w:r>
    </w:p>
    <w:p w14:paraId="1D13159E" w14:textId="77777777" w:rsidR="00523C16" w:rsidRPr="00523C16" w:rsidRDefault="00523C16" w:rsidP="00523C16">
      <w:pPr>
        <w:pStyle w:val="Bibliography"/>
        <w:rPr>
          <w:rFonts w:ascii="Calibri" w:hAnsi="Calibri" w:cs="Calibri"/>
        </w:rPr>
      </w:pPr>
      <w:r w:rsidRPr="00523C16">
        <w:rPr>
          <w:rFonts w:ascii="Calibri" w:hAnsi="Calibri" w:cs="Calibri"/>
        </w:rPr>
        <w:t>297.</w:t>
      </w:r>
      <w:r w:rsidRPr="00523C16">
        <w:rPr>
          <w:rFonts w:ascii="Calibri" w:hAnsi="Calibri" w:cs="Calibri"/>
        </w:rPr>
        <w:tab/>
        <w:t xml:space="preserve">Russell C, Hussain M, Huen D, Rahman AS, Mohammed AR. Profiling gene expression dynamics underpinning conventional testing approaches to better inform pre-clinical evaluation of an age appropriate spironolactone formulation. Pharm Dev Technol. 2021 Jan 2;26(1):101–9. </w:t>
      </w:r>
    </w:p>
    <w:p w14:paraId="00310A6C" w14:textId="1911B94B" w:rsidR="00523C16" w:rsidRPr="00523C16" w:rsidRDefault="00523C16" w:rsidP="00523C16">
      <w:pPr>
        <w:pStyle w:val="Bibliography"/>
        <w:rPr>
          <w:rFonts w:ascii="Calibri" w:hAnsi="Calibri" w:cs="Calibri"/>
        </w:rPr>
      </w:pPr>
      <w:r w:rsidRPr="00523C16">
        <w:rPr>
          <w:rFonts w:ascii="Calibri" w:hAnsi="Calibri" w:cs="Calibri"/>
        </w:rPr>
        <w:t>298.</w:t>
      </w:r>
      <w:r w:rsidRPr="00523C16">
        <w:rPr>
          <w:rFonts w:ascii="Calibri" w:hAnsi="Calibri" w:cs="Calibri"/>
        </w:rPr>
        <w:tab/>
        <w:t xml:space="preserve">Salami K, Gsell PS, Olayinka A, Maiga D, Formenty P, Smith PG, et al. Meeting report: WHO consultation on accelerating Lassa fever vaccine development in endemic countries, Dakar, 10–11 September 2019. Vaccine. 2020 May;38(26):4135–41. </w:t>
      </w:r>
    </w:p>
    <w:p w14:paraId="7469714D" w14:textId="77777777" w:rsidR="00523C16" w:rsidRPr="00523C16" w:rsidRDefault="00523C16" w:rsidP="00523C16">
      <w:pPr>
        <w:pStyle w:val="Bibliography"/>
        <w:rPr>
          <w:rFonts w:ascii="Calibri" w:hAnsi="Calibri" w:cs="Calibri"/>
        </w:rPr>
      </w:pPr>
      <w:r w:rsidRPr="00523C16">
        <w:rPr>
          <w:rFonts w:ascii="Calibri" w:hAnsi="Calibri" w:cs="Calibri"/>
        </w:rPr>
        <w:t>299.</w:t>
      </w:r>
      <w:r w:rsidRPr="00523C16">
        <w:rPr>
          <w:rFonts w:ascii="Calibri" w:hAnsi="Calibri" w:cs="Calibri"/>
        </w:rPr>
        <w:tab/>
        <w:t xml:space="preserve">Saydam M, Takka S. Development and </w:t>
      </w:r>
      <w:r w:rsidRPr="00523C16">
        <w:rPr>
          <w:rFonts w:ascii="Calibri" w:hAnsi="Calibri" w:cs="Calibri"/>
          <w:i/>
          <w:iCs/>
        </w:rPr>
        <w:t>in vitro</w:t>
      </w:r>
      <w:r w:rsidRPr="00523C16">
        <w:rPr>
          <w:rFonts w:ascii="Calibri" w:hAnsi="Calibri" w:cs="Calibri"/>
        </w:rPr>
        <w:t xml:space="preserve"> evaluation of pH-independent release matrix tablet of weakly acidic drug valsartan using quality by design tools. Drug Dev Ind Pharm. 2018 Dec 2;44(12):1905–17. </w:t>
      </w:r>
    </w:p>
    <w:p w14:paraId="0C2C8D4A" w14:textId="77777777" w:rsidR="00523C16" w:rsidRPr="00523C16" w:rsidRDefault="00523C16" w:rsidP="00523C16">
      <w:pPr>
        <w:pStyle w:val="Bibliography"/>
        <w:rPr>
          <w:rFonts w:ascii="Calibri" w:hAnsi="Calibri" w:cs="Calibri"/>
        </w:rPr>
      </w:pPr>
      <w:r w:rsidRPr="00523C16">
        <w:rPr>
          <w:rFonts w:ascii="Calibri" w:hAnsi="Calibri" w:cs="Calibri"/>
        </w:rPr>
        <w:t>300.</w:t>
      </w:r>
      <w:r w:rsidRPr="00523C16">
        <w:rPr>
          <w:rFonts w:ascii="Calibri" w:hAnsi="Calibri" w:cs="Calibri"/>
        </w:rPr>
        <w:tab/>
        <w:t xml:space="preserve">Simões A, Veiga F, Figueiras A, Vitorino C. A practical framework for implementing Quality by Design to the development of topical drug products: Nanosystem-based dosage forms. Int J Pharm. 2018 Sep;548(1):385–99. </w:t>
      </w:r>
    </w:p>
    <w:p w14:paraId="24350A8E" w14:textId="77777777" w:rsidR="00523C16" w:rsidRPr="00523C16" w:rsidRDefault="00523C16" w:rsidP="00523C16">
      <w:pPr>
        <w:pStyle w:val="Bibliography"/>
        <w:rPr>
          <w:rFonts w:ascii="Calibri" w:hAnsi="Calibri" w:cs="Calibri"/>
        </w:rPr>
      </w:pPr>
      <w:r w:rsidRPr="00523C16">
        <w:rPr>
          <w:rFonts w:ascii="Calibri" w:hAnsi="Calibri" w:cs="Calibri"/>
        </w:rPr>
        <w:t>301.</w:t>
      </w:r>
      <w:r w:rsidRPr="00523C16">
        <w:rPr>
          <w:rFonts w:ascii="Calibri" w:hAnsi="Calibri" w:cs="Calibri"/>
        </w:rPr>
        <w:tab/>
        <w:t xml:space="preserve">Simões A, Veiga F, Vitorino C, Figueiras A. A Tutorial for Developing a Topical Cream Formulation Based on the Quality by Design Approach. J Pharm Sci. 2018 Oct;107(10):2653–62. </w:t>
      </w:r>
    </w:p>
    <w:p w14:paraId="21E2A5AE" w14:textId="77777777" w:rsidR="00523C16" w:rsidRPr="00523C16" w:rsidRDefault="00523C16" w:rsidP="00523C16">
      <w:pPr>
        <w:pStyle w:val="Bibliography"/>
        <w:rPr>
          <w:rFonts w:ascii="Calibri" w:hAnsi="Calibri" w:cs="Calibri"/>
        </w:rPr>
      </w:pPr>
      <w:r w:rsidRPr="00523C16">
        <w:rPr>
          <w:rFonts w:ascii="Calibri" w:hAnsi="Calibri" w:cs="Calibri"/>
        </w:rPr>
        <w:t>302.</w:t>
      </w:r>
      <w:r w:rsidRPr="00523C16">
        <w:rPr>
          <w:rFonts w:ascii="Calibri" w:hAnsi="Calibri" w:cs="Calibri"/>
        </w:rPr>
        <w:tab/>
        <w:t xml:space="preserve">Singh B, Kaur A, Dhiman S, Garg B, Khurana RK, Beg S. QbD-Enabled Development of Novel Stimuli-Responsive Gastroretentive Systems of Acyclovir for Improved Patient Compliance and Biopharmaceutical Performance. AAPS PharmSciTech. 2016 Apr;17(2):454–65. </w:t>
      </w:r>
    </w:p>
    <w:p w14:paraId="0EFAD19D" w14:textId="57FE2B1E" w:rsidR="00523C16" w:rsidRPr="00523C16" w:rsidRDefault="00523C16" w:rsidP="00523C16">
      <w:pPr>
        <w:pStyle w:val="Bibliography"/>
        <w:rPr>
          <w:rFonts w:ascii="Calibri" w:hAnsi="Calibri" w:cs="Calibri"/>
        </w:rPr>
      </w:pPr>
      <w:r w:rsidRPr="00523C16">
        <w:rPr>
          <w:rFonts w:ascii="Calibri" w:hAnsi="Calibri" w:cs="Calibri"/>
        </w:rPr>
        <w:t>303.</w:t>
      </w:r>
      <w:r w:rsidRPr="00523C16">
        <w:rPr>
          <w:rFonts w:ascii="Calibri" w:hAnsi="Calibri" w:cs="Calibri"/>
        </w:rPr>
        <w:tab/>
        <w:t xml:space="preserve">Staunton KM, Liu J, Townsend M, Desnoyer M, Howell P, Crawford JE, et al. Designing Aedes (Diptera: Culicidae) Mosquito Traps: The Evolution of the Male Aedes Sound Trap by Iterative Evaluation. Insects. 2021 Apr 27;12(5):388. </w:t>
      </w:r>
    </w:p>
    <w:p w14:paraId="47483FDD" w14:textId="4CC8F291" w:rsidR="00523C16" w:rsidRPr="00523C16" w:rsidRDefault="00523C16" w:rsidP="00523C16">
      <w:pPr>
        <w:pStyle w:val="Bibliography"/>
        <w:rPr>
          <w:rFonts w:ascii="Calibri" w:hAnsi="Calibri" w:cs="Calibri"/>
        </w:rPr>
      </w:pPr>
      <w:r w:rsidRPr="00523C16">
        <w:rPr>
          <w:rFonts w:ascii="Calibri" w:hAnsi="Calibri" w:cs="Calibri"/>
        </w:rPr>
        <w:t>304.</w:t>
      </w:r>
      <w:r w:rsidRPr="00523C16">
        <w:rPr>
          <w:rFonts w:ascii="Calibri" w:hAnsi="Calibri" w:cs="Calibri"/>
        </w:rPr>
        <w:tab/>
        <w:t xml:space="preserve">Swindells S, Siccardi M, Barrett SE, Olsen DB, Grobler JA, Podany AT, et al. Long-acting formulations for the treatment of latent tuberculous infection: opportunities and challenges. Int J Tuberc Lung Dis. 2018 Feb 1;22(2):125–32. </w:t>
      </w:r>
    </w:p>
    <w:p w14:paraId="39C6D43B" w14:textId="77777777" w:rsidR="00523C16" w:rsidRPr="00523C16" w:rsidRDefault="00523C16" w:rsidP="00523C16">
      <w:pPr>
        <w:pStyle w:val="Bibliography"/>
        <w:rPr>
          <w:rFonts w:ascii="Calibri" w:hAnsi="Calibri" w:cs="Calibri"/>
        </w:rPr>
      </w:pPr>
      <w:r w:rsidRPr="00523C16">
        <w:rPr>
          <w:rFonts w:ascii="Calibri" w:hAnsi="Calibri" w:cs="Calibri"/>
        </w:rPr>
        <w:t>305.</w:t>
      </w:r>
      <w:r w:rsidRPr="00523C16">
        <w:rPr>
          <w:rFonts w:ascii="Calibri" w:hAnsi="Calibri" w:cs="Calibri"/>
        </w:rPr>
        <w:tab/>
        <w:t xml:space="preserve">Sylvester B, Tefas L, Vlase L, Tomuţă I, Porfire A. A Quality by Design (QbD) approach to the development of a gradient high-performance liquid chromatography for the simultaneous assay of curcuminoids and doxorubicin from long-circulating liposomes. J Pharm Biomed Anal. 2018 Sep;158:395–404. </w:t>
      </w:r>
    </w:p>
    <w:p w14:paraId="1BC8B833" w14:textId="77777777" w:rsidR="00523C16" w:rsidRPr="00523C16" w:rsidRDefault="00523C16" w:rsidP="00523C16">
      <w:pPr>
        <w:pStyle w:val="Bibliography"/>
        <w:rPr>
          <w:rFonts w:ascii="Calibri" w:hAnsi="Calibri" w:cs="Calibri"/>
        </w:rPr>
      </w:pPr>
      <w:r w:rsidRPr="00523C16">
        <w:rPr>
          <w:rFonts w:ascii="Calibri" w:hAnsi="Calibri" w:cs="Calibri"/>
        </w:rPr>
        <w:t>306.</w:t>
      </w:r>
      <w:r w:rsidRPr="00523C16">
        <w:rPr>
          <w:rFonts w:ascii="Calibri" w:hAnsi="Calibri" w:cs="Calibri"/>
        </w:rPr>
        <w:tab/>
        <w:t xml:space="preserve">Taipale-Kovalainen K, Karttunen AP, Ketolainen J, Korhonen O. Lubricant based determination of design space for continuously manufactured high dose paracetamol tablets. Eur J Pharm Sci. 2018 Mar;115:1–10. </w:t>
      </w:r>
    </w:p>
    <w:p w14:paraId="7E4F2B0E" w14:textId="77777777" w:rsidR="00523C16" w:rsidRPr="00523C16" w:rsidRDefault="00523C16" w:rsidP="00523C16">
      <w:pPr>
        <w:pStyle w:val="Bibliography"/>
        <w:rPr>
          <w:rFonts w:ascii="Calibri" w:hAnsi="Calibri" w:cs="Calibri"/>
        </w:rPr>
      </w:pPr>
      <w:r w:rsidRPr="00523C16">
        <w:rPr>
          <w:rFonts w:ascii="Calibri" w:hAnsi="Calibri" w:cs="Calibri"/>
        </w:rPr>
        <w:t>307.</w:t>
      </w:r>
      <w:r w:rsidRPr="00523C16">
        <w:rPr>
          <w:rFonts w:ascii="Calibri" w:hAnsi="Calibri" w:cs="Calibri"/>
        </w:rPr>
        <w:tab/>
        <w:t xml:space="preserve">Tanaka T, Hanaoka H, Sakurai S. Optimization of the quality by design approach for gene therapy products: A case study for adeno-associated viral vectors. Eur J Pharm Biopharm. 2020 Oct;155:88–102. </w:t>
      </w:r>
    </w:p>
    <w:p w14:paraId="3E33B092" w14:textId="540E8841" w:rsidR="00523C16" w:rsidRPr="00523C16" w:rsidRDefault="00523C16" w:rsidP="00523C16">
      <w:pPr>
        <w:pStyle w:val="Bibliography"/>
        <w:rPr>
          <w:rFonts w:ascii="Calibri" w:hAnsi="Calibri" w:cs="Calibri"/>
        </w:rPr>
      </w:pPr>
      <w:r w:rsidRPr="00523C16">
        <w:rPr>
          <w:rFonts w:ascii="Calibri" w:hAnsi="Calibri" w:cs="Calibri"/>
        </w:rPr>
        <w:t>308.</w:t>
      </w:r>
      <w:r w:rsidRPr="00523C16">
        <w:rPr>
          <w:rFonts w:ascii="Calibri" w:hAnsi="Calibri" w:cs="Calibri"/>
        </w:rPr>
        <w:tab/>
        <w:t xml:space="preserve">Thakkar R, Ashour EA, Shukla A, Wang R, Chambliss WG, Bandari S, et al. A Comparison Between Lab-Scale and Hot-Melt-Extruder-Based Anti-inflammatory Ointment Manufacturing. AAPS PharmSciTech. 2020 Jul;21(5):200. </w:t>
      </w:r>
    </w:p>
    <w:p w14:paraId="6009ADE0" w14:textId="4C8E0ED0" w:rsidR="00523C16" w:rsidRPr="00B76B43" w:rsidRDefault="00523C16" w:rsidP="00523C16">
      <w:pPr>
        <w:pStyle w:val="Bibliography"/>
        <w:rPr>
          <w:rFonts w:ascii="Calibri" w:hAnsi="Calibri" w:cs="Calibri"/>
          <w:lang w:val="de-DE"/>
        </w:rPr>
      </w:pPr>
      <w:r w:rsidRPr="00523C16">
        <w:rPr>
          <w:rFonts w:ascii="Calibri" w:hAnsi="Calibri" w:cs="Calibri"/>
        </w:rPr>
        <w:t>309.</w:t>
      </w:r>
      <w:r w:rsidRPr="00523C16">
        <w:rPr>
          <w:rFonts w:ascii="Calibri" w:hAnsi="Calibri" w:cs="Calibri"/>
        </w:rPr>
        <w:tab/>
        <w:t xml:space="preserve">Thanki K, Papai S, Lokras A, Rose F, Falkenberg E, Franzyk H, et al. Application of a Quality-By-Design Approach to Optimise Lipid-Polymer Hybrid Nanoparticles Loaded with a Splice-Correction Antisense Oligonucleotide: Maximising Loading and Intracellular Delivery. </w:t>
      </w:r>
      <w:r w:rsidRPr="00B76B43">
        <w:rPr>
          <w:rFonts w:ascii="Calibri" w:hAnsi="Calibri" w:cs="Calibri"/>
          <w:lang w:val="de-DE"/>
        </w:rPr>
        <w:t xml:space="preserve">Pharm Res. 2019 Mar;36(3):37. </w:t>
      </w:r>
    </w:p>
    <w:p w14:paraId="6E60463C" w14:textId="00DB1C4E" w:rsidR="00523C16" w:rsidRPr="00523C16" w:rsidRDefault="00523C16" w:rsidP="00523C16">
      <w:pPr>
        <w:pStyle w:val="Bibliography"/>
        <w:rPr>
          <w:rFonts w:ascii="Calibri" w:hAnsi="Calibri" w:cs="Calibri"/>
        </w:rPr>
      </w:pPr>
      <w:r w:rsidRPr="00B76B43">
        <w:rPr>
          <w:rFonts w:ascii="Calibri" w:hAnsi="Calibri" w:cs="Calibri"/>
          <w:lang w:val="de-DE"/>
        </w:rPr>
        <w:t>310.</w:t>
      </w:r>
      <w:r w:rsidRPr="00B76B43">
        <w:rPr>
          <w:rFonts w:ascii="Calibri" w:hAnsi="Calibri" w:cs="Calibri"/>
          <w:lang w:val="de-DE"/>
        </w:rPr>
        <w:tab/>
        <w:t xml:space="preserve">Thanki K, Zeng X, Justesen S, Tejlmann S, Falkenberg E, Van Driessche E, et al. </w:t>
      </w:r>
      <w:r w:rsidRPr="00523C16">
        <w:rPr>
          <w:rFonts w:ascii="Calibri" w:hAnsi="Calibri" w:cs="Calibri"/>
        </w:rPr>
        <w:t xml:space="preserve">Engineering of small interfering RNA-loaded lipidoid-poly( DL -lactic-co-glycolic acid) hybrid nanoparticles for highly efficient and safe gene silencing: A quality by design-based approach. Eur J Pharm Biopharm. 2017 Nov;120:22–33. </w:t>
      </w:r>
    </w:p>
    <w:p w14:paraId="7E736028" w14:textId="77777777" w:rsidR="00523C16" w:rsidRPr="00523C16" w:rsidRDefault="00523C16" w:rsidP="00523C16">
      <w:pPr>
        <w:pStyle w:val="Bibliography"/>
        <w:rPr>
          <w:rFonts w:ascii="Calibri" w:hAnsi="Calibri" w:cs="Calibri"/>
        </w:rPr>
      </w:pPr>
      <w:r w:rsidRPr="00523C16">
        <w:rPr>
          <w:rFonts w:ascii="Calibri" w:hAnsi="Calibri" w:cs="Calibri"/>
        </w:rPr>
        <w:t>311.</w:t>
      </w:r>
      <w:r w:rsidRPr="00523C16">
        <w:rPr>
          <w:rFonts w:ascii="Calibri" w:hAnsi="Calibri" w:cs="Calibri"/>
        </w:rPr>
        <w:tab/>
        <w:t xml:space="preserve">The malERA Consultative Group on Vaccines. A Research Agenda for Malaria Eradication: Vaccines. PLoS Med. 2011 Jan 25;8(1):e1000398. </w:t>
      </w:r>
    </w:p>
    <w:p w14:paraId="2B3CE22F" w14:textId="77777777" w:rsidR="00523C16" w:rsidRPr="00523C16" w:rsidRDefault="00523C16" w:rsidP="00523C16">
      <w:pPr>
        <w:pStyle w:val="Bibliography"/>
        <w:rPr>
          <w:rFonts w:ascii="Calibri" w:hAnsi="Calibri" w:cs="Calibri"/>
        </w:rPr>
      </w:pPr>
      <w:r w:rsidRPr="00523C16">
        <w:rPr>
          <w:rFonts w:ascii="Calibri" w:hAnsi="Calibri" w:cs="Calibri"/>
        </w:rPr>
        <w:t>312.</w:t>
      </w:r>
      <w:r w:rsidRPr="00523C16">
        <w:rPr>
          <w:rFonts w:ascii="Calibri" w:hAnsi="Calibri" w:cs="Calibri"/>
        </w:rPr>
        <w:tab/>
        <w:t xml:space="preserve">Timpe C, Stegemann S, Barrett A, Mujumdar S. Challenges and opportunities to include patient‐centric product design in industrial medicines development to improve therapeutic goals. Br J Clin Pharmacol. 2020 Oct;86(10):2020–7. </w:t>
      </w:r>
    </w:p>
    <w:p w14:paraId="59BDDE18" w14:textId="77777777" w:rsidR="00523C16" w:rsidRPr="00523C16" w:rsidRDefault="00523C16" w:rsidP="00523C16">
      <w:pPr>
        <w:pStyle w:val="Bibliography"/>
        <w:rPr>
          <w:rFonts w:ascii="Calibri" w:hAnsi="Calibri" w:cs="Calibri"/>
        </w:rPr>
      </w:pPr>
      <w:r w:rsidRPr="00523C16">
        <w:rPr>
          <w:rFonts w:ascii="Calibri" w:hAnsi="Calibri" w:cs="Calibri"/>
        </w:rPr>
        <w:t>313.</w:t>
      </w:r>
      <w:r w:rsidRPr="00523C16">
        <w:rPr>
          <w:rFonts w:ascii="Calibri" w:hAnsi="Calibri" w:cs="Calibri"/>
        </w:rPr>
        <w:tab/>
        <w:t xml:space="preserve">Torregrosa A, Ochoa-Andrade AT, Parente ME, Vidarte A, Guarinoni G, Savio E. Development of an emulgel for the treatment of rosacea using quality by design approach. Drug Dev Ind Pharm. 2020 Feb 1;46(2):296–308. </w:t>
      </w:r>
    </w:p>
    <w:p w14:paraId="63FE2153" w14:textId="70D98E89" w:rsidR="00523C16" w:rsidRPr="00523C16" w:rsidRDefault="00523C16" w:rsidP="00523C16">
      <w:pPr>
        <w:pStyle w:val="Bibliography"/>
        <w:rPr>
          <w:rFonts w:ascii="Calibri" w:hAnsi="Calibri" w:cs="Calibri"/>
        </w:rPr>
      </w:pPr>
      <w:r w:rsidRPr="00523C16">
        <w:rPr>
          <w:rFonts w:ascii="Calibri" w:hAnsi="Calibri" w:cs="Calibri"/>
        </w:rPr>
        <w:t>314.</w:t>
      </w:r>
      <w:r w:rsidRPr="00523C16">
        <w:rPr>
          <w:rFonts w:ascii="Calibri" w:hAnsi="Calibri" w:cs="Calibri"/>
        </w:rPr>
        <w:tab/>
        <w:t xml:space="preserve">Vetter B, Beran D, Boulle P, Chua A, De La Tour R, Hattingh L, et al. Development of a target product profile for a point-of-care cardiometabolic device. BMC Cardiovasc Disord. 2021 Dec;21(1):486. </w:t>
      </w:r>
    </w:p>
    <w:p w14:paraId="2751487E" w14:textId="77777777" w:rsidR="00523C16" w:rsidRPr="00523C16" w:rsidRDefault="00523C16" w:rsidP="00523C16">
      <w:pPr>
        <w:pStyle w:val="Bibliography"/>
        <w:rPr>
          <w:rFonts w:ascii="Calibri" w:hAnsi="Calibri" w:cs="Calibri"/>
        </w:rPr>
      </w:pPr>
      <w:r w:rsidRPr="00523C16">
        <w:rPr>
          <w:rFonts w:ascii="Calibri" w:hAnsi="Calibri" w:cs="Calibri"/>
        </w:rPr>
        <w:t>315.</w:t>
      </w:r>
      <w:r w:rsidRPr="00523C16">
        <w:rPr>
          <w:rFonts w:ascii="Calibri" w:hAnsi="Calibri" w:cs="Calibri"/>
        </w:rPr>
        <w:tab/>
        <w:t xml:space="preserve">Villamagna AH, Gore SJ, Lewis JS, Doggett JS. The Need for Antiviral Drugs for Pandemic Coronaviruses From a Global Health Perspective. Front Med. 2020 Dec 22;7:596587. </w:t>
      </w:r>
    </w:p>
    <w:p w14:paraId="7456CD5B" w14:textId="77777777" w:rsidR="00523C16" w:rsidRPr="00523C16" w:rsidRDefault="00523C16" w:rsidP="00523C16">
      <w:pPr>
        <w:pStyle w:val="Bibliography"/>
        <w:rPr>
          <w:rFonts w:ascii="Calibri" w:hAnsi="Calibri" w:cs="Calibri"/>
        </w:rPr>
      </w:pPr>
      <w:r w:rsidRPr="00523C16">
        <w:rPr>
          <w:rFonts w:ascii="Calibri" w:hAnsi="Calibri" w:cs="Calibri"/>
        </w:rPr>
        <w:t>316.</w:t>
      </w:r>
      <w:r w:rsidRPr="00523C16">
        <w:rPr>
          <w:rFonts w:ascii="Calibri" w:hAnsi="Calibri" w:cs="Calibri"/>
        </w:rPr>
        <w:tab/>
        <w:t xml:space="preserve">Vitoria M, Rangaraj A, Ford N, Doherty M. Current and future priorities for the development of optimal HIV drugs. Curr Opin HIV AIDS. 2019 Mar;14(2):143–9. </w:t>
      </w:r>
    </w:p>
    <w:p w14:paraId="4111161E" w14:textId="77777777" w:rsidR="00523C16" w:rsidRPr="00523C16" w:rsidRDefault="00523C16" w:rsidP="00523C16">
      <w:pPr>
        <w:pStyle w:val="Bibliography"/>
        <w:rPr>
          <w:rFonts w:ascii="Calibri" w:hAnsi="Calibri" w:cs="Calibri"/>
        </w:rPr>
      </w:pPr>
      <w:r w:rsidRPr="00523C16">
        <w:rPr>
          <w:rFonts w:ascii="Calibri" w:hAnsi="Calibri" w:cs="Calibri"/>
        </w:rPr>
        <w:t>317.</w:t>
      </w:r>
      <w:r w:rsidRPr="00523C16">
        <w:rPr>
          <w:rFonts w:ascii="Calibri" w:hAnsi="Calibri" w:cs="Calibri"/>
        </w:rPr>
        <w:tab/>
        <w:t xml:space="preserve">Vliegenthart ADB, Antoine DJ, Dear JW. Target biomarker profile for the clinical management of paracetamol overdose. Br J Clin Pharmacol. 2015 Sep;80(3):351–62. </w:t>
      </w:r>
    </w:p>
    <w:p w14:paraId="478A52B1" w14:textId="77777777" w:rsidR="00523C16" w:rsidRPr="00523C16" w:rsidRDefault="00523C16" w:rsidP="00523C16">
      <w:pPr>
        <w:pStyle w:val="Bibliography"/>
        <w:rPr>
          <w:rFonts w:ascii="Calibri" w:hAnsi="Calibri" w:cs="Calibri"/>
        </w:rPr>
      </w:pPr>
      <w:r w:rsidRPr="00523C16">
        <w:rPr>
          <w:rFonts w:ascii="Calibri" w:hAnsi="Calibri" w:cs="Calibri"/>
        </w:rPr>
        <w:t>318.</w:t>
      </w:r>
      <w:r w:rsidRPr="00523C16">
        <w:rPr>
          <w:rFonts w:ascii="Calibri" w:hAnsi="Calibri" w:cs="Calibri"/>
        </w:rPr>
        <w:tab/>
        <w:t xml:space="preserve">Vora C, Patadia R, Mittal K, Mashru R. Risk based approach for design and optimization of stomach specific delivery of rifampicin. Int J Pharm. 2013 Oct;455(1–2):169–81. </w:t>
      </w:r>
    </w:p>
    <w:p w14:paraId="20932951" w14:textId="77777777" w:rsidR="00523C16" w:rsidRPr="00523C16" w:rsidRDefault="00523C16" w:rsidP="00523C16">
      <w:pPr>
        <w:pStyle w:val="Bibliography"/>
        <w:rPr>
          <w:rFonts w:ascii="Calibri" w:hAnsi="Calibri" w:cs="Calibri"/>
        </w:rPr>
      </w:pPr>
      <w:r w:rsidRPr="00523C16">
        <w:rPr>
          <w:rFonts w:ascii="Calibri" w:hAnsi="Calibri" w:cs="Calibri"/>
        </w:rPr>
        <w:t>319.</w:t>
      </w:r>
      <w:r w:rsidRPr="00523C16">
        <w:rPr>
          <w:rFonts w:ascii="Calibri" w:hAnsi="Calibri" w:cs="Calibri"/>
        </w:rPr>
        <w:tab/>
        <w:t xml:space="preserve">Waghule T, Dabholkar N, Gorantla S, Rapalli VK, Saha RN, Singhvi G. Quality by design (QbD) in the formulation and optimization of liquid crystalline nanoparticles (LCNPs): A risk based industrial approach. Biomed Pharmacother. 2021 Sep;141:111940. </w:t>
      </w:r>
    </w:p>
    <w:p w14:paraId="48A4DA2C" w14:textId="77777777" w:rsidR="00523C16" w:rsidRPr="00523C16" w:rsidRDefault="00523C16" w:rsidP="00523C16">
      <w:pPr>
        <w:pStyle w:val="Bibliography"/>
        <w:rPr>
          <w:rFonts w:ascii="Calibri" w:hAnsi="Calibri" w:cs="Calibri"/>
        </w:rPr>
      </w:pPr>
      <w:r w:rsidRPr="00523C16">
        <w:rPr>
          <w:rFonts w:ascii="Calibri" w:hAnsi="Calibri" w:cs="Calibri"/>
        </w:rPr>
        <w:t>320.</w:t>
      </w:r>
      <w:r w:rsidRPr="00523C16">
        <w:rPr>
          <w:rFonts w:ascii="Calibri" w:hAnsi="Calibri" w:cs="Calibri"/>
        </w:rPr>
        <w:tab/>
        <w:t xml:space="preserve">Walsh J, Masini T, Huttner B, Moja L, Penazzato M, Cappello B. Assessing the Appropriateness of Formulations on the WHO Model List of Essential Medicines for Children: Development of a Paediatric Quality Target Product Profile Tool. Pharmaceutics. 2022 Feb 22;14(3):473. </w:t>
      </w:r>
    </w:p>
    <w:p w14:paraId="7752AA57" w14:textId="653E126F" w:rsidR="00523C16" w:rsidRPr="00523C16" w:rsidRDefault="00523C16" w:rsidP="00523C16">
      <w:pPr>
        <w:pStyle w:val="Bibliography"/>
        <w:rPr>
          <w:rFonts w:ascii="Calibri" w:hAnsi="Calibri" w:cs="Calibri"/>
        </w:rPr>
      </w:pPr>
      <w:r w:rsidRPr="00523C16">
        <w:rPr>
          <w:rFonts w:ascii="Calibri" w:hAnsi="Calibri" w:cs="Calibri"/>
        </w:rPr>
        <w:t>321.</w:t>
      </w:r>
      <w:r w:rsidRPr="00523C16">
        <w:rPr>
          <w:rFonts w:ascii="Calibri" w:hAnsi="Calibri" w:cs="Calibri"/>
        </w:rPr>
        <w:tab/>
        <w:t xml:space="preserve">Walsh J, Schaufelberger D, Iurian S, Klein S, Batchelor H, Turner R, et al. Path towards efficient paediatric formulation development based on partnering with clinical pharmacologists and clinicians, a conect4children expert group white paper. Br J Clin Pharmacol. 2022 Dec;88(12):5034–51. </w:t>
      </w:r>
    </w:p>
    <w:p w14:paraId="395DBC13" w14:textId="77777777" w:rsidR="00523C16" w:rsidRPr="00523C16" w:rsidRDefault="00523C16" w:rsidP="00523C16">
      <w:pPr>
        <w:pStyle w:val="Bibliography"/>
        <w:rPr>
          <w:rFonts w:ascii="Calibri" w:hAnsi="Calibri" w:cs="Calibri"/>
        </w:rPr>
      </w:pPr>
      <w:r w:rsidRPr="00523C16">
        <w:rPr>
          <w:rFonts w:ascii="Calibri" w:hAnsi="Calibri" w:cs="Calibri"/>
        </w:rPr>
        <w:t>322.</w:t>
      </w:r>
      <w:r w:rsidRPr="00523C16">
        <w:rPr>
          <w:rFonts w:ascii="Calibri" w:hAnsi="Calibri" w:cs="Calibri"/>
        </w:rPr>
        <w:tab/>
        <w:t xml:space="preserve">Wang Y, Müllertz A, Rantanen J. Structured approach for designing drug-loaded solid products by binder jetting 3D printing. Eur J Pharm Sci. 2022 Nov;178:106280. </w:t>
      </w:r>
    </w:p>
    <w:p w14:paraId="5C04F11A" w14:textId="19560AA9" w:rsidR="00523C16" w:rsidRPr="00523C16" w:rsidRDefault="00523C16" w:rsidP="00523C16">
      <w:pPr>
        <w:pStyle w:val="Bibliography"/>
        <w:rPr>
          <w:rFonts w:ascii="Calibri" w:hAnsi="Calibri" w:cs="Calibri"/>
        </w:rPr>
      </w:pPr>
      <w:r w:rsidRPr="00523C16">
        <w:rPr>
          <w:rFonts w:ascii="Calibri" w:hAnsi="Calibri" w:cs="Calibri"/>
        </w:rPr>
        <w:t>323.</w:t>
      </w:r>
      <w:r w:rsidRPr="00523C16">
        <w:rPr>
          <w:rFonts w:ascii="Calibri" w:hAnsi="Calibri" w:cs="Calibri"/>
        </w:rPr>
        <w:tab/>
        <w:t xml:space="preserve">Wyber R, Boyd BJ, Colquhoun S, Currie BJ, Engel M, Kado J, et al. Preliminary consultation on preferred product characteristics of benzathine penicillin G for secondary prophylaxis of rheumatic fever. Drug Deliv Transl Res. 2016 Oct;6(5):572–8. </w:t>
      </w:r>
    </w:p>
    <w:p w14:paraId="44A2683C" w14:textId="14E3C32C" w:rsidR="00523C16" w:rsidRPr="00523C16" w:rsidRDefault="00523C16" w:rsidP="00523C16">
      <w:pPr>
        <w:pStyle w:val="Bibliography"/>
        <w:rPr>
          <w:rFonts w:ascii="Calibri" w:hAnsi="Calibri" w:cs="Calibri"/>
        </w:rPr>
      </w:pPr>
      <w:r w:rsidRPr="00523C16">
        <w:rPr>
          <w:rFonts w:ascii="Calibri" w:hAnsi="Calibri" w:cs="Calibri"/>
        </w:rPr>
        <w:t>324.</w:t>
      </w:r>
      <w:r w:rsidRPr="00523C16">
        <w:rPr>
          <w:rFonts w:ascii="Calibri" w:hAnsi="Calibri" w:cs="Calibri"/>
        </w:rPr>
        <w:tab/>
        <w:t xml:space="preserve">Zhang E, Xie L, Qin P, Lu L, Xu Y, Gao W, et al. Quality by Design–Based Assessment for Analytical Similarity of Adalimumab Biosimilar HLX03 to Humira®. AAPS J. 2020 May;22(3):69. </w:t>
      </w:r>
    </w:p>
    <w:p w14:paraId="25858DF4" w14:textId="77777777" w:rsidR="00523C16" w:rsidRPr="00523C16" w:rsidRDefault="00523C16" w:rsidP="00523C16">
      <w:pPr>
        <w:pStyle w:val="Bibliography"/>
        <w:rPr>
          <w:rFonts w:ascii="Calibri" w:hAnsi="Calibri" w:cs="Calibri"/>
        </w:rPr>
      </w:pPr>
      <w:r w:rsidRPr="00523C16">
        <w:rPr>
          <w:rFonts w:ascii="Calibri" w:hAnsi="Calibri" w:cs="Calibri"/>
        </w:rPr>
        <w:t>325.</w:t>
      </w:r>
      <w:r w:rsidRPr="00523C16">
        <w:rPr>
          <w:rFonts w:ascii="Calibri" w:hAnsi="Calibri" w:cs="Calibri"/>
        </w:rPr>
        <w:tab/>
        <w:t xml:space="preserve">Zidan A, Ahmed O, Aljaeid B. Nicotinamide polymeric nanoemulsified systems: a quality-by-design case study for a sustained antimicrobial activity. Int J Nanomedicine. 2016 Apr;1501. </w:t>
      </w:r>
    </w:p>
    <w:p w14:paraId="0FA3A069" w14:textId="00C3374B" w:rsidR="00523C16" w:rsidRPr="00523C16" w:rsidRDefault="00523C16" w:rsidP="00523C16">
      <w:pPr>
        <w:pStyle w:val="Bibliography"/>
        <w:rPr>
          <w:rFonts w:ascii="Calibri" w:hAnsi="Calibri" w:cs="Calibri"/>
        </w:rPr>
      </w:pPr>
      <w:r w:rsidRPr="00523C16">
        <w:rPr>
          <w:rFonts w:ascii="Calibri" w:hAnsi="Calibri" w:cs="Calibri"/>
        </w:rPr>
        <w:t>326.</w:t>
      </w:r>
      <w:r w:rsidRPr="00523C16">
        <w:rPr>
          <w:rFonts w:ascii="Calibri" w:hAnsi="Calibri" w:cs="Calibri"/>
        </w:rPr>
        <w:tab/>
        <w:t xml:space="preserve">Abdulgader SM, Okunola AO, Ndlangalavu G, Reeve BWP, Allwood BW, Koegelenberg CFN, et al. Diagnosing Tuberculosis: What Do New Technologies Allow Us to (Not) Do? Respiration. 2022;101(9):797–813. </w:t>
      </w:r>
    </w:p>
    <w:p w14:paraId="134D9CA9" w14:textId="77777777" w:rsidR="00523C16" w:rsidRPr="00523C16" w:rsidRDefault="00523C16" w:rsidP="00523C16">
      <w:pPr>
        <w:pStyle w:val="Bibliography"/>
        <w:rPr>
          <w:rFonts w:ascii="Calibri" w:hAnsi="Calibri" w:cs="Calibri"/>
        </w:rPr>
      </w:pPr>
      <w:r w:rsidRPr="00523C16">
        <w:rPr>
          <w:rFonts w:ascii="Calibri" w:hAnsi="Calibri" w:cs="Calibri"/>
        </w:rPr>
        <w:t>327.</w:t>
      </w:r>
      <w:r w:rsidRPr="00523C16">
        <w:rPr>
          <w:rFonts w:ascii="Calibri" w:hAnsi="Calibri" w:cs="Calibri"/>
        </w:rPr>
        <w:tab/>
        <w:t xml:space="preserve">Adepoyibi T, Lilis L, Greb H, Boyle D. Which attributes within target product profiles for tuberculosis diagnostics are the most important to focus on? Int J Tuberc Lung Dis. 2018 Apr 1;22(4):425–8. </w:t>
      </w:r>
    </w:p>
    <w:p w14:paraId="237FC1EF" w14:textId="77777777" w:rsidR="00523C16" w:rsidRPr="00523C16" w:rsidRDefault="00523C16" w:rsidP="00523C16">
      <w:pPr>
        <w:pStyle w:val="Bibliography"/>
        <w:rPr>
          <w:rFonts w:ascii="Calibri" w:hAnsi="Calibri" w:cs="Calibri"/>
        </w:rPr>
      </w:pPr>
      <w:r w:rsidRPr="00523C16">
        <w:rPr>
          <w:rFonts w:ascii="Calibri" w:hAnsi="Calibri" w:cs="Calibri"/>
        </w:rPr>
        <w:t>328.</w:t>
      </w:r>
      <w:r w:rsidRPr="00523C16">
        <w:rPr>
          <w:rFonts w:ascii="Calibri" w:hAnsi="Calibri" w:cs="Calibri"/>
        </w:rPr>
        <w:tab/>
        <w:t xml:space="preserve">Gurumukhi VC, Bari SB. Quality by design (QbD)–based fabrication of atazanavir-loaded nanostructured lipid carriers for lymph targeting: bioavailability enhancement using chylomicron flow block model and toxicity studies. Drug Deliv Transl Res. 2022 May;12(5):1230–52. </w:t>
      </w:r>
    </w:p>
    <w:p w14:paraId="773FACB0" w14:textId="5C2CF696" w:rsidR="00523C16" w:rsidRPr="00523C16" w:rsidRDefault="00523C16" w:rsidP="00523C16">
      <w:pPr>
        <w:pStyle w:val="Bibliography"/>
        <w:rPr>
          <w:rFonts w:ascii="Calibri" w:hAnsi="Calibri" w:cs="Calibri"/>
        </w:rPr>
      </w:pPr>
      <w:r w:rsidRPr="00523C16">
        <w:rPr>
          <w:rFonts w:ascii="Calibri" w:hAnsi="Calibri" w:cs="Calibri"/>
        </w:rPr>
        <w:t>329.</w:t>
      </w:r>
      <w:r w:rsidRPr="00523C16">
        <w:rPr>
          <w:rFonts w:ascii="Calibri" w:hAnsi="Calibri" w:cs="Calibri"/>
        </w:rPr>
        <w:tab/>
        <w:t xml:space="preserve">Monath TP, Kortekaas J, Watts DM, Christofferson RC, Desiree LaBeaud A, Gowen BB, et al. Theoretical risk of genetic reassortment should not impede development of live, attenuated Rift Valley fever (RVF) vaccines commentary on the draft WHO RVF Target Product Profile. Vaccine X. 2020 Aug;5:100060. </w:t>
      </w:r>
    </w:p>
    <w:p w14:paraId="60D0C4FC" w14:textId="43FCB721" w:rsidR="00523C16" w:rsidRPr="00523C16" w:rsidRDefault="00523C16" w:rsidP="00523C16">
      <w:pPr>
        <w:pStyle w:val="Bibliography"/>
        <w:rPr>
          <w:rFonts w:ascii="Calibri" w:hAnsi="Calibri" w:cs="Calibri"/>
        </w:rPr>
      </w:pPr>
      <w:r w:rsidRPr="00523C16">
        <w:rPr>
          <w:rFonts w:ascii="Calibri" w:hAnsi="Calibri" w:cs="Calibri"/>
        </w:rPr>
        <w:t>330.</w:t>
      </w:r>
      <w:r w:rsidRPr="00523C16">
        <w:rPr>
          <w:rFonts w:ascii="Calibri" w:hAnsi="Calibri" w:cs="Calibri"/>
        </w:rPr>
        <w:tab/>
        <w:t xml:space="preserve">Neale G, Gaihre S, O’Gorman P, Price RK, Balzategi AG, Barrientos CH, et al. Review of recent innovations in portable child growth measurement devices for use in low- and middle-income countries. J Med Eng Technol. 2021 Nov 17;45(8):642–55. </w:t>
      </w:r>
    </w:p>
    <w:p w14:paraId="4421EADD" w14:textId="77777777" w:rsidR="00523C16" w:rsidRPr="00523C16" w:rsidRDefault="00523C16" w:rsidP="00523C16">
      <w:pPr>
        <w:pStyle w:val="Bibliography"/>
        <w:rPr>
          <w:rFonts w:ascii="Calibri" w:hAnsi="Calibri" w:cs="Calibri"/>
        </w:rPr>
      </w:pPr>
      <w:r w:rsidRPr="00523C16">
        <w:rPr>
          <w:rFonts w:ascii="Calibri" w:hAnsi="Calibri" w:cs="Calibri"/>
        </w:rPr>
        <w:t>331.</w:t>
      </w:r>
      <w:r w:rsidRPr="00523C16">
        <w:rPr>
          <w:rFonts w:ascii="Calibri" w:hAnsi="Calibri" w:cs="Calibri"/>
        </w:rPr>
        <w:tab/>
        <w:t xml:space="preserve">Utzinger J, Becker SL, Van Lieshout L, Van Dam GJ, Knopp S. New diagnostic tools in schistosomiasis. Clin Microbiol Infect. 2015 Jun;21(6):529–42. </w:t>
      </w:r>
    </w:p>
    <w:p w14:paraId="643BE8AA" w14:textId="77777777" w:rsidR="00523C16" w:rsidRPr="00523C16" w:rsidRDefault="00523C16" w:rsidP="00523C16">
      <w:pPr>
        <w:pStyle w:val="Bibliography"/>
        <w:rPr>
          <w:rFonts w:ascii="Calibri" w:hAnsi="Calibri" w:cs="Calibri"/>
        </w:rPr>
      </w:pPr>
      <w:r w:rsidRPr="00523C16">
        <w:rPr>
          <w:rFonts w:ascii="Calibri" w:hAnsi="Calibri" w:cs="Calibri"/>
        </w:rPr>
        <w:t>332.</w:t>
      </w:r>
      <w:r w:rsidRPr="00523C16">
        <w:rPr>
          <w:rFonts w:ascii="Calibri" w:hAnsi="Calibri" w:cs="Calibri"/>
        </w:rPr>
        <w:tab/>
        <w:t xml:space="preserve">Beg S, Sandhu PS, Batra RS, Khurana RK, Singh B. QbD-based systematic development of novel optimized solid self-nanoemulsifying drug delivery systems (SNEDDS) of lovastatin with enhanced biopharmaceutical performance. Drug Deliv. 2015 Aug 18;22(6):765–84. </w:t>
      </w:r>
    </w:p>
    <w:p w14:paraId="6959AD6D" w14:textId="77777777" w:rsidR="00523C16" w:rsidRPr="00523C16" w:rsidRDefault="00523C16" w:rsidP="00523C16">
      <w:pPr>
        <w:pStyle w:val="Bibliography"/>
        <w:rPr>
          <w:rFonts w:ascii="Calibri" w:hAnsi="Calibri" w:cs="Calibri"/>
        </w:rPr>
      </w:pPr>
      <w:r w:rsidRPr="00523C16">
        <w:rPr>
          <w:rFonts w:ascii="Calibri" w:hAnsi="Calibri" w:cs="Calibri"/>
        </w:rPr>
        <w:t>333.</w:t>
      </w:r>
      <w:r w:rsidRPr="00523C16">
        <w:rPr>
          <w:rFonts w:ascii="Calibri" w:hAnsi="Calibri" w:cs="Calibri"/>
        </w:rPr>
        <w:tab/>
        <w:t xml:space="preserve">Ghaffari A, Meurant R, Ardakani A. COVID-19 Point-of-Care Diagnostics That Satisfy Global Target Product Profiles. Diagnostics. 2021 Jan 12;11(1):115. </w:t>
      </w:r>
    </w:p>
    <w:p w14:paraId="305F2F7A" w14:textId="77777777" w:rsidR="00523C16" w:rsidRPr="00523C16" w:rsidRDefault="00523C16" w:rsidP="00523C16">
      <w:pPr>
        <w:pStyle w:val="Bibliography"/>
        <w:rPr>
          <w:rFonts w:ascii="Calibri" w:hAnsi="Calibri" w:cs="Calibri"/>
        </w:rPr>
      </w:pPr>
      <w:r w:rsidRPr="00523C16">
        <w:rPr>
          <w:rFonts w:ascii="Calibri" w:hAnsi="Calibri" w:cs="Calibri"/>
        </w:rPr>
        <w:t>334.</w:t>
      </w:r>
      <w:r w:rsidRPr="00523C16">
        <w:rPr>
          <w:rFonts w:ascii="Calibri" w:hAnsi="Calibri" w:cs="Calibri"/>
        </w:rPr>
        <w:tab/>
        <w:t xml:space="preserve">Martín-Escolano J, Medina-Carmona E, Martín-Escolano R. Chagas Disease: Current View of an Ancient and Global Chemotherapy Challenge. ACS Infect Dis. 2020 Nov 13;6(11):2830–43. </w:t>
      </w:r>
    </w:p>
    <w:p w14:paraId="4EAD1EFB" w14:textId="77777777" w:rsidR="00523C16" w:rsidRPr="00523C16" w:rsidRDefault="00523C16" w:rsidP="00523C16">
      <w:pPr>
        <w:pStyle w:val="Bibliography"/>
        <w:rPr>
          <w:rFonts w:ascii="Calibri" w:hAnsi="Calibri" w:cs="Calibri"/>
        </w:rPr>
      </w:pPr>
      <w:r w:rsidRPr="00523C16">
        <w:rPr>
          <w:rFonts w:ascii="Calibri" w:hAnsi="Calibri" w:cs="Calibri"/>
        </w:rPr>
        <w:t>335.</w:t>
      </w:r>
      <w:r w:rsidRPr="00523C16">
        <w:rPr>
          <w:rFonts w:ascii="Calibri" w:hAnsi="Calibri" w:cs="Calibri"/>
        </w:rPr>
        <w:tab/>
        <w:t>Singh G. Target Product Profile and Clinical Development Plan. In: Pharmaceutical Medicine and Translational Clinical Research [Internet]. Elsevier; 2018 [cited 2023 Nov 2]. p. 65–80. Available from: https://linkinghub.elsevier.com/retrieve/pii/B9780128021033000055</w:t>
      </w:r>
    </w:p>
    <w:p w14:paraId="628A5DD8" w14:textId="77777777" w:rsidR="00523C16" w:rsidRPr="00523C16" w:rsidRDefault="00523C16" w:rsidP="00523C16">
      <w:pPr>
        <w:pStyle w:val="Bibliography"/>
        <w:rPr>
          <w:rFonts w:ascii="Calibri" w:hAnsi="Calibri" w:cs="Calibri"/>
        </w:rPr>
      </w:pPr>
      <w:r w:rsidRPr="00523C16">
        <w:rPr>
          <w:rFonts w:ascii="Calibri" w:hAnsi="Calibri" w:cs="Calibri"/>
        </w:rPr>
        <w:t>336.</w:t>
      </w:r>
      <w:r w:rsidRPr="00523C16">
        <w:rPr>
          <w:rFonts w:ascii="Calibri" w:hAnsi="Calibri" w:cs="Calibri"/>
        </w:rPr>
        <w:tab/>
        <w:t xml:space="preserve">Beg S, Saini S, Bandopadhyay S, Katare OP, Singh B. QbD-driven development and evaluation of nanostructured lipid carriers (NLCs) of Olmesartan medoxomil employing multivariate statistical techniques. Drug Dev Ind Pharm. 2018 Mar 4;44(3):407–20. </w:t>
      </w:r>
    </w:p>
    <w:p w14:paraId="1835E961" w14:textId="73C72EF2" w:rsidR="00C61B8E" w:rsidRPr="00C61B8E" w:rsidRDefault="00523C16" w:rsidP="00621862">
      <w:r>
        <w:fldChar w:fldCharType="end"/>
      </w:r>
    </w:p>
    <w:sectPr w:rsidR="00C61B8E" w:rsidRPr="00C61B8E" w:rsidSect="00E15C53">
      <w:pgSz w:w="11906" w:h="16838"/>
      <w:pgMar w:top="720" w:right="1440" w:bottom="9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FB9BD" w14:textId="77777777" w:rsidR="00D408BA" w:rsidRDefault="00D408BA" w:rsidP="00621862">
      <w:pPr>
        <w:spacing w:after="0" w:line="240" w:lineRule="auto"/>
      </w:pPr>
      <w:r>
        <w:separator/>
      </w:r>
    </w:p>
  </w:endnote>
  <w:endnote w:type="continuationSeparator" w:id="0">
    <w:p w14:paraId="496A2C9E" w14:textId="77777777" w:rsidR="00D408BA" w:rsidRDefault="00D408BA" w:rsidP="00621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MT">
    <w:altName w:val="Arial"/>
    <w:panose1 w:val="020B0604020202020204"/>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3629131"/>
      <w:docPartObj>
        <w:docPartGallery w:val="Page Numbers (Bottom of Page)"/>
        <w:docPartUnique/>
      </w:docPartObj>
    </w:sdtPr>
    <w:sdtEndPr>
      <w:rPr>
        <w:noProof/>
      </w:rPr>
    </w:sdtEndPr>
    <w:sdtContent>
      <w:p w14:paraId="4C893D1A" w14:textId="089EC00D" w:rsidR="00621862" w:rsidRDefault="0062186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346138" w14:textId="77777777" w:rsidR="00621862" w:rsidRDefault="006218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9AC63" w14:textId="77777777" w:rsidR="00D408BA" w:rsidRDefault="00D408BA" w:rsidP="00621862">
      <w:pPr>
        <w:spacing w:after="0" w:line="240" w:lineRule="auto"/>
      </w:pPr>
      <w:r>
        <w:separator/>
      </w:r>
    </w:p>
  </w:footnote>
  <w:footnote w:type="continuationSeparator" w:id="0">
    <w:p w14:paraId="52DFC4B3" w14:textId="77777777" w:rsidR="00D408BA" w:rsidRDefault="00D408BA" w:rsidP="006218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72FB0"/>
    <w:multiLevelType w:val="hybridMultilevel"/>
    <w:tmpl w:val="C07E376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B040D9D"/>
    <w:multiLevelType w:val="hybridMultilevel"/>
    <w:tmpl w:val="C5F864C4"/>
    <w:lvl w:ilvl="0" w:tplc="4D120F46">
      <w:numFmt w:val="bullet"/>
      <w:lvlText w:val=""/>
      <w:lvlJc w:val="left"/>
      <w:pPr>
        <w:ind w:left="427" w:hanging="360"/>
      </w:pPr>
      <w:rPr>
        <w:rFonts w:ascii="Symbol" w:eastAsia="Symbol" w:hAnsi="Symbol" w:cs="Symbol" w:hint="default"/>
        <w:w w:val="100"/>
        <w:sz w:val="18"/>
        <w:szCs w:val="18"/>
        <w:lang w:val="en-US" w:eastAsia="en-US" w:bidi="ar-SA"/>
      </w:rPr>
    </w:lvl>
    <w:lvl w:ilvl="1" w:tplc="569037E0">
      <w:numFmt w:val="bullet"/>
      <w:lvlText w:val="•"/>
      <w:lvlJc w:val="left"/>
      <w:pPr>
        <w:ind w:left="669" w:hanging="360"/>
      </w:pPr>
      <w:rPr>
        <w:rFonts w:hint="default"/>
        <w:lang w:val="en-US" w:eastAsia="en-US" w:bidi="ar-SA"/>
      </w:rPr>
    </w:lvl>
    <w:lvl w:ilvl="2" w:tplc="05AE1E7E">
      <w:numFmt w:val="bullet"/>
      <w:lvlText w:val="•"/>
      <w:lvlJc w:val="left"/>
      <w:pPr>
        <w:ind w:left="919" w:hanging="360"/>
      </w:pPr>
      <w:rPr>
        <w:rFonts w:hint="default"/>
        <w:lang w:val="en-US" w:eastAsia="en-US" w:bidi="ar-SA"/>
      </w:rPr>
    </w:lvl>
    <w:lvl w:ilvl="3" w:tplc="4B22BAE4">
      <w:numFmt w:val="bullet"/>
      <w:lvlText w:val="•"/>
      <w:lvlJc w:val="left"/>
      <w:pPr>
        <w:ind w:left="1169" w:hanging="360"/>
      </w:pPr>
      <w:rPr>
        <w:rFonts w:hint="default"/>
        <w:lang w:val="en-US" w:eastAsia="en-US" w:bidi="ar-SA"/>
      </w:rPr>
    </w:lvl>
    <w:lvl w:ilvl="4" w:tplc="6AD27F2E">
      <w:numFmt w:val="bullet"/>
      <w:lvlText w:val="•"/>
      <w:lvlJc w:val="left"/>
      <w:pPr>
        <w:ind w:left="1418" w:hanging="360"/>
      </w:pPr>
      <w:rPr>
        <w:rFonts w:hint="default"/>
        <w:lang w:val="en-US" w:eastAsia="en-US" w:bidi="ar-SA"/>
      </w:rPr>
    </w:lvl>
    <w:lvl w:ilvl="5" w:tplc="7E5AB232">
      <w:numFmt w:val="bullet"/>
      <w:lvlText w:val="•"/>
      <w:lvlJc w:val="left"/>
      <w:pPr>
        <w:ind w:left="1668" w:hanging="360"/>
      </w:pPr>
      <w:rPr>
        <w:rFonts w:hint="default"/>
        <w:lang w:val="en-US" w:eastAsia="en-US" w:bidi="ar-SA"/>
      </w:rPr>
    </w:lvl>
    <w:lvl w:ilvl="6" w:tplc="97BEF7FE">
      <w:numFmt w:val="bullet"/>
      <w:lvlText w:val="•"/>
      <w:lvlJc w:val="left"/>
      <w:pPr>
        <w:ind w:left="1918" w:hanging="360"/>
      </w:pPr>
      <w:rPr>
        <w:rFonts w:hint="default"/>
        <w:lang w:val="en-US" w:eastAsia="en-US" w:bidi="ar-SA"/>
      </w:rPr>
    </w:lvl>
    <w:lvl w:ilvl="7" w:tplc="7D8E2B84">
      <w:numFmt w:val="bullet"/>
      <w:lvlText w:val="•"/>
      <w:lvlJc w:val="left"/>
      <w:pPr>
        <w:ind w:left="2167" w:hanging="360"/>
      </w:pPr>
      <w:rPr>
        <w:rFonts w:hint="default"/>
        <w:lang w:val="en-US" w:eastAsia="en-US" w:bidi="ar-SA"/>
      </w:rPr>
    </w:lvl>
    <w:lvl w:ilvl="8" w:tplc="D61EFDE0">
      <w:numFmt w:val="bullet"/>
      <w:lvlText w:val="•"/>
      <w:lvlJc w:val="left"/>
      <w:pPr>
        <w:ind w:left="2417" w:hanging="360"/>
      </w:pPr>
      <w:rPr>
        <w:rFonts w:hint="default"/>
        <w:lang w:val="en-US" w:eastAsia="en-US" w:bidi="ar-SA"/>
      </w:rPr>
    </w:lvl>
  </w:abstractNum>
  <w:abstractNum w:abstractNumId="2" w15:restartNumberingAfterBreak="0">
    <w:nsid w:val="52C475CB"/>
    <w:multiLevelType w:val="hybridMultilevel"/>
    <w:tmpl w:val="70280A74"/>
    <w:lvl w:ilvl="0" w:tplc="70BAF338">
      <w:numFmt w:val="bullet"/>
      <w:lvlText w:val=""/>
      <w:lvlJc w:val="left"/>
      <w:pPr>
        <w:ind w:left="504" w:hanging="360"/>
      </w:pPr>
      <w:rPr>
        <w:rFonts w:ascii="Symbol" w:eastAsia="Symbol" w:hAnsi="Symbol" w:cs="Symbol" w:hint="default"/>
        <w:w w:val="100"/>
        <w:sz w:val="18"/>
        <w:szCs w:val="18"/>
        <w:lang w:val="en-US" w:eastAsia="en-US" w:bidi="ar-SA"/>
      </w:rPr>
    </w:lvl>
    <w:lvl w:ilvl="1" w:tplc="710A28C2">
      <w:numFmt w:val="bullet"/>
      <w:lvlText w:val="•"/>
      <w:lvlJc w:val="left"/>
      <w:pPr>
        <w:ind w:left="773" w:hanging="360"/>
      </w:pPr>
      <w:rPr>
        <w:rFonts w:hint="default"/>
        <w:lang w:val="en-US" w:eastAsia="en-US" w:bidi="ar-SA"/>
      </w:rPr>
    </w:lvl>
    <w:lvl w:ilvl="2" w:tplc="02667054">
      <w:numFmt w:val="bullet"/>
      <w:lvlText w:val="•"/>
      <w:lvlJc w:val="left"/>
      <w:pPr>
        <w:ind w:left="1047" w:hanging="360"/>
      </w:pPr>
      <w:rPr>
        <w:rFonts w:hint="default"/>
        <w:lang w:val="en-US" w:eastAsia="en-US" w:bidi="ar-SA"/>
      </w:rPr>
    </w:lvl>
    <w:lvl w:ilvl="3" w:tplc="E23A556A">
      <w:numFmt w:val="bullet"/>
      <w:lvlText w:val="•"/>
      <w:lvlJc w:val="left"/>
      <w:pPr>
        <w:ind w:left="1320" w:hanging="360"/>
      </w:pPr>
      <w:rPr>
        <w:rFonts w:hint="default"/>
        <w:lang w:val="en-US" w:eastAsia="en-US" w:bidi="ar-SA"/>
      </w:rPr>
    </w:lvl>
    <w:lvl w:ilvl="4" w:tplc="3A3C9C52">
      <w:numFmt w:val="bullet"/>
      <w:lvlText w:val="•"/>
      <w:lvlJc w:val="left"/>
      <w:pPr>
        <w:ind w:left="1594" w:hanging="360"/>
      </w:pPr>
      <w:rPr>
        <w:rFonts w:hint="default"/>
        <w:lang w:val="en-US" w:eastAsia="en-US" w:bidi="ar-SA"/>
      </w:rPr>
    </w:lvl>
    <w:lvl w:ilvl="5" w:tplc="6450AE2A">
      <w:numFmt w:val="bullet"/>
      <w:lvlText w:val="•"/>
      <w:lvlJc w:val="left"/>
      <w:pPr>
        <w:ind w:left="1868" w:hanging="360"/>
      </w:pPr>
      <w:rPr>
        <w:rFonts w:hint="default"/>
        <w:lang w:val="en-US" w:eastAsia="en-US" w:bidi="ar-SA"/>
      </w:rPr>
    </w:lvl>
    <w:lvl w:ilvl="6" w:tplc="F85A5944">
      <w:numFmt w:val="bullet"/>
      <w:lvlText w:val="•"/>
      <w:lvlJc w:val="left"/>
      <w:pPr>
        <w:ind w:left="2141" w:hanging="360"/>
      </w:pPr>
      <w:rPr>
        <w:rFonts w:hint="default"/>
        <w:lang w:val="en-US" w:eastAsia="en-US" w:bidi="ar-SA"/>
      </w:rPr>
    </w:lvl>
    <w:lvl w:ilvl="7" w:tplc="FD3A447A">
      <w:numFmt w:val="bullet"/>
      <w:lvlText w:val="•"/>
      <w:lvlJc w:val="left"/>
      <w:pPr>
        <w:ind w:left="2415" w:hanging="360"/>
      </w:pPr>
      <w:rPr>
        <w:rFonts w:hint="default"/>
        <w:lang w:val="en-US" w:eastAsia="en-US" w:bidi="ar-SA"/>
      </w:rPr>
    </w:lvl>
    <w:lvl w:ilvl="8" w:tplc="80083D6A">
      <w:numFmt w:val="bullet"/>
      <w:lvlText w:val="•"/>
      <w:lvlJc w:val="left"/>
      <w:pPr>
        <w:ind w:left="2688" w:hanging="360"/>
      </w:pPr>
      <w:rPr>
        <w:rFonts w:hint="default"/>
        <w:lang w:val="en-US" w:eastAsia="en-US" w:bidi="ar-SA"/>
      </w:rPr>
    </w:lvl>
  </w:abstractNum>
  <w:num w:numId="1" w16cid:durableId="1607273761">
    <w:abstractNumId w:val="0"/>
  </w:num>
  <w:num w:numId="2" w16cid:durableId="393823024">
    <w:abstractNumId w:val="2"/>
  </w:num>
  <w:num w:numId="3" w16cid:durableId="17692764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FD7"/>
    <w:rsid w:val="00001DC5"/>
    <w:rsid w:val="00015C87"/>
    <w:rsid w:val="00015F11"/>
    <w:rsid w:val="000167C7"/>
    <w:rsid w:val="000178C0"/>
    <w:rsid w:val="00026634"/>
    <w:rsid w:val="00031644"/>
    <w:rsid w:val="00035A35"/>
    <w:rsid w:val="00036759"/>
    <w:rsid w:val="0003769B"/>
    <w:rsid w:val="00042C45"/>
    <w:rsid w:val="000449CF"/>
    <w:rsid w:val="00054E66"/>
    <w:rsid w:val="000620EA"/>
    <w:rsid w:val="000752DF"/>
    <w:rsid w:val="0007546F"/>
    <w:rsid w:val="000762A0"/>
    <w:rsid w:val="0008328B"/>
    <w:rsid w:val="00095478"/>
    <w:rsid w:val="000A57FB"/>
    <w:rsid w:val="000B6AE9"/>
    <w:rsid w:val="000C13A7"/>
    <w:rsid w:val="000C27DE"/>
    <w:rsid w:val="000E5455"/>
    <w:rsid w:val="000E7304"/>
    <w:rsid w:val="000F14F8"/>
    <w:rsid w:val="000F47D4"/>
    <w:rsid w:val="000F6CC7"/>
    <w:rsid w:val="00101D8E"/>
    <w:rsid w:val="00106C2C"/>
    <w:rsid w:val="001159CE"/>
    <w:rsid w:val="0012410C"/>
    <w:rsid w:val="00125734"/>
    <w:rsid w:val="00143B06"/>
    <w:rsid w:val="00144109"/>
    <w:rsid w:val="00154BBA"/>
    <w:rsid w:val="001629BF"/>
    <w:rsid w:val="00176C93"/>
    <w:rsid w:val="001775C1"/>
    <w:rsid w:val="0018024C"/>
    <w:rsid w:val="00194378"/>
    <w:rsid w:val="001C0146"/>
    <w:rsid w:val="001C11A1"/>
    <w:rsid w:val="001C2DFB"/>
    <w:rsid w:val="001C374B"/>
    <w:rsid w:val="001E278D"/>
    <w:rsid w:val="001F5459"/>
    <w:rsid w:val="001F63D8"/>
    <w:rsid w:val="00201DA9"/>
    <w:rsid w:val="00203E1A"/>
    <w:rsid w:val="002060C9"/>
    <w:rsid w:val="00213834"/>
    <w:rsid w:val="00222957"/>
    <w:rsid w:val="002438AC"/>
    <w:rsid w:val="00250555"/>
    <w:rsid w:val="00253C42"/>
    <w:rsid w:val="00260D4A"/>
    <w:rsid w:val="00270493"/>
    <w:rsid w:val="0027081C"/>
    <w:rsid w:val="002732F9"/>
    <w:rsid w:val="002854AC"/>
    <w:rsid w:val="0028565F"/>
    <w:rsid w:val="00290EE8"/>
    <w:rsid w:val="00293C5B"/>
    <w:rsid w:val="002A2F74"/>
    <w:rsid w:val="002A73F7"/>
    <w:rsid w:val="002C155A"/>
    <w:rsid w:val="002C2466"/>
    <w:rsid w:val="002C50EE"/>
    <w:rsid w:val="002C792C"/>
    <w:rsid w:val="002D3261"/>
    <w:rsid w:val="002E04AE"/>
    <w:rsid w:val="002E0B3B"/>
    <w:rsid w:val="002F2E25"/>
    <w:rsid w:val="00300436"/>
    <w:rsid w:val="00312AA0"/>
    <w:rsid w:val="00317BB0"/>
    <w:rsid w:val="00323BAD"/>
    <w:rsid w:val="00326FC6"/>
    <w:rsid w:val="003312E3"/>
    <w:rsid w:val="00333231"/>
    <w:rsid w:val="003370BB"/>
    <w:rsid w:val="003548D7"/>
    <w:rsid w:val="003549EC"/>
    <w:rsid w:val="00356818"/>
    <w:rsid w:val="00366ACD"/>
    <w:rsid w:val="00367ED0"/>
    <w:rsid w:val="003748F5"/>
    <w:rsid w:val="0038564F"/>
    <w:rsid w:val="00385A00"/>
    <w:rsid w:val="00386D72"/>
    <w:rsid w:val="0039040D"/>
    <w:rsid w:val="003A0375"/>
    <w:rsid w:val="003A1E2B"/>
    <w:rsid w:val="003A1FCE"/>
    <w:rsid w:val="003A3AFA"/>
    <w:rsid w:val="003A5A91"/>
    <w:rsid w:val="003B0D9C"/>
    <w:rsid w:val="003C38CB"/>
    <w:rsid w:val="003C6563"/>
    <w:rsid w:val="003D7990"/>
    <w:rsid w:val="003E0FEA"/>
    <w:rsid w:val="003E51AA"/>
    <w:rsid w:val="003F666F"/>
    <w:rsid w:val="003F6958"/>
    <w:rsid w:val="003F77A4"/>
    <w:rsid w:val="004012F2"/>
    <w:rsid w:val="00402210"/>
    <w:rsid w:val="00406034"/>
    <w:rsid w:val="00411E75"/>
    <w:rsid w:val="00411F7C"/>
    <w:rsid w:val="00413283"/>
    <w:rsid w:val="00417D9F"/>
    <w:rsid w:val="00434CFD"/>
    <w:rsid w:val="004404D8"/>
    <w:rsid w:val="00441CF7"/>
    <w:rsid w:val="00443F28"/>
    <w:rsid w:val="00454FA6"/>
    <w:rsid w:val="0045511C"/>
    <w:rsid w:val="00465A78"/>
    <w:rsid w:val="004750C1"/>
    <w:rsid w:val="00481D18"/>
    <w:rsid w:val="00484964"/>
    <w:rsid w:val="0049031E"/>
    <w:rsid w:val="0049070A"/>
    <w:rsid w:val="004A0778"/>
    <w:rsid w:val="004A0889"/>
    <w:rsid w:val="004A7F97"/>
    <w:rsid w:val="004B2021"/>
    <w:rsid w:val="004C1FCA"/>
    <w:rsid w:val="004E4256"/>
    <w:rsid w:val="004F02DB"/>
    <w:rsid w:val="004F1DF5"/>
    <w:rsid w:val="004F3F85"/>
    <w:rsid w:val="004F46A9"/>
    <w:rsid w:val="00502AB7"/>
    <w:rsid w:val="005039DE"/>
    <w:rsid w:val="00504C6B"/>
    <w:rsid w:val="00515B89"/>
    <w:rsid w:val="00516AEB"/>
    <w:rsid w:val="0052047E"/>
    <w:rsid w:val="00521901"/>
    <w:rsid w:val="00523C16"/>
    <w:rsid w:val="00525A64"/>
    <w:rsid w:val="0053067F"/>
    <w:rsid w:val="00542FEA"/>
    <w:rsid w:val="00543266"/>
    <w:rsid w:val="00544D86"/>
    <w:rsid w:val="00545340"/>
    <w:rsid w:val="005467CB"/>
    <w:rsid w:val="005478D2"/>
    <w:rsid w:val="00565BA5"/>
    <w:rsid w:val="00571651"/>
    <w:rsid w:val="00574261"/>
    <w:rsid w:val="00575B04"/>
    <w:rsid w:val="00582490"/>
    <w:rsid w:val="005864B9"/>
    <w:rsid w:val="00590114"/>
    <w:rsid w:val="0059153F"/>
    <w:rsid w:val="00595AC5"/>
    <w:rsid w:val="005A0D54"/>
    <w:rsid w:val="005A1B64"/>
    <w:rsid w:val="005B78E1"/>
    <w:rsid w:val="005C276F"/>
    <w:rsid w:val="005C5D3E"/>
    <w:rsid w:val="005D5FEB"/>
    <w:rsid w:val="005E09B5"/>
    <w:rsid w:val="005E2ED3"/>
    <w:rsid w:val="005E48D5"/>
    <w:rsid w:val="005E5031"/>
    <w:rsid w:val="005F3F0B"/>
    <w:rsid w:val="005F5CA3"/>
    <w:rsid w:val="005F76A9"/>
    <w:rsid w:val="006016EB"/>
    <w:rsid w:val="0060182A"/>
    <w:rsid w:val="00603BBD"/>
    <w:rsid w:val="00620A3F"/>
    <w:rsid w:val="00620FD7"/>
    <w:rsid w:val="00621862"/>
    <w:rsid w:val="00625A85"/>
    <w:rsid w:val="00640B52"/>
    <w:rsid w:val="00642B8D"/>
    <w:rsid w:val="00643CDA"/>
    <w:rsid w:val="00650FF2"/>
    <w:rsid w:val="00654ACD"/>
    <w:rsid w:val="00661C57"/>
    <w:rsid w:val="00664042"/>
    <w:rsid w:val="00665526"/>
    <w:rsid w:val="006655BF"/>
    <w:rsid w:val="00684349"/>
    <w:rsid w:val="00687004"/>
    <w:rsid w:val="00694248"/>
    <w:rsid w:val="00696AF0"/>
    <w:rsid w:val="006A0915"/>
    <w:rsid w:val="006A0D69"/>
    <w:rsid w:val="006B0B83"/>
    <w:rsid w:val="006B3B3A"/>
    <w:rsid w:val="006B7861"/>
    <w:rsid w:val="006C1BAA"/>
    <w:rsid w:val="006D0E45"/>
    <w:rsid w:val="006F504F"/>
    <w:rsid w:val="006F5885"/>
    <w:rsid w:val="006F6146"/>
    <w:rsid w:val="00703BB5"/>
    <w:rsid w:val="007130CE"/>
    <w:rsid w:val="00725D4C"/>
    <w:rsid w:val="007260A6"/>
    <w:rsid w:val="007344AF"/>
    <w:rsid w:val="00737334"/>
    <w:rsid w:val="00741C2D"/>
    <w:rsid w:val="00746DE6"/>
    <w:rsid w:val="007513D5"/>
    <w:rsid w:val="0075142E"/>
    <w:rsid w:val="0075376A"/>
    <w:rsid w:val="0075575E"/>
    <w:rsid w:val="00757EF4"/>
    <w:rsid w:val="00761941"/>
    <w:rsid w:val="0076229C"/>
    <w:rsid w:val="00770C27"/>
    <w:rsid w:val="0077659A"/>
    <w:rsid w:val="00783B63"/>
    <w:rsid w:val="00783B70"/>
    <w:rsid w:val="0078606A"/>
    <w:rsid w:val="0078788F"/>
    <w:rsid w:val="00790389"/>
    <w:rsid w:val="0079195F"/>
    <w:rsid w:val="007A08D2"/>
    <w:rsid w:val="007B69A0"/>
    <w:rsid w:val="007C34CB"/>
    <w:rsid w:val="007C54F6"/>
    <w:rsid w:val="007C75E1"/>
    <w:rsid w:val="007D0829"/>
    <w:rsid w:val="007D5E8E"/>
    <w:rsid w:val="007E2A89"/>
    <w:rsid w:val="007E6D17"/>
    <w:rsid w:val="007F5955"/>
    <w:rsid w:val="007F75D1"/>
    <w:rsid w:val="0081193B"/>
    <w:rsid w:val="00814226"/>
    <w:rsid w:val="00815FD2"/>
    <w:rsid w:val="00820D71"/>
    <w:rsid w:val="0082290E"/>
    <w:rsid w:val="00825306"/>
    <w:rsid w:val="008264C3"/>
    <w:rsid w:val="00854C28"/>
    <w:rsid w:val="00861B8D"/>
    <w:rsid w:val="008706BD"/>
    <w:rsid w:val="00871809"/>
    <w:rsid w:val="008909CC"/>
    <w:rsid w:val="0089632C"/>
    <w:rsid w:val="008A31C2"/>
    <w:rsid w:val="008A72B8"/>
    <w:rsid w:val="008B15AA"/>
    <w:rsid w:val="008B34AE"/>
    <w:rsid w:val="008B3587"/>
    <w:rsid w:val="008C538E"/>
    <w:rsid w:val="008E241C"/>
    <w:rsid w:val="008F24D3"/>
    <w:rsid w:val="008F65F3"/>
    <w:rsid w:val="00901FB1"/>
    <w:rsid w:val="00906D2E"/>
    <w:rsid w:val="009120C6"/>
    <w:rsid w:val="009135B2"/>
    <w:rsid w:val="009149B4"/>
    <w:rsid w:val="00914DA7"/>
    <w:rsid w:val="00915B12"/>
    <w:rsid w:val="009212E9"/>
    <w:rsid w:val="009216C1"/>
    <w:rsid w:val="00932DFA"/>
    <w:rsid w:val="00932F28"/>
    <w:rsid w:val="0093389D"/>
    <w:rsid w:val="0093658C"/>
    <w:rsid w:val="009406C8"/>
    <w:rsid w:val="00942128"/>
    <w:rsid w:val="00942DB7"/>
    <w:rsid w:val="00945ED4"/>
    <w:rsid w:val="00950DB7"/>
    <w:rsid w:val="00950E3B"/>
    <w:rsid w:val="00953DCD"/>
    <w:rsid w:val="00966051"/>
    <w:rsid w:val="00966ACE"/>
    <w:rsid w:val="00984736"/>
    <w:rsid w:val="00985996"/>
    <w:rsid w:val="00996A32"/>
    <w:rsid w:val="00996BCD"/>
    <w:rsid w:val="009A1344"/>
    <w:rsid w:val="009A1E75"/>
    <w:rsid w:val="009A5064"/>
    <w:rsid w:val="009B2E7D"/>
    <w:rsid w:val="009B411C"/>
    <w:rsid w:val="009B5F56"/>
    <w:rsid w:val="009B64D5"/>
    <w:rsid w:val="009B6E33"/>
    <w:rsid w:val="009C09A5"/>
    <w:rsid w:val="009C3F8D"/>
    <w:rsid w:val="009C7444"/>
    <w:rsid w:val="009D7D16"/>
    <w:rsid w:val="009E159B"/>
    <w:rsid w:val="009E3122"/>
    <w:rsid w:val="009F241D"/>
    <w:rsid w:val="009F3568"/>
    <w:rsid w:val="009F52E8"/>
    <w:rsid w:val="009F7165"/>
    <w:rsid w:val="00A03794"/>
    <w:rsid w:val="00A078FF"/>
    <w:rsid w:val="00A1092B"/>
    <w:rsid w:val="00A16FA2"/>
    <w:rsid w:val="00A20761"/>
    <w:rsid w:val="00A2139B"/>
    <w:rsid w:val="00A21A1D"/>
    <w:rsid w:val="00A239A0"/>
    <w:rsid w:val="00A43D2C"/>
    <w:rsid w:val="00A44D10"/>
    <w:rsid w:val="00A47D78"/>
    <w:rsid w:val="00A60CC7"/>
    <w:rsid w:val="00A63DB8"/>
    <w:rsid w:val="00A7443D"/>
    <w:rsid w:val="00A7464F"/>
    <w:rsid w:val="00A865F0"/>
    <w:rsid w:val="00A9351E"/>
    <w:rsid w:val="00AA0054"/>
    <w:rsid w:val="00AA3263"/>
    <w:rsid w:val="00AA466E"/>
    <w:rsid w:val="00AB00D7"/>
    <w:rsid w:val="00AB46C4"/>
    <w:rsid w:val="00AC19D6"/>
    <w:rsid w:val="00AC1B0E"/>
    <w:rsid w:val="00AC4797"/>
    <w:rsid w:val="00AC521A"/>
    <w:rsid w:val="00AC551F"/>
    <w:rsid w:val="00AD2F4B"/>
    <w:rsid w:val="00AD418B"/>
    <w:rsid w:val="00AE15B3"/>
    <w:rsid w:val="00AE495A"/>
    <w:rsid w:val="00AF27B0"/>
    <w:rsid w:val="00AF4003"/>
    <w:rsid w:val="00AF6229"/>
    <w:rsid w:val="00B03389"/>
    <w:rsid w:val="00B14DD0"/>
    <w:rsid w:val="00B24019"/>
    <w:rsid w:val="00B24D84"/>
    <w:rsid w:val="00B33758"/>
    <w:rsid w:val="00B33A65"/>
    <w:rsid w:val="00B37FAB"/>
    <w:rsid w:val="00B43F5F"/>
    <w:rsid w:val="00B44A58"/>
    <w:rsid w:val="00B50469"/>
    <w:rsid w:val="00B537D9"/>
    <w:rsid w:val="00B564D0"/>
    <w:rsid w:val="00B62CD0"/>
    <w:rsid w:val="00B630F9"/>
    <w:rsid w:val="00B65E01"/>
    <w:rsid w:val="00B76B43"/>
    <w:rsid w:val="00B801F2"/>
    <w:rsid w:val="00B81104"/>
    <w:rsid w:val="00B84ED7"/>
    <w:rsid w:val="00B875FB"/>
    <w:rsid w:val="00B904FC"/>
    <w:rsid w:val="00B90DE5"/>
    <w:rsid w:val="00B920DE"/>
    <w:rsid w:val="00B96B67"/>
    <w:rsid w:val="00B97DA0"/>
    <w:rsid w:val="00BA0D89"/>
    <w:rsid w:val="00BA5DB0"/>
    <w:rsid w:val="00BA65D3"/>
    <w:rsid w:val="00BA7A64"/>
    <w:rsid w:val="00BB20C9"/>
    <w:rsid w:val="00BB4E26"/>
    <w:rsid w:val="00BB5BAB"/>
    <w:rsid w:val="00BD56A0"/>
    <w:rsid w:val="00BE082F"/>
    <w:rsid w:val="00BF0F28"/>
    <w:rsid w:val="00BF5CCC"/>
    <w:rsid w:val="00BF6FD7"/>
    <w:rsid w:val="00C05666"/>
    <w:rsid w:val="00C10882"/>
    <w:rsid w:val="00C1161A"/>
    <w:rsid w:val="00C1234E"/>
    <w:rsid w:val="00C13081"/>
    <w:rsid w:val="00C16B91"/>
    <w:rsid w:val="00C21B03"/>
    <w:rsid w:val="00C23341"/>
    <w:rsid w:val="00C26C31"/>
    <w:rsid w:val="00C2784E"/>
    <w:rsid w:val="00C47233"/>
    <w:rsid w:val="00C612C1"/>
    <w:rsid w:val="00C61B8E"/>
    <w:rsid w:val="00C65979"/>
    <w:rsid w:val="00C6679C"/>
    <w:rsid w:val="00C6699C"/>
    <w:rsid w:val="00C746BC"/>
    <w:rsid w:val="00C920DC"/>
    <w:rsid w:val="00C94C08"/>
    <w:rsid w:val="00C94CD1"/>
    <w:rsid w:val="00C95104"/>
    <w:rsid w:val="00CA390F"/>
    <w:rsid w:val="00CB20B0"/>
    <w:rsid w:val="00CB28FB"/>
    <w:rsid w:val="00CB3845"/>
    <w:rsid w:val="00CB3BE2"/>
    <w:rsid w:val="00CB55D9"/>
    <w:rsid w:val="00CC7735"/>
    <w:rsid w:val="00CE02DC"/>
    <w:rsid w:val="00CE42A4"/>
    <w:rsid w:val="00CE690C"/>
    <w:rsid w:val="00CF0D31"/>
    <w:rsid w:val="00CF1E37"/>
    <w:rsid w:val="00CF34DF"/>
    <w:rsid w:val="00CF5C5C"/>
    <w:rsid w:val="00CF6FA9"/>
    <w:rsid w:val="00CF7C77"/>
    <w:rsid w:val="00CF7FC3"/>
    <w:rsid w:val="00D068A5"/>
    <w:rsid w:val="00D1105F"/>
    <w:rsid w:val="00D1653A"/>
    <w:rsid w:val="00D201C4"/>
    <w:rsid w:val="00D25643"/>
    <w:rsid w:val="00D259F8"/>
    <w:rsid w:val="00D27165"/>
    <w:rsid w:val="00D301D6"/>
    <w:rsid w:val="00D306D6"/>
    <w:rsid w:val="00D3727A"/>
    <w:rsid w:val="00D408BA"/>
    <w:rsid w:val="00D539AB"/>
    <w:rsid w:val="00D5552C"/>
    <w:rsid w:val="00D62D0F"/>
    <w:rsid w:val="00D678F6"/>
    <w:rsid w:val="00D71D5F"/>
    <w:rsid w:val="00D8015F"/>
    <w:rsid w:val="00DA09EB"/>
    <w:rsid w:val="00DB222F"/>
    <w:rsid w:val="00DB2BA0"/>
    <w:rsid w:val="00DC197D"/>
    <w:rsid w:val="00DD0BA6"/>
    <w:rsid w:val="00DD25F5"/>
    <w:rsid w:val="00DE1758"/>
    <w:rsid w:val="00DE59CD"/>
    <w:rsid w:val="00DF1287"/>
    <w:rsid w:val="00DF6817"/>
    <w:rsid w:val="00E15C53"/>
    <w:rsid w:val="00E21F0E"/>
    <w:rsid w:val="00E34B73"/>
    <w:rsid w:val="00E34F53"/>
    <w:rsid w:val="00E4063B"/>
    <w:rsid w:val="00E41386"/>
    <w:rsid w:val="00E41D79"/>
    <w:rsid w:val="00E44EC6"/>
    <w:rsid w:val="00E54EA9"/>
    <w:rsid w:val="00E55EA3"/>
    <w:rsid w:val="00E63BE0"/>
    <w:rsid w:val="00E666ED"/>
    <w:rsid w:val="00E74A44"/>
    <w:rsid w:val="00E75166"/>
    <w:rsid w:val="00E83BDB"/>
    <w:rsid w:val="00E83FDC"/>
    <w:rsid w:val="00E93C76"/>
    <w:rsid w:val="00EA57BF"/>
    <w:rsid w:val="00EA5A49"/>
    <w:rsid w:val="00EB4A7E"/>
    <w:rsid w:val="00EB53C6"/>
    <w:rsid w:val="00EB5F27"/>
    <w:rsid w:val="00EB70FA"/>
    <w:rsid w:val="00ED3D40"/>
    <w:rsid w:val="00EE08A2"/>
    <w:rsid w:val="00EE1D43"/>
    <w:rsid w:val="00EE57DB"/>
    <w:rsid w:val="00EE59F1"/>
    <w:rsid w:val="00EE71BE"/>
    <w:rsid w:val="00EF6BA9"/>
    <w:rsid w:val="00F24494"/>
    <w:rsid w:val="00F24716"/>
    <w:rsid w:val="00F24A1A"/>
    <w:rsid w:val="00F26191"/>
    <w:rsid w:val="00F3129D"/>
    <w:rsid w:val="00F31CB3"/>
    <w:rsid w:val="00F32226"/>
    <w:rsid w:val="00F34CF9"/>
    <w:rsid w:val="00F36E7D"/>
    <w:rsid w:val="00F50A03"/>
    <w:rsid w:val="00F619D7"/>
    <w:rsid w:val="00F63B66"/>
    <w:rsid w:val="00F651EF"/>
    <w:rsid w:val="00F658CF"/>
    <w:rsid w:val="00F72723"/>
    <w:rsid w:val="00F74339"/>
    <w:rsid w:val="00F752CC"/>
    <w:rsid w:val="00F84633"/>
    <w:rsid w:val="00F84B88"/>
    <w:rsid w:val="00F872B6"/>
    <w:rsid w:val="00F954D7"/>
    <w:rsid w:val="00FA3E9F"/>
    <w:rsid w:val="00FB0D88"/>
    <w:rsid w:val="00FD3797"/>
    <w:rsid w:val="00FE07E9"/>
    <w:rsid w:val="00FE4617"/>
    <w:rsid w:val="00FE4B35"/>
    <w:rsid w:val="00FF3324"/>
    <w:rsid w:val="00FF5D04"/>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0DD08"/>
  <w15:chartTrackingRefBased/>
  <w15:docId w15:val="{86F08E59-B5BA-4C37-8AAF-45BD885B3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FD7"/>
    <w:rPr>
      <w:kern w:val="0"/>
      <w:lang w:val="en-US"/>
      <w14:ligatures w14:val="none"/>
    </w:rPr>
  </w:style>
  <w:style w:type="paragraph" w:styleId="Heading1">
    <w:name w:val="heading 1"/>
    <w:basedOn w:val="Normal"/>
    <w:next w:val="Normal"/>
    <w:link w:val="Heading1Char"/>
    <w:uiPriority w:val="9"/>
    <w:qFormat/>
    <w:rsid w:val="009C3F8D"/>
    <w:pPr>
      <w:keepNext/>
      <w:keepLines/>
      <w:spacing w:before="240" w:after="240" w:line="276" w:lineRule="auto"/>
      <w:jc w:val="both"/>
      <w:outlineLvl w:val="0"/>
    </w:pPr>
    <w:rPr>
      <w:rFonts w:eastAsiaTheme="majorEastAsia" w:cstheme="majorBidi"/>
      <w:b/>
      <w:sz w:val="24"/>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stTable3-Accent3">
    <w:name w:val="List Table 3 Accent 3"/>
    <w:basedOn w:val="TableNormal"/>
    <w:uiPriority w:val="48"/>
    <w:rsid w:val="00BF6FD7"/>
    <w:pPr>
      <w:spacing w:after="0" w:line="240" w:lineRule="auto"/>
    </w:pPr>
    <w:rPr>
      <w:kern w:val="0"/>
      <w:lang w:val="de-DE"/>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Caption">
    <w:name w:val="caption"/>
    <w:basedOn w:val="Normal"/>
    <w:next w:val="Normal"/>
    <w:uiPriority w:val="35"/>
    <w:unhideWhenUsed/>
    <w:qFormat/>
    <w:rsid w:val="00BF6FD7"/>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BF6FD7"/>
    <w:rPr>
      <w:sz w:val="16"/>
      <w:szCs w:val="16"/>
    </w:rPr>
  </w:style>
  <w:style w:type="paragraph" w:styleId="CommentText">
    <w:name w:val="annotation text"/>
    <w:basedOn w:val="Normal"/>
    <w:link w:val="CommentTextChar"/>
    <w:uiPriority w:val="99"/>
    <w:unhideWhenUsed/>
    <w:rsid w:val="00BF6FD7"/>
    <w:pPr>
      <w:spacing w:line="240" w:lineRule="auto"/>
    </w:pPr>
    <w:rPr>
      <w:sz w:val="20"/>
      <w:szCs w:val="20"/>
    </w:rPr>
  </w:style>
  <w:style w:type="character" w:customStyle="1" w:styleId="CommentTextChar">
    <w:name w:val="Comment Text Char"/>
    <w:basedOn w:val="DefaultParagraphFont"/>
    <w:link w:val="CommentText"/>
    <w:uiPriority w:val="99"/>
    <w:rsid w:val="00BF6FD7"/>
    <w:rPr>
      <w:kern w:val="0"/>
      <w:sz w:val="20"/>
      <w:szCs w:val="20"/>
      <w:lang w:val="en-US"/>
      <w14:ligatures w14:val="none"/>
    </w:rPr>
  </w:style>
  <w:style w:type="character" w:styleId="UnresolvedMention">
    <w:name w:val="Unresolved Mention"/>
    <w:basedOn w:val="DefaultParagraphFont"/>
    <w:uiPriority w:val="99"/>
    <w:semiHidden/>
    <w:unhideWhenUsed/>
    <w:rsid w:val="00E34F5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25643"/>
    <w:rPr>
      <w:b/>
      <w:bCs/>
    </w:rPr>
  </w:style>
  <w:style w:type="character" w:customStyle="1" w:styleId="CommentSubjectChar">
    <w:name w:val="Comment Subject Char"/>
    <w:basedOn w:val="CommentTextChar"/>
    <w:link w:val="CommentSubject"/>
    <w:uiPriority w:val="99"/>
    <w:semiHidden/>
    <w:rsid w:val="00D25643"/>
    <w:rPr>
      <w:b/>
      <w:bCs/>
      <w:kern w:val="0"/>
      <w:sz w:val="20"/>
      <w:szCs w:val="20"/>
      <w:lang w:val="en-US"/>
      <w14:ligatures w14:val="none"/>
    </w:rPr>
  </w:style>
  <w:style w:type="paragraph" w:styleId="Revision">
    <w:name w:val="Revision"/>
    <w:hidden/>
    <w:uiPriority w:val="99"/>
    <w:semiHidden/>
    <w:rsid w:val="00EE71BE"/>
    <w:pPr>
      <w:spacing w:after="0" w:line="240" w:lineRule="auto"/>
    </w:pPr>
    <w:rPr>
      <w:kern w:val="0"/>
      <w:lang w:val="en-US"/>
      <w14:ligatures w14:val="none"/>
    </w:rPr>
  </w:style>
  <w:style w:type="paragraph" w:styleId="ListParagraph">
    <w:name w:val="List Paragraph"/>
    <w:basedOn w:val="Normal"/>
    <w:uiPriority w:val="34"/>
    <w:qFormat/>
    <w:rsid w:val="00417D9F"/>
    <w:pPr>
      <w:ind w:left="720"/>
      <w:contextualSpacing/>
    </w:pPr>
  </w:style>
  <w:style w:type="table" w:styleId="PlainTable5">
    <w:name w:val="Plain Table 5"/>
    <w:basedOn w:val="TableNormal"/>
    <w:uiPriority w:val="45"/>
    <w:rsid w:val="00815FD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CF5C5C"/>
    <w:rPr>
      <w:color w:val="0563C1"/>
      <w:u w:val="single"/>
    </w:rPr>
  </w:style>
  <w:style w:type="character" w:styleId="FollowedHyperlink">
    <w:name w:val="FollowedHyperlink"/>
    <w:basedOn w:val="DefaultParagraphFont"/>
    <w:uiPriority w:val="99"/>
    <w:semiHidden/>
    <w:unhideWhenUsed/>
    <w:rsid w:val="00CF5C5C"/>
    <w:rPr>
      <w:color w:val="954F72"/>
      <w:u w:val="single"/>
    </w:rPr>
  </w:style>
  <w:style w:type="paragraph" w:customStyle="1" w:styleId="msonormal0">
    <w:name w:val="msonormal"/>
    <w:basedOn w:val="Normal"/>
    <w:rsid w:val="00CF5C5C"/>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paragraph" w:customStyle="1" w:styleId="xl63">
    <w:name w:val="xl63"/>
    <w:basedOn w:val="Normal"/>
    <w:rsid w:val="00CF5C5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ZA" w:eastAsia="en-ZA"/>
    </w:rPr>
  </w:style>
  <w:style w:type="paragraph" w:customStyle="1" w:styleId="xl64">
    <w:name w:val="xl64"/>
    <w:basedOn w:val="Normal"/>
    <w:rsid w:val="00CF5C5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ZA" w:eastAsia="en-ZA"/>
    </w:rPr>
  </w:style>
  <w:style w:type="paragraph" w:customStyle="1" w:styleId="xl65">
    <w:name w:val="xl65"/>
    <w:basedOn w:val="Normal"/>
    <w:rsid w:val="00CF5C5C"/>
    <w:pP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24"/>
      <w:szCs w:val="24"/>
      <w:lang w:val="en-ZA" w:eastAsia="en-ZA"/>
    </w:rPr>
  </w:style>
  <w:style w:type="table" w:styleId="TableGrid">
    <w:name w:val="Table Grid"/>
    <w:basedOn w:val="TableNormal"/>
    <w:uiPriority w:val="39"/>
    <w:rsid w:val="0075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25055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6218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862"/>
    <w:rPr>
      <w:kern w:val="0"/>
      <w:lang w:val="en-US"/>
      <w14:ligatures w14:val="none"/>
    </w:rPr>
  </w:style>
  <w:style w:type="paragraph" w:styleId="Footer">
    <w:name w:val="footer"/>
    <w:basedOn w:val="Normal"/>
    <w:link w:val="FooterChar"/>
    <w:uiPriority w:val="99"/>
    <w:unhideWhenUsed/>
    <w:rsid w:val="006218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862"/>
    <w:rPr>
      <w:kern w:val="0"/>
      <w:lang w:val="en-US"/>
      <w14:ligatures w14:val="none"/>
    </w:rPr>
  </w:style>
  <w:style w:type="paragraph" w:styleId="Bibliography">
    <w:name w:val="Bibliography"/>
    <w:basedOn w:val="Normal"/>
    <w:next w:val="Normal"/>
    <w:uiPriority w:val="37"/>
    <w:unhideWhenUsed/>
    <w:rsid w:val="00932F28"/>
  </w:style>
  <w:style w:type="paragraph" w:styleId="BodyText">
    <w:name w:val="Body Text"/>
    <w:basedOn w:val="Normal"/>
    <w:link w:val="BodyTextChar"/>
    <w:uiPriority w:val="1"/>
    <w:qFormat/>
    <w:rsid w:val="009C3F8D"/>
    <w:pPr>
      <w:widowControl w:val="0"/>
      <w:autoSpaceDE w:val="0"/>
      <w:autoSpaceDN w:val="0"/>
      <w:spacing w:after="0" w:line="240" w:lineRule="auto"/>
    </w:pPr>
    <w:rPr>
      <w:rFonts w:ascii="Arial MT" w:eastAsia="Arial MT" w:hAnsi="Arial MT" w:cs="Arial MT"/>
      <w:sz w:val="18"/>
      <w:szCs w:val="18"/>
    </w:rPr>
  </w:style>
  <w:style w:type="character" w:customStyle="1" w:styleId="BodyTextChar">
    <w:name w:val="Body Text Char"/>
    <w:basedOn w:val="DefaultParagraphFont"/>
    <w:link w:val="BodyText"/>
    <w:uiPriority w:val="1"/>
    <w:rsid w:val="009C3F8D"/>
    <w:rPr>
      <w:rFonts w:ascii="Arial MT" w:eastAsia="Arial MT" w:hAnsi="Arial MT" w:cs="Arial MT"/>
      <w:kern w:val="0"/>
      <w:sz w:val="18"/>
      <w:szCs w:val="18"/>
      <w:lang w:val="en-US"/>
      <w14:ligatures w14:val="none"/>
    </w:rPr>
  </w:style>
  <w:style w:type="character" w:customStyle="1" w:styleId="Heading1Char">
    <w:name w:val="Heading 1 Char"/>
    <w:basedOn w:val="DefaultParagraphFont"/>
    <w:link w:val="Heading1"/>
    <w:uiPriority w:val="9"/>
    <w:rsid w:val="009C3F8D"/>
    <w:rPr>
      <w:rFonts w:eastAsiaTheme="majorEastAsia" w:cstheme="majorBidi"/>
      <w:b/>
      <w:kern w:val="0"/>
      <w:sz w:val="24"/>
      <w:szCs w:val="36"/>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121156">
      <w:bodyDiv w:val="1"/>
      <w:marLeft w:val="0"/>
      <w:marRight w:val="0"/>
      <w:marTop w:val="0"/>
      <w:marBottom w:val="0"/>
      <w:divBdr>
        <w:top w:val="none" w:sz="0" w:space="0" w:color="auto"/>
        <w:left w:val="none" w:sz="0" w:space="0" w:color="auto"/>
        <w:bottom w:val="none" w:sz="0" w:space="0" w:color="auto"/>
        <w:right w:val="none" w:sz="0" w:space="0" w:color="auto"/>
      </w:divBdr>
    </w:div>
    <w:div w:id="193226856">
      <w:bodyDiv w:val="1"/>
      <w:marLeft w:val="0"/>
      <w:marRight w:val="0"/>
      <w:marTop w:val="0"/>
      <w:marBottom w:val="0"/>
      <w:divBdr>
        <w:top w:val="none" w:sz="0" w:space="0" w:color="auto"/>
        <w:left w:val="none" w:sz="0" w:space="0" w:color="auto"/>
        <w:bottom w:val="none" w:sz="0" w:space="0" w:color="auto"/>
        <w:right w:val="none" w:sz="0" w:space="0" w:color="auto"/>
      </w:divBdr>
    </w:div>
    <w:div w:id="704869075">
      <w:bodyDiv w:val="1"/>
      <w:marLeft w:val="0"/>
      <w:marRight w:val="0"/>
      <w:marTop w:val="0"/>
      <w:marBottom w:val="0"/>
      <w:divBdr>
        <w:top w:val="none" w:sz="0" w:space="0" w:color="auto"/>
        <w:left w:val="none" w:sz="0" w:space="0" w:color="auto"/>
        <w:bottom w:val="none" w:sz="0" w:space="0" w:color="auto"/>
        <w:right w:val="none" w:sz="0" w:space="0" w:color="auto"/>
      </w:divBdr>
      <w:divsChild>
        <w:div w:id="1942831442">
          <w:marLeft w:val="0"/>
          <w:marRight w:val="0"/>
          <w:marTop w:val="0"/>
          <w:marBottom w:val="0"/>
          <w:divBdr>
            <w:top w:val="none" w:sz="0" w:space="0" w:color="auto"/>
            <w:left w:val="none" w:sz="0" w:space="0" w:color="auto"/>
            <w:bottom w:val="none" w:sz="0" w:space="0" w:color="auto"/>
            <w:right w:val="none" w:sz="0" w:space="0" w:color="auto"/>
          </w:divBdr>
          <w:divsChild>
            <w:div w:id="1009018443">
              <w:marLeft w:val="0"/>
              <w:marRight w:val="0"/>
              <w:marTop w:val="0"/>
              <w:marBottom w:val="0"/>
              <w:divBdr>
                <w:top w:val="none" w:sz="0" w:space="0" w:color="auto"/>
                <w:left w:val="none" w:sz="0" w:space="0" w:color="auto"/>
                <w:bottom w:val="none" w:sz="0" w:space="0" w:color="auto"/>
                <w:right w:val="none" w:sz="0" w:space="0" w:color="auto"/>
              </w:divBdr>
              <w:divsChild>
                <w:div w:id="956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790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ho.int/docs/default-source/documents/health-topics/meningitis/in-vitro-diagnostics-test-multi-pathogen-meningitis-tpp.pdf?sfvrsn=dfa859cc_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dn.who.int/media/docs/default-source/in-vitro-diagnostics/calls/tpp-rdt-readers---public-consultation-draft.pdf?sfvrsn=1f78566f_1"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rina.boccardi@dzne.de"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5F9C9-7204-4779-A692-522A354DA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.~WRD0000</Template>
  <TotalTime>2</TotalTime>
  <Pages>45</Pages>
  <Words>221311</Words>
  <Characters>1261475</Characters>
  <Application>Microsoft Office Word</Application>
  <DocSecurity>0</DocSecurity>
  <Lines>10512</Lines>
  <Paragraphs>2959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Aliaa Ahmed Ibnidris Elsiddig</dc:creator>
  <cp:keywords/>
  <dc:description/>
  <cp:lastModifiedBy>Microsoft Office User</cp:lastModifiedBy>
  <cp:revision>4</cp:revision>
  <dcterms:created xsi:type="dcterms:W3CDTF">2024-07-01T10:20:00Z</dcterms:created>
  <dcterms:modified xsi:type="dcterms:W3CDTF">2024-07-01T10:22:00Z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id="62Yq6PBj"/&gt;&lt;style id="http://www.zotero.org/styles/vancouver" locale="en-GB"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