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DEB28">
      <w:pPr>
        <w:spacing w:line="480" w:lineRule="auto"/>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5268595" cy="4787900"/>
            <wp:effectExtent l="0" t="0" r="4445" b="12700"/>
            <wp:docPr id="5" name="图片 5"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2"/>
                    <pic:cNvPicPr>
                      <a:picLocks noChangeAspect="1"/>
                    </pic:cNvPicPr>
                  </pic:nvPicPr>
                  <pic:blipFill>
                    <a:blip r:embed="rId4"/>
                    <a:stretch>
                      <a:fillRect/>
                    </a:stretch>
                  </pic:blipFill>
                  <pic:spPr>
                    <a:xfrm>
                      <a:off x="0" y="0"/>
                      <a:ext cx="5268595" cy="4787900"/>
                    </a:xfrm>
                    <a:prstGeom prst="rect">
                      <a:avLst/>
                    </a:prstGeom>
                  </pic:spPr>
                </pic:pic>
              </a:graphicData>
            </a:graphic>
          </wp:inline>
        </w:drawing>
      </w:r>
    </w:p>
    <w:p w14:paraId="7D1433CF">
      <w:pPr>
        <w:pStyle w:val="4"/>
        <w:rPr>
          <w:rFonts w:ascii="Times New Roman" w:hAnsi="Times New Roman" w:eastAsiaTheme="minorEastAsia"/>
          <w:sz w:val="24"/>
          <w:szCs w:val="24"/>
        </w:rPr>
      </w:pPr>
      <w:bookmarkStart w:id="1" w:name="_GoBack"/>
      <w:bookmarkStart w:id="0" w:name="_Hlk172762313"/>
      <w:r>
        <w:rPr>
          <w:rFonts w:ascii="Times New Roman" w:hAnsi="Times New Roman"/>
          <w:b/>
          <w:bCs/>
          <w:sz w:val="24"/>
          <w:szCs w:val="24"/>
        </w:rPr>
        <w:t>Supplementary</w:t>
      </w:r>
      <w:r>
        <w:rPr>
          <w:rFonts w:hint="eastAsia" w:ascii="Times New Roman" w:hAnsi="Times New Roman"/>
          <w:b/>
          <w:bCs/>
          <w:sz w:val="24"/>
          <w:szCs w:val="24"/>
        </w:rPr>
        <w:t xml:space="preserve"> </w:t>
      </w:r>
      <w:bookmarkEnd w:id="0"/>
      <w:r>
        <w:rPr>
          <w:rFonts w:ascii="Times New Roman" w:hAnsi="Times New Roman"/>
          <w:b/>
          <w:bCs/>
          <w:sz w:val="24"/>
          <w:szCs w:val="24"/>
        </w:rPr>
        <w:t>Figure</w:t>
      </w:r>
      <w:bookmarkEnd w:id="1"/>
      <w:r>
        <w:rPr>
          <w:rFonts w:ascii="Times New Roman" w:hAnsi="Times New Roman"/>
          <w:b/>
          <w:bCs/>
          <w:sz w:val="24"/>
          <w:szCs w:val="24"/>
        </w:rPr>
        <w:t xml:space="preserve"> </w:t>
      </w:r>
      <w:r>
        <w:rPr>
          <w:rFonts w:hint="eastAsia" w:ascii="Times New Roman" w:hAnsi="Times New Roman"/>
          <w:b/>
          <w:bCs/>
          <w:sz w:val="24"/>
          <w:szCs w:val="24"/>
        </w:rPr>
        <w:t>1</w:t>
      </w:r>
      <w:r>
        <w:rPr>
          <w:rFonts w:ascii="Times New Roman" w:hAnsi="Times New Roman"/>
          <w:b/>
          <w:bCs/>
          <w:sz w:val="24"/>
          <w:szCs w:val="24"/>
        </w:rPr>
        <w:t xml:space="preserve">. Differential metabolism-related KEGG pathways identified through GSVA analysis. (A) </w:t>
      </w:r>
      <w:r>
        <w:rPr>
          <w:rFonts w:ascii="Times New Roman" w:hAnsi="Times New Roman"/>
          <w:sz w:val="24"/>
          <w:szCs w:val="24"/>
        </w:rPr>
        <w:t>Heatmap of metabolism-related KEGG pathways identified using the "limma" package. Samples from the differentiating gene sets (GSE110729) are shown in columns, with genes represented in rows. Gray squares represent lean samples, and red squares represent obese samples.</w:t>
      </w:r>
      <w:r>
        <w:rPr>
          <w:rFonts w:ascii="Times New Roman" w:hAnsi="Times New Roman"/>
          <w:b/>
          <w:bCs/>
          <w:sz w:val="24"/>
          <w:szCs w:val="24"/>
        </w:rPr>
        <w:t xml:space="preserve"> (B)</w:t>
      </w:r>
      <w:r>
        <w:rPr>
          <w:rFonts w:ascii="Times New Roman" w:hAnsi="Times New Roman"/>
          <w:sz w:val="24"/>
          <w:szCs w:val="24"/>
        </w:rPr>
        <w:t xml:space="preserve"> Volcano plot of differential metabolism-related KEGG pathways, with red indicating activation and blue indicating inhibition.</w:t>
      </w:r>
    </w:p>
    <w:p w14:paraId="1A7F7498"/>
    <w:p w14:paraId="1D91F24F">
      <w:pPr>
        <w:spacing w:line="480" w:lineRule="auto"/>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5271135" cy="3272790"/>
            <wp:effectExtent l="0" t="0" r="1905" b="3810"/>
            <wp:docPr id="7" name="图片 7"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4"/>
                    <pic:cNvPicPr>
                      <a:picLocks noChangeAspect="1"/>
                    </pic:cNvPicPr>
                  </pic:nvPicPr>
                  <pic:blipFill>
                    <a:blip r:embed="rId5"/>
                    <a:stretch>
                      <a:fillRect/>
                    </a:stretch>
                  </pic:blipFill>
                  <pic:spPr>
                    <a:xfrm>
                      <a:off x="0" y="0"/>
                      <a:ext cx="5271135" cy="3272790"/>
                    </a:xfrm>
                    <a:prstGeom prst="rect">
                      <a:avLst/>
                    </a:prstGeom>
                  </pic:spPr>
                </pic:pic>
              </a:graphicData>
            </a:graphic>
          </wp:inline>
        </w:drawing>
      </w:r>
    </w:p>
    <w:p w14:paraId="3E0B7133">
      <w:pPr>
        <w:pStyle w:val="4"/>
        <w:rPr>
          <w:rFonts w:ascii="Times New Roman" w:hAnsi="Times New Roman"/>
          <w:sz w:val="24"/>
          <w:szCs w:val="24"/>
        </w:rPr>
      </w:pPr>
      <w:r>
        <w:rPr>
          <w:rFonts w:ascii="Times New Roman" w:hAnsi="Times New Roman"/>
          <w:b/>
          <w:bCs/>
          <w:sz w:val="24"/>
          <w:szCs w:val="24"/>
        </w:rPr>
        <w:t>Supplementary</w:t>
      </w:r>
      <w:r>
        <w:rPr>
          <w:rFonts w:hint="eastAsia" w:ascii="Times New Roman" w:hAnsi="Times New Roman"/>
          <w:b/>
          <w:bCs/>
          <w:sz w:val="24"/>
          <w:szCs w:val="24"/>
        </w:rPr>
        <w:t xml:space="preserve"> </w:t>
      </w:r>
      <w:r>
        <w:rPr>
          <w:rFonts w:ascii="Times New Roman" w:hAnsi="Times New Roman"/>
          <w:b/>
          <w:bCs/>
          <w:sz w:val="24"/>
          <w:szCs w:val="24"/>
        </w:rPr>
        <w:t>Figure 2. The result of GO and KEGG pathway enrichment analyses. (A)</w:t>
      </w:r>
      <w:r>
        <w:rPr>
          <w:rFonts w:ascii="Times New Roman" w:hAnsi="Times New Roman"/>
          <w:sz w:val="24"/>
          <w:szCs w:val="24"/>
        </w:rPr>
        <w:t xml:space="preserve">GO analyses. </w:t>
      </w:r>
      <w:r>
        <w:rPr>
          <w:rFonts w:ascii="Times New Roman" w:hAnsi="Times New Roman"/>
          <w:b/>
          <w:bCs/>
          <w:sz w:val="24"/>
          <w:szCs w:val="24"/>
        </w:rPr>
        <w:t xml:space="preserve">(B) </w:t>
      </w:r>
      <w:r>
        <w:rPr>
          <w:rFonts w:ascii="Times New Roman" w:hAnsi="Times New Roman"/>
          <w:sz w:val="24"/>
          <w:szCs w:val="24"/>
        </w:rPr>
        <w:t xml:space="preserve">emapplot of KEGG terms </w:t>
      </w:r>
    </w:p>
    <w:p w14:paraId="779FA1E6">
      <w:pPr>
        <w:rPr>
          <w:rFonts w:ascii="Times New Roman" w:hAnsi="Times New Roman"/>
          <w:sz w:val="24"/>
          <w:szCs w:val="24"/>
        </w:rPr>
      </w:pPr>
    </w:p>
    <w:p w14:paraId="4A2F9F91">
      <w:pPr>
        <w:pStyle w:val="4"/>
        <w:rPr>
          <w:rFonts w:ascii="Times New Roman" w:hAnsi="Times New Roman"/>
          <w:b/>
          <w:bCs/>
          <w:sz w:val="22"/>
          <w:szCs w:val="22"/>
        </w:rPr>
      </w:pPr>
      <w:r>
        <w:rPr>
          <w:rFonts w:ascii="Times New Roman" w:hAnsi="Times New Roman"/>
          <w:b/>
          <w:bCs/>
          <w:sz w:val="22"/>
          <w:szCs w:val="22"/>
        </w:rPr>
        <w:drawing>
          <wp:inline distT="0" distB="0" distL="0" distR="0">
            <wp:extent cx="5274310" cy="2065655"/>
            <wp:effectExtent l="0" t="0" r="13970" b="6985"/>
            <wp:docPr id="17139509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5096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065655"/>
                    </a:xfrm>
                    <a:prstGeom prst="rect">
                      <a:avLst/>
                    </a:prstGeom>
                  </pic:spPr>
                </pic:pic>
              </a:graphicData>
            </a:graphic>
          </wp:inline>
        </w:drawing>
      </w:r>
    </w:p>
    <w:p w14:paraId="2009586B">
      <w:pPr>
        <w:pStyle w:val="4"/>
        <w:rPr>
          <w:rFonts w:ascii="Times New Roman" w:hAnsi="Times New Roman"/>
          <w:sz w:val="24"/>
          <w:szCs w:val="24"/>
        </w:rPr>
      </w:pPr>
      <w:r>
        <w:rPr>
          <w:rFonts w:ascii="Times New Roman" w:hAnsi="Times New Roman"/>
          <w:b/>
          <w:bCs/>
          <w:sz w:val="24"/>
          <w:szCs w:val="24"/>
        </w:rPr>
        <w:t>Supplementary</w:t>
      </w:r>
      <w:r>
        <w:rPr>
          <w:rFonts w:hint="eastAsia" w:ascii="Times New Roman" w:hAnsi="Times New Roman"/>
          <w:b/>
          <w:bCs/>
          <w:sz w:val="24"/>
          <w:szCs w:val="24"/>
        </w:rPr>
        <w:t xml:space="preserve"> </w:t>
      </w:r>
      <w:r>
        <w:rPr>
          <w:rFonts w:ascii="Times New Roman" w:hAnsi="Times New Roman"/>
          <w:b/>
          <w:bCs/>
          <w:sz w:val="24"/>
          <w:szCs w:val="24"/>
        </w:rPr>
        <w:t xml:space="preserve">Figure </w:t>
      </w:r>
      <w:r>
        <w:rPr>
          <w:rFonts w:hint="eastAsia" w:ascii="Times New Roman" w:hAnsi="Times New Roman"/>
          <w:b/>
          <w:bCs/>
          <w:sz w:val="24"/>
          <w:szCs w:val="24"/>
          <w:lang w:val="en-US" w:eastAsia="zh-CN"/>
        </w:rPr>
        <w:t>3</w:t>
      </w:r>
      <w:r>
        <w:rPr>
          <w:rFonts w:ascii="Times New Roman" w:hAnsi="Times New Roman"/>
          <w:b/>
          <w:bCs/>
          <w:sz w:val="24"/>
          <w:szCs w:val="24"/>
        </w:rPr>
        <w:t xml:space="preserve">. Identification of diagnostic biomarkers using the Random Forest and XGBoost models. </w:t>
      </w:r>
      <w:r>
        <w:rPr>
          <w:rFonts w:hint="eastAsia" w:ascii="Times New Roman" w:hAnsi="Times New Roman"/>
          <w:b/>
          <w:bCs/>
          <w:sz w:val="24"/>
          <w:szCs w:val="24"/>
          <w:lang w:eastAsia="zh-CN"/>
        </w:rPr>
        <w:t>（</w:t>
      </w:r>
      <w:r>
        <w:rPr>
          <w:rFonts w:hint="eastAsia" w:ascii="Times New Roman" w:hAnsi="Times New Roman"/>
          <w:b/>
          <w:bCs/>
          <w:sz w:val="24"/>
          <w:szCs w:val="24"/>
          <w:lang w:val="en-US" w:eastAsia="zh-CN"/>
        </w:rPr>
        <w:t>A)</w:t>
      </w:r>
      <w:r>
        <w:rPr>
          <w:rFonts w:ascii="Times New Roman" w:hAnsi="Times New Roman"/>
          <w:sz w:val="24"/>
          <w:szCs w:val="24"/>
        </w:rPr>
        <w:t xml:space="preserve"> Variable importance coefficient diagram:</w:t>
      </w:r>
      <w:r>
        <w:rPr>
          <w:rFonts w:hint="eastAsia" w:ascii="Times New Roman" w:hAnsi="Times New Roman"/>
          <w:sz w:val="24"/>
          <w:szCs w:val="24"/>
        </w:rPr>
        <w:t xml:space="preserve"> </w:t>
      </w:r>
      <w:r>
        <w:rPr>
          <w:rFonts w:ascii="Times New Roman" w:hAnsi="Times New Roman"/>
          <w:sz w:val="24"/>
          <w:szCs w:val="24"/>
        </w:rPr>
        <w:t>The x-axis represents the variable importance, which is used to evaluate the classification of the model. The y-axis represents the gene names. In this study, genes with a variable importance value greater than or equal to the median of variable importance values were selected</w:t>
      </w:r>
      <w:r>
        <w:rPr>
          <w:rFonts w:hint="eastAsia" w:ascii="Times New Roman" w:hAnsi="Times New Roman"/>
          <w:sz w:val="24"/>
          <w:szCs w:val="24"/>
          <w:lang w:val="en-US" w:eastAsia="zh-CN"/>
        </w:rPr>
        <w:t>.</w:t>
      </w:r>
      <w:r>
        <w:rPr>
          <w:rFonts w:ascii="Times New Roman" w:hAnsi="Times New Roman"/>
          <w:b/>
          <w:bCs/>
          <w:sz w:val="24"/>
          <w:szCs w:val="24"/>
        </w:rPr>
        <w:t xml:space="preserve">(B) </w:t>
      </w:r>
      <w:r>
        <w:rPr>
          <w:rFonts w:ascii="Times New Roman" w:hAnsi="Times New Roman"/>
          <w:sz w:val="24"/>
          <w:szCs w:val="24"/>
        </w:rPr>
        <w:t>MeanDecreaseGini coefficient diagram:</w:t>
      </w:r>
      <w:r>
        <w:rPr>
          <w:rFonts w:hint="eastAsia" w:ascii="Times New Roman" w:hAnsi="Times New Roman"/>
          <w:sz w:val="24"/>
          <w:szCs w:val="24"/>
        </w:rPr>
        <w:t xml:space="preserve"> </w:t>
      </w:r>
      <w:r>
        <w:rPr>
          <w:rFonts w:ascii="Times New Roman" w:hAnsi="Times New Roman"/>
          <w:sz w:val="24"/>
          <w:szCs w:val="24"/>
        </w:rPr>
        <w:t>X-axis represents the MeanDecreaseGini value, which is used to evaluate the model's classification. The y-axis represents the gene name. In this study, genes with MeanDecreaseGini values ≥1 were selected</w:t>
      </w:r>
      <w:r>
        <w:rPr>
          <w:rFonts w:hint="eastAsia" w:ascii="Times New Roman" w:hAnsi="Times New Roman"/>
          <w:sz w:val="24"/>
          <w:szCs w:val="24"/>
          <w:lang w:val="en-US" w:eastAsia="zh-CN"/>
        </w:rPr>
        <w:t>.</w:t>
      </w:r>
      <w:r>
        <w:rPr>
          <w:rFonts w:ascii="Times New Roman" w:hAnsi="Times New Roman"/>
          <w:b/>
          <w:bCs/>
          <w:sz w:val="24"/>
          <w:szCs w:val="24"/>
        </w:rPr>
        <w:t>(</w:t>
      </w:r>
      <w:r>
        <w:rPr>
          <w:rFonts w:hint="eastAsia" w:ascii="Times New Roman" w:hAnsi="Times New Roman"/>
          <w:b/>
          <w:bCs/>
          <w:sz w:val="24"/>
          <w:szCs w:val="24"/>
          <w:lang w:val="en-US" w:eastAsia="zh-CN"/>
        </w:rPr>
        <w:t>C</w:t>
      </w:r>
      <w:r>
        <w:rPr>
          <w:rFonts w:ascii="Times New Roman" w:hAnsi="Times New Roman"/>
          <w:b/>
          <w:bCs/>
          <w:sz w:val="24"/>
          <w:szCs w:val="24"/>
        </w:rPr>
        <w:t xml:space="preserve">) </w:t>
      </w:r>
      <w:r>
        <w:rPr>
          <w:rFonts w:ascii="Times New Roman" w:hAnsi="Times New Roman"/>
          <w:sz w:val="24"/>
          <w:szCs w:val="24"/>
        </w:rPr>
        <w:t>The Venn diagram illustrates the overlap between genes identified by the Random Forest and XGBoost algorithms</w:t>
      </w:r>
    </w:p>
    <w:p w14:paraId="176D8959">
      <w:pPr>
        <w:rPr>
          <w:rFonts w:ascii="Times New Roman" w:hAnsi="Times New Roman"/>
          <w:sz w:val="24"/>
          <w:szCs w:val="24"/>
        </w:rPr>
      </w:pPr>
    </w:p>
    <w:p w14:paraId="2BAF4C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1MDEyNmE4MTExN2M2YjAwNDZkZWI1ZjRmMmIyNjMifQ=="/>
  </w:docVars>
  <w:rsids>
    <w:rsidRoot w:val="004722F6"/>
    <w:rsid w:val="003A50EC"/>
    <w:rsid w:val="00451010"/>
    <w:rsid w:val="004722F6"/>
    <w:rsid w:val="00510217"/>
    <w:rsid w:val="00893407"/>
    <w:rsid w:val="1D600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color w:val="FF0000"/>
      <w:kern w:val="0"/>
      <w:sz w:val="30"/>
      <w:szCs w:val="28"/>
    </w:rPr>
  </w:style>
  <w:style w:type="paragraph" w:styleId="3">
    <w:name w:val="Body Text Indent"/>
    <w:basedOn w:val="1"/>
    <w:qFormat/>
    <w:uiPriority w:val="0"/>
    <w:pPr>
      <w:spacing w:after="120"/>
      <w:ind w:left="420" w:leftChars="200"/>
    </w:pPr>
    <w:rPr>
      <w:rFonts w:eastAsia="宋体"/>
      <w:kern w:val="0"/>
      <w:sz w:val="20"/>
    </w:rPr>
  </w:style>
  <w:style w:type="paragraph" w:styleId="4">
    <w:name w:val="caption"/>
    <w:basedOn w:val="1"/>
    <w:next w:val="1"/>
    <w:autoRedefine/>
    <w:qFormat/>
    <w:uiPriority w:val="99"/>
    <w:rPr>
      <w:rFonts w:ascii="等线 Light" w:hAnsi="等线 Light" w:eastAsia="黑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84</Words>
  <Characters>545</Characters>
  <Lines>4</Lines>
  <Paragraphs>1</Paragraphs>
  <TotalTime>1</TotalTime>
  <ScaleCrop>false</ScaleCrop>
  <LinksUpToDate>false</LinksUpToDate>
  <CharactersWithSpaces>628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2024-07-24T17:09:00Z</dcterms:created>
  <dc:creator>~</dc:creator>
  <cp:lastModifiedBy>minicherry</cp:lastModifiedBy>
  <dcterms:modified xsi:type="dcterms:W3CDTF">2024-07-26T10:11:26Z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5C8F5020E735495DB245F204DA676381_12</vt:lpwstr>
  </property>
</Properties>
</file>