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D8094">
      <w:pPr>
        <w:snapToGrid w:val="0"/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5274310" cy="7999730"/>
            <wp:effectExtent l="0" t="0" r="2540" b="1270"/>
            <wp:docPr id="15301106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110631" name="图片 1"/>
                    <pic:cNvPicPr>
                      <a:picLocks noChangeAspect="1"/>
                    </pic:cNvPicPr>
                  </pic:nvPicPr>
                  <pic:blipFill>
                    <a:blip r:embed="rId4" cstate="hq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9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EE97E">
      <w:pPr>
        <w:snapToGrid w:val="0"/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14:ligatures w14:val="standardContextual"/>
        </w:rPr>
        <w:t xml:space="preserve">Figure S1.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Distribution of different cell types in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ICC</w:t>
      </w:r>
    </w:p>
    <w:p w14:paraId="3E18AF50">
      <w:pPr>
        <w:snapToGrid w:val="0"/>
        <w:rPr>
          <w:rFonts w:hint="eastAsia"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(A-C) Quality control metrics for scRNA-seq data across different cell types identified in the ICC TME.</w:t>
      </w:r>
    </w:p>
    <w:p w14:paraId="79E16011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D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) t-SNE plot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for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classifying cell types based on the expression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levels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of typical marker genes.</w:t>
      </w:r>
    </w:p>
    <w:p w14:paraId="7D99CB41">
      <w:pPr>
        <w:snapToGrid w:val="0"/>
        <w:rPr>
          <w:rFonts w:hint="eastAsia"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E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) Boxplot of ROGUE scores representing the purity of different endothelial cell subpopulations. </w:t>
      </w:r>
    </w:p>
    <w:p w14:paraId="1AEEA7AF">
      <w:pPr>
        <w:snapToGrid w:val="0"/>
        <w:rPr>
          <w:rFonts w:hint="eastAsia"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(F)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Dot plot showing the expression of three key genes (CLCA1, TCF7L2, SYNPO) across different cell types.</w:t>
      </w:r>
    </w:p>
    <w:p w14:paraId="7BBA1C3A">
      <w:pPr>
        <w:snapToGrid w:val="0"/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G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The violin plot illustrates a comparison of the combined expression levels of CXCL12, TCF7L2, and SYNPO across different cell types.</w:t>
      </w:r>
    </w:p>
    <w:p w14:paraId="2FC993A0">
      <w:pPr>
        <w:snapToGrid w:val="0"/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5274310" cy="7516495"/>
            <wp:effectExtent l="0" t="0" r="2540" b="8255"/>
            <wp:docPr id="1750210973" name="图片 2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10973" name="图片 2" descr="图片包含 图示&#10;&#10;描述已自动生成"/>
                    <pic:cNvPicPr>
                      <a:picLocks noChangeAspect="1"/>
                    </pic:cNvPicPr>
                  </pic:nvPicPr>
                  <pic:blipFill>
                    <a:blip r:embed="rId5" cstate="hq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CC904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14:ligatures w14:val="standardContextual"/>
        </w:rPr>
        <w:t xml:space="preserve">Figure S2.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Relationship between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the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,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survival time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,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and clinical characteristics</w:t>
      </w:r>
    </w:p>
    <w:p w14:paraId="1D4EF803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A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) Diagram depicting the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relationships between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risk factor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in the training set, including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r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anked plot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showing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the high and low distribution of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, scatter plots of the distribution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of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patient survival, and heatmaps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showing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change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 in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gene expression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levels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with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.</w:t>
      </w:r>
    </w:p>
    <w:p w14:paraId="612A67F1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B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Time-dependent ROC curve of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, with an AUC value of 0.75 (1 year) and 0.79 (3 years).</w:t>
      </w:r>
    </w:p>
    <w:p w14:paraId="209035F0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C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)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A c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omparison of survival curves between high and low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score groups in the GSE89749 dataset, demonstrated using Kaplan-Meier curves showing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a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poorer prognosis for the high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 group.</w:t>
      </w:r>
    </w:p>
    <w:p w14:paraId="3766AF2F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D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Time-dependent ROC curve of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in the GSE89749 dataset, with an AUC value of 0.57 (1 year) and 0.65 (3 years).</w:t>
      </w:r>
    </w:p>
    <w:p w14:paraId="4FD6D9EB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E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Correlation between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and CEA levels, demonstrated using a scatter plot showing the positive correlation between the two (R=0.2135, P=0.0008).</w:t>
      </w:r>
    </w:p>
    <w:p w14:paraId="05A7B1D4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F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Correlation between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and CA19-9 levels, demonstrated using a scatter plot showing the positive correlation between the two (R=0.3295, P&lt;0.0001).</w:t>
      </w:r>
    </w:p>
    <w:p w14:paraId="47905EED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G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) Forest plot of the HR and p-value between different clinical characteristic groups, with Cox univariate regression analysis demonstrating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how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significant clinical factors affect ICC patient prognosis.</w:t>
      </w:r>
    </w:p>
    <w:p w14:paraId="3F2D6A22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H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Cox multivariate regression analysis further confirm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ed the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independent risk factors affecting ICC patient prognosis.</w:t>
      </w:r>
    </w:p>
    <w:p w14:paraId="1A416946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274310" cy="7416800"/>
            <wp:effectExtent l="0" t="0" r="2540" b="0"/>
            <wp:docPr id="685168089" name="图片 3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68089" name="图片 3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6" cstate="hq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7953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14:ligatures w14:val="standardContextual"/>
        </w:rPr>
        <w:t xml:space="preserve">Figure S3.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GSEA of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the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high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 group</w:t>
      </w:r>
    </w:p>
    <w:p w14:paraId="15CDAE0A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A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Enrichment plot demonstrating significant enrichment of the high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 group in the inflammatory response pathway.</w:t>
      </w:r>
    </w:p>
    <w:p w14:paraId="6BF55DD9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B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Enrichment plot highlighting significant enrichment of the high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 group in the IL6/JAK/STAT3 signaling pathway.</w:t>
      </w:r>
    </w:p>
    <w:p w14:paraId="1DD21CDE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C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Enrichment plot demonstrating significant enrichment of the high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 group in the TGF-β signaling pathway.</w:t>
      </w:r>
    </w:p>
    <w:p w14:paraId="5CA64CF4">
      <w:pPr>
        <w:snapToGrid w:val="0"/>
        <w:rPr>
          <w:rFonts w:hint="eastAsia"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D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Enrichment plot revealing significant enrichment of the high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 group in the TNFα/NF-κB signaling pathway.</w:t>
      </w:r>
    </w:p>
    <w:p w14:paraId="43109DCD">
      <w:pPr>
        <w:snapToGrid w:val="0"/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(E-F) It illustrates the relationship between neutrophil infiltration and iDC infiltration with the expression levels of immunosuppressive genes in the TME of ICC.</w:t>
      </w:r>
    </w:p>
    <w:p w14:paraId="4AFA649B">
      <w:pPr>
        <w:snapToGrid w:val="0"/>
        <w:rPr>
          <w:rFonts w:hint="default" w:ascii="Times New Roman" w:hAnsi="Times New Roman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G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Correlation heatmap showing the relationships between CXCL12 expression, TEC score, and the expression of the three genes constituting TEC.Sig (CXCL12, TCF7L2, SYNPO).</w:t>
      </w:r>
    </w:p>
    <w:p w14:paraId="29F5A65E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</w:p>
    <w:p w14:paraId="613AA7DE">
      <w:pPr>
        <w:snapToGrid w:val="0"/>
        <w:rPr>
          <w:rFonts w:hint="eastAsia" w:ascii="Times New Roman" w:hAnsi="Times New Roman" w:cs="Times New Roman" w:eastAsiaTheme="minorEastAsia"/>
          <w:sz w:val="28"/>
          <w:szCs w:val="28"/>
          <w:lang w:eastAsia="zh-CN"/>
          <w14:ligatures w14:val="standardContextual"/>
        </w:rPr>
      </w:pPr>
      <w:r>
        <w:rPr>
          <w:rFonts w:hint="eastAsia" w:ascii="Times New Roman" w:hAnsi="Times New Roman" w:cs="Times New Roman" w:eastAsiaTheme="minorEastAsia"/>
          <w:sz w:val="28"/>
          <w:szCs w:val="28"/>
          <w:lang w:eastAsia="zh-CN"/>
          <w14:ligatures w14:val="standardContextual"/>
        </w:rPr>
        <w:drawing>
          <wp:inline distT="0" distB="0" distL="114300" distR="114300">
            <wp:extent cx="5270500" cy="6673850"/>
            <wp:effectExtent l="0" t="0" r="6350" b="12700"/>
            <wp:docPr id="1" name="图片 1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7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3C51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14:ligatures w14:val="standardContextual"/>
        </w:rPr>
        <w:t>Figure S4.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Impact of different gene mutation statuses on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the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 and patient prognosis</w:t>
      </w:r>
    </w:p>
    <w:p w14:paraId="19B5828E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A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Impact of BAP1 mutation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on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the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survival time, demonstrated using Kaplan-Meier curves showing the difference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 in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survival between patients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with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BAP1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mutation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and wild-type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genes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.</w:t>
      </w:r>
    </w:p>
    <w:p w14:paraId="609BD35C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B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Comparison of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score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between patients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with BAP1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and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KRAS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mutation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, presented as a bar graph showing significantly higher TEC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scores in patients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with KRAS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mutation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s,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compared to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 xml:space="preserve"> those with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BAP1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mutation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.</w:t>
      </w:r>
    </w:p>
    <w:p w14:paraId="37F74BD1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C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) GSEA enrichment analysis demonstrating differential pathway enrichment in patients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with KRAS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and 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BAP1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mutation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.</w:t>
      </w:r>
    </w:p>
    <w:p w14:paraId="506973F8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</w:p>
    <w:p w14:paraId="283D8C45">
      <w:pPr>
        <w:snapToGrid w:val="0"/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  <w14:ligatures w14:val="standardContextual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  <w14:ligatures w14:val="standardContextual"/>
        </w:rPr>
        <w:drawing>
          <wp:inline distT="0" distB="0" distL="114300" distR="114300">
            <wp:extent cx="5267325" cy="5128895"/>
            <wp:effectExtent l="0" t="0" r="9525" b="14605"/>
            <wp:docPr id="3" name="图片 3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2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BDCBE8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14:ligatures w14:val="standardContextual"/>
        </w:rPr>
        <w:t>Figure S5.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CXCL12 expression and spatial distribution in TECs</w:t>
      </w:r>
    </w:p>
    <w:p w14:paraId="5414ADFA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A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Violin plot demonstrating high CXCL12 expression in endothelial cells compared to other cell types.</w:t>
      </w:r>
    </w:p>
    <w:p w14:paraId="4A226593">
      <w:pPr>
        <w:snapToGrid w:val="0"/>
        <w:rPr>
          <w:rFonts w:hint="eastAsia"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B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Correlation heatmap illustrating the associations between TEC abundance and other cell types in the TME</w:t>
      </w:r>
    </w:p>
    <w:p w14:paraId="58CE999F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C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Spatial transcriptomics map revealing the distribution of different cell types in tissue sections, with all cells segregating into five clusters.</w:t>
      </w:r>
    </w:p>
    <w:p w14:paraId="72136933">
      <w:pPr>
        <w:snapToGrid w:val="0"/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(D)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Spatial expression map of CXCL12 within the TME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.</w:t>
      </w:r>
    </w:p>
    <w:p w14:paraId="19574BE4">
      <w:pPr>
        <w:snapToGrid w:val="0"/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(E) In the multiplex immunofluorescence staining experiment, the analysis showed a positive correlation trend between CXCL12 and CD8 expression (R = 0.6666, P = 0.1482).</w:t>
      </w:r>
    </w:p>
    <w:p w14:paraId="2F2B44E5">
      <w:pPr>
        <w:snapToGrid w:val="0"/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(F) In the multiplex immunofluorescence staining experiment, a significant positive correlation was observed between CXCL12 and CD79 expression (R = 0.8212, P = 0.0451).</w:t>
      </w:r>
    </w:p>
    <w:p w14:paraId="510CBBD0">
      <w:pPr>
        <w:snapToGrid w:val="0"/>
        <w:rPr>
          <w:rFonts w:ascii="Times New Roman" w:hAnsi="Times New Roman" w:cs="Times New Roman"/>
          <w:b/>
          <w:bCs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5274310" cy="4156710"/>
            <wp:effectExtent l="0" t="0" r="2540" b="0"/>
            <wp:docPr id="2083726067" name="图片 6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26067" name="图片 6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9" cstate="hq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5C370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14:ligatures w14:val="standardContextual"/>
        </w:rPr>
        <w:t>Figure S6.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ROC curves of TEC.Sig for predicting immunotherapy response</w:t>
      </w:r>
      <w:r>
        <w:rPr>
          <w:rFonts w:ascii="Times New Roman" w:hAnsi="Times New Roman" w:cs="Times New Roman"/>
          <w:sz w:val="28"/>
          <w:szCs w:val="28"/>
          <w14:ligatures w14:val="standardContextual"/>
        </w:rPr>
        <w:t>s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 xml:space="preserve"> in different datasets</w:t>
      </w:r>
    </w:p>
    <w:p w14:paraId="41F51E92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A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ROC curve of TEC.Sig in the GSE202069 dataset, with an AUC value of 0.96.</w:t>
      </w:r>
    </w:p>
    <w:p w14:paraId="7B3AD0AE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B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ROC curve of TEC.Sig in the MGSP dataset, with an AUC value of 0.78.</w:t>
      </w:r>
    </w:p>
    <w:p w14:paraId="17AA218F">
      <w:pPr>
        <w:snapToGrid w:val="0"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  <w14:ligatures w14:val="standardContextual"/>
        </w:rPr>
        <w:t>C</w:t>
      </w:r>
      <w:r>
        <w:rPr>
          <w:rFonts w:hint="eastAsia" w:ascii="Times New Roman" w:hAnsi="Times New Roman" w:cs="Times New Roman"/>
          <w:sz w:val="28"/>
          <w:szCs w:val="28"/>
          <w14:ligatures w14:val="standardContextual"/>
        </w:rPr>
        <w:t>) ROC curve of TEC.Sig in the IMvigor210 dataset, with an AUC value of 0.73.</w:t>
      </w:r>
    </w:p>
    <w:p w14:paraId="53942F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0ZTg1MGQyMDNhYTZlYTE2ZjY2MGQ1MDAxZGE3MTYifQ=="/>
  </w:docVars>
  <w:rsids>
    <w:rsidRoot w:val="5D227754"/>
    <w:rsid w:val="00076978"/>
    <w:rsid w:val="001A0FE8"/>
    <w:rsid w:val="00FE45DD"/>
    <w:rsid w:val="1B7522F3"/>
    <w:rsid w:val="41487294"/>
    <w:rsid w:val="482E38E2"/>
    <w:rsid w:val="5D22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695</Words>
  <Characters>3947</Characters>
  <Lines>30</Lines>
  <Paragraphs>8</Paragraphs>
  <TotalTime>2</TotalTime>
  <ScaleCrop>false</ScaleCrop>
  <LinksUpToDate>false</LinksUpToDate>
  <CharactersWithSpaces>4606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2024-09-07T12:49:00Z</dcterms:created>
  <dc:creator>WPS_1715675519</dc:creator>
  <cp:lastModifiedBy>WPS_1715675519</cp:lastModifiedBy>
  <dcterms:modified xsi:type="dcterms:W3CDTF">2024-09-28T17:36:44Z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A5809A8EED9944C983D79D2ED87C41C9_11</vt:lpwstr>
  </property>
</Properties>
</file>