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61F6A" w14:textId="2BA8BBDF" w:rsidR="00FA78EB" w:rsidRPr="000C584C" w:rsidRDefault="00DB3DD1" w:rsidP="00FA78EB">
      <w:pPr>
        <w:pStyle w:val="NormalWeb"/>
      </w:pPr>
      <w:r w:rsidRPr="000C584C">
        <w:rPr>
          <w:rFonts w:hint="eastAsia"/>
          <w:noProof/>
          <w:lang w:val="en-IN" w:eastAsia="en-IN"/>
        </w:rPr>
        <w:drawing>
          <wp:inline distT="0" distB="0" distL="0" distR="0" wp14:anchorId="6FBF4CD4" wp14:editId="38F0CA19">
            <wp:extent cx="5274310" cy="2961005"/>
            <wp:effectExtent l="0" t="0" r="0" b="0"/>
            <wp:docPr id="14720147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AFDC35" w14:textId="77777777" w:rsidR="00FA78EB" w:rsidRPr="000C584C" w:rsidRDefault="00FA78EB" w:rsidP="00FA78EB">
      <w:pPr>
        <w:spacing w:line="360" w:lineRule="auto"/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b/>
          <w:kern w:val="0"/>
          <w:sz w:val="20"/>
          <w:szCs w:val="20"/>
        </w:rPr>
        <w:t>Fig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. S1</w:t>
      </w:r>
      <w:r w:rsidRPr="000C584C">
        <w:rPr>
          <w:rFonts w:ascii="Arial" w:hAnsi="Arial" w:cs="Arial"/>
          <w:b/>
          <w:kern w:val="0"/>
          <w:sz w:val="20"/>
          <w:szCs w:val="20"/>
        </w:rPr>
        <w:t xml:space="preserve">. </w:t>
      </w:r>
      <w:r w:rsidRPr="000C584C">
        <w:rPr>
          <w:rFonts w:ascii="Arial" w:hAnsi="Arial" w:cs="Arial" w:hint="eastAsia"/>
          <w:b/>
          <w:sz w:val="20"/>
          <w:szCs w:val="20"/>
        </w:rPr>
        <w:t>USP7 knockdown or inhibition reduces the expression of glycolytic genes in PDAC cells</w:t>
      </w:r>
      <w:r w:rsidRPr="000C584C">
        <w:rPr>
          <w:rFonts w:ascii="Arial" w:hAnsi="Arial" w:cs="Arial"/>
          <w:b/>
          <w:kern w:val="0"/>
          <w:sz w:val="20"/>
          <w:szCs w:val="20"/>
        </w:rPr>
        <w:t>.</w:t>
      </w:r>
      <w:r w:rsidRPr="000C584C">
        <w:rPr>
          <w:rFonts w:ascii="Arial" w:hAnsi="Arial" w:cs="Arial" w:hint="eastAsia"/>
          <w:sz w:val="20"/>
          <w:szCs w:val="20"/>
        </w:rPr>
        <w:t xml:space="preserve"> </w:t>
      </w:r>
    </w:p>
    <w:p w14:paraId="7D9FA7A8" w14:textId="328D0952" w:rsidR="00FA78EB" w:rsidRPr="000C584C" w:rsidRDefault="00FA78EB" w:rsidP="00FA78EB">
      <w:pPr>
        <w:spacing w:line="360" w:lineRule="auto"/>
        <w:rPr>
          <w:rFonts w:ascii="Arial" w:hAnsi="Arial" w:cs="Arial"/>
          <w:kern w:val="0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(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A</w:t>
      </w:r>
      <w:r w:rsidRPr="000C584C">
        <w:rPr>
          <w:rFonts w:ascii="Arial" w:hAnsi="Arial" w:cs="Arial"/>
          <w:kern w:val="0"/>
          <w:sz w:val="20"/>
          <w:szCs w:val="20"/>
        </w:rPr>
        <w:t xml:space="preserve">) 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Real-time qPCR showed the expression of </w:t>
      </w:r>
      <w:r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SLC2A1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, </w:t>
      </w:r>
      <w:r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HK2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, and </w:t>
      </w:r>
      <w:r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LDHA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in sh-Ctrl and sh-</w:t>
      </w:r>
      <w:r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USP7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CFPAC-1 and PANC1 cells</w:t>
      </w:r>
      <w:r w:rsidR="00B908B3" w:rsidRPr="000C584C">
        <w:rPr>
          <w:rFonts w:ascii="Arial" w:hAnsi="Arial" w:cs="Arial" w:hint="eastAsia"/>
          <w:kern w:val="0"/>
          <w:sz w:val="20"/>
          <w:szCs w:val="20"/>
        </w:rPr>
        <w:t xml:space="preserve"> (n = 3 per group)</w:t>
      </w:r>
      <w:r w:rsidRPr="000C584C">
        <w:rPr>
          <w:rFonts w:ascii="Arial" w:hAnsi="Arial" w:cs="Arial"/>
          <w:kern w:val="0"/>
          <w:sz w:val="20"/>
          <w:szCs w:val="20"/>
        </w:rPr>
        <w:t xml:space="preserve">. </w:t>
      </w:r>
    </w:p>
    <w:p w14:paraId="70EFD708" w14:textId="55E2E11B" w:rsidR="00FA78EB" w:rsidRPr="000C584C" w:rsidRDefault="00FA78EB" w:rsidP="00FA78EB">
      <w:pPr>
        <w:spacing w:line="360" w:lineRule="auto"/>
        <w:rPr>
          <w:rFonts w:ascii="Arial" w:hAnsi="Arial" w:cs="Arial"/>
          <w:kern w:val="0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(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B</w:t>
      </w:r>
      <w:r w:rsidRPr="000C584C">
        <w:rPr>
          <w:rFonts w:ascii="Arial" w:hAnsi="Arial" w:cs="Arial"/>
          <w:kern w:val="0"/>
          <w:sz w:val="20"/>
          <w:szCs w:val="20"/>
        </w:rPr>
        <w:t>)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Real-time qPCR showed the expression of </w:t>
      </w:r>
      <w:r w:rsidR="006C2F24"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SLC2A1</w:t>
      </w:r>
      <w:r w:rsidR="006C2F24" w:rsidRPr="000C584C">
        <w:rPr>
          <w:rFonts w:ascii="Arial" w:hAnsi="Arial" w:cs="Arial" w:hint="eastAsia"/>
          <w:kern w:val="0"/>
          <w:sz w:val="20"/>
          <w:szCs w:val="20"/>
        </w:rPr>
        <w:t xml:space="preserve">, </w:t>
      </w:r>
      <w:r w:rsidR="006C2F24"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HK2</w:t>
      </w:r>
      <w:r w:rsidR="006C2F24" w:rsidRPr="000C584C">
        <w:rPr>
          <w:rFonts w:ascii="Arial" w:hAnsi="Arial" w:cs="Arial" w:hint="eastAsia"/>
          <w:kern w:val="0"/>
          <w:sz w:val="20"/>
          <w:szCs w:val="20"/>
        </w:rPr>
        <w:t xml:space="preserve">, and </w:t>
      </w:r>
      <w:r w:rsidR="006C2F24" w:rsidRPr="000C584C">
        <w:rPr>
          <w:rFonts w:ascii="Arial" w:hAnsi="Arial" w:cs="Arial" w:hint="eastAsia"/>
          <w:i/>
          <w:iCs/>
          <w:kern w:val="0"/>
          <w:sz w:val="20"/>
          <w:szCs w:val="20"/>
        </w:rPr>
        <w:t>LDHA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in PDAC cells following USP7 inhibition</w:t>
      </w:r>
      <w:r w:rsidR="00B908B3" w:rsidRPr="000C584C">
        <w:rPr>
          <w:rFonts w:ascii="Arial" w:hAnsi="Arial" w:cs="Arial" w:hint="eastAsia"/>
          <w:kern w:val="0"/>
          <w:sz w:val="20"/>
          <w:szCs w:val="20"/>
        </w:rPr>
        <w:t xml:space="preserve"> (n = 3 per group)</w:t>
      </w:r>
      <w:r w:rsidRPr="000C584C">
        <w:rPr>
          <w:rFonts w:ascii="Arial" w:hAnsi="Arial" w:cs="Arial"/>
          <w:kern w:val="0"/>
          <w:sz w:val="20"/>
          <w:szCs w:val="20"/>
        </w:rPr>
        <w:t xml:space="preserve">.  </w:t>
      </w:r>
    </w:p>
    <w:p w14:paraId="3C19499D" w14:textId="59026F24" w:rsidR="00317B15" w:rsidRPr="000C584C" w:rsidRDefault="00317B15" w:rsidP="00317B15">
      <w:pPr>
        <w:spacing w:line="360" w:lineRule="auto"/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Values were compared by one-way ANOVA multiple comparisons with Tukey’s method among groups.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="00FA78EB" w:rsidRPr="000C584C">
        <w:rPr>
          <w:rFonts w:ascii="Arial" w:hAnsi="Arial" w:cs="Arial" w:hint="eastAsia"/>
          <w:sz w:val="20"/>
          <w:szCs w:val="20"/>
        </w:rPr>
        <w:t>*</w:t>
      </w:r>
      <w:r w:rsidR="00FA78EB" w:rsidRPr="000C584C">
        <w:rPr>
          <w:rFonts w:ascii="Arial" w:hAnsi="Arial" w:cs="Arial"/>
          <w:i/>
          <w:iCs/>
          <w:sz w:val="20"/>
          <w:szCs w:val="20"/>
        </w:rPr>
        <w:t>P</w:t>
      </w:r>
      <w:r w:rsidR="00FA78EB" w:rsidRPr="000C584C">
        <w:rPr>
          <w:rFonts w:ascii="Arial" w:hAnsi="Arial" w:cs="Arial"/>
          <w:sz w:val="20"/>
          <w:szCs w:val="20"/>
        </w:rPr>
        <w:t xml:space="preserve"> &lt; 0.05</w:t>
      </w:r>
      <w:r w:rsidR="00FA78EB" w:rsidRPr="000C584C">
        <w:rPr>
          <w:rFonts w:ascii="Arial" w:hAnsi="Arial" w:cs="Arial" w:hint="eastAsia"/>
          <w:sz w:val="20"/>
          <w:szCs w:val="20"/>
        </w:rPr>
        <w:t>, **</w:t>
      </w:r>
      <w:r w:rsidR="00FA78EB" w:rsidRPr="000C584C">
        <w:rPr>
          <w:rFonts w:ascii="Arial" w:hAnsi="Arial" w:cs="Arial"/>
          <w:i/>
          <w:iCs/>
          <w:sz w:val="20"/>
          <w:szCs w:val="20"/>
        </w:rPr>
        <w:t>P</w:t>
      </w:r>
      <w:r w:rsidR="00FA78EB" w:rsidRPr="000C584C">
        <w:rPr>
          <w:rFonts w:ascii="Arial" w:hAnsi="Arial" w:cs="Arial"/>
          <w:sz w:val="20"/>
          <w:szCs w:val="20"/>
        </w:rPr>
        <w:t xml:space="preserve"> &lt; 0.0</w:t>
      </w:r>
      <w:r w:rsidR="00FA78EB" w:rsidRPr="000C584C">
        <w:rPr>
          <w:rFonts w:ascii="Arial" w:hAnsi="Arial" w:cs="Arial" w:hint="eastAsia"/>
          <w:sz w:val="20"/>
          <w:szCs w:val="20"/>
        </w:rPr>
        <w:t>1, ***</w:t>
      </w:r>
      <w:r w:rsidR="00FA78EB" w:rsidRPr="000C584C">
        <w:rPr>
          <w:rFonts w:ascii="Arial" w:hAnsi="Arial" w:cs="Arial"/>
          <w:i/>
          <w:iCs/>
          <w:sz w:val="20"/>
          <w:szCs w:val="20"/>
        </w:rPr>
        <w:t>P</w:t>
      </w:r>
      <w:r w:rsidR="00FA78EB" w:rsidRPr="000C584C">
        <w:rPr>
          <w:rFonts w:ascii="Arial" w:hAnsi="Arial" w:cs="Arial"/>
          <w:sz w:val="20"/>
          <w:szCs w:val="20"/>
        </w:rPr>
        <w:t xml:space="preserve"> &lt; 0.0</w:t>
      </w:r>
      <w:r w:rsidR="00FA78EB" w:rsidRPr="000C584C">
        <w:rPr>
          <w:rFonts w:ascii="Arial" w:hAnsi="Arial" w:cs="Arial" w:hint="eastAsia"/>
          <w:sz w:val="20"/>
          <w:szCs w:val="20"/>
        </w:rPr>
        <w:t>01</w:t>
      </w:r>
      <w:r w:rsidR="00FA78EB" w:rsidRPr="000C584C">
        <w:rPr>
          <w:rFonts w:ascii="Arial" w:hAnsi="Arial" w:cs="Arial"/>
          <w:sz w:val="20"/>
          <w:szCs w:val="20"/>
        </w:rPr>
        <w:t>.</w:t>
      </w:r>
    </w:p>
    <w:p w14:paraId="59B189E1" w14:textId="76DAB0EB" w:rsidR="00FA78EB" w:rsidRPr="000C584C" w:rsidRDefault="00317B15" w:rsidP="00DB3DD1">
      <w:pPr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sz w:val="20"/>
          <w:szCs w:val="20"/>
        </w:rPr>
        <w:br w:type="page"/>
      </w:r>
      <w:r w:rsidR="00DB3DD1" w:rsidRPr="000C584C">
        <w:rPr>
          <w:rFonts w:ascii="Arial" w:hAnsi="Arial" w:cs="Arial" w:hint="eastAsia"/>
          <w:noProof/>
          <w:sz w:val="20"/>
          <w:szCs w:val="20"/>
          <w:lang w:val="en-IN" w:eastAsia="en-IN"/>
        </w:rPr>
        <w:drawing>
          <wp:inline distT="0" distB="0" distL="0" distR="0" wp14:anchorId="387913D9" wp14:editId="3EC22421">
            <wp:extent cx="5274310" cy="1532255"/>
            <wp:effectExtent l="0" t="0" r="0" b="0"/>
            <wp:docPr id="10299376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37454" w14:textId="77777777" w:rsidR="00FA78EB" w:rsidRPr="000C584C" w:rsidRDefault="00FA78EB" w:rsidP="00FA78EB">
      <w:pPr>
        <w:spacing w:line="360" w:lineRule="auto"/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b/>
          <w:kern w:val="0"/>
          <w:sz w:val="20"/>
          <w:szCs w:val="20"/>
        </w:rPr>
        <w:t>Fig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. S2</w:t>
      </w:r>
      <w:r w:rsidRPr="000C584C">
        <w:rPr>
          <w:rFonts w:ascii="Arial" w:hAnsi="Arial" w:cs="Arial"/>
          <w:b/>
          <w:kern w:val="0"/>
          <w:sz w:val="20"/>
          <w:szCs w:val="20"/>
        </w:rPr>
        <w:t xml:space="preserve">. </w:t>
      </w:r>
      <w:r w:rsidRPr="000C584C">
        <w:rPr>
          <w:rFonts w:ascii="Arial" w:hAnsi="Arial" w:cs="Arial" w:hint="eastAsia"/>
          <w:b/>
          <w:sz w:val="20"/>
          <w:szCs w:val="20"/>
        </w:rPr>
        <w:t>USP7 overexpression promotes PDAC cell glycolysis</w:t>
      </w:r>
      <w:r w:rsidRPr="000C584C">
        <w:rPr>
          <w:rFonts w:ascii="Arial" w:hAnsi="Arial" w:cs="Arial"/>
          <w:b/>
          <w:kern w:val="0"/>
          <w:sz w:val="20"/>
          <w:szCs w:val="20"/>
        </w:rPr>
        <w:t>.</w:t>
      </w:r>
      <w:r w:rsidRPr="000C584C">
        <w:rPr>
          <w:rFonts w:ascii="Arial" w:hAnsi="Arial" w:cs="Arial" w:hint="eastAsia"/>
          <w:sz w:val="20"/>
          <w:szCs w:val="20"/>
        </w:rPr>
        <w:t xml:space="preserve"> </w:t>
      </w:r>
    </w:p>
    <w:p w14:paraId="1E926A19" w14:textId="4CAA5B85" w:rsidR="00FA78EB" w:rsidRPr="000C584C" w:rsidRDefault="00FA78EB" w:rsidP="00FA78EB">
      <w:pPr>
        <w:spacing w:line="360" w:lineRule="auto"/>
        <w:rPr>
          <w:rFonts w:ascii="Arial" w:hAnsi="Arial" w:cs="Arial"/>
          <w:kern w:val="0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(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A-B</w:t>
      </w:r>
      <w:r w:rsidRPr="000C584C">
        <w:rPr>
          <w:rFonts w:ascii="Arial" w:hAnsi="Arial" w:cs="Arial"/>
          <w:kern w:val="0"/>
          <w:sz w:val="20"/>
          <w:szCs w:val="20"/>
        </w:rPr>
        <w:t>)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The effects of USP7</w:t>
      </w:r>
      <w:r w:rsidRPr="000C584C">
        <w:rPr>
          <w:rFonts w:ascii="Arial" w:hAnsi="Arial" w:cs="Arial"/>
          <w:kern w:val="0"/>
          <w:sz w:val="20"/>
          <w:szCs w:val="20"/>
        </w:rPr>
        <w:t xml:space="preserve"> 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overexpression on the glucose uptake and lactate production </w:t>
      </w:r>
      <w:r w:rsidRPr="000C584C">
        <w:rPr>
          <w:rFonts w:ascii="Arial" w:hAnsi="Arial" w:cs="Arial"/>
          <w:kern w:val="0"/>
          <w:sz w:val="20"/>
          <w:szCs w:val="20"/>
        </w:rPr>
        <w:t xml:space="preserve">in </w:t>
      </w:r>
      <w:r w:rsidRPr="000C584C">
        <w:rPr>
          <w:rFonts w:ascii="Arial" w:hAnsi="Arial" w:cs="Arial" w:hint="eastAsia"/>
          <w:kern w:val="0"/>
          <w:sz w:val="20"/>
          <w:szCs w:val="20"/>
        </w:rPr>
        <w:t>AsPC</w:t>
      </w:r>
      <w:r w:rsidRPr="000C584C">
        <w:rPr>
          <w:rFonts w:ascii="Arial" w:hAnsi="Arial" w:cs="Arial"/>
          <w:kern w:val="0"/>
          <w:sz w:val="20"/>
          <w:szCs w:val="20"/>
        </w:rPr>
        <w:t>1 cells</w:t>
      </w:r>
      <w:r w:rsidR="00B908B3" w:rsidRPr="000C584C">
        <w:rPr>
          <w:rFonts w:ascii="Arial" w:hAnsi="Arial" w:cs="Arial" w:hint="eastAsia"/>
          <w:kern w:val="0"/>
          <w:sz w:val="20"/>
          <w:szCs w:val="20"/>
        </w:rPr>
        <w:t xml:space="preserve"> (n = 3 per group)</w:t>
      </w:r>
      <w:r w:rsidRPr="000C584C">
        <w:rPr>
          <w:rFonts w:ascii="Arial" w:hAnsi="Arial" w:cs="Arial"/>
          <w:kern w:val="0"/>
          <w:sz w:val="20"/>
          <w:szCs w:val="20"/>
        </w:rPr>
        <w:t xml:space="preserve">. </w:t>
      </w:r>
    </w:p>
    <w:p w14:paraId="71FD01AB" w14:textId="05A19860" w:rsidR="00FA78EB" w:rsidRPr="000C584C" w:rsidRDefault="00FA78EB" w:rsidP="00FA78EB">
      <w:pPr>
        <w:spacing w:line="360" w:lineRule="auto"/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(</w:t>
      </w:r>
      <w:r w:rsidRPr="000C584C">
        <w:rPr>
          <w:rFonts w:ascii="Arial" w:hAnsi="Arial" w:cs="Arial" w:hint="eastAsia"/>
          <w:b/>
          <w:kern w:val="0"/>
          <w:sz w:val="20"/>
          <w:szCs w:val="20"/>
        </w:rPr>
        <w:t>C</w:t>
      </w:r>
      <w:r w:rsidRPr="000C584C">
        <w:rPr>
          <w:rFonts w:ascii="Arial" w:hAnsi="Arial" w:cs="Arial"/>
          <w:kern w:val="0"/>
          <w:sz w:val="20"/>
          <w:szCs w:val="20"/>
        </w:rPr>
        <w:t>)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Pr="000C584C">
        <w:rPr>
          <w:rFonts w:ascii="Arial" w:hAnsi="Arial" w:cs="Arial"/>
          <w:kern w:val="0"/>
          <w:sz w:val="20"/>
          <w:szCs w:val="20"/>
        </w:rPr>
        <w:t xml:space="preserve">Seahorse experiment </w:t>
      </w:r>
      <w:r w:rsidRPr="000C584C">
        <w:rPr>
          <w:rFonts w:ascii="Arial" w:hAnsi="Arial" w:cs="Arial" w:hint="eastAsia"/>
          <w:kern w:val="0"/>
          <w:sz w:val="20"/>
          <w:szCs w:val="20"/>
        </w:rPr>
        <w:t>showed</w:t>
      </w:r>
      <w:r w:rsidRPr="000C584C">
        <w:rPr>
          <w:rFonts w:ascii="Arial" w:hAnsi="Arial" w:cs="Arial"/>
          <w:kern w:val="0"/>
          <w:sz w:val="20"/>
          <w:szCs w:val="20"/>
        </w:rPr>
        <w:t xml:space="preserve"> the effect of USP7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overexpression</w:t>
      </w:r>
      <w:r w:rsidRPr="000C584C">
        <w:rPr>
          <w:rFonts w:ascii="Arial" w:hAnsi="Arial" w:cs="Arial"/>
          <w:kern w:val="0"/>
          <w:sz w:val="20"/>
          <w:szCs w:val="20"/>
        </w:rPr>
        <w:t xml:space="preserve"> on extracellular acidification rate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(ECAR)</w:t>
      </w:r>
      <w:r w:rsidRPr="000C584C">
        <w:rPr>
          <w:rFonts w:ascii="Arial" w:hAnsi="Arial" w:cs="Arial"/>
          <w:kern w:val="0"/>
          <w:sz w:val="20"/>
          <w:szCs w:val="20"/>
        </w:rPr>
        <w:t xml:space="preserve"> of </w:t>
      </w:r>
      <w:r w:rsidRPr="000C584C">
        <w:rPr>
          <w:rFonts w:ascii="Arial" w:hAnsi="Arial" w:cs="Arial" w:hint="eastAsia"/>
          <w:kern w:val="0"/>
          <w:sz w:val="20"/>
          <w:szCs w:val="20"/>
        </w:rPr>
        <w:t>AsPC</w:t>
      </w:r>
      <w:r w:rsidRPr="000C584C">
        <w:rPr>
          <w:rFonts w:ascii="Arial" w:hAnsi="Arial" w:cs="Arial"/>
          <w:kern w:val="0"/>
          <w:sz w:val="20"/>
          <w:szCs w:val="20"/>
        </w:rPr>
        <w:t>1 cells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. </w:t>
      </w:r>
      <w:r w:rsidRPr="000C584C">
        <w:rPr>
          <w:rFonts w:ascii="Arial" w:hAnsi="Arial" w:cs="Arial"/>
          <w:kern w:val="0"/>
          <w:sz w:val="20"/>
          <w:szCs w:val="20"/>
        </w:rPr>
        <w:t>ΔECAR represents the difference between the ECAR values induced by oligomycin and 2-DG</w:t>
      </w:r>
      <w:r w:rsidR="00B908B3" w:rsidRPr="000C584C">
        <w:rPr>
          <w:rFonts w:ascii="Arial" w:hAnsi="Arial" w:cs="Arial" w:hint="eastAsia"/>
          <w:kern w:val="0"/>
          <w:sz w:val="20"/>
          <w:szCs w:val="20"/>
        </w:rPr>
        <w:t xml:space="preserve"> (n = 3 per group)</w:t>
      </w:r>
      <w:r w:rsidRPr="000C584C">
        <w:rPr>
          <w:rFonts w:ascii="Arial" w:hAnsi="Arial" w:cs="Arial"/>
          <w:kern w:val="0"/>
          <w:sz w:val="20"/>
          <w:szCs w:val="20"/>
        </w:rPr>
        <w:t>.</w:t>
      </w:r>
    </w:p>
    <w:p w14:paraId="2FFBE82D" w14:textId="6322AD12" w:rsidR="00CC798E" w:rsidRPr="000C584C" w:rsidRDefault="00317B15" w:rsidP="00317B15">
      <w:pPr>
        <w:spacing w:line="360" w:lineRule="auto"/>
        <w:rPr>
          <w:rFonts w:ascii="Arial" w:hAnsi="Arial" w:cs="Arial"/>
          <w:sz w:val="20"/>
          <w:szCs w:val="20"/>
        </w:rPr>
      </w:pPr>
      <w:r w:rsidRPr="000C584C">
        <w:rPr>
          <w:rFonts w:ascii="Arial" w:hAnsi="Arial" w:cs="Arial"/>
          <w:kern w:val="0"/>
          <w:sz w:val="20"/>
          <w:szCs w:val="20"/>
        </w:rPr>
        <w:t>Values were compared by the</w:t>
      </w:r>
      <w:r w:rsidRPr="000C584C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Pr="000C584C">
        <w:rPr>
          <w:rFonts w:ascii="Arial" w:hAnsi="Arial" w:cs="Arial"/>
          <w:kern w:val="0"/>
          <w:sz w:val="20"/>
          <w:szCs w:val="20"/>
        </w:rPr>
        <w:t>Student’s t test</w:t>
      </w:r>
      <w:r w:rsidRPr="000C584C">
        <w:rPr>
          <w:rFonts w:ascii="Arial" w:hAnsi="Arial" w:cs="Arial" w:hint="eastAsia"/>
          <w:kern w:val="0"/>
          <w:sz w:val="20"/>
          <w:szCs w:val="20"/>
        </w:rPr>
        <w:t>.</w:t>
      </w:r>
      <w:r w:rsidRPr="000C584C">
        <w:rPr>
          <w:rFonts w:ascii="Arial" w:hAnsi="Arial" w:cs="Arial" w:hint="eastAsia"/>
          <w:sz w:val="20"/>
          <w:szCs w:val="20"/>
        </w:rPr>
        <w:t xml:space="preserve"> </w:t>
      </w:r>
      <w:r w:rsidR="00FA78EB" w:rsidRPr="000C584C">
        <w:rPr>
          <w:rFonts w:ascii="Arial" w:hAnsi="Arial" w:cs="Arial" w:hint="eastAsia"/>
          <w:sz w:val="20"/>
          <w:szCs w:val="20"/>
        </w:rPr>
        <w:t>*</w:t>
      </w:r>
      <w:r w:rsidR="00FA78EB" w:rsidRPr="000C584C">
        <w:rPr>
          <w:rFonts w:ascii="Arial" w:hAnsi="Arial" w:cs="Arial"/>
          <w:i/>
          <w:iCs/>
          <w:sz w:val="20"/>
          <w:szCs w:val="20"/>
        </w:rPr>
        <w:t>P</w:t>
      </w:r>
      <w:r w:rsidR="00FA78EB" w:rsidRPr="000C584C">
        <w:rPr>
          <w:rFonts w:ascii="Arial" w:hAnsi="Arial" w:cs="Arial"/>
          <w:sz w:val="20"/>
          <w:szCs w:val="20"/>
        </w:rPr>
        <w:t xml:space="preserve"> &lt; 0.05.</w:t>
      </w:r>
    </w:p>
    <w:sectPr w:rsidR="00CC798E" w:rsidRPr="000C584C" w:rsidSect="000C5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46F6C" w14:textId="77777777" w:rsidR="0008582B" w:rsidRDefault="0008582B" w:rsidP="007236E5">
      <w:r>
        <w:separator/>
      </w:r>
    </w:p>
  </w:endnote>
  <w:endnote w:type="continuationSeparator" w:id="0">
    <w:p w14:paraId="2038A162" w14:textId="77777777" w:rsidR="0008582B" w:rsidRDefault="0008582B" w:rsidP="0072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01DA42" w14:textId="77777777" w:rsidR="0008582B" w:rsidRDefault="0008582B" w:rsidP="007236E5">
      <w:r>
        <w:separator/>
      </w:r>
    </w:p>
  </w:footnote>
  <w:footnote w:type="continuationSeparator" w:id="0">
    <w:p w14:paraId="07D1E2E3" w14:textId="77777777" w:rsidR="0008582B" w:rsidRDefault="0008582B" w:rsidP="00723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36E5"/>
    <w:rsid w:val="00082221"/>
    <w:rsid w:val="0008582B"/>
    <w:rsid w:val="000A38A8"/>
    <w:rsid w:val="000C584C"/>
    <w:rsid w:val="00141C45"/>
    <w:rsid w:val="001A6ADB"/>
    <w:rsid w:val="00281FB4"/>
    <w:rsid w:val="002F11C5"/>
    <w:rsid w:val="00317B15"/>
    <w:rsid w:val="003674DA"/>
    <w:rsid w:val="0039739D"/>
    <w:rsid w:val="003D2F24"/>
    <w:rsid w:val="004165DE"/>
    <w:rsid w:val="004D42B3"/>
    <w:rsid w:val="004E5528"/>
    <w:rsid w:val="005372CE"/>
    <w:rsid w:val="00604BA7"/>
    <w:rsid w:val="00666731"/>
    <w:rsid w:val="006C2F24"/>
    <w:rsid w:val="007236E5"/>
    <w:rsid w:val="007750A0"/>
    <w:rsid w:val="008028B0"/>
    <w:rsid w:val="00964C8B"/>
    <w:rsid w:val="00994DA6"/>
    <w:rsid w:val="009F2630"/>
    <w:rsid w:val="00A8332D"/>
    <w:rsid w:val="00AC3518"/>
    <w:rsid w:val="00B40B35"/>
    <w:rsid w:val="00B908B3"/>
    <w:rsid w:val="00BB64E2"/>
    <w:rsid w:val="00BE0222"/>
    <w:rsid w:val="00BE3F8C"/>
    <w:rsid w:val="00CA1A93"/>
    <w:rsid w:val="00CC798E"/>
    <w:rsid w:val="00DB3DD1"/>
    <w:rsid w:val="00E227F6"/>
    <w:rsid w:val="00E74BC1"/>
    <w:rsid w:val="00F1782D"/>
    <w:rsid w:val="00F57EA3"/>
    <w:rsid w:val="00FA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CD4C5"/>
  <w15:docId w15:val="{DF4F79F0-8A8E-4A90-9D8D-3989C3EE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8E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236E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2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36E5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36E5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41C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1C45"/>
    <w:rPr>
      <w:rFonts w:ascii="SimSun" w:eastAsia="SimSun" w:hAnsi="SimSun" w:cs="SimSun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4D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A78E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143</Words>
  <Characters>818</Characters>
  <Application>Microsoft Office Word</Application>
  <DocSecurity>0</DocSecurity>
  <Lines>6</Lines>
  <Paragraphs>1</Paragraphs>
  <ScaleCrop>false</ScaleCrop>
  <Company>Microsoft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Revathi   Thangaraj</cp:lastModifiedBy>
  <cp:revision>16</cp:revision>
  <dcterms:created xsi:type="dcterms:W3CDTF">2019-05-13T15:03:00Z</dcterms:created>
  <dcterms:modified xsi:type="dcterms:W3CDTF">2024-12-15T04:30:00Z</dcterms:modified>
</cp:coreProperties>
</file>