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817" w:rsidRPr="001C7817" w:rsidRDefault="001C7817" w:rsidP="001C7817">
      <w:pPr>
        <w:spacing w:before="100" w:beforeAutospacing="1" w:after="0" w:line="240" w:lineRule="auto"/>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SUPPLEMENTARY</w:t>
      </w:r>
      <w:r w:rsidRPr="001C7817">
        <w:rPr>
          <w:rFonts w:ascii="Times New Roman" w:eastAsia="Times New Roman" w:hAnsi="Times New Roman" w:cs="Times New Roman"/>
          <w:b/>
          <w:sz w:val="24"/>
          <w:szCs w:val="24"/>
          <w:lang w:eastAsia="en-GB"/>
        </w:rPr>
        <w:t xml:space="preserve"> 2: DATA EXTRACTION TABLE</w:t>
      </w:r>
      <w:r w:rsidR="00502DB6">
        <w:rPr>
          <w:rFonts w:ascii="Times New Roman" w:eastAsia="Times New Roman" w:hAnsi="Times New Roman" w:cs="Times New Roman"/>
          <w:b/>
          <w:sz w:val="24"/>
          <w:szCs w:val="24"/>
          <w:lang w:eastAsia="en-GB"/>
        </w:rPr>
        <w:t xml:space="preserve"> &amp; METHODOLOGICAL QUALITY OF STUDIES</w:t>
      </w:r>
    </w:p>
    <w:tbl>
      <w:tblPr>
        <w:tblStyle w:val="TableGrid"/>
        <w:tblW w:w="15036" w:type="dxa"/>
        <w:tblInd w:w="-882" w:type="dxa"/>
        <w:tblLayout w:type="fixed"/>
        <w:tblLook w:val="04A0" w:firstRow="1" w:lastRow="0" w:firstColumn="1" w:lastColumn="0" w:noHBand="0" w:noVBand="1"/>
      </w:tblPr>
      <w:tblGrid>
        <w:gridCol w:w="355"/>
        <w:gridCol w:w="356"/>
        <w:gridCol w:w="618"/>
        <w:gridCol w:w="705"/>
        <w:gridCol w:w="973"/>
        <w:gridCol w:w="531"/>
        <w:gridCol w:w="787"/>
        <w:gridCol w:w="769"/>
        <w:gridCol w:w="6315"/>
        <w:gridCol w:w="3261"/>
        <w:gridCol w:w="360"/>
        <w:gridCol w:w="6"/>
      </w:tblGrid>
      <w:tr w:rsidR="001C7817" w:rsidRPr="001C7817" w:rsidTr="001C7817">
        <w:trPr>
          <w:gridAfter w:val="11"/>
          <w:wAfter w:w="14681" w:type="dxa"/>
          <w:cantSplit/>
          <w:trHeight w:val="713"/>
        </w:trPr>
        <w:tc>
          <w:tcPr>
            <w:tcW w:w="355" w:type="dxa"/>
            <w:tcBorders>
              <w:top w:val="nil"/>
              <w:left w:val="nil"/>
              <w:bottom w:val="single" w:sz="4" w:space="0" w:color="auto"/>
              <w:right w:val="nil"/>
            </w:tcBorders>
          </w:tcPr>
          <w:p w:rsidR="001C7817" w:rsidRPr="001C7817" w:rsidRDefault="001C7817" w:rsidP="001C7817">
            <w:pPr>
              <w:ind w:right="113"/>
              <w:rPr>
                <w:b/>
              </w:rPr>
            </w:pPr>
          </w:p>
        </w:tc>
      </w:tr>
      <w:tr w:rsidR="00502DB6" w:rsidRPr="001C7817" w:rsidTr="00502DB6">
        <w:trPr>
          <w:cantSplit/>
          <w:trHeight w:val="20"/>
        </w:trPr>
        <w:tc>
          <w:tcPr>
            <w:tcW w:w="15036" w:type="dxa"/>
            <w:gridSpan w:val="12"/>
            <w:tcBorders>
              <w:top w:val="single" w:sz="4" w:space="0" w:color="auto"/>
              <w:left w:val="single" w:sz="4" w:space="0" w:color="auto"/>
              <w:bottom w:val="single" w:sz="4" w:space="0" w:color="auto"/>
              <w:right w:val="single" w:sz="4" w:space="0" w:color="auto"/>
            </w:tcBorders>
          </w:tcPr>
          <w:p w:rsidR="00502DB6" w:rsidRPr="001C7817" w:rsidRDefault="00502DB6" w:rsidP="001C7817">
            <w:pPr>
              <w:ind w:right="113"/>
              <w:jc w:val="center"/>
              <w:rPr>
                <w:b/>
                <w:sz w:val="18"/>
                <w:szCs w:val="18"/>
              </w:rPr>
            </w:pPr>
            <w:r w:rsidRPr="001C7817">
              <w:rPr>
                <w:b/>
              </w:rPr>
              <w:t>DATA EXTRACTION TABLE</w:t>
            </w:r>
          </w:p>
        </w:tc>
      </w:tr>
      <w:tr w:rsidR="001C7817" w:rsidRPr="001C7817" w:rsidTr="001C7817">
        <w:trPr>
          <w:cantSplit/>
          <w:trHeight w:val="152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113"/>
              <w:jc w:val="center"/>
              <w:rPr>
                <w:b/>
                <w:sz w:val="18"/>
                <w:szCs w:val="18"/>
              </w:rPr>
            </w:pPr>
            <w:r w:rsidRPr="001C7817">
              <w:rPr>
                <w:b/>
                <w:sz w:val="18"/>
                <w:szCs w:val="18"/>
              </w:rPr>
              <w:t>Ref</w:t>
            </w:r>
          </w:p>
        </w:tc>
        <w:tc>
          <w:tcPr>
            <w:tcW w:w="356"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ind w:right="113"/>
              <w:jc w:val="center"/>
              <w:rPr>
                <w:b/>
                <w:sz w:val="18"/>
                <w:szCs w:val="18"/>
              </w:rPr>
            </w:pPr>
            <w:r w:rsidRPr="001C7817">
              <w:rPr>
                <w:b/>
                <w:sz w:val="18"/>
                <w:szCs w:val="18"/>
              </w:rPr>
              <w:t>SN</w:t>
            </w:r>
          </w:p>
        </w:tc>
        <w:tc>
          <w:tcPr>
            <w:tcW w:w="618"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ind w:right="113"/>
              <w:jc w:val="center"/>
              <w:rPr>
                <w:b/>
                <w:sz w:val="18"/>
                <w:szCs w:val="18"/>
              </w:rPr>
            </w:pPr>
            <w:r w:rsidRPr="001C7817">
              <w:rPr>
                <w:b/>
                <w:sz w:val="18"/>
                <w:szCs w:val="18"/>
              </w:rPr>
              <w:t>Study  ID (authors, year)</w:t>
            </w:r>
          </w:p>
        </w:tc>
        <w:tc>
          <w:tcPr>
            <w:tcW w:w="705"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ind w:right="113"/>
              <w:jc w:val="center"/>
              <w:rPr>
                <w:b/>
                <w:sz w:val="18"/>
                <w:szCs w:val="18"/>
              </w:rPr>
            </w:pPr>
            <w:r w:rsidRPr="001C7817">
              <w:rPr>
                <w:b/>
                <w:sz w:val="18"/>
                <w:szCs w:val="18"/>
              </w:rPr>
              <w:t>Scope/ Focus</w:t>
            </w:r>
          </w:p>
        </w:tc>
        <w:tc>
          <w:tcPr>
            <w:tcW w:w="973"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ind w:right="113"/>
              <w:jc w:val="center"/>
              <w:rPr>
                <w:b/>
                <w:sz w:val="18"/>
                <w:szCs w:val="18"/>
              </w:rPr>
            </w:pPr>
            <w:r w:rsidRPr="001C7817">
              <w:rPr>
                <w:b/>
                <w:sz w:val="18"/>
                <w:szCs w:val="18"/>
              </w:rPr>
              <w:t>Condition / Population</w:t>
            </w:r>
          </w:p>
        </w:tc>
        <w:tc>
          <w:tcPr>
            <w:tcW w:w="531"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ind w:right="113"/>
              <w:jc w:val="center"/>
              <w:rPr>
                <w:b/>
                <w:sz w:val="18"/>
                <w:szCs w:val="18"/>
              </w:rPr>
            </w:pPr>
            <w:r w:rsidRPr="001C7817">
              <w:rPr>
                <w:b/>
                <w:sz w:val="18"/>
                <w:szCs w:val="18"/>
              </w:rPr>
              <w:t>Design</w:t>
            </w:r>
          </w:p>
        </w:tc>
        <w:tc>
          <w:tcPr>
            <w:tcW w:w="787"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ind w:right="113"/>
              <w:jc w:val="center"/>
              <w:rPr>
                <w:b/>
                <w:sz w:val="18"/>
                <w:szCs w:val="18"/>
              </w:rPr>
            </w:pPr>
            <w:r w:rsidRPr="001C7817">
              <w:rPr>
                <w:b/>
                <w:sz w:val="18"/>
                <w:szCs w:val="18"/>
              </w:rPr>
              <w:t>Data source</w:t>
            </w:r>
          </w:p>
        </w:tc>
        <w:tc>
          <w:tcPr>
            <w:tcW w:w="769"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ind w:right="113"/>
              <w:jc w:val="center"/>
              <w:rPr>
                <w:b/>
                <w:sz w:val="18"/>
                <w:szCs w:val="18"/>
              </w:rPr>
            </w:pPr>
            <w:r w:rsidRPr="001C7817">
              <w:rPr>
                <w:b/>
                <w:sz w:val="18"/>
                <w:szCs w:val="18"/>
              </w:rPr>
              <w:t>Outcome Reported</w:t>
            </w:r>
          </w:p>
        </w:tc>
        <w:tc>
          <w:tcPr>
            <w:tcW w:w="6315"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ind w:right="113"/>
              <w:jc w:val="center"/>
              <w:rPr>
                <w:b/>
                <w:sz w:val="18"/>
                <w:szCs w:val="18"/>
              </w:rPr>
            </w:pPr>
            <w:r w:rsidRPr="001C7817">
              <w:rPr>
                <w:b/>
                <w:sz w:val="18"/>
                <w:szCs w:val="18"/>
              </w:rPr>
              <w:t>Results, Findings or Report</w:t>
            </w:r>
          </w:p>
        </w:tc>
        <w:tc>
          <w:tcPr>
            <w:tcW w:w="3261"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ind w:right="113"/>
              <w:jc w:val="center"/>
              <w:rPr>
                <w:b/>
                <w:sz w:val="18"/>
                <w:szCs w:val="18"/>
              </w:rPr>
            </w:pPr>
            <w:r w:rsidRPr="001C7817">
              <w:rPr>
                <w:b/>
                <w:sz w:val="18"/>
                <w:szCs w:val="18"/>
              </w:rPr>
              <w:t>Conclusion</w:t>
            </w:r>
          </w:p>
        </w:tc>
        <w:tc>
          <w:tcPr>
            <w:tcW w:w="366" w:type="dxa"/>
            <w:gridSpan w:val="2"/>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ind w:right="113"/>
              <w:jc w:val="center"/>
              <w:rPr>
                <w:b/>
                <w:sz w:val="18"/>
                <w:szCs w:val="18"/>
              </w:rPr>
            </w:pPr>
            <w:r w:rsidRPr="001C7817">
              <w:rPr>
                <w:b/>
                <w:sz w:val="18"/>
                <w:szCs w:val="18"/>
              </w:rPr>
              <w:t>Quality score</w:t>
            </w:r>
          </w:p>
        </w:tc>
      </w:tr>
      <w:tr w:rsidR="001C7817" w:rsidRPr="001C7817" w:rsidTr="001C7817">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bookmarkStart w:id="0" w:name="_GoBack" w:colFirst="6" w:colLast="6"/>
            <w:r w:rsidRPr="001C7817">
              <w:rPr>
                <w:sz w:val="18"/>
                <w:szCs w:val="18"/>
              </w:rPr>
              <w:t>13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Burgess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Continental(Australia)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Diabetes Mellitus, ischaemic heart disease  </w:t>
            </w:r>
          </w:p>
          <w:p w:rsidR="001C7817" w:rsidRPr="001C7817" w:rsidRDefault="001C7817" w:rsidP="001C7817">
            <w:r w:rsidRPr="001C7817">
              <w:t>Persons-N=2,083</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t>Incidence, prevaence, Mortality (percentage</w:t>
            </w:r>
            <w:r w:rsidRPr="001C7817">
              <w:rPr>
                <w:sz w:val="18"/>
                <w:szCs w:val="18"/>
              </w:rPr>
              <w: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b/>
                <w:sz w:val="18"/>
                <w:szCs w:val="18"/>
                <w:u w:val="single"/>
              </w:rPr>
            </w:pPr>
            <w:r w:rsidRPr="001C7817">
              <w:rPr>
                <w:b/>
                <w:sz w:val="18"/>
                <w:szCs w:val="18"/>
                <w:u w:val="single"/>
              </w:rPr>
              <w:t>Incidence/Prevalence</w:t>
            </w:r>
          </w:p>
          <w:p w:rsidR="001C7817" w:rsidRPr="001C7817" w:rsidRDefault="001C7817" w:rsidP="001C7817">
            <w:pPr>
              <w:autoSpaceDE w:val="0"/>
              <w:autoSpaceDN w:val="0"/>
              <w:adjustRightInd w:val="0"/>
            </w:pPr>
            <w:r w:rsidRPr="001C7817">
              <w:rPr>
                <w:sz w:val="18"/>
                <w:szCs w:val="18"/>
              </w:rPr>
              <w:t xml:space="preserve">- </w:t>
            </w:r>
            <w:r w:rsidRPr="001C7817">
              <w:t xml:space="preserve">Amongst 2,083 patients, 393 patients had diabetes (18.8%), and 810 (38.8%) had MVD. Patients with diabetes were more likely to have MVD 48.6% (191/393) than patients without diabetes 36.6% (619/1690; p &lt; .001). </w:t>
            </w:r>
          </w:p>
          <w:p w:rsidR="001C7817" w:rsidRPr="001C7817" w:rsidRDefault="001C7817" w:rsidP="001C7817">
            <w:pPr>
              <w:autoSpaceDE w:val="0"/>
              <w:autoSpaceDN w:val="0"/>
              <w:adjustRightInd w:val="0"/>
            </w:pPr>
            <w:r w:rsidRPr="001C7817">
              <w:rPr>
                <w:b/>
                <w:sz w:val="18"/>
                <w:szCs w:val="18"/>
                <w:u w:val="single"/>
              </w:rPr>
              <w:t>Mortality</w:t>
            </w:r>
          </w:p>
          <w:p w:rsidR="001C7817" w:rsidRPr="001C7817" w:rsidRDefault="001C7817" w:rsidP="001C7817">
            <w:pPr>
              <w:autoSpaceDE w:val="0"/>
              <w:autoSpaceDN w:val="0"/>
              <w:adjustRightInd w:val="0"/>
            </w:pPr>
            <w:r w:rsidRPr="001C7817">
              <w:t xml:space="preserve">- At final follow up (median 3.6 years [IQR 2.4–5.4]) cardiac death occurred in 37/393 (9.41%), diabetic patients and 92/1690 (5.44%) non-diabetic patients </w:t>
            </w:r>
          </w:p>
          <w:p w:rsidR="001C7817" w:rsidRPr="001C7817" w:rsidRDefault="001C7817" w:rsidP="001C7817">
            <w:pPr>
              <w:autoSpaceDE w:val="0"/>
              <w:autoSpaceDN w:val="0"/>
              <w:adjustRightInd w:val="0"/>
            </w:pPr>
            <w:r w:rsidRPr="001C7817">
              <w:t>- In those with MVD, cardiac death occurred in 27/191 (14.14%) diabetic patients, and 54/619 (8.72) non-diabetic patients</w:t>
            </w:r>
          </w:p>
          <w:p w:rsidR="001C7817" w:rsidRPr="001C7817" w:rsidRDefault="001C7817" w:rsidP="001C7817">
            <w:pPr>
              <w:autoSpaceDE w:val="0"/>
              <w:autoSpaceDN w:val="0"/>
              <w:adjustRightInd w:val="0"/>
            </w:pPr>
            <w:r w:rsidRPr="001C7817">
              <w:t xml:space="preserve">- In single vessel disease (SVD) cardiac death occurred in 10/202 (4.95%) diabetic patients, and 38/1071 (3.55%) non diabetic patients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sz w:val="18"/>
                <w:szCs w:val="18"/>
              </w:rPr>
            </w:pPr>
            <w:r w:rsidRPr="001C7817">
              <w:t>STEMI patients with diabetes are more likely to have MVD, with an absolute difference in MVD rates of 12%, and higher rates of cardiac death</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11</w:t>
            </w:r>
          </w:p>
        </w:tc>
      </w:tr>
      <w:bookmarkEnd w:id="0"/>
      <w:tr w:rsidR="001C7817" w:rsidRPr="001C7817" w:rsidTr="001C7817">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Lisspers et. 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(Sweden)</w:t>
            </w:r>
          </w:p>
        </w:tc>
        <w:tc>
          <w:tcPr>
            <w:tcW w:w="973" w:type="dxa"/>
            <w:tcBorders>
              <w:top w:val="single" w:sz="4" w:space="0" w:color="auto"/>
              <w:left w:val="single" w:sz="4" w:space="0" w:color="auto"/>
              <w:bottom w:val="single" w:sz="4" w:space="0" w:color="auto"/>
              <w:right w:val="single" w:sz="4" w:space="0" w:color="auto"/>
            </w:tcBorders>
          </w:tcPr>
          <w:p w:rsidR="001C7817" w:rsidRPr="001C7817" w:rsidRDefault="001C7817" w:rsidP="001C7817">
            <w:r w:rsidRPr="001C7817">
              <w:t>COPD  = 17,479</w:t>
            </w:r>
          </w:p>
          <w:p w:rsidR="001C7817" w:rsidRPr="001C7817" w:rsidRDefault="001C7817" w:rsidP="001C7817"/>
          <w:p w:rsidR="001C7817" w:rsidRPr="001C7817" w:rsidRDefault="001C7817" w:rsidP="001C7817">
            <w:r w:rsidRPr="001C7817">
              <w:t xml:space="preserve">Control = 84,514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Secondary source (Registry, electronic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bCs/>
              </w:rPr>
              <w:t>Cost (</w:t>
            </w:r>
            <w:r w:rsidRPr="001C7817">
              <w: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Cost</w:t>
            </w:r>
          </w:p>
          <w:p w:rsidR="001C7817" w:rsidRPr="001C7817" w:rsidRDefault="001C7817" w:rsidP="001C7817">
            <w:pPr>
              <w:autoSpaceDE w:val="0"/>
              <w:autoSpaceDN w:val="0"/>
              <w:adjustRightInd w:val="0"/>
            </w:pPr>
            <w:r w:rsidRPr="001C7817">
              <w:t xml:space="preserve">-During 2013, direct costs were considerably higher among the COPD patient population (€13,179) versus the reference population (€2,716), largely due to hospital nights unrelated to COPD. </w:t>
            </w:r>
          </w:p>
          <w:p w:rsidR="001C7817" w:rsidRPr="001C7817" w:rsidRDefault="001C7817" w:rsidP="001C7817">
            <w:pPr>
              <w:autoSpaceDE w:val="0"/>
              <w:autoSpaceDN w:val="0"/>
              <w:adjustRightInd w:val="0"/>
            </w:pPr>
            <w:r w:rsidRPr="001C7817">
              <w:t xml:space="preserve">-Direct costs increased with increasing disease severity and increasing age and were driven by higher respiratory drug costs and non-COPD-related hospital nights. </w:t>
            </w:r>
          </w:p>
          <w:p w:rsidR="001C7817" w:rsidRPr="001C7817" w:rsidRDefault="001C7817" w:rsidP="001C7817">
            <w:pPr>
              <w:autoSpaceDE w:val="0"/>
              <w:autoSpaceDN w:val="0"/>
              <w:adjustRightInd w:val="0"/>
              <w:rPr>
                <w:b/>
                <w:u w:val="single"/>
              </w:rPr>
            </w:pPr>
            <w:r w:rsidRPr="001C7817">
              <w:t>-Indirect costs (~€28,000 per patient) were the largest economic burden in COPD patients of working age during 2013.</w:t>
            </w:r>
            <w:r w:rsidRPr="001C7817">
              <w:rPr>
                <w:b/>
                <w:u w:val="single"/>
              </w:rPr>
              <w:t xml:space="preserve">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t>As non-COPD-related hospital nights represent the largest direct cost, management of comorbidities in COPD would offer clinical benefits and relieve the financial burden of disease.</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12</w:t>
            </w:r>
          </w:p>
        </w:tc>
      </w:tr>
      <w:tr w:rsidR="001C7817" w:rsidRPr="001C7817" w:rsidTr="001C7817">
        <w:trPr>
          <w:trHeight w:val="2321"/>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03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rPr>
                <w:sz w:val="18"/>
                <w:szCs w:val="18"/>
              </w:rPr>
            </w:pPr>
            <w:r w:rsidRPr="001C7817">
              <w:t>Thanaviratananich</w:t>
            </w:r>
            <w:r w:rsidRPr="001C7817">
              <w:rPr>
                <w:sz w:val="18"/>
                <w:szCs w:val="18"/>
              </w:rPr>
              <w:t>et.al, 2016</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National(Thailand)</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Lower tract respiratory disease</w:t>
            </w:r>
          </w:p>
          <w:p w:rsidR="001C7817" w:rsidRPr="001C7817" w:rsidRDefault="001C7817" w:rsidP="001C7817">
            <w:r w:rsidRPr="001C7817">
              <w:t>(asthma, AR, COPD, or rhino sinusitis)</w:t>
            </w:r>
          </w:p>
          <w:p w:rsidR="001C7817" w:rsidRPr="001C7817" w:rsidRDefault="001C7817" w:rsidP="001C7817">
            <w:r w:rsidRPr="001C7817">
              <w:t>N=1000</w:t>
            </w:r>
          </w:p>
          <w:p w:rsidR="001C7817" w:rsidRPr="001C7817" w:rsidRDefault="001C7817" w:rsidP="001C7817">
            <w:r w:rsidRPr="001C7817">
              <w:t>Age- &gt;18yrs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t>Incidence, prevaence, 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b/>
                <w:u w:val="single"/>
              </w:rPr>
            </w:pPr>
            <w:r w:rsidRPr="001C7817">
              <w:rPr>
                <w:b/>
                <w:u w:val="single"/>
              </w:rPr>
              <w:t>Incidence/Prevalence</w:t>
            </w:r>
          </w:p>
          <w:p w:rsidR="001C7817" w:rsidRPr="001C7817" w:rsidRDefault="001C7817" w:rsidP="001C7817">
            <w:r w:rsidRPr="001C7817">
              <w:t>-AR was the most frequent primary diagnosis in enrolled patients (44.2%), followed by rhino sinusitis (24.1%), asthma (23.7%), and COPD (8.0%).</w:t>
            </w:r>
            <w:r w:rsidRPr="001C7817">
              <w:br/>
              <w:t xml:space="preserve">- Patients were frequently diagnosed with multiple respiratory diseases. </w:t>
            </w:r>
          </w:p>
          <w:p w:rsidR="001C7817" w:rsidRPr="001C7817" w:rsidRDefault="001C7817" w:rsidP="001C7817">
            <w:pPr>
              <w:rPr>
                <w:rFonts w:eastAsia="Calibri"/>
                <w:b/>
                <w:u w:val="single"/>
              </w:rPr>
            </w:pPr>
            <w:r w:rsidRPr="001C7817">
              <w:t>- Overall, 316 (31.6%) of patients were diagnosed with a combination of the 4 diseases of interest, with asthma patients having the highest proportion with multiple diagnoses.</w:t>
            </w:r>
            <w:r w:rsidRPr="001C7817">
              <w:br/>
            </w:r>
            <w:r w:rsidRPr="001C7817">
              <w:rPr>
                <w:rFonts w:eastAsia="Calibri"/>
                <w:b/>
                <w:u w:val="single"/>
              </w:rPr>
              <w:t>Cost</w:t>
            </w:r>
          </w:p>
          <w:p w:rsidR="001C7817" w:rsidRPr="001C7817" w:rsidRDefault="001C7817" w:rsidP="001C7817">
            <w:r w:rsidRPr="001C7817">
              <w:t>-The mean overall annual cost for patients with a respiratory disease was US$1495 (SD 3133) per patient.</w:t>
            </w:r>
            <w:r w:rsidRPr="001C7817">
              <w:br/>
              <w:t xml:space="preserve">-For employed patients, the mean annual cost was US$1885 (SD2340) with productivity loss the highest cost component at US $1391 (SD 1209). </w:t>
            </w:r>
          </w:p>
          <w:p w:rsidR="001C7817" w:rsidRPr="001C7817" w:rsidRDefault="001C7817" w:rsidP="001C7817">
            <w:r w:rsidRPr="001C7817">
              <w:t>-Medication costs comprised 58.9% and 41.1% of the overall costs for patients with a primary diagnosis of asthma (US$1287, SD 4654) and COPD (US$1235, SD 4550).</w:t>
            </w:r>
            <w:r w:rsidRPr="001C7817">
              <w:br/>
              <w:t xml:space="preserve">-Hospitalization costs were also high (25.1%) for patients with COPD (US$754, SD 3367). </w:t>
            </w:r>
          </w:p>
          <w:p w:rsidR="001C7817" w:rsidRPr="001C7817" w:rsidRDefault="001C7817" w:rsidP="001C7817">
            <w:pPr>
              <w:rPr>
                <w:rFonts w:eastAsia="Calibri"/>
                <w:b/>
                <w:u w:val="single"/>
              </w:rPr>
            </w:pPr>
            <w:r w:rsidRPr="001C7817">
              <w:t>-Costs associated with work productivity loss were the main contributor for patients with a primary diagnosis of AR at 82.8% of overall costs (US$1378, SD 1105) and rhinosinusitis at 80.4% (US$1872, SD 1300)</w:t>
            </w:r>
          </w:p>
        </w:tc>
        <w:tc>
          <w:tcPr>
            <w:tcW w:w="3261"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autoSpaceDE w:val="0"/>
              <w:autoSpaceDN w:val="0"/>
              <w:adjustRightInd w:val="0"/>
            </w:pPr>
            <w:r w:rsidRPr="001C7817">
              <w:t xml:space="preserve">The most frequent primary diagnosis is AR&gt; rhino sinusitis &gt; asthma &gt; COPD. </w:t>
            </w:r>
          </w:p>
          <w:p w:rsidR="001C7817" w:rsidRPr="001C7817" w:rsidRDefault="001C7817" w:rsidP="001C7817">
            <w:pPr>
              <w:autoSpaceDE w:val="0"/>
              <w:autoSpaceDN w:val="0"/>
              <w:adjustRightInd w:val="0"/>
            </w:pPr>
          </w:p>
          <w:p w:rsidR="001C7817" w:rsidRPr="001C7817" w:rsidRDefault="001C7817" w:rsidP="001C7817">
            <w:pPr>
              <w:autoSpaceDE w:val="0"/>
              <w:autoSpaceDN w:val="0"/>
              <w:adjustRightInd w:val="0"/>
            </w:pPr>
            <w:r w:rsidRPr="001C7817">
              <w:t>The</w:t>
            </w:r>
            <w:r w:rsidRPr="001C7817">
              <w:br/>
              <w:t>mean annual cost for patients with a respiratory disease is high.</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10</w:t>
            </w:r>
          </w:p>
        </w:tc>
      </w:tr>
      <w:tr w:rsidR="001C7817" w:rsidRPr="001C7817" w:rsidTr="001C7817">
        <w:trPr>
          <w:trHeight w:val="2321"/>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Rapattoni et al,2020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(Canada)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 Mellitus N=811,794</w:t>
            </w:r>
          </w:p>
          <w:p w:rsidR="001C7817" w:rsidRPr="001C7817" w:rsidRDefault="001C7817" w:rsidP="001C7817">
            <w:r w:rsidRPr="001C7817">
              <w:t>T2D + eGFR&lt;90ml/min/1.73m</w:t>
            </w:r>
            <w:r w:rsidRPr="001C7817">
              <w:rPr>
                <w:vertAlign w:val="superscript"/>
              </w:rPr>
              <w:t xml:space="preserve">2 </w:t>
            </w:r>
            <w:r w:rsidRPr="001C7817">
              <w:t>(aged ≥30)</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Secondary source (</w:t>
            </w:r>
            <w:r w:rsidRPr="001C7817">
              <w:t>ICES databases)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t>Incidence, prevalence, 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b/>
                <w:u w:val="single"/>
              </w:rPr>
              <w:t>Incidence/Prevalence</w:t>
            </w:r>
          </w:p>
          <w:p w:rsidR="001C7817" w:rsidRPr="001C7817" w:rsidRDefault="001C7817" w:rsidP="001C7817">
            <w:r w:rsidRPr="001C7817">
              <w:t xml:space="preserve">-While the prevalence of T2D in the general population aged ≥30 years in Ontario increased by 15% over a five-year period (2011/12 to 2015/16),  the prevalence eGFR&lt;90ml/min/1.73m2 among people with T2D increased by 35%. </w:t>
            </w:r>
          </w:p>
          <w:p w:rsidR="001C7817" w:rsidRPr="001C7817" w:rsidRDefault="001C7817" w:rsidP="001C7817">
            <w:pPr>
              <w:rPr>
                <w:rFonts w:eastAsia="Calibri"/>
                <w:b/>
              </w:rPr>
            </w:pPr>
            <w:r w:rsidRPr="001C7817">
              <w:rPr>
                <w:rFonts w:eastAsia="Calibri"/>
                <w:b/>
                <w:u w:val="single"/>
              </w:rPr>
              <w:t>Cost</w:t>
            </w:r>
          </w:p>
          <w:p w:rsidR="001C7817" w:rsidRPr="001C7817" w:rsidRDefault="001C7817" w:rsidP="001C7817">
            <w:r w:rsidRPr="001C7817">
              <w:t>-The per patient average total costs over a two-year analysis period were higher for these patients with CVD/CKD related death ($69,827; n=32,407), doubling of serum creatinine ($52,260; n=22,825), who started dialysis ($150,627; n=3,499), and received a kidney transplant ($50,664; n=651). Similarly</w:t>
            </w:r>
          </w:p>
          <w:p w:rsidR="001C7817" w:rsidRPr="001C7817" w:rsidRDefault="001C7817" w:rsidP="001C7817">
            <w:pPr>
              <w:rPr>
                <w:rFonts w:eastAsia="Calibri"/>
                <w:b/>
                <w:u w:val="single"/>
              </w:rPr>
            </w:pPr>
            <w:r w:rsidRPr="001C7817">
              <w:t>- HCRU was significantly greater for patients with these incident outcomes.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 xml:space="preserve">This study highlights an increasing prevalence of T2D, and a substantially higher healthcare costs and HCRU when these patients have adverse cardiovascular and renal outcomes.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12</w:t>
            </w:r>
          </w:p>
        </w:tc>
      </w:tr>
      <w:tr w:rsidR="001C7817" w:rsidRPr="001C7817" w:rsidTr="001C7817">
        <w:trPr>
          <w:trHeight w:val="1862"/>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Sakboonyarat &amp; Rangsin ,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Nationwide (Thailand)</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Ischemic heart disease (IHD), Diabetes mellitus (N = 25,902)</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sz w:val="18"/>
                <w:szCs w:val="18"/>
              </w:rPr>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t>Prevalence</w:t>
            </w:r>
          </w:p>
        </w:tc>
        <w:tc>
          <w:tcPr>
            <w:tcW w:w="6315"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rPr>
                <w:b/>
                <w:u w:val="single"/>
              </w:rPr>
            </w:pPr>
            <w:r w:rsidRPr="001C7817">
              <w:rPr>
                <w:b/>
                <w:u w:val="single"/>
              </w:rPr>
              <w:t>Prevalence</w:t>
            </w:r>
          </w:p>
          <w:p w:rsidR="001C7817" w:rsidRPr="001C7817" w:rsidRDefault="001C7817" w:rsidP="001C7817">
            <w:r w:rsidRPr="001C7817">
              <w:t xml:space="preserve">IHD was detected among 918 patients (3.54%; 95%CI 3.32–3.77). </w:t>
            </w:r>
          </w:p>
          <w:p w:rsidR="001C7817" w:rsidRPr="001C7817" w:rsidRDefault="001C7817" w:rsidP="001C7817">
            <w:pPr>
              <w:rPr>
                <w:rFonts w:eastAsia="Calibri"/>
                <w:b/>
                <w:u w:val="single"/>
              </w:rPr>
            </w:pP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The study emphasized that IHD was a problem among patients with diabetes. Diabetic patients should</w:t>
            </w:r>
            <w:r w:rsidRPr="001C7817">
              <w:br/>
              <w:t xml:space="preserve">be regularly assessed for IHD and their risk factors controlled.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10</w:t>
            </w:r>
          </w:p>
        </w:tc>
      </w:tr>
      <w:tr w:rsidR="001C7817" w:rsidRPr="001C7817" w:rsidTr="001C7817">
        <w:trPr>
          <w:trHeight w:val="2321"/>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06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rPr>
                <w:sz w:val="18"/>
                <w:szCs w:val="18"/>
              </w:rPr>
            </w:pPr>
            <w:r w:rsidRPr="001C7817">
              <w:rPr>
                <w:sz w:val="18"/>
                <w:szCs w:val="18"/>
              </w:rPr>
              <w:t>Alegre-Díaz, et al, 2016</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National (Mexico)</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rFonts w:eastAsia="Calibri"/>
              </w:rPr>
              <w:t>Diabetes (N = 150,000 : M=</w:t>
            </w:r>
            <w:r w:rsidRPr="001C7817">
              <w:t xml:space="preserve">50,000, F=100,000) </w:t>
            </w:r>
          </w:p>
          <w:p w:rsidR="001C7817" w:rsidRPr="001C7817" w:rsidRDefault="001C7817" w:rsidP="001C7817">
            <w:r w:rsidRPr="001C7817">
              <w:t xml:space="preserve">≥35 years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 xml:space="preserve">Cohort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sz w:val="18"/>
                <w:szCs w:val="18"/>
              </w:rPr>
            </w:pPr>
            <w:r w:rsidRPr="001C7817">
              <w:rPr>
                <w:rFonts w:eastAsia="Calibri"/>
                <w:sz w:val="18"/>
                <w:szCs w:val="18"/>
              </w:rPr>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sz w:val="18"/>
                <w:szCs w:val="18"/>
              </w:rPr>
            </w:pPr>
            <w:r w:rsidRPr="001C7817">
              <w:rPr>
                <w:rFonts w:eastAsia="Calibri"/>
                <w:bCs/>
                <w:sz w:val="18"/>
                <w:szCs w:val="18"/>
              </w:rPr>
              <w:t>Mortality/Prevalence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b/>
                <w:u w:val="single"/>
              </w:rPr>
              <w:t>Prevalence/Mortality</w:t>
            </w:r>
          </w:p>
          <w:p w:rsidR="001C7817" w:rsidRPr="001C7817" w:rsidRDefault="001C7817" w:rsidP="001C7817">
            <w:r w:rsidRPr="001C7817">
              <w:t>-At the time of recruitment, obesity was common and the prevalence of diabetes rose steeply with age (3% at 35 to 39 years of age and &gt;20% by 60 years of age).</w:t>
            </w:r>
          </w:p>
          <w:p w:rsidR="001C7817" w:rsidRPr="001C7817" w:rsidRDefault="001C7817" w:rsidP="001C7817">
            <w:r w:rsidRPr="001C7817">
              <w:t xml:space="preserve">- Previously diagnosed diabetes was associated with rate ratios for death from any cause of 5.4 at 35 to 59 years, </w:t>
            </w:r>
            <w:proofErr w:type="gramStart"/>
            <w:r w:rsidRPr="001C7817">
              <w:t>3.1  at</w:t>
            </w:r>
            <w:proofErr w:type="gramEnd"/>
            <w:r w:rsidRPr="001C7817">
              <w:t xml:space="preserve"> 60 to 74 years, and 1.9 at 75 to 84 years.</w:t>
            </w:r>
          </w:p>
          <w:p w:rsidR="001C7817" w:rsidRPr="001C7817" w:rsidRDefault="001C7817" w:rsidP="001C7817">
            <w:r w:rsidRPr="001C7817">
              <w:t xml:space="preserve">-Between 35 and 74 years of age, the excess mortality associated with previously diagnosed diabetes accounted for one third of all deaths; the largest absolute excess risks of death were from renal disease (rate ratio, 20.1), cardiac disease (rate ratio, 3.7), infection (rate ratio, 4.7), acute diabetic crises (8% of all deaths among participants who had previously diagnosed diabetes), and other vascular disease (mainly stroke).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In this study in Mexico, a middle-income country with high levels of obesity, diabetes</w:t>
            </w:r>
            <w:r w:rsidRPr="001C7817">
              <w:br/>
              <w:t>was common, glycemic control was poor, and diabetes was associated with a far worse</w:t>
            </w:r>
            <w:r w:rsidRPr="001C7817">
              <w:br/>
              <w:t>prognosis than that seen in high-income countries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8</w:t>
            </w:r>
          </w:p>
        </w:tc>
      </w:tr>
      <w:tr w:rsidR="001C7817" w:rsidRPr="001C7817" w:rsidTr="001C7817">
        <w:trPr>
          <w:trHeight w:val="2321"/>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07</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Talamantes, et al,2021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 mellitus (N= 38,245)</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cross-sectional study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t>Secondary data (the electronic outpatient records)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rPr>
                <w:rFonts w:eastAsia="Calibri"/>
                <w:bCs/>
              </w:rPr>
              <w:t>Cost (KGIDO Scale)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Cost</w:t>
            </w:r>
          </w:p>
          <w:p w:rsidR="001C7817" w:rsidRPr="001C7817" w:rsidRDefault="001C7817" w:rsidP="001C7817">
            <w:r w:rsidRPr="001C7817">
              <w:t>-The mean costs per patient were €4149; Costs increased with each category of risk</w:t>
            </w:r>
          </w:p>
          <w:p w:rsidR="001C7817" w:rsidRPr="001C7817" w:rsidRDefault="001C7817" w:rsidP="001C7817">
            <w:r w:rsidRPr="001C7817">
              <w:t xml:space="preserve">-The mean cost per patient per year was €3437 for low-risk patients, €4936 for moderately increased risk patients, €5899 for high-risk patients, &amp; €7389 for very high-risk patients. </w:t>
            </w:r>
          </w:p>
          <w:p w:rsidR="001C7817" w:rsidRPr="001C7817" w:rsidRDefault="001C7817" w:rsidP="001C7817">
            <w:pPr>
              <w:rPr>
                <w:rFonts w:eastAsia="Calibri"/>
                <w:b/>
                <w:u w:val="single"/>
              </w:rPr>
            </w:pPr>
            <w:r w:rsidRPr="001C7817">
              <w:t>-The total population costs per year were €33,977,263, €15,208,660, €6,996,319, &amp; €5,785,465 for low, moderately increased, high &amp; very high-risk patients resp.</w:t>
            </w:r>
          </w:p>
          <w:p w:rsidR="001C7817" w:rsidRPr="001C7817" w:rsidRDefault="001C7817" w:rsidP="001C7817">
            <w:pPr>
              <w:rPr>
                <w:rFonts w:eastAsia="Calibri"/>
                <w:b/>
                <w:u w:val="single"/>
              </w:rPr>
            </w:pPr>
            <w:r w:rsidRPr="001C7817">
              <w:rPr>
                <w:rFonts w:eastAsia="Calibri"/>
                <w:b/>
                <w:u w:val="single"/>
              </w:rPr>
              <w:t>Prevalence</w:t>
            </w:r>
          </w:p>
          <w:p w:rsidR="001C7817" w:rsidRPr="001C7817" w:rsidRDefault="001C7817" w:rsidP="001C7817">
            <w:pPr>
              <w:rPr>
                <w:rFonts w:eastAsia="Calibri"/>
                <w:b/>
                <w:u w:val="single"/>
              </w:rPr>
            </w:pPr>
            <w:r w:rsidRPr="001C7817">
              <w:t>-The prevalence of Type 2 Diabetes was 10.8%, slightly higher in men (11.7%) than in women (9.9%). The age groups with highest prevalence were those in the range of 56–70 years (35.1%) and in the range of 71–85 years (38.8%)</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 xml:space="preserve">This study showed that real-world data can provide additional evidence to drive care strategies in patients with T2D that can help delaying the progression of the disease and its complications, such as kidney failure.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8</w:t>
            </w:r>
          </w:p>
        </w:tc>
      </w:tr>
      <w:tr w:rsidR="001C7817" w:rsidRPr="001C7817" w:rsidTr="001C7817">
        <w:trPr>
          <w:trHeight w:val="138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20</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08</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Nwita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(Botswana)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IHD (N=202 with acute heart failure)</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Cohort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rPr>
                <w:rFonts w:eastAsia="Calibri"/>
                <w:bCs/>
              </w:rPr>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bCs/>
                <w:u w:val="single"/>
              </w:rPr>
            </w:pPr>
            <w:r w:rsidRPr="001C7817">
              <w:rPr>
                <w:rFonts w:eastAsia="Calibri"/>
                <w:b/>
                <w:bCs/>
                <w:u w:val="single"/>
              </w:rPr>
              <w:t>Mortality</w:t>
            </w:r>
          </w:p>
          <w:p w:rsidR="001C7817" w:rsidRPr="001C7817" w:rsidRDefault="001C7817" w:rsidP="001C7817">
            <w:r w:rsidRPr="001C7817">
              <w:t xml:space="preserve">-The in-hospital mortality rate was 10.9%. 30-, 90- and 180-day case fatality rates were 14.7, 25.8 and 30.8%, respectively. </w:t>
            </w:r>
          </w:p>
          <w:p w:rsidR="001C7817" w:rsidRPr="001C7817" w:rsidRDefault="001C7817" w:rsidP="001C7817">
            <w:pPr>
              <w:rPr>
                <w:rFonts w:eastAsia="Calibri"/>
                <w:b/>
                <w:u w:val="single"/>
              </w:rPr>
            </w:pPr>
            <w:r w:rsidRPr="001C7817">
              <w:t>-Mortality at 180 days was significantly associated with increasing age, lower haemoglobin level, lower glomerular filtration rate, hyponatraemia, higher N-terminal pro-brain natriuretic peptide levels, and prolonged hospital stay</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 xml:space="preserve">Acute Heart Failure is a major public health problem in Botswana, with high in-hospital and post-discharge mortality rates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12</w:t>
            </w:r>
          </w:p>
        </w:tc>
      </w:tr>
      <w:tr w:rsidR="001C7817" w:rsidRPr="001C7817" w:rsidTr="001C7817">
        <w:trPr>
          <w:trHeight w:val="1169"/>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21</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09</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Muktan, et al, 2019)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(Nepal)</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Congenital birth defeccts (N=255 neonates)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rPr>
                <w:rFonts w:eastAsia="Calibri"/>
                <w:bCs/>
              </w:rPr>
              <w:t>Mortality (</w:t>
            </w:r>
            <w:r w:rsidRPr="001C7817">
              <w:t>SNAPPE II)</w:t>
            </w:r>
          </w:p>
        </w:tc>
        <w:tc>
          <w:tcPr>
            <w:tcW w:w="6315"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rPr>
                <w:rFonts w:eastAsia="Calibri"/>
                <w:b/>
                <w:u w:val="single"/>
              </w:rPr>
            </w:pPr>
            <w:r w:rsidRPr="001C7817">
              <w:rPr>
                <w:rFonts w:eastAsia="Calibri"/>
                <w:b/>
                <w:u w:val="single"/>
              </w:rPr>
              <w:t>Mortality</w:t>
            </w:r>
          </w:p>
          <w:p w:rsidR="001C7817" w:rsidRPr="001C7817" w:rsidRDefault="001C7817" w:rsidP="001C7817">
            <w:r w:rsidRPr="001C7817">
              <w:t xml:space="preserve">-Out of 255 neonates, 45 neonates (17.6%) died and 210 were discharged. </w:t>
            </w:r>
          </w:p>
          <w:p w:rsidR="001C7817" w:rsidRPr="001C7817" w:rsidRDefault="001C7817" w:rsidP="001C7817">
            <w:r w:rsidRPr="001C7817">
              <w:t xml:space="preserve">-SNAPPE-II score was significantly higher among neonates who died compared to those who survived [median (IQR) 57 (42–64) vs. </w:t>
            </w:r>
            <w:r w:rsidRPr="001C7817">
              <w:rPr>
                <w:i/>
                <w:iCs/>
              </w:rPr>
              <w:t>22</w:t>
            </w:r>
            <w:r w:rsidRPr="001C7817">
              <w:t xml:space="preserve"> (14–32), </w:t>
            </w:r>
            <w:r w:rsidRPr="001C7817">
              <w:rPr>
                <w:i/>
                <w:iCs/>
              </w:rPr>
              <w:t>P</w:t>
            </w:r>
            <w:r w:rsidRPr="001C7817">
              <w:t xml:space="preserve"> &lt; 0.001]. </w:t>
            </w:r>
          </w:p>
          <w:p w:rsidR="001C7817" w:rsidRPr="001C7817" w:rsidRDefault="001C7817" w:rsidP="001C7817">
            <w:pPr>
              <w:rPr>
                <w:rFonts w:eastAsia="Calibri"/>
                <w:b/>
                <w:u w:val="single"/>
              </w:rPr>
            </w:pP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 xml:space="preserve">SNAPPE- II is a useful tool to predict neonatal mortality in NICU.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11</w:t>
            </w:r>
          </w:p>
        </w:tc>
      </w:tr>
      <w:tr w:rsidR="001C7817" w:rsidRPr="001C7817" w:rsidTr="001C7817">
        <w:trPr>
          <w:trHeight w:val="2321"/>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22</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10</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Kumar, et al, 2022</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(India)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Ischaemic heart disease (IHD)</w:t>
            </w:r>
          </w:p>
          <w:p w:rsidR="001C7817" w:rsidRPr="001C7817" w:rsidRDefault="001C7817" w:rsidP="001C7817">
            <w:r w:rsidRPr="001C7817">
              <w:t xml:space="preserve">N =100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Secondary source (Patients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rPr>
                <w:rFonts w:eastAsia="Calibri"/>
                <w:bCs/>
              </w:rPr>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Cost</w:t>
            </w:r>
          </w:p>
          <w:p w:rsidR="001C7817" w:rsidRPr="001C7817" w:rsidRDefault="001C7817" w:rsidP="001C7817">
            <w:r w:rsidRPr="001C7817">
              <w:t xml:space="preserve">-Cost per bed per day incurred by the hospital for admitted patients in CCU, adult and pediatric cardiology ward was calculated to be INR 28,144 ($ 434), INR 22,210 ($ 342) and INR 18,774 ($ 289), respectively. </w:t>
            </w:r>
          </w:p>
          <w:p w:rsidR="001C7817" w:rsidRPr="001C7817" w:rsidRDefault="001C7817" w:rsidP="001C7817">
            <w:r w:rsidRPr="001C7817">
              <w:t xml:space="preserve">-Overall, per patient cost of managing any cardiovascular illness in hospital was computed to be INR 2,25,293 ($3476) and cost after including administrative overheads was estimated to be INR 2,47,822 ($3824) </w:t>
            </w:r>
          </w:p>
          <w:p w:rsidR="001C7817" w:rsidRPr="001C7817" w:rsidRDefault="001C7817" w:rsidP="001C7817">
            <w:r w:rsidRPr="001C7817">
              <w:t xml:space="preserve">-Equipment cost accounted for the maximum expenditure followed by human resource cost, both together accounted for more than 70 percent of the per bed per day cost. </w:t>
            </w:r>
          </w:p>
          <w:p w:rsidR="001C7817" w:rsidRPr="001C7817" w:rsidRDefault="001C7817" w:rsidP="001C7817">
            <w:r w:rsidRPr="001C7817">
              <w:t xml:space="preserve">-After analyzing results of the direct costs, it was observed that more than 65% of the cost is attributable to hospitalization. </w:t>
            </w:r>
          </w:p>
          <w:p w:rsidR="001C7817" w:rsidRPr="001C7817" w:rsidRDefault="001C7817" w:rsidP="001C7817">
            <w:pPr>
              <w:rPr>
                <w:rFonts w:eastAsia="Calibri"/>
                <w:b/>
                <w:u w:val="single"/>
              </w:rPr>
            </w:pPr>
            <w:r w:rsidRPr="001C7817">
              <w:t>-Interventional/diagnostic procedures cost is more than 18% while medication treatment represented only 1.5% of the total direct costs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Cardiovascular disease is a major public health problem in India and is associated with high economic burden. Coronary artery disease is the most prevalent disease among the CVDs. Cost of treating Rheumatic Heart Disease is the highest among all CVDs followed by Cardiomyopathy and other CVDs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10</w:t>
            </w:r>
          </w:p>
        </w:tc>
      </w:tr>
      <w:tr w:rsidR="001C7817" w:rsidRPr="001C7817" w:rsidTr="001C7817">
        <w:trPr>
          <w:trHeight w:val="269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rPr>
                <w:sz w:val="18"/>
                <w:szCs w:val="18"/>
              </w:rPr>
            </w:pPr>
            <w:r w:rsidRPr="001C7817">
              <w:rPr>
                <w:sz w:val="18"/>
                <w:szCs w:val="18"/>
              </w:rPr>
              <w:t>Shah,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National (USA)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Ischaemic heart disease (N=</w:t>
            </w:r>
            <w:r w:rsidRPr="001C7817">
              <w:t>12.9 million decedents from total heart disease)</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t>cross sectional analysis</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sz w:val="18"/>
                <w:szCs w:val="18"/>
              </w:rPr>
            </w:pPr>
            <w:r w:rsidRPr="001C7817">
              <w:rPr>
                <w:rFonts w:eastAsia="Calibri"/>
                <w:sz w:val="18"/>
                <w:szCs w:val="18"/>
              </w:rPr>
              <w:t>Secondary source (National health certificate 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sz w:val="18"/>
                <w:szCs w:val="18"/>
              </w:rPr>
            </w:pPr>
            <w:r w:rsidRPr="001C7817">
              <w:rPr>
                <w:rFonts w:eastAsia="Calibri"/>
                <w:bCs/>
                <w:sz w:val="18"/>
                <w:szCs w:val="18"/>
              </w:rPr>
              <w:t>Mortality (YLL)</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Mortality</w:t>
            </w:r>
          </w:p>
          <w:p w:rsidR="001C7817" w:rsidRPr="001C7817" w:rsidRDefault="001C7817" w:rsidP="001C7817">
            <w:r w:rsidRPr="001C7817">
              <w:t xml:space="preserve">-Deaths from total heart disease fell from 752, 192 to 596, 577 between 1999 and 2011, and then increased to 655, 381 in 2018. </w:t>
            </w:r>
          </w:p>
          <w:p w:rsidR="001C7817" w:rsidRPr="001C7817" w:rsidRDefault="001C7817" w:rsidP="001C7817">
            <w:r w:rsidRPr="001C7817">
              <w:t>-From 1999 to 2018, the proportion of total deaths from heart disease attributed to ischemic heart disease decreased from 73% to 56%, while the proportion attributed to heart failure increased from 8% to 13% and the proportion attributed to hypertensive heart disease increased from 4% to 9%.</w:t>
            </w:r>
          </w:p>
          <w:p w:rsidR="001C7817" w:rsidRPr="001C7817" w:rsidRDefault="001C7817" w:rsidP="001C7817">
            <w:r w:rsidRPr="001C7817">
              <w:t xml:space="preserve">-The fastest increases in heart failure mortality were in black men (mean annual percentage change 4.9%), whereas the fastest increases in hypertensive heart disease occurred in white men (6.3%). </w:t>
            </w:r>
          </w:p>
          <w:p w:rsidR="001C7817" w:rsidRPr="001C7817" w:rsidRDefault="001C7817" w:rsidP="001C7817">
            <w:r w:rsidRPr="001C7817">
              <w:t>-Deaths from heart disease in 2018 resulted in approximately 3.8 million potential years of life lost (YLL).</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 xml:space="preserve">Trends in years of potential life lost for ischemic heart disease have decelerated since 2011.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10</w:t>
            </w:r>
          </w:p>
        </w:tc>
      </w:tr>
      <w:tr w:rsidR="001C7817" w:rsidRPr="001C7817" w:rsidTr="001C7817">
        <w:trPr>
          <w:trHeight w:val="1826"/>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rPr>
                <w:sz w:val="18"/>
                <w:szCs w:val="18"/>
              </w:rPr>
            </w:pPr>
            <w:r w:rsidRPr="001C7817">
              <w:rPr>
                <w:sz w:val="18"/>
                <w:szCs w:val="18"/>
              </w:rPr>
              <w:t>Chuluunbaatar,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National (Mongolia)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Stroke (N=203 participants)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t>MC observational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sz w:val="18"/>
                <w:szCs w:val="18"/>
              </w:rPr>
            </w:pPr>
            <w:r w:rsidRPr="001C7817">
              <w:rPr>
                <w:rFonts w:eastAsia="Calibri"/>
                <w:sz w:val="18"/>
                <w:szCs w:val="18"/>
              </w:rPr>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sz w:val="18"/>
                <w:szCs w:val="18"/>
              </w:rPr>
            </w:pPr>
            <w:r w:rsidRPr="001C7817">
              <w:t>Caregiver strain (Montgomery CGB Scale)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rFonts w:eastAsia="Calibri"/>
                <w:b/>
                <w:u w:val="single"/>
              </w:rPr>
              <w:t>C</w:t>
            </w:r>
            <w:r w:rsidRPr="001C7817">
              <w:rPr>
                <w:b/>
                <w:u w:val="single"/>
              </w:rPr>
              <w:t>aregiver strain</w:t>
            </w:r>
          </w:p>
          <w:p w:rsidR="001C7817" w:rsidRPr="001C7817" w:rsidRDefault="001C7817" w:rsidP="001C7817">
            <w:r w:rsidRPr="001C7817">
              <w:t xml:space="preserve">-A paired t-test analysis revealed that demand burden increased (from 12.61 to 11.50, p = 0.034), whereas stress burden decreased (from 10.69 to 11.60, p = 0.016). </w:t>
            </w:r>
          </w:p>
          <w:p w:rsidR="001C7817" w:rsidRPr="001C7817" w:rsidRDefault="001C7817" w:rsidP="001C7817">
            <w:r w:rsidRPr="001C7817">
              <w:t xml:space="preserve">-Although objective burden decreased, the difference was not significant. </w:t>
            </w:r>
          </w:p>
          <w:p w:rsidR="001C7817" w:rsidRPr="001C7817" w:rsidRDefault="001C7817" w:rsidP="001C7817">
            <w:pPr>
              <w:rPr>
                <w:rFonts w:eastAsia="Calibri"/>
                <w:b/>
                <w:u w:val="single"/>
              </w:rPr>
            </w:pPr>
            <w:r w:rsidRPr="001C7817">
              <w:t>-Factors associated with these changes in CGB were the caregiver’s marital status, the caregiver’s relationship with the patient, financial difficulties, and the patient’s sex and dependency.</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 xml:space="preserve">The majority of caregivers of stroke patients experience CGB in diverse aspects, and the degree of burden in these aspects varies among periods of caregiving.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12</w:t>
            </w:r>
          </w:p>
        </w:tc>
      </w:tr>
      <w:tr w:rsidR="001C7817" w:rsidRPr="001C7817" w:rsidTr="001C7817">
        <w:trPr>
          <w:trHeight w:val="206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rPr>
                <w:sz w:val="18"/>
                <w:szCs w:val="18"/>
              </w:rPr>
            </w:pPr>
            <w:r w:rsidRPr="001C7817">
              <w:rPr>
                <w:sz w:val="18"/>
                <w:szCs w:val="18"/>
              </w:rPr>
              <w:t>Verberk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National (Netherlands)</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COPD</w:t>
            </w:r>
          </w:p>
          <w:p w:rsidR="001C7817" w:rsidRPr="001C7817" w:rsidRDefault="001C7817" w:rsidP="001C7817">
            <w:pPr>
              <w:rPr>
                <w:sz w:val="18"/>
                <w:szCs w:val="18"/>
              </w:rPr>
            </w:pPr>
            <w:r w:rsidRPr="001C7817">
              <w:rPr>
                <w:sz w:val="18"/>
                <w:szCs w:val="18"/>
              </w:rPr>
              <w:t xml:space="preserve">N =213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t>SC observational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sz w:val="18"/>
                <w:szCs w:val="18"/>
              </w:rPr>
            </w:pPr>
            <w:r w:rsidRPr="001C7817">
              <w:t xml:space="preserve">secondary analysis of the CIRO CO-morbidity </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sz w:val="18"/>
                <w:szCs w:val="18"/>
              </w:rPr>
            </w:pPr>
            <w:r w:rsidRPr="001C7817">
              <w:rPr>
                <w:rFonts w:eastAsia="Calibri"/>
                <w:bCs/>
                <w:sz w:val="18"/>
                <w:szCs w:val="18"/>
              </w:rPr>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Cost</w:t>
            </w:r>
          </w:p>
          <w:p w:rsidR="001C7817" w:rsidRPr="001C7817" w:rsidRDefault="001C7817" w:rsidP="001C7817">
            <w:r w:rsidRPr="001C7817">
              <w:t>-In the first year, costs for outpatient care for participants with low breathlessness burden were €3527 and for participants with high breathlessness burden €3792. In the second year, these costs were €3634 and €4166, respectively. Costs did not differ between groups</w:t>
            </w:r>
          </w:p>
          <w:p w:rsidR="001C7817" w:rsidRPr="001C7817" w:rsidRDefault="001C7817" w:rsidP="001C7817">
            <w:r w:rsidRPr="001C7817">
              <w:t xml:space="preserve">-In the first year, costs for inpatient care were €1606 for participants with low breathlessness burden and €3934 for patients with high breathlessness burden. In the second year, these costs were €1876 and €3910, respectively. Costs for participants with high breathlessness burden were higher in both years.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Patients with high breathlessness burden show higher healthcare and societal costs compared to patients with low breathlessness burden and this cost difference increases over time</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9</w:t>
            </w:r>
          </w:p>
        </w:tc>
      </w:tr>
      <w:tr w:rsidR="001C7817" w:rsidRPr="001C7817" w:rsidTr="001C7817">
        <w:trPr>
          <w:trHeight w:val="7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Patirana et al,2019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(South Africa)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Congenital defects (N=2685 neonates)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t>Secondary ata (clinical records)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rPr>
                <w:rFonts w:eastAsia="Calibri"/>
                <w:bCs/>
              </w:rPr>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Prevalence</w:t>
            </w:r>
          </w:p>
          <w:p w:rsidR="001C7817" w:rsidRPr="001C7817" w:rsidRDefault="001C7817" w:rsidP="001C7817">
            <w:r w:rsidRPr="001C7817">
              <w:t xml:space="preserve">-The mean age at time of confirmatory sample collection was 9.3 ± 6.1 days. There were 46 infants (1.71%) confirmed as cCMV cases. </w:t>
            </w:r>
          </w:p>
          <w:p w:rsidR="001C7817" w:rsidRPr="001C7817" w:rsidRDefault="001C7817" w:rsidP="001C7817">
            <w:pPr>
              <w:rPr>
                <w:rFonts w:eastAsia="Calibri"/>
                <w:b/>
                <w:u w:val="single"/>
              </w:rPr>
            </w:pPr>
            <w:r w:rsidRPr="001C7817">
              <w:t xml:space="preserve">-There were no differences in maternal and neonatal characteristics between neonates that had confirmatory testing done and those that did not return for confirmatory testing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 xml:space="preserve">The study </w:t>
            </w:r>
            <w:proofErr w:type="gramStart"/>
            <w:r w:rsidRPr="001C7817">
              <w:t>reported  a</w:t>
            </w:r>
            <w:proofErr w:type="gramEnd"/>
            <w:r w:rsidRPr="001C7817">
              <w:t xml:space="preserve"> high prevalence of cCMV in HIV-exposed neonates, in a population-based study in South Africa.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12</w:t>
            </w:r>
          </w:p>
        </w:tc>
      </w:tr>
      <w:tr w:rsidR="001C7817" w:rsidRPr="001C7817" w:rsidTr="001C7817">
        <w:trPr>
          <w:trHeight w:val="2321"/>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rPr>
                <w:sz w:val="18"/>
                <w:szCs w:val="18"/>
              </w:rPr>
            </w:pPr>
            <w:r w:rsidRPr="001C7817">
              <w:rPr>
                <w:sz w:val="18"/>
                <w:szCs w:val="18"/>
              </w:rPr>
              <w:t>Ylitalo et al, 2013</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National (USA)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Diabetes Mellitus (N=7894 participants)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sz w:val="18"/>
                <w:szCs w:val="18"/>
              </w:rPr>
            </w:pPr>
            <w:r w:rsidRPr="001C7817">
              <w:rPr>
                <w:rFonts w:eastAsia="Calibri"/>
                <w:sz w:val="18"/>
                <w:szCs w:val="18"/>
              </w:rPr>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sz w:val="18"/>
                <w:szCs w:val="18"/>
              </w:rPr>
            </w:pPr>
            <w:r w:rsidRPr="001C7817">
              <w:rPr>
                <w:rFonts w:eastAsia="Calibri"/>
                <w:bCs/>
                <w:sz w:val="18"/>
                <w:szCs w:val="18"/>
              </w:rPr>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Mortality</w:t>
            </w:r>
          </w:p>
          <w:p w:rsidR="001C7817" w:rsidRPr="001C7817" w:rsidRDefault="001C7817" w:rsidP="001C7817">
            <w:r w:rsidRPr="001C7817">
              <w:t>-After 10 years of follow-up, 28.0% of participants had died. Those self-reporting poor physical functioning were more likely to die than those reporting good physical functioning (30.0% vs. 17.7%; p-value&lt;0.001).</w:t>
            </w:r>
          </w:p>
          <w:p w:rsidR="001C7817" w:rsidRPr="001C7817" w:rsidRDefault="001C7817" w:rsidP="001C7817">
            <w:pPr>
              <w:rPr>
                <w:rFonts w:eastAsia="Calibri"/>
                <w:b/>
                <w:u w:val="single"/>
              </w:rPr>
            </w:pPr>
            <w:r w:rsidRPr="001C7817">
              <w:t>- Of the 2211 total deaths, 856 (38.7%) were due to cardiovascular disease. Similar to all-cause mortality, those reporting poor physical functioning were more likely to die from cardiovascular disease than those reporting good physical functioning (14.2% vs. 7.6%; p-value&lt;0.001)</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The majority of individuals with type 2 diabetes demonstrated markedly worse physical health compared to the United States general population, which was not surprising considering that diabetes is a condition with many physically debilitating consequences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12</w:t>
            </w:r>
          </w:p>
        </w:tc>
      </w:tr>
      <w:tr w:rsidR="001C7817" w:rsidRPr="001C7817" w:rsidTr="001C7817">
        <w:trPr>
          <w:trHeight w:val="2321"/>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rPr>
                <w:sz w:val="18"/>
                <w:szCs w:val="18"/>
              </w:rPr>
            </w:pPr>
            <w:r w:rsidRPr="001C7817">
              <w:rPr>
                <w:sz w:val="18"/>
                <w:szCs w:val="18"/>
              </w:rPr>
              <w:t>Abdo et 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National(Lebanon)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Stroke</w:t>
            </w:r>
          </w:p>
          <w:p w:rsidR="001C7817" w:rsidRPr="001C7817" w:rsidRDefault="001C7817" w:rsidP="001C7817">
            <w:pPr>
              <w:rPr>
                <w:sz w:val="18"/>
                <w:szCs w:val="18"/>
              </w:rPr>
            </w:pPr>
            <w:r w:rsidRPr="001C7817">
              <w:rPr>
                <w:sz w:val="18"/>
                <w:szCs w:val="18"/>
              </w:rPr>
              <w:t>N=203</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t>observational, multicenter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sz w:val="18"/>
                <w:szCs w:val="18"/>
              </w:rPr>
            </w:pPr>
            <w:r w:rsidRPr="001C7817">
              <w:rPr>
                <w:rFonts w:eastAsia="Calibri"/>
                <w:sz w:val="18"/>
                <w:szCs w:val="18"/>
              </w:rPr>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sz w:val="18"/>
                <w:szCs w:val="18"/>
              </w:rPr>
            </w:pPr>
            <w:r w:rsidRPr="001C7817">
              <w:rPr>
                <w:rFonts w:eastAsia="Calibri"/>
                <w:bCs/>
                <w:sz w:val="18"/>
                <w:szCs w:val="18"/>
              </w:rPr>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Cost</w:t>
            </w:r>
          </w:p>
          <w:p w:rsidR="001C7817" w:rsidRPr="001C7817" w:rsidRDefault="001C7817" w:rsidP="001C7817">
            <w:r w:rsidRPr="001C7817">
              <w:t xml:space="preserve">-The direct in-hospital cost for all cases was US$1 413 069 for a total stay of 2626 days (US$538 per in-hospital day). The average cost per stroke patient was US$6961 ± 15 663. </w:t>
            </w:r>
          </w:p>
          <w:p w:rsidR="001C7817" w:rsidRPr="001C7817" w:rsidRDefault="001C7817" w:rsidP="001C7817">
            <w:pPr>
              <w:rPr>
                <w:rFonts w:eastAsia="Calibri"/>
                <w:b/>
                <w:u w:val="single"/>
              </w:rPr>
            </w:pPr>
            <w:r w:rsidRPr="001C7817">
              <w:t>-Of the total cost, 26.8% was attributed to the cost of room and board, 22.3% to general exams (including stroke and vascular imaging and cardiology-related investigations), 15.7% to physicians’ fees, 14.4% to laboratory tests, 14.6% to pharmacy, and 6.2% to other expenses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This study is an important first step in evaluating the economic impact of hospitalization due to stroke in Lebanon. Cost of care is significantly influenced by level of stroke severity and LOS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10</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17</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rPr>
                <w:sz w:val="18"/>
                <w:szCs w:val="18"/>
              </w:rPr>
            </w:pPr>
            <w:r w:rsidRPr="001C7817">
              <w:rPr>
                <w:sz w:val="18"/>
                <w:szCs w:val="18"/>
              </w:rPr>
              <w:t>Guo, et al, 2021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National (China)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Diabetes Mellitus</w:t>
            </w:r>
          </w:p>
          <w:p w:rsidR="001C7817" w:rsidRPr="001C7817" w:rsidRDefault="001C7817" w:rsidP="001C7817">
            <w:pPr>
              <w:rPr>
                <w:sz w:val="18"/>
                <w:szCs w:val="18"/>
              </w:rPr>
            </w:pPr>
            <w:r w:rsidRPr="001C7817">
              <w:rPr>
                <w:sz w:val="18"/>
                <w:szCs w:val="18"/>
              </w:rPr>
              <w:t>N=2,853,036</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sz w:val="18"/>
                <w:szCs w:val="18"/>
              </w:rPr>
            </w:pPr>
            <w:r w:rsidRPr="001C7817">
              <w:t>Secondary source (outpatient records)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sz w:val="18"/>
                <w:szCs w:val="18"/>
              </w:rPr>
            </w:pPr>
            <w:r w:rsidRPr="001C7817">
              <w:rPr>
                <w:rFonts w:eastAsia="Calibri"/>
                <w:bCs/>
                <w:sz w:val="18"/>
                <w:szCs w:val="18"/>
              </w:rPr>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Cost</w:t>
            </w:r>
          </w:p>
          <w:p w:rsidR="001C7817" w:rsidRPr="001C7817" w:rsidRDefault="001C7817" w:rsidP="001C7817">
            <w:r w:rsidRPr="001C7817">
              <w:t xml:space="preserve">-Over the 3-year period, there was a significant decrease (9.0%, </w:t>
            </w:r>
            <w:r w:rsidRPr="001C7817">
              <w:rPr>
                <w:i/>
                <w:iCs/>
              </w:rPr>
              <w:t>P</w:t>
            </w:r>
            <w:r w:rsidRPr="001C7817">
              <w:t xml:space="preserve"> &lt;.001) in the average number of diabetes medications used. Both antiglycemic and non-antiglycemic drug use decreased by 3.6% and 12.9%, respectively.</w:t>
            </w:r>
          </w:p>
          <w:p w:rsidR="001C7817" w:rsidRPr="001C7817" w:rsidRDefault="001C7817" w:rsidP="001C7817">
            <w:pPr>
              <w:rPr>
                <w:rFonts w:eastAsia="Calibri"/>
                <w:b/>
                <w:u w:val="single"/>
              </w:rPr>
            </w:pPr>
            <w:r w:rsidRPr="001C7817">
              <w:t>- Similarly, for estimated annual costs of medication, an 18.4% (</w:t>
            </w:r>
            <w:r w:rsidRPr="001C7817">
              <w:rPr>
                <w:i/>
                <w:iCs/>
              </w:rPr>
              <w:t>P</w:t>
            </w:r>
            <w:r w:rsidRPr="001C7817">
              <w:t xml:space="preserve"> &lt;.05) decrease was observed, with a gradual decreased from ¥6,868 ($1,059) in 2016 to ¥5,605 ($865) in 2018.</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 xml:space="preserve"> Despite the increasing availability of newer, more expensive diabetes drugs, there was a significant reduction in the number of diabetes medications used</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11</w:t>
            </w:r>
          </w:p>
        </w:tc>
      </w:tr>
      <w:tr w:rsidR="001C7817" w:rsidRPr="001C7817" w:rsidTr="001C7817">
        <w:trPr>
          <w:trHeight w:val="143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30</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18</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Warrell et al, 2021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National(Myanmar)</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Lower respiratory infections</w:t>
            </w:r>
          </w:p>
          <w:p w:rsidR="001C7817" w:rsidRPr="001C7817" w:rsidRDefault="001C7817" w:rsidP="001C7817">
            <w:r w:rsidRPr="001C7817">
              <w:t>N =299</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rPr>
                <w:rFonts w:eastAsia="Calibri"/>
                <w:bCs/>
              </w:rPr>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Prevalence</w:t>
            </w:r>
          </w:p>
          <w:p w:rsidR="001C7817" w:rsidRPr="001C7817" w:rsidRDefault="001C7817" w:rsidP="001C7817">
            <w:r w:rsidRPr="001C7817">
              <w:t xml:space="preserve">-Among 299 patients, 32% (95% confidence interval [CI] 26 to 37) were diagnosed with tuberculosis (TB), including 9 rifampicin-resistant cases. </w:t>
            </w:r>
          </w:p>
          <w:p w:rsidR="001C7817" w:rsidRPr="001C7817" w:rsidRDefault="001C7817" w:rsidP="001C7817">
            <w:pPr>
              <w:rPr>
                <w:rFonts w:eastAsia="Calibri"/>
                <w:b/>
                <w:u w:val="single"/>
              </w:rPr>
            </w:pPr>
            <w:r w:rsidRPr="001C7817">
              <w:t>- -One case of melioidosis pneumonia was detected by rapid test and confirmed by culture. Respiratory viruses were detected in 16% (95% CI 12 to 21) of patients.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 xml:space="preserve">TB was very common in this population, suggesting that microscopy and GeneXpert MTB/RIF on all sputum samples should be routinely done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11</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31</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Bragado et al, 2014</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Stroke</w:t>
            </w:r>
          </w:p>
          <w:p w:rsidR="001C7817" w:rsidRPr="001C7817" w:rsidRDefault="001C7817" w:rsidP="001C7817">
            <w:r w:rsidRPr="001C7817">
              <w:t>N=847</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Mortality:</w:t>
            </w:r>
          </w:p>
          <w:p w:rsidR="001C7817" w:rsidRPr="001C7817" w:rsidRDefault="001C7817" w:rsidP="001C7817">
            <w:r w:rsidRPr="001C7817">
              <w:t>The presence of complications was associated with a high rate of mortality (ischaemic vs haemohargic both in hospitals (2.1% versus 12.0% p&lt;0.0001) and at 90 days (5.7% versus 29.6%; p &lt; 0.0001)</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The appearance of complications during the acute phase of stroke has an adverse influence on mortality and on the functional prognosis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8</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32</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Vazquez et al ,2015</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w:t>
            </w:r>
          </w:p>
          <w:p w:rsidR="001C7817" w:rsidRPr="001C7817" w:rsidRDefault="001C7817" w:rsidP="001C7817">
            <w:r w:rsidRPr="001C7817">
              <w:t>N=502</w:t>
            </w:r>
          </w:p>
          <w:p w:rsidR="001C7817" w:rsidRPr="001C7817" w:rsidRDefault="001C7817" w:rsidP="001C7817">
            <w:r w:rsidRPr="001C7817">
              <w:t>Relatives</w:t>
            </w:r>
          </w:p>
          <w:p w:rsidR="001C7817" w:rsidRPr="001C7817" w:rsidRDefault="001C7817" w:rsidP="001C7817">
            <w:r w:rsidRPr="001C7817">
              <w:t>N=123</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Care givers strain</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Care givers strain:</w:t>
            </w:r>
          </w:p>
          <w:p w:rsidR="001C7817" w:rsidRPr="001C7817" w:rsidRDefault="001C7817" w:rsidP="001C7817">
            <w:r w:rsidRPr="001C7817">
              <w:t xml:space="preserve">A total of 13% of patients were at risk of possible depression while 50.0% of people with diabetes </w:t>
            </w:r>
          </w:p>
          <w:p w:rsidR="001C7817" w:rsidRPr="001C7817" w:rsidRDefault="001C7817" w:rsidP="001C7817">
            <w:r w:rsidRPr="001C7817">
              <w:t>- 45.5% of family members reported a high level of diabetes related emotional stress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People with diabetes experience high level of stress and the psycosocial impact of diabetes also affects family members.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5</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Zhao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Northern Territory (NT) of Australia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Stroke</w:t>
            </w:r>
          </w:p>
          <w:p w:rsidR="001C7817" w:rsidRPr="001C7817" w:rsidRDefault="001C7817" w:rsidP="001C7817">
            <w:r w:rsidRPr="001C7817">
              <w:t>N=2,158</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Secondary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Cost:</w:t>
            </w:r>
          </w:p>
          <w:p w:rsidR="001C7817" w:rsidRPr="001C7817" w:rsidRDefault="001C7817" w:rsidP="001C7817">
            <w:pPr>
              <w:rPr>
                <w:color w:val="212121"/>
                <w:shd w:val="clear" w:color="auto" w:fill="FFFFFF"/>
              </w:rPr>
            </w:pPr>
            <w:r w:rsidRPr="001C7817">
              <w:rPr>
                <w:color w:val="212121"/>
                <w:shd w:val="clear" w:color="auto" w:fill="FFFFFF"/>
              </w:rPr>
              <w:t xml:space="preserve">- </w:t>
            </w:r>
            <w:r w:rsidRPr="001C7817">
              <w:t>Average age of stroke onset was 51 years in Aboriginal, compared with 65 years in non-Aboriginal patients</w:t>
            </w:r>
            <w:r w:rsidRPr="001C7817">
              <w:rPr>
                <w:color w:val="212121"/>
                <w:shd w:val="clear" w:color="auto" w:fill="FFFFFF"/>
              </w:rPr>
              <w:t xml:space="preserve"> </w:t>
            </w:r>
          </w:p>
          <w:p w:rsidR="001C7817" w:rsidRPr="001C7817" w:rsidRDefault="001C7817" w:rsidP="001C7817">
            <w:r w:rsidRPr="001C7817">
              <w:rPr>
                <w:color w:val="212121"/>
                <w:shd w:val="clear" w:color="auto" w:fill="FFFFFF"/>
              </w:rPr>
              <w:t>- Of all cases, 42.6% were ischaemic and 29.8% haemorrhagic stroke</w:t>
            </w:r>
          </w:p>
          <w:p w:rsidR="001C7817" w:rsidRPr="001C7817" w:rsidRDefault="001C7817" w:rsidP="001C7817">
            <w:r w:rsidRPr="001C7817">
              <w:t>- Observed health costs averaged $A50 400 per Aboriginal compared with $A33 700 per non-Aboriginal patient (p&lt;0.001).</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color w:val="212121"/>
                <w:shd w:val="clear" w:color="auto" w:fill="FFFFFF"/>
              </w:rPr>
              <w:t xml:space="preserve">Stroke care for the NT Aboriginal population is at least as cost-effective as the non-Aboriginal population. Stroke care presents worthwhile and equitable survival benefits for Aboriginal patients in remote communities, notwithstanding their higher level burden of disease.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6</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Picarzo et 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Congenital heart disease</w:t>
            </w:r>
          </w:p>
          <w:p w:rsidR="001C7817" w:rsidRPr="001C7817" w:rsidRDefault="001C7817" w:rsidP="001C7817">
            <w:r w:rsidRPr="001C7817">
              <w:t>N=64,831</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Incidence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Incidence:</w:t>
            </w:r>
          </w:p>
          <w:p w:rsidR="001C7817" w:rsidRPr="001C7817" w:rsidRDefault="001C7817" w:rsidP="001C7817">
            <w:pPr>
              <w:rPr>
                <w:color w:val="212121"/>
                <w:shd w:val="clear" w:color="auto" w:fill="FFFFFF"/>
              </w:rPr>
            </w:pPr>
            <w:r w:rsidRPr="001C7817">
              <w:rPr>
                <w:color w:val="212121"/>
                <w:shd w:val="clear" w:color="auto" w:fill="FFFFFF"/>
              </w:rPr>
              <w:t xml:space="preserve">- There were 64,831 infants with CHD among the 4,766,325 births analysed during the period studied, with an incidence of 13.6‰. </w:t>
            </w:r>
          </w:p>
          <w:p w:rsidR="001C7817" w:rsidRPr="001C7817" w:rsidRDefault="001C7817" w:rsidP="001C7817">
            <w:pPr>
              <w:rPr>
                <w:color w:val="212121"/>
                <w:shd w:val="clear" w:color="auto" w:fill="FFFFFF"/>
              </w:rPr>
            </w:pPr>
            <w:r w:rsidRPr="001C7817">
              <w:rPr>
                <w:color w:val="212121"/>
                <w:shd w:val="clear" w:color="auto" w:fill="FFFFFF"/>
              </w:rPr>
              <w:t>- The incidence excluding atrial septal defect was 7.29 ‰.</w:t>
            </w:r>
          </w:p>
          <w:p w:rsidR="001C7817" w:rsidRPr="001C7817" w:rsidRDefault="001C7817" w:rsidP="001C7817">
            <w:r w:rsidRPr="001C7817">
              <w:rPr>
                <w:color w:val="212121"/>
                <w:shd w:val="clear" w:color="auto" w:fill="FFFFFF"/>
              </w:rPr>
              <w:t>-The most frequent CHD were atrial septal defect (6.31‰), ventricular septal defect (3.48‰), patent ductus arteriosus (2.71‰) etc</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An increase in mild congenital heart defect was observed during the period analyzed</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5</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Lawrence et al, 2021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(USA)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w:t>
            </w:r>
          </w:p>
          <w:p w:rsidR="001C7817" w:rsidRPr="001C7817" w:rsidRDefault="001C7817" w:rsidP="001C7817">
            <w:r w:rsidRPr="001C7817">
              <w:t>N=4,958</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Prevalence:</w:t>
            </w:r>
          </w:p>
          <w:p w:rsidR="001C7817" w:rsidRPr="001C7817" w:rsidRDefault="001C7817" w:rsidP="001C7817">
            <w:pPr>
              <w:rPr>
                <w:color w:val="212121"/>
                <w:shd w:val="clear" w:color="auto" w:fill="FFFFFF"/>
              </w:rPr>
            </w:pPr>
            <w:r w:rsidRPr="001C7817">
              <w:rPr>
                <w:color w:val="212121"/>
                <w:shd w:val="clear" w:color="auto" w:fill="FFFFFF"/>
              </w:rPr>
              <w:t xml:space="preserve">-Among youths 19 years or younger, 4958 of 3.35 million had type 1 diabetes in 2001 (0.02%), 6672 of 3.46 million had type 1 diabetes in 2009 (0.02%), and 7759 of 3.61 million had type 1 diabetes in 2017 (0.02%); </w:t>
            </w:r>
          </w:p>
          <w:p w:rsidR="001C7817" w:rsidRPr="001C7817" w:rsidRDefault="001C7817" w:rsidP="001C7817">
            <w:r w:rsidRPr="001C7817">
              <w:rPr>
                <w:color w:val="212121"/>
                <w:shd w:val="clear" w:color="auto" w:fill="FFFFFF"/>
              </w:rPr>
              <w:t xml:space="preserve">-Among those aged 10 to 19 years, 588 of 1.73 million (0.003) had type 2 diabetes in 2001, 814 of 1.85 million had type 2 diabetes in 2009 (0.004%), and 1230 of 1.85 million had type 2 diabetes in 2017 (0.007%).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color w:val="212121"/>
                <w:shd w:val="clear" w:color="auto" w:fill="FFFFFF"/>
              </w:rPr>
              <w:t>In 6 areas of the US from 2001 to 2017, the estimated prevalence of diabetes among children and adolescents increased for both type 1 and type 2 diabetes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12</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Beobide-Telleria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w:t>
            </w:r>
          </w:p>
          <w:p w:rsidR="001C7817" w:rsidRPr="001C7817" w:rsidRDefault="001C7817" w:rsidP="001C7817">
            <w:r w:rsidRPr="001C7817">
              <w:t>N= 585</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Prevalence:</w:t>
            </w:r>
          </w:p>
          <w:p w:rsidR="001C7817" w:rsidRPr="001C7817" w:rsidRDefault="001C7817" w:rsidP="001C7817">
            <w:pPr>
              <w:rPr>
                <w:color w:val="212121"/>
                <w:shd w:val="clear" w:color="auto" w:fill="FFFFFF"/>
              </w:rPr>
            </w:pPr>
            <w:r w:rsidRPr="001C7817">
              <w:rPr>
                <w:color w:val="212121"/>
                <w:shd w:val="clear" w:color="auto" w:fill="FFFFFF"/>
              </w:rPr>
              <w:t xml:space="preserve">- Prevalence of type 2 diabetes mellitus was 21.7%. </w:t>
            </w:r>
          </w:p>
          <w:p w:rsidR="001C7817" w:rsidRPr="001C7817" w:rsidRDefault="001C7817" w:rsidP="001C7817">
            <w:r w:rsidRPr="001C7817">
              <w:rPr>
                <w:color w:val="212121"/>
                <w:shd w:val="clear" w:color="auto" w:fill="FFFFFF"/>
              </w:rPr>
              <w:t xml:space="preserve">- 70.90% of the patients had glycated hemoglobin ≤ 7% last year, with 92% of the patients having a moderate-severe frailty.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color w:val="212121"/>
                <w:shd w:val="clear" w:color="auto" w:fill="FFFFFF"/>
              </w:rPr>
              <w:t>Prevalence of type 2 diabetes is slightly lower than that found in the literature.</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11</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10</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Álvarez-Rodríguez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w:t>
            </w:r>
          </w:p>
          <w:p w:rsidR="001C7817" w:rsidRPr="001C7817" w:rsidRDefault="001C7817" w:rsidP="001C7817">
            <w:r w:rsidRPr="001C7817">
              <w:t>(Spain)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w:t>
            </w:r>
          </w:p>
          <w:p w:rsidR="001C7817" w:rsidRPr="001C7817" w:rsidRDefault="001C7817" w:rsidP="001C7817">
            <w:r w:rsidRPr="001C7817">
              <w:t>N= 254</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Prevalence:</w:t>
            </w:r>
          </w:p>
          <w:p w:rsidR="001C7817" w:rsidRPr="001C7817" w:rsidRDefault="001C7817" w:rsidP="001C7817">
            <w:pPr>
              <w:rPr>
                <w:color w:val="212121"/>
                <w:shd w:val="clear" w:color="auto" w:fill="FFFFFF"/>
              </w:rPr>
            </w:pPr>
            <w:r w:rsidRPr="001C7817">
              <w:t>-</w:t>
            </w:r>
            <w:r w:rsidRPr="001C7817">
              <w:rPr>
                <w:b/>
                <w:bCs/>
                <w:color w:val="212121"/>
                <w:shd w:val="clear" w:color="auto" w:fill="FFFFFF"/>
              </w:rPr>
              <w:t> </w:t>
            </w:r>
            <w:r w:rsidRPr="001C7817">
              <w:rPr>
                <w:color w:val="212121"/>
                <w:shd w:val="clear" w:color="auto" w:fill="FFFFFF"/>
              </w:rPr>
              <w:t>36.6% of patients admitted from the Emergency room were diabetic</w:t>
            </w:r>
          </w:p>
          <w:p w:rsidR="001C7817" w:rsidRPr="001C7817" w:rsidRDefault="001C7817" w:rsidP="001C7817">
            <w:r w:rsidRPr="001C7817">
              <w:rPr>
                <w:color w:val="212121"/>
                <w:shd w:val="clear" w:color="auto" w:fill="FFFFFF"/>
              </w:rPr>
              <w:t>-Average hospital stay was 8±6.4 days, with no differences between the groups.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color w:val="212121"/>
                <w:shd w:val="clear" w:color="auto" w:fill="FFFFFF"/>
              </w:rPr>
              <w:t>Prevalence of diabetic patients admitted from emergency rooms is very high</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6</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Anderson et al, 2021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(Brazil)</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Congenital Heart disease </w:t>
            </w:r>
          </w:p>
          <w:p w:rsidR="001C7817" w:rsidRPr="001C7817" w:rsidRDefault="001C7817" w:rsidP="001C7817">
            <w:pPr>
              <w:rPr>
                <w:color w:val="212121"/>
                <w:shd w:val="clear" w:color="auto" w:fill="FFFFFF"/>
              </w:rPr>
            </w:pPr>
            <w:r w:rsidRPr="001C7817">
              <w:t>N=</w:t>
            </w:r>
            <w:r w:rsidRPr="001C7817">
              <w:rPr>
                <w:color w:val="212121"/>
                <w:shd w:val="clear" w:color="auto" w:fill="FFFFFF"/>
              </w:rPr>
              <w:t xml:space="preserve"> 13,955 newborns  22-36wks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Prevalence:</w:t>
            </w:r>
          </w:p>
          <w:p w:rsidR="001C7817" w:rsidRPr="001C7817" w:rsidRDefault="001C7817" w:rsidP="001C7817">
            <w:r w:rsidRPr="001C7817">
              <w:rPr>
                <w:color w:val="212121"/>
                <w:shd w:val="clear" w:color="auto" w:fill="FFFFFF"/>
              </w:rPr>
              <w:t>-The prevalence of congenital heart disease was 2.45% (95% CI, 2.20-2.72%).</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color w:val="212121"/>
                <w:shd w:val="clear" w:color="auto" w:fill="FFFFFF"/>
              </w:rPr>
              <w:t>The overall prevalence of congenital heart disease in this cohort of very low birth weight infants was higher and with higher mortality than in the general population of live births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8</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Amin et al, 2019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(Japan)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Stroke </w:t>
            </w:r>
          </w:p>
          <w:p w:rsidR="001C7817" w:rsidRPr="001C7817" w:rsidRDefault="001C7817" w:rsidP="001C7817">
            <w:r w:rsidRPr="001C7817">
              <w:t>N=</w:t>
            </w:r>
            <w:r w:rsidRPr="001C7817">
              <w:rPr>
                <w:color w:val="212121"/>
                <w:shd w:val="clear" w:color="auto" w:fill="FFFFFF"/>
              </w:rPr>
              <w:t>63 084</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Retrospective observational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Mortality:</w:t>
            </w:r>
          </w:p>
          <w:p w:rsidR="001C7817" w:rsidRPr="001C7817" w:rsidRDefault="001C7817" w:rsidP="001C7817">
            <w:pPr>
              <w:rPr>
                <w:color w:val="212121"/>
                <w:shd w:val="clear" w:color="auto" w:fill="FFFFFF"/>
              </w:rPr>
            </w:pPr>
            <w:r w:rsidRPr="001C7817">
              <w:t>-</w:t>
            </w:r>
            <w:r w:rsidRPr="001C7817">
              <w:rPr>
                <w:b/>
                <w:bCs/>
                <w:color w:val="212121"/>
                <w:shd w:val="clear" w:color="auto" w:fill="FFFFFF"/>
              </w:rPr>
              <w:t> </w:t>
            </w:r>
            <w:r w:rsidRPr="001C7817">
              <w:rPr>
                <w:color w:val="212121"/>
                <w:shd w:val="clear" w:color="auto" w:fill="FFFFFF"/>
              </w:rPr>
              <w:t xml:space="preserve">A total of 63 084 patients admitted for stroke from January 2012 to December 2016 were analyzed; over 5 years, a total of 3,271 (5.19%) died </w:t>
            </w:r>
          </w:p>
          <w:p w:rsidR="001C7817" w:rsidRPr="001C7817" w:rsidRDefault="001C7817" w:rsidP="001C7817">
            <w:pPr>
              <w:rPr>
                <w:color w:val="212121"/>
                <w:shd w:val="clear" w:color="auto" w:fill="FFFFFF"/>
              </w:rPr>
            </w:pPr>
            <w:r w:rsidRPr="001C7817">
              <w:rPr>
                <w:color w:val="212121"/>
                <w:shd w:val="clear" w:color="auto" w:fill="FFFFFF"/>
              </w:rPr>
              <w:t>- In 2012, 2013, 2014, 2015 and 2016; mortality rates were 5.37%, 4.96%, 4.82%, 5.37% and 5.43% respectively</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w:t>
            </w:r>
            <w:r w:rsidRPr="001C7817">
              <w:rPr>
                <w:color w:val="212121"/>
                <w:shd w:val="clear" w:color="auto" w:fill="FFFFFF"/>
              </w:rPr>
              <w:t>By examining these trends, facilities, authorities and provinces can initiate designs that will ultimately lead to an upgraded healthcare delivery system.</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9</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40</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Salam et al, 2016</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Continental (</w:t>
            </w:r>
            <w:r w:rsidRPr="001C7817">
              <w:rPr>
                <w:color w:val="333333"/>
              </w:rPr>
              <w:t>Qatar, UAE, Kuwait, Oman, Saudi Arabia, Bahrain &amp; Yemen)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Heart Disease</w:t>
            </w:r>
          </w:p>
          <w:p w:rsidR="001C7817" w:rsidRPr="001C7817" w:rsidRDefault="001C7817" w:rsidP="001C7817">
            <w:r w:rsidRPr="001C7817">
              <w:t>N=5,005</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tcPr>
          <w:p w:rsidR="001C7817" w:rsidRPr="001C7817" w:rsidRDefault="001C7817" w:rsidP="001C7817"/>
          <w:p w:rsidR="001C7817" w:rsidRPr="001C7817" w:rsidRDefault="001C7817" w:rsidP="001C7817">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Prevalence:</w:t>
            </w:r>
          </w:p>
          <w:p w:rsidR="001C7817" w:rsidRPr="001C7817" w:rsidRDefault="001C7817" w:rsidP="001C7817">
            <w:r w:rsidRPr="001C7817">
              <w:t>-</w:t>
            </w:r>
            <w:r w:rsidRPr="001C7817">
              <w:rPr>
                <w:color w:val="333333"/>
              </w:rPr>
              <w:t> The prevalence of CAD among Acute Heart Failure (AHF) patients was 60.2% and varied significantly among the 7 countries (Qatar 65.7%, UAE 66.6%, Kuwait 68.0%, Oman 65.9%, Saudi Arabia 62.5%, Bahrain 52.7% and Yemen 49.1%) with lower values in the lower income countries.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w:t>
            </w:r>
            <w:r w:rsidRPr="001C7817">
              <w:rPr>
                <w:color w:val="333333"/>
              </w:rPr>
              <w:t>The prevalence of CAD amongst patients with HF in the Middle East is variable and may be related to healthcare sources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8</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41</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Wacker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(Germany)</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COPD</w:t>
            </w:r>
          </w:p>
          <w:p w:rsidR="001C7817" w:rsidRPr="001C7817" w:rsidRDefault="001C7817" w:rsidP="001C7817">
            <w:r w:rsidRPr="001C7817">
              <w:t>N=2,139</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Cost:</w:t>
            </w:r>
          </w:p>
          <w:p w:rsidR="001C7817" w:rsidRPr="001C7817" w:rsidRDefault="001C7817" w:rsidP="001C7817">
            <w:r w:rsidRPr="001C7817">
              <w:rPr>
                <w:color w:val="212121"/>
                <w:shd w:val="clear" w:color="auto" w:fill="FFFFFF"/>
              </w:rPr>
              <w:t>Unadjusted mean annual direct costs were €7,263 per patient.</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color w:val="212121"/>
                <w:shd w:val="clear" w:color="auto" w:fill="FFFFFF"/>
              </w:rPr>
              <w:t xml:space="preserve">Detailed knowledge about comorbidities in COPD is useful not only for clinical purposes but also to identify relevant cost factors and their interactions </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7</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42</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17</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Sudharsanan et al, 2019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w:t>
            </w:r>
          </w:p>
          <w:p w:rsidR="001C7817" w:rsidRPr="001C7817" w:rsidRDefault="001C7817" w:rsidP="001C7817">
            <w:r w:rsidRPr="001C7817">
              <w:t>(India)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Stroke</w:t>
            </w:r>
          </w:p>
          <w:p w:rsidR="001C7817" w:rsidRPr="001C7817" w:rsidRDefault="001C7817" w:rsidP="001C7817">
            <w:r w:rsidRPr="001C7817">
              <w:t xml:space="preserve">N=94,154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Mortality,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Mortality</w:t>
            </w:r>
          </w:p>
          <w:p w:rsidR="001C7817" w:rsidRPr="001C7817" w:rsidRDefault="001C7817" w:rsidP="001C7817">
            <w:pPr>
              <w:rPr>
                <w:color w:val="212121"/>
                <w:shd w:val="clear" w:color="auto" w:fill="FFFFFF"/>
              </w:rPr>
            </w:pPr>
            <w:r w:rsidRPr="001C7817">
              <w:rPr>
                <w:color w:val="212121"/>
                <w:shd w:val="clear" w:color="auto" w:fill="FFFFFF"/>
              </w:rPr>
              <w:t xml:space="preserve">There were 229 (0.24%) stroke deaths among the total population and 175 stroke survivors among the subpopulation of 45 053 individuals. </w:t>
            </w:r>
          </w:p>
          <w:p w:rsidR="001C7817" w:rsidRPr="001C7817" w:rsidRDefault="001C7817" w:rsidP="001C7817">
            <w:pPr>
              <w:rPr>
                <w:b/>
                <w:u w:val="single"/>
              </w:rPr>
            </w:pPr>
            <w:r w:rsidRPr="001C7817">
              <w:rPr>
                <w:b/>
                <w:u w:val="single"/>
              </w:rPr>
              <w:t>DALYs:</w:t>
            </w:r>
          </w:p>
          <w:p w:rsidR="001C7817" w:rsidRPr="001C7817" w:rsidRDefault="001C7817" w:rsidP="001C7817">
            <w:r w:rsidRPr="001C7817">
              <w:rPr>
                <w:color w:val="212121"/>
                <w:shd w:val="clear" w:color="auto" w:fill="FFFFFF"/>
              </w:rPr>
              <w:t>An estimated 2,984 DALYs were lost due to stroke per 100,000 person-years with a higher burden among men compared with women (3,142 vs 2,821 DALYs).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color w:val="212121"/>
                <w:shd w:val="clear" w:color="auto" w:fill="FFFFFF"/>
              </w:rPr>
              <w:t>These results reveal a substantial need for surveillance and improved preventive and curative services for stroke in rural India.</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10</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18</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Wong et al 2013</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(Hong Kong)</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Heart Disease,</w:t>
            </w:r>
          </w:p>
          <w:p w:rsidR="001C7817" w:rsidRPr="001C7817" w:rsidRDefault="001C7817" w:rsidP="001C7817">
            <w:r w:rsidRPr="001C7817">
              <w:t>Stroke</w:t>
            </w:r>
          </w:p>
          <w:p w:rsidR="001C7817" w:rsidRPr="001C7817" w:rsidRDefault="001C7817" w:rsidP="001C7817">
            <w:r w:rsidRPr="001C7817">
              <w:t>N=218,047</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Incidence/Mortality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Mortality</w:t>
            </w:r>
          </w:p>
          <w:p w:rsidR="001C7817" w:rsidRPr="001C7817" w:rsidRDefault="001C7817" w:rsidP="001C7817">
            <w:r w:rsidRPr="001C7817">
              <w:t>Diabetes 0.09%</w:t>
            </w:r>
          </w:p>
          <w:p w:rsidR="001C7817" w:rsidRPr="001C7817" w:rsidRDefault="001C7817" w:rsidP="001C7817">
            <w:r w:rsidRPr="001C7817">
              <w:t>Coronary heart disease 0.62%</w:t>
            </w:r>
          </w:p>
          <w:p w:rsidR="001C7817" w:rsidRPr="001C7817" w:rsidRDefault="001C7817" w:rsidP="001C7817">
            <w:r w:rsidRPr="001C7817">
              <w:t>Stroke 1.13%</w:t>
            </w:r>
          </w:p>
          <w:p w:rsidR="001C7817" w:rsidRPr="001C7817" w:rsidRDefault="001C7817" w:rsidP="001C7817">
            <w:r w:rsidRPr="001C7817">
              <w:t>Respiratory diseases 3.92%</w:t>
            </w:r>
          </w:p>
          <w:p w:rsidR="001C7817" w:rsidRPr="001C7817" w:rsidRDefault="001C7817" w:rsidP="001C7817">
            <w:r w:rsidRPr="001C7817">
              <w:t>Generally, 1.75% of deaths were due to cardiovascular dxs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color w:val="212121"/>
                <w:shd w:val="clear" w:color="auto" w:fill="FFFFFF"/>
              </w:rPr>
              <w:t>This highlights the need to promote adherence through strategies which have been proved to be effective in clinical settings.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7</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19</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Almutairi et al 2013</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National(Saudi Arabia)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Diabetes </w:t>
            </w:r>
          </w:p>
          <w:p w:rsidR="001C7817" w:rsidRPr="001C7817" w:rsidRDefault="001C7817" w:rsidP="001C7817">
            <w:r w:rsidRPr="001C7817">
              <w:t xml:space="preserve">N= 2,300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Retrospective observational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Cost:</w:t>
            </w:r>
          </w:p>
          <w:p w:rsidR="001C7817" w:rsidRPr="001C7817" w:rsidRDefault="001C7817" w:rsidP="001C7817">
            <w:r w:rsidRPr="001C7817">
              <w:rPr>
                <w:color w:val="333333"/>
                <w:shd w:val="clear" w:color="auto" w:fill="FCFCFC"/>
              </w:rPr>
              <w:t xml:space="preserve">The total annual direct medical cost per group was found to be US$1,384.19 for HbA1c &lt;7 %, US$2,036.11 for HbA1c 7–9 %, and US$3,104.86 for HbA1c &gt;9 % </w:t>
            </w:r>
          </w:p>
          <w:p w:rsidR="001C7817" w:rsidRPr="001C7817" w:rsidRDefault="001C7817" w:rsidP="001C7817">
            <w:r w:rsidRPr="001C7817">
              <w:t xml:space="preserve">- The mean direct medical cost is </w:t>
            </w:r>
            <w:r w:rsidRPr="001C7817">
              <w:rPr>
                <w:color w:val="333333"/>
                <w:shd w:val="clear" w:color="auto" w:fill="FCFCFC"/>
              </w:rPr>
              <w:t>US$2,175.05</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color w:val="333333"/>
                <w:shd w:val="clear" w:color="auto" w:fill="FCFCFC"/>
              </w:rPr>
            </w:pPr>
            <w:r w:rsidRPr="001C7817">
              <w:t>-</w:t>
            </w:r>
            <w:r w:rsidRPr="001C7817">
              <w:rPr>
                <w:color w:val="333333"/>
                <w:shd w:val="clear" w:color="auto" w:fill="FCFCFC"/>
              </w:rPr>
              <w:t>Collectively, the estimated direct annual medical cost of diabetes care in Saudi Arabia would be enormous.</w:t>
            </w:r>
          </w:p>
          <w:p w:rsidR="001C7817" w:rsidRPr="001C7817" w:rsidRDefault="001C7817" w:rsidP="001C7817">
            <w:r w:rsidRPr="001C7817">
              <w:rPr>
                <w:color w:val="333333"/>
                <w:shd w:val="clear" w:color="auto" w:fill="FCFCFC"/>
              </w:rPr>
              <w:t>-The current study offers more insight into the economic burden of diabetes on the country.</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7</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20</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Sicras-Mainar et al 2014</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w:t>
            </w:r>
          </w:p>
          <w:p w:rsidR="001C7817" w:rsidRPr="001C7817" w:rsidRDefault="001C7817" w:rsidP="001C7817">
            <w:r w:rsidRPr="001C7817">
              <w:t>(Barcelona, 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T2 Diabetes mellitus, N=26,845</w:t>
            </w:r>
          </w:p>
          <w:p w:rsidR="001C7817" w:rsidRPr="001C7817" w:rsidRDefault="001C7817" w:rsidP="001C7817">
            <w:r w:rsidRPr="001C7817">
              <w:t>Age 40-99yrs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Retrospective observational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Cost:</w:t>
            </w:r>
          </w:p>
          <w:p w:rsidR="001C7817" w:rsidRPr="001C7817" w:rsidRDefault="001C7817" w:rsidP="001C7817">
            <w:r w:rsidRPr="001C7817">
              <w:t>-</w:t>
            </w:r>
            <w:r w:rsidRPr="001C7817">
              <w:rPr>
                <w:color w:val="2E2E2E"/>
              </w:rPr>
              <w:t> The total cost/patient with DM2 was €4,458.</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color w:val="2E2E2E"/>
              </w:rPr>
              <w:t>Obesity is a comorbidity associated with DM2 that leads to greater healthcare costs than AHT</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9</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Choi et al,2017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w:t>
            </w:r>
          </w:p>
          <w:p w:rsidR="001C7817" w:rsidRPr="001C7817" w:rsidRDefault="001C7817" w:rsidP="001C7817">
            <w:r w:rsidRPr="001C7817">
              <w:t>(South Korea)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Stroke</w:t>
            </w:r>
          </w:p>
          <w:p w:rsidR="001C7817" w:rsidRPr="001C7817" w:rsidRDefault="001C7817" w:rsidP="001C7817">
            <w:r w:rsidRPr="001C7817">
              <w:t xml:space="preserve">N= 86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Observational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Primary </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Prevalence:</w:t>
            </w:r>
          </w:p>
          <w:p w:rsidR="001C7817" w:rsidRPr="001C7817" w:rsidRDefault="001C7817" w:rsidP="001C7817">
            <w:r w:rsidRPr="001C7817">
              <w:rPr>
                <w:shd w:val="clear" w:color="auto" w:fill="FFFFFF"/>
              </w:rPr>
              <w:t xml:space="preserve">The prevalence of stroke was 27% in </w:t>
            </w:r>
            <w:r w:rsidRPr="001C7817">
              <w:t>Acute Transient Vestibular Syndrome</w:t>
            </w:r>
            <w:r w:rsidRPr="001C7817">
              <w:rPr>
                <w:shd w:val="clear" w:color="auto" w:fill="FFFFFF"/>
              </w:rPr>
              <w:t xml:space="preserve"> (ATVS).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FFFFF"/>
              </w:rPr>
              <w:t>Associated craniocervical pain and focal neurological symptoms/signs are the useful clues for strokes in ATVS.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9</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29</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Romero-López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w:t>
            </w:r>
          </w:p>
          <w:p w:rsidR="001C7817" w:rsidRPr="001C7817" w:rsidRDefault="001C7817" w:rsidP="001C7817">
            <w:r w:rsidRPr="001C7817">
              <w:t>(Spain)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COPD</w:t>
            </w:r>
          </w:p>
          <w:p w:rsidR="001C7817" w:rsidRPr="001C7817" w:rsidRDefault="001C7817" w:rsidP="001C7817">
            <w:r w:rsidRPr="001C7817">
              <w:t>N= 66</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 sectional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Prevalence:</w:t>
            </w:r>
          </w:p>
          <w:p w:rsidR="001C7817" w:rsidRPr="001C7817" w:rsidRDefault="001C7817" w:rsidP="001C7817">
            <w:r w:rsidRPr="001C7817">
              <w:t>The prevalence of COPD was 7.6%</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10</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30</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Heller et al,2018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(Germany)</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w:t>
            </w:r>
          </w:p>
          <w:p w:rsidR="001C7817" w:rsidRPr="001C7817" w:rsidRDefault="001C7817" w:rsidP="001C7817">
            <w:r w:rsidRPr="001C7817">
              <w:t>N= 103</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Mortality:</w:t>
            </w:r>
          </w:p>
          <w:p w:rsidR="001C7817" w:rsidRPr="001C7817" w:rsidRDefault="001C7817" w:rsidP="001C7817">
            <w:r w:rsidRPr="001C7817">
              <w:t>The incidence rate of death  was 1.75/100 person-years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 mellitus type1 only ,diabetic  nephropathy was associated with higher mortality risk</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9</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Laraqui et 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w:t>
            </w:r>
          </w:p>
          <w:p w:rsidR="001C7817" w:rsidRPr="001C7817" w:rsidRDefault="001C7817" w:rsidP="001C7817">
            <w:r w:rsidRPr="001C7817">
              <w:t>(Morocco)</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COPD</w:t>
            </w:r>
          </w:p>
          <w:p w:rsidR="001C7817" w:rsidRPr="001C7817" w:rsidRDefault="001C7817" w:rsidP="001C7817">
            <w:r w:rsidRPr="001C7817">
              <w:t>N=924 men</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Prevalence:</w:t>
            </w:r>
          </w:p>
          <w:p w:rsidR="001C7817" w:rsidRPr="001C7817" w:rsidRDefault="001C7817" w:rsidP="001C7817">
            <w:r w:rsidRPr="001C7817">
              <w:t>The prevalence was reaching  6.8% among those that who smoked  more than 10 pack-years</w:t>
            </w:r>
          </w:p>
        </w:tc>
        <w:tc>
          <w:tcPr>
            <w:tcW w:w="3261" w:type="dxa"/>
            <w:tcBorders>
              <w:top w:val="single" w:sz="4" w:space="0" w:color="auto"/>
              <w:left w:val="single" w:sz="4" w:space="0" w:color="auto"/>
              <w:bottom w:val="single" w:sz="4" w:space="0" w:color="auto"/>
              <w:right w:val="single" w:sz="4" w:space="0" w:color="auto"/>
            </w:tcBorders>
          </w:tcPr>
          <w:p w:rsidR="001C7817" w:rsidRPr="001C7817" w:rsidRDefault="001C7817" w:rsidP="001C7817">
            <w:r w:rsidRPr="001C7817">
              <w:t>-Smoking was very common among fishermen.</w:t>
            </w:r>
          </w:p>
          <w:p w:rsidR="001C7817" w:rsidRPr="001C7817" w:rsidRDefault="001C7817" w:rsidP="001C7817"/>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8</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50</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Marcos-Fornio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(Spain)</w:t>
            </w:r>
          </w:p>
        </w:tc>
        <w:tc>
          <w:tcPr>
            <w:tcW w:w="973" w:type="dxa"/>
            <w:tcBorders>
              <w:top w:val="single" w:sz="4" w:space="0" w:color="auto"/>
              <w:left w:val="single" w:sz="4" w:space="0" w:color="auto"/>
              <w:bottom w:val="single" w:sz="4" w:space="0" w:color="auto"/>
              <w:right w:val="single" w:sz="4" w:space="0" w:color="auto"/>
            </w:tcBorders>
          </w:tcPr>
          <w:p w:rsidR="001C7817" w:rsidRPr="001C7817" w:rsidRDefault="001C7817" w:rsidP="001C7817">
            <w:r w:rsidRPr="001C7817">
              <w:t>COPD</w:t>
            </w:r>
          </w:p>
          <w:p w:rsidR="001C7817" w:rsidRPr="001C7817" w:rsidRDefault="001C7817" w:rsidP="001C7817">
            <w:r w:rsidRPr="001C7817">
              <w:t>N=106</w:t>
            </w:r>
          </w:p>
          <w:p w:rsidR="001C7817" w:rsidRPr="001C7817" w:rsidRDefault="001C7817" w:rsidP="001C7817"/>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Observational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b/>
                <w:u w:val="single"/>
              </w:rPr>
              <w:t>Mortality:</w:t>
            </w:r>
            <w:r w:rsidRPr="001C7817">
              <w:t xml:space="preserve"> </w:t>
            </w:r>
          </w:p>
          <w:p w:rsidR="001C7817" w:rsidRPr="001C7817" w:rsidRDefault="001C7817" w:rsidP="001C7817">
            <w:r w:rsidRPr="001C7817">
              <w:t>During the 3yrs of follow-up 15.1% of the patients died</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Control of LDL cholesterol in the elderly7 population with ischemic heart disease to the single therapeutic objective that can have a favourable effect in medium term survival</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11</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51</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37</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Sicras-Mainar 2014</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COPD</w:t>
            </w:r>
          </w:p>
          <w:p w:rsidR="001C7817" w:rsidRPr="001C7817" w:rsidRDefault="001C7817" w:rsidP="001C7817">
            <w:r w:rsidRPr="001C7817">
              <w:t>N=930</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 xml:space="preserve">Cost: </w:t>
            </w:r>
          </w:p>
          <w:p w:rsidR="001C7817" w:rsidRPr="001C7817" w:rsidRDefault="001C7817" w:rsidP="001C7817">
            <w:r w:rsidRPr="001C7817">
              <w:t xml:space="preserve">As a consequence current smokers had higher average annual: </w:t>
            </w:r>
            <w:r w:rsidRPr="001C7817">
              <w:rPr>
                <w:strike/>
              </w:rPr>
              <w:t>£</w:t>
            </w:r>
            <w:r w:rsidRPr="001C7817">
              <w:t xml:space="preserve">3,784 (smokers) versus </w:t>
            </w:r>
            <w:r w:rsidRPr="001C7817">
              <w:rPr>
                <w:strike/>
              </w:rPr>
              <w:t>£</w:t>
            </w:r>
            <w:r w:rsidRPr="001C7817">
              <w:t>2,302 (non-smokers) P&gt;0.001)</w:t>
            </w:r>
          </w:p>
          <w:p w:rsidR="001C7817" w:rsidRPr="001C7817" w:rsidRDefault="001C7817" w:rsidP="001C7817">
            <w:r w:rsidRPr="001C7817">
              <w:t xml:space="preserve">- Average annual cost is </w:t>
            </w:r>
            <w:r w:rsidRPr="001C7817">
              <w:rPr>
                <w:strike/>
              </w:rPr>
              <w:t>£</w:t>
            </w:r>
            <w:r w:rsidRPr="001C7817">
              <w:t>3,043</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Current smokers with COPD had significantly higher use of healthcare resources mainly COPD drugs and physician visit, compared with former smokers who had abstained for at least 12 months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11</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52</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39</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Krairittichai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(Thailand)</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 mellitus (Type 2)</w:t>
            </w:r>
          </w:p>
          <w:p w:rsidR="001C7817" w:rsidRPr="001C7817" w:rsidRDefault="001C7817" w:rsidP="001C7817">
            <w:r w:rsidRPr="001C7817">
              <w:t>N=1,097</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Observational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Mortality:</w:t>
            </w:r>
          </w:p>
          <w:p w:rsidR="001C7817" w:rsidRPr="001C7817" w:rsidRDefault="001C7817" w:rsidP="001C7817">
            <w:r w:rsidRPr="001C7817">
              <w:t>-1097 from 1120 stable T2DM pts were enrolled</w:t>
            </w:r>
          </w:p>
          <w:p w:rsidR="001C7817" w:rsidRPr="001C7817" w:rsidRDefault="001C7817" w:rsidP="001C7817">
            <w:r w:rsidRPr="001C7817">
              <w:t>- After 4yrs of follow up 80 patients (7.3%) had died</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Being over 60yrs old sharing diabetic nephropathy were associated with cause mortality</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11</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53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Kumbhare et al, 2016</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(United States)</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COPD</w:t>
            </w:r>
          </w:p>
          <w:p w:rsidR="001C7817" w:rsidRPr="001C7817" w:rsidRDefault="001C7817" w:rsidP="001C7817">
            <w:r w:rsidRPr="001C7817">
              <w:t>N= 80,498</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Observational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b/>
                <w:u w:val="single"/>
              </w:rPr>
              <w:t>Prevalence:</w:t>
            </w:r>
            <w:r w:rsidRPr="001C7817">
              <w:t xml:space="preserve"> </w:t>
            </w:r>
          </w:p>
          <w:p w:rsidR="001C7817" w:rsidRPr="001C7817" w:rsidRDefault="001C7817" w:rsidP="001C7817">
            <w:r w:rsidRPr="001C7817">
              <w:t>US prevalence of COPD alone was 9.2%</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Patient with a dual diagnosis of asthma and COPD are younger and with more disparities than those diagnosed of CODP alone</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11</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54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CE25EF" w:rsidP="001C7817">
            <w:hyperlink r:id="rId5" w:anchor="auth-Francesco-Cavallin" w:history="1">
              <w:r w:rsidR="001C7817" w:rsidRPr="001C7817">
                <w:rPr>
                  <w:color w:val="0000FF"/>
                  <w:u w:val="single"/>
                </w:rPr>
                <w:t>Cavallin</w:t>
              </w:r>
            </w:hyperlink>
            <w:r w:rsidR="001C7817" w:rsidRPr="001C7817">
              <w:t xml:space="preserve">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(Ethiopia)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Cogenital Birth defect, Neonatal Disorder</w:t>
            </w:r>
          </w:p>
          <w:p w:rsidR="001C7817" w:rsidRPr="001C7817" w:rsidRDefault="001C7817" w:rsidP="001C7817">
            <w:r w:rsidRPr="001C7817">
              <w:t>(N=</w:t>
            </w:r>
            <w:r w:rsidRPr="001C7817">
              <w:rPr>
                <w:shd w:val="clear" w:color="auto" w:fill="FFFFFF"/>
              </w:rPr>
              <w:t>4182 neonates</w:t>
            </w:r>
            <w:r w:rsidRPr="001C7817">
              <w:t>)</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FFFFF"/>
              </w:rPr>
              <w:t> Retrospective observational study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FFFFF"/>
              </w:rPr>
              <w:t> Secondary (St. Luke Wolisso Hospital)</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Mortality</w:t>
            </w:r>
          </w:p>
          <w:p w:rsidR="001C7817" w:rsidRPr="001C7817" w:rsidRDefault="001C7817" w:rsidP="001C7817">
            <w:pPr>
              <w:numPr>
                <w:ilvl w:val="0"/>
                <w:numId w:val="2"/>
              </w:numPr>
              <w:ind w:left="162" w:hanging="180"/>
              <w:contextualSpacing/>
              <w:rPr>
                <w:rFonts w:eastAsia="SimSun"/>
                <w:shd w:val="clear" w:color="auto" w:fill="FFFFFF"/>
              </w:rPr>
            </w:pPr>
            <w:r w:rsidRPr="001C7817">
              <w:rPr>
                <w:rFonts w:eastAsia="SimSun"/>
                <w:shd w:val="clear" w:color="auto" w:fill="FFFFFF"/>
              </w:rPr>
              <w:t>Proportion of deaths was 17% (709/4182) and was highest in ELBW and VLBW neonates (27/31, 87.1%, and 137/270, 50.7%, respectively).</w:t>
            </w:r>
          </w:p>
          <w:p w:rsidR="001C7817" w:rsidRPr="001C7817" w:rsidRDefault="001C7817" w:rsidP="001C7817">
            <w:pPr>
              <w:numPr>
                <w:ilvl w:val="0"/>
                <w:numId w:val="2"/>
              </w:numPr>
              <w:ind w:left="162" w:hanging="180"/>
              <w:contextualSpacing/>
              <w:rPr>
                <w:rFonts w:eastAsia="SimSun"/>
                <w:shd w:val="clear" w:color="auto" w:fill="FFFFFF"/>
              </w:rPr>
            </w:pPr>
            <w:r w:rsidRPr="001C7817">
              <w:rPr>
                <w:rFonts w:eastAsia="SimSun"/>
                <w:shd w:val="clear" w:color="auto" w:fill="FFFFFF"/>
              </w:rPr>
              <w:t>those with intrapartum-related complications (173/595, 29.1%), malformation (36/129, 27.9%) or respiratory distress (146/644, 22.7%) (Table </w:t>
            </w:r>
            <w:hyperlink r:id="rId6" w:anchor="Tab3" w:history="1">
              <w:r w:rsidRPr="001C7817">
                <w:rPr>
                  <w:rFonts w:eastAsia="SimSun"/>
                  <w:color w:val="0000FF"/>
                  <w:sz w:val="20"/>
                  <w:szCs w:val="20"/>
                  <w:u w:val="single"/>
                </w:rPr>
                <w:t>3</w:t>
              </w:r>
            </w:hyperlink>
            <w:r w:rsidRPr="001C7817">
              <w:rPr>
                <w:rFonts w:eastAsia="SimSun"/>
                <w:shd w:val="clear" w:color="auto" w:fill="FFFFFF"/>
              </w:rPr>
              <w:t>).</w:t>
            </w:r>
          </w:p>
          <w:p w:rsidR="001C7817" w:rsidRPr="001C7817" w:rsidRDefault="001C7817" w:rsidP="001C7817">
            <w:pPr>
              <w:numPr>
                <w:ilvl w:val="0"/>
                <w:numId w:val="2"/>
              </w:numPr>
              <w:ind w:left="162" w:hanging="180"/>
              <w:contextualSpacing/>
              <w:rPr>
                <w:rFonts w:eastAsia="SimSun"/>
                <w:b/>
                <w:u w:val="single"/>
              </w:rPr>
            </w:pPr>
            <w:r w:rsidRPr="001C7817">
              <w:rPr>
                <w:rFonts w:eastAsia="SimSun"/>
                <w:shd w:val="clear" w:color="auto" w:fill="FFFFFF"/>
              </w:rPr>
              <w:t>The majority of deaths (84%) occurred during the first week of admission.</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FFFFF"/>
              </w:rPr>
              <w:t>The majority of neonatal deaths was associated with preventable and treatable conditions. Education on neonatal resuscitation and postnatal management, and the introduction of an on-call doctor for high-risk deliveries might have contributed to the reduction in neonatal mortality over time.</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jc w:val="center"/>
            </w:pPr>
            <w:r w:rsidRPr="001C7817">
              <w:t>8</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55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CE25EF" w:rsidP="001C7817">
            <w:hyperlink r:id="rId7" w:history="1">
              <w:r w:rsidR="001C7817" w:rsidRPr="001C7817">
                <w:rPr>
                  <w:color w:val="0000FF"/>
                  <w:u w:val="single"/>
                </w:rPr>
                <w:t>Bjerg</w:t>
              </w:r>
            </w:hyperlink>
            <w:r w:rsidR="001C7817" w:rsidRPr="001C7817">
              <w:t xml:space="preserve"> et al, 2019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(Denmark)</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w:t>
            </w:r>
            <w:r w:rsidRPr="001C7817">
              <w:rPr>
                <w:shd w:val="clear" w:color="auto" w:fill="FCFCFC"/>
              </w:rPr>
              <w:t>N= 26,665 person</w:t>
            </w:r>
            <w:r w:rsidRPr="001C7817">
              <w:t>)</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CFCFC"/>
              </w:rPr>
              <w:t> Observational clinical 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CFCFC"/>
              </w:rPr>
              <w:t>Secondary (Steno Diabetes Center Copenhagen) </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thick"/>
              </w:rPr>
            </w:pPr>
            <w:r w:rsidRPr="001C7817">
              <w:rPr>
                <w:b/>
                <w:u w:val="thick"/>
              </w:rPr>
              <w:t>Mortality</w:t>
            </w:r>
          </w:p>
          <w:p w:rsidR="001C7817" w:rsidRPr="001C7817" w:rsidRDefault="001C7817" w:rsidP="001C7817">
            <w:pPr>
              <w:numPr>
                <w:ilvl w:val="0"/>
                <w:numId w:val="2"/>
              </w:numPr>
              <w:ind w:left="162" w:hanging="180"/>
              <w:contextualSpacing/>
              <w:rPr>
                <w:rFonts w:eastAsia="SimSun"/>
                <w:b/>
                <w:u w:val="thick"/>
              </w:rPr>
            </w:pPr>
            <w:r w:rsidRPr="001C7817">
              <w:rPr>
                <w:rFonts w:eastAsia="SimSun"/>
                <w:shd w:val="clear" w:color="auto" w:fill="FCFCFC"/>
              </w:rPr>
              <w:t> 26,665 person-years of follow-up, 503 (1.89%) deaths occurred.</w:t>
            </w:r>
          </w:p>
          <w:p w:rsidR="001C7817" w:rsidRPr="001C7817" w:rsidRDefault="001C7817" w:rsidP="001C7817">
            <w:pPr>
              <w:numPr>
                <w:ilvl w:val="0"/>
                <w:numId w:val="2"/>
              </w:numPr>
              <w:ind w:left="162" w:hanging="180"/>
              <w:contextualSpacing/>
              <w:rPr>
                <w:rFonts w:eastAsia="SimSun"/>
                <w:b/>
                <w:u w:val="thick"/>
              </w:rPr>
            </w:pPr>
            <w:r w:rsidRPr="001C7817">
              <w:rPr>
                <w:rFonts w:eastAsia="SimSun"/>
                <w:shd w:val="clear" w:color="auto" w:fill="FCFCFC"/>
              </w:rPr>
              <w:t xml:space="preserve">Compared with individuals without microvascular complications, the mortality rate ratio was 2.20 (95% CI 1.79, 2.69) for individuals with diabetic kidney disease, </w:t>
            </w:r>
          </w:p>
          <w:p w:rsidR="001C7817" w:rsidRPr="001C7817" w:rsidRDefault="001C7817" w:rsidP="001C7817">
            <w:pPr>
              <w:numPr>
                <w:ilvl w:val="0"/>
                <w:numId w:val="2"/>
              </w:numPr>
              <w:ind w:left="162" w:hanging="180"/>
              <w:contextualSpacing/>
              <w:rPr>
                <w:rFonts w:eastAsia="SimSun"/>
                <w:b/>
                <w:u w:val="thick"/>
              </w:rPr>
            </w:pPr>
            <w:r w:rsidRPr="001C7817">
              <w:rPr>
                <w:rFonts w:eastAsia="SimSun"/>
                <w:shd w:val="clear" w:color="auto" w:fill="FCFCFC"/>
              </w:rPr>
              <w:t xml:space="preserve">1.72 (95% CI 1.39, 2.12) for individuals with neuropathy and </w:t>
            </w:r>
          </w:p>
          <w:p w:rsidR="001C7817" w:rsidRPr="001C7817" w:rsidRDefault="001C7817" w:rsidP="001C7817">
            <w:pPr>
              <w:numPr>
                <w:ilvl w:val="0"/>
                <w:numId w:val="2"/>
              </w:numPr>
              <w:ind w:left="162" w:hanging="180"/>
              <w:contextualSpacing/>
              <w:rPr>
                <w:rFonts w:eastAsia="SimSun"/>
                <w:b/>
                <w:u w:val="thick"/>
              </w:rPr>
            </w:pPr>
            <w:r w:rsidRPr="001C7817">
              <w:rPr>
                <w:rFonts w:eastAsia="SimSun"/>
                <w:shd w:val="clear" w:color="auto" w:fill="FCFCFC"/>
              </w:rPr>
              <w:t>1.02 (95% CI 0.77, 1.37) for individuals with retinopathy.</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Neuropathy and diabetic kidney disease are strong and independent risk markers of mortality in type 1 diabetes, whereas no evidence of higher mortality rate was found for retinopathy.</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jc w:val="center"/>
            </w:pPr>
            <w:r w:rsidRPr="001C7817">
              <w:t>8</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56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Sulo et al, 2019.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National(Norway)</w:t>
            </w:r>
          </w:p>
        </w:tc>
        <w:tc>
          <w:tcPr>
            <w:tcW w:w="973" w:type="dxa"/>
            <w:tcBorders>
              <w:top w:val="single" w:sz="4" w:space="0" w:color="auto"/>
              <w:left w:val="single" w:sz="4" w:space="0" w:color="auto"/>
              <w:bottom w:val="single" w:sz="4" w:space="0" w:color="auto"/>
              <w:right w:val="single" w:sz="4" w:space="0" w:color="auto"/>
            </w:tcBorders>
          </w:tcPr>
          <w:p w:rsidR="001C7817" w:rsidRPr="001C7817" w:rsidRDefault="001C7817" w:rsidP="001C7817">
            <w:r w:rsidRPr="001C7817">
              <w:t>Ischemic heart diseasre</w:t>
            </w:r>
          </w:p>
          <w:p w:rsidR="001C7817" w:rsidRPr="001C7817" w:rsidRDefault="001C7817" w:rsidP="001C7817"/>
          <w:p w:rsidR="001C7817" w:rsidRPr="001C7817" w:rsidRDefault="001C7817" w:rsidP="001C7817">
            <w:r w:rsidRPr="001C7817">
              <w:t>N=144 473 patients)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Observational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Secondary source (Cause of Death Registry) .</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2"/>
              </w:numPr>
              <w:ind w:left="162" w:hanging="180"/>
              <w:contextualSpacing/>
              <w:rPr>
                <w:rFonts w:eastAsia="SimSun"/>
                <w:b/>
                <w:u w:val="single"/>
              </w:rPr>
            </w:pPr>
            <w:r w:rsidRPr="001C7817">
              <w:rPr>
                <w:rFonts w:eastAsia="SimSun"/>
                <w:b/>
                <w:u w:val="single"/>
              </w:rPr>
              <w:t>Mortality</w:t>
            </w:r>
          </w:p>
          <w:p w:rsidR="001C7817" w:rsidRPr="001C7817" w:rsidRDefault="001C7817" w:rsidP="001C7817">
            <w:pPr>
              <w:numPr>
                <w:ilvl w:val="0"/>
                <w:numId w:val="2"/>
              </w:numPr>
              <w:ind w:left="162" w:hanging="180"/>
              <w:contextualSpacing/>
              <w:rPr>
                <w:rFonts w:eastAsia="SimSun"/>
                <w:b/>
                <w:u w:val="single"/>
              </w:rPr>
            </w:pPr>
            <w:r w:rsidRPr="001C7817">
              <w:rPr>
                <w:rFonts w:eastAsia="SimSun"/>
              </w:rPr>
              <w:t xml:space="preserve"> Of 144,473 patients included in the study, 11.4% died within first 28 days.</w:t>
            </w:r>
          </w:p>
          <w:p w:rsidR="001C7817" w:rsidRPr="001C7817" w:rsidRDefault="001C7817" w:rsidP="001C7817">
            <w:pPr>
              <w:numPr>
                <w:ilvl w:val="0"/>
                <w:numId w:val="2"/>
              </w:numPr>
              <w:ind w:left="162" w:hanging="180"/>
              <w:contextualSpacing/>
              <w:rPr>
                <w:rFonts w:eastAsia="SimSun"/>
                <w:b/>
                <w:u w:val="single"/>
              </w:rPr>
            </w:pPr>
            <w:r w:rsidRPr="001C7817">
              <w:rPr>
                <w:rFonts w:eastAsia="SimSun"/>
              </w:rPr>
              <w:t>Of 118,881 patients surviving first 28 days, 10.1% died within one year.</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The resulting shift toward more non -CVD deaths and deaths occurring outside a hospital need to be considered when formulating priorities in treating and preventing adverse events among AMI survivors.</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jc w:val="center"/>
            </w:pPr>
            <w:r w:rsidRPr="001C7817">
              <w:t>7</w:t>
            </w:r>
          </w:p>
        </w:tc>
      </w:tr>
      <w:tr w:rsidR="001C7817" w:rsidRPr="001C7817" w:rsidTr="001C7817">
        <w:trPr>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57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07</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Merino et 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Regional (Extramedura, 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COPD </w:t>
            </w:r>
          </w:p>
          <w:p w:rsidR="001C7817" w:rsidRPr="001C7817" w:rsidRDefault="001C7817" w:rsidP="001C7817">
            <w:r w:rsidRPr="001C7817">
              <w:t>N= 386 patients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FFFFF"/>
              </w:rPr>
              <w:t>retrospective observational study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FFFFF"/>
              </w:rPr>
              <w:t xml:space="preserve">Secondary source (electronic data collection platform) </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COST</w:t>
            </w:r>
          </w:p>
          <w:p w:rsidR="001C7817" w:rsidRPr="001C7817" w:rsidRDefault="001C7817" w:rsidP="001C7817">
            <w:pPr>
              <w:numPr>
                <w:ilvl w:val="0"/>
                <w:numId w:val="2"/>
              </w:numPr>
              <w:ind w:left="162" w:hanging="180"/>
              <w:contextualSpacing/>
              <w:rPr>
                <w:rFonts w:eastAsia="SimSun"/>
              </w:rPr>
            </w:pPr>
            <w:r w:rsidRPr="001C7817">
              <w:rPr>
                <w:rFonts w:eastAsia="SimSun"/>
                <w:shd w:val="clear" w:color="auto" w:fill="FFFFFF"/>
              </w:rPr>
              <w:t>The results show an average annual cost per patient of 3,077 euros.</w:t>
            </w:r>
          </w:p>
          <w:p w:rsidR="001C7817" w:rsidRPr="001C7817" w:rsidRDefault="001C7817" w:rsidP="001C7817">
            <w:pPr>
              <w:numPr>
                <w:ilvl w:val="0"/>
                <w:numId w:val="2"/>
              </w:numPr>
              <w:ind w:left="162" w:hanging="180"/>
              <w:contextualSpacing/>
              <w:rPr>
                <w:rFonts w:eastAsia="SimSun"/>
              </w:rPr>
            </w:pPr>
            <w:r w:rsidRPr="001C7817">
              <w:rPr>
                <w:rFonts w:eastAsia="SimSun"/>
                <w:shd w:val="clear" w:color="auto" w:fill="FFFFFF"/>
              </w:rPr>
              <w:t xml:space="preserve"> Direct health care costs represented 43.8% (1,645 euros), direct non-health care costs amounted to 38.3% (1,440 euros), and labor productivity losses represented 17.9% (672 euros) of the average annual cost.</w:t>
            </w:r>
          </w:p>
          <w:p w:rsidR="001C7817" w:rsidRPr="001C7817" w:rsidRDefault="001C7817" w:rsidP="001C7817">
            <w:pPr>
              <w:numPr>
                <w:ilvl w:val="0"/>
                <w:numId w:val="2"/>
              </w:numPr>
              <w:ind w:left="162" w:hanging="180"/>
              <w:contextualSpacing/>
              <w:rPr>
                <w:rFonts w:eastAsia="SimSun"/>
              </w:rPr>
            </w:pPr>
            <w:r w:rsidRPr="001C7817">
              <w:rPr>
                <w:rFonts w:eastAsia="SimSun"/>
                <w:shd w:val="clear" w:color="auto" w:fill="FFFFFF"/>
              </w:rPr>
              <w:t xml:space="preserve"> The total annual cost of patients with COPD in Extremadura reached 36.2 million euros in 2015.</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FFFFF"/>
              </w:rPr>
              <w:t>COPD poses a significant burden for the health care system and the society of Extremadura. The implementation of preventive and control measures could result in a substantial reduction in the economic impact.</w:t>
            </w:r>
          </w:p>
        </w:tc>
        <w:tc>
          <w:tcPr>
            <w:tcW w:w="366" w:type="dxa"/>
            <w:gridSpan w:val="2"/>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jc w:val="center"/>
            </w:pPr>
            <w:r w:rsidRPr="001C7817">
              <w:t>11</w:t>
            </w:r>
          </w:p>
        </w:tc>
      </w:tr>
      <w:tr w:rsidR="001C7817" w:rsidRPr="001C7817" w:rsidTr="001C7817">
        <w:trPr>
          <w:gridAfter w:val="1"/>
          <w:wAfter w:w="6" w:type="dxa"/>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58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08</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Mulpuru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(Canada)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COPD</w:t>
            </w:r>
          </w:p>
          <w:p w:rsidR="001C7817" w:rsidRPr="001C7817" w:rsidRDefault="001C7817" w:rsidP="001C7817">
            <w:r w:rsidRPr="001C7817">
              <w:t>N = 1,894</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FFFFF"/>
              </w:rPr>
              <w:t>retrospective 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FFFFF"/>
              </w:rPr>
              <w:t>Secondary (Canadian academic hospital)</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b/>
                <w:u w:val="single"/>
              </w:rPr>
            </w:pPr>
            <w:r w:rsidRPr="001C7817">
              <w:rPr>
                <w:b/>
                <w:u w:val="single"/>
              </w:rPr>
              <w:t>Cost</w:t>
            </w:r>
          </w:p>
          <w:p w:rsidR="001C7817" w:rsidRPr="001C7817" w:rsidRDefault="001C7817" w:rsidP="001C7817">
            <w:pPr>
              <w:numPr>
                <w:ilvl w:val="0"/>
                <w:numId w:val="2"/>
              </w:numPr>
              <w:ind w:left="162" w:hanging="180"/>
              <w:contextualSpacing/>
              <w:rPr>
                <w:rFonts w:eastAsia="SimSun"/>
                <w:b/>
                <w:u w:val="single"/>
              </w:rPr>
            </w:pPr>
            <w:r w:rsidRPr="001C7817">
              <w:rPr>
                <w:rFonts w:eastAsia="SimSun"/>
                <w:shd w:val="clear" w:color="auto" w:fill="FFFFFF"/>
              </w:rPr>
              <w:t xml:space="preserve">Over a 4-year period, the institution spent $19,776,824 ($4,944,206/year) on index hospitalizations, with a median cost per case of $5,121 ($1,280/year)  </w:t>
            </w:r>
          </w:p>
          <w:p w:rsidR="001C7817" w:rsidRPr="001C7817" w:rsidRDefault="001C7817" w:rsidP="001C7817">
            <w:pPr>
              <w:numPr>
                <w:ilvl w:val="0"/>
                <w:numId w:val="2"/>
              </w:numPr>
              <w:ind w:left="162" w:hanging="180"/>
              <w:contextualSpacing/>
              <w:rPr>
                <w:rFonts w:eastAsia="SimSun"/>
                <w:b/>
                <w:u w:val="single"/>
              </w:rPr>
            </w:pPr>
            <w:r w:rsidRPr="001C7817">
              <w:rPr>
                <w:rFonts w:eastAsia="SimSun"/>
                <w:shd w:val="clear" w:color="auto" w:fill="FFFFFF"/>
              </w:rPr>
              <w:t>The highest cost quintile (Q5) accounted for 62.9% ($12,449,422) of the total spending, while the lowest cost quintile (Q1) accounted for 3.1% ($609,732).</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shd w:val="clear" w:color="auto" w:fill="FFFFFF"/>
              </w:rPr>
              <w:t>High hospital costs are driven by two distinct groups: patients who require acute medical treatment for severe illness and patients with functional limitation who require assisted living facilities upon discharge. Improving quality of care and reducing cost in this high-needs population require a strong focus on early recognition and management of functional impairment for patients living with chronic disease.</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jc w:val="center"/>
            </w:pPr>
            <w:r w:rsidRPr="001C7817">
              <w:t>12</w:t>
            </w:r>
          </w:p>
        </w:tc>
      </w:tr>
      <w:tr w:rsidR="001C7817" w:rsidRPr="001C7817" w:rsidTr="001C7817">
        <w:trPr>
          <w:gridAfter w:val="1"/>
          <w:wAfter w:w="6" w:type="dxa"/>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59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 Latina et 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(Spain)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Low back pain</w:t>
            </w:r>
          </w:p>
          <w:p w:rsidR="001C7817" w:rsidRPr="001C7817" w:rsidRDefault="001C7817" w:rsidP="001C7817">
            <w:r w:rsidRPr="001C7817">
              <w:t>N=256</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 sectional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b/>
                <w:u w:val="single"/>
              </w:rPr>
            </w:pPr>
            <w:r w:rsidRPr="001C7817">
              <w:rPr>
                <w:b/>
                <w:u w:val="single"/>
              </w:rPr>
              <w:t>Incidence/Prevalence/Mortality</w:t>
            </w:r>
          </w:p>
          <w:p w:rsidR="001C7817" w:rsidRPr="001C7817" w:rsidRDefault="001C7817" w:rsidP="001C7817">
            <w:pPr>
              <w:autoSpaceDE w:val="0"/>
              <w:autoSpaceDN w:val="0"/>
              <w:adjustRightInd w:val="0"/>
              <w:rPr>
                <w:rFonts w:eastAsia="Calibri"/>
              </w:rPr>
            </w:pPr>
            <w:r w:rsidRPr="001C7817">
              <w:t>The prevalence of low back pain was 90.2% during life, 80% during the last year and 44.5% during the last week. Female sex increases the risk of being affected by low back pain (OR = 2.07, 95% CI= 1.00-4.32).</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t>Musculoskeletal disorders and low back pain are reported by the majority of nurses interviewed, and a higher prevalence is observed in women. Pain does not depend on the amount of years of work, nor on age or body mass index. In order to assess the prevalence of low back pain carefully, it is recommended to study a greater number of Italian nurses in different hospitals.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8</w:t>
            </w:r>
          </w:p>
        </w:tc>
      </w:tr>
      <w:tr w:rsidR="001C7817" w:rsidRPr="001C7817" w:rsidTr="001C7817">
        <w:trPr>
          <w:gridAfter w:val="1"/>
          <w:wAfter w:w="6" w:type="dxa"/>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60</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Rohde et al, 2019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(Ireland)</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Stroke N=78</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Primary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t>Care giver strain</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b/>
              </w:rPr>
            </w:pPr>
            <w:r w:rsidRPr="001C7817">
              <w:rPr>
                <w:b/>
              </w:rPr>
              <w:t>Care giver strain</w:t>
            </w:r>
          </w:p>
          <w:p w:rsidR="001C7817" w:rsidRPr="001C7817" w:rsidRDefault="001C7817" w:rsidP="001C7817">
            <w:pPr>
              <w:autoSpaceDE w:val="0"/>
              <w:autoSpaceDN w:val="0"/>
              <w:adjustRightInd w:val="0"/>
            </w:pPr>
            <w:r w:rsidRPr="001C7817">
              <w:t xml:space="preserve">78 family members participated; 25.5% exhibited depressive symptoms, 19.4% had symptoms of anxiety. </w:t>
            </w:r>
          </w:p>
          <w:p w:rsidR="001C7817" w:rsidRPr="001C7817" w:rsidRDefault="001C7817" w:rsidP="001C7817">
            <w:pPr>
              <w:autoSpaceDE w:val="0"/>
              <w:autoSpaceDN w:val="0"/>
              <w:adjustRightInd w:val="0"/>
              <w:rPr>
                <w:b/>
                <w:u w:val="single"/>
              </w:rPr>
            </w:pPr>
            <w:r w:rsidRPr="001C7817">
              <w:t>Eleven stroke survivors (16.7%) had evidence of cognitive decline according to both the IQCODE and MoCA. Family members of stroke survivors with cognitive decline were significantly more likely to report symptoms of depression than family members of stroke survivors without cognitive decline.</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t>One-fifth of family caregivers exhibited symptoms of anxiety and one-quarter symptoms of depression at 5 years post-stroke. Stroke survivor cognitive decline was significantly associated with both depressive and anxious symptoms of family caregivers. Family members play a key role in the care and rehabilitation of stroke patients; enhancing their psychological wellbeing and identifying unmet needs are essential to improving outcomes for stroke survivors and families.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9</w:t>
            </w:r>
          </w:p>
        </w:tc>
      </w:tr>
      <w:tr w:rsidR="001C7817" w:rsidRPr="001C7817" w:rsidTr="001C7817">
        <w:trPr>
          <w:gridAfter w:val="1"/>
          <w:wAfter w:w="6" w:type="dxa"/>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61</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03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 xml:space="preserve">Li et al, 2018. </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National(China)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Diabetes</w:t>
            </w:r>
          </w:p>
          <w:p w:rsidR="001C7817" w:rsidRPr="001C7817" w:rsidRDefault="001C7817" w:rsidP="001C7817">
            <w:r w:rsidRPr="001C7817">
              <w:t>N=871</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t xml:space="preserve">Cost </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Cost</w:t>
            </w:r>
          </w:p>
          <w:p w:rsidR="001C7817" w:rsidRPr="001C7817" w:rsidRDefault="001C7817" w:rsidP="001C7817">
            <w:pPr>
              <w:rPr>
                <w:rFonts w:eastAsia="Calibri"/>
                <w:b/>
                <w:u w:val="single"/>
              </w:rPr>
            </w:pPr>
            <w:r w:rsidRPr="001C7817">
              <w:t>- The mean annual total direct medical costs and outpatient medical costs were $1,990.20 and $1,687.20 respectively. The average costs per inpatient per admission were $2,127.10. The share of out-of-pocket for total medical costs, outpatient costs and cost per inpatient per admission were 45.4, 46.3 and 26.0% respectively.</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 xml:space="preserve">Diabetes is imposing a growing economic burden in patients with type 2 diabetes in China. Diabetes-related complications and co-morbidities have a great impact on the medical costs. </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9</w:t>
            </w:r>
          </w:p>
        </w:tc>
      </w:tr>
      <w:tr w:rsidR="001C7817" w:rsidRPr="001C7817" w:rsidTr="001C7817">
        <w:trPr>
          <w:gridAfter w:val="1"/>
          <w:wAfter w:w="6" w:type="dxa"/>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62</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Breiman  et al, 2021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International (Bangladesh, Ethiopia, Kenya, Mali, Mozambique, Sierra Leone, &amp; South Africa)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Neonates, Infants and Children &lt;5yrs Diarrhoea  </w:t>
            </w:r>
          </w:p>
          <w:p w:rsidR="001C7817" w:rsidRPr="001C7817" w:rsidRDefault="001C7817" w:rsidP="001C7817">
            <w:r w:rsidRPr="001C7817">
              <w:t>N=1,232</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Retrospective 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w:t>
            </w:r>
            <w:r w:rsidRPr="001C7817">
              <w:rPr>
                <w:vertAlign w:val="superscript"/>
              </w:rPr>
              <w:t xml:space="preserve">o </w:t>
            </w:r>
            <w:r w:rsidRPr="001C7817">
              <w:t>(CHAMPS CoD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b/>
                <w:u w:val="single"/>
              </w:rPr>
            </w:pPr>
            <w:r w:rsidRPr="001C7817">
              <w:rPr>
                <w:b/>
                <w:u w:val="single"/>
              </w:rPr>
              <w:t>Mortality</w:t>
            </w:r>
          </w:p>
          <w:p w:rsidR="001C7817" w:rsidRPr="001C7817" w:rsidRDefault="001C7817" w:rsidP="001C7817">
            <w:pPr>
              <w:autoSpaceDE w:val="0"/>
              <w:autoSpaceDN w:val="0"/>
              <w:adjustRightInd w:val="0"/>
            </w:pPr>
            <w:r w:rsidRPr="001C7817">
              <w:t>- Neonatal disorders accounted for 9.6% of the deaths</w:t>
            </w:r>
          </w:p>
          <w:p w:rsidR="001C7817" w:rsidRPr="001C7817" w:rsidRDefault="001C7817" w:rsidP="001C7817">
            <w:pPr>
              <w:autoSpaceDE w:val="0"/>
              <w:autoSpaceDN w:val="0"/>
              <w:adjustRightInd w:val="0"/>
            </w:pPr>
            <w:r w:rsidRPr="001C7817">
              <w:t>- Congenital birth defects accounted for 10.0% of the deaths</w:t>
            </w:r>
          </w:p>
          <w:p w:rsidR="001C7817" w:rsidRPr="001C7817" w:rsidRDefault="001C7817" w:rsidP="001C7817">
            <w:pPr>
              <w:autoSpaceDE w:val="0"/>
              <w:autoSpaceDN w:val="0"/>
              <w:adjustRightInd w:val="0"/>
            </w:pPr>
            <w:r w:rsidRPr="001C7817">
              <w:t>- Diarrhoeal accounted for 2.7% of the deaths</w:t>
            </w:r>
          </w:p>
          <w:p w:rsidR="001C7817" w:rsidRPr="001C7817" w:rsidRDefault="001C7817" w:rsidP="001C7817">
            <w:pPr>
              <w:autoSpaceDE w:val="0"/>
              <w:autoSpaceDN w:val="0"/>
              <w:adjustRightInd w:val="0"/>
            </w:pPr>
            <w:r w:rsidRPr="001C7817">
              <w:t>-Lower Respiratory Infections accounted for 4.3% of deaths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t>Considering the chain of events leading to death can better guide research and prevention priorities aimed at reducing child deaths.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10</w:t>
            </w:r>
          </w:p>
        </w:tc>
      </w:tr>
      <w:tr w:rsidR="001C7817" w:rsidRPr="001C7817" w:rsidTr="001C7817">
        <w:trPr>
          <w:gridAfter w:val="1"/>
          <w:wAfter w:w="6" w:type="dxa"/>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63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Magee et al, 2015</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(USA)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Diarrhoea </w:t>
            </w:r>
          </w:p>
          <w:p w:rsidR="001C7817" w:rsidRPr="001C7817" w:rsidRDefault="001C7817" w:rsidP="001C7817">
            <w:r w:rsidRPr="001C7817">
              <w:t xml:space="preserve">N=83,882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Retrospective 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t>2</w:t>
            </w:r>
            <w:r w:rsidRPr="001C7817">
              <w:rPr>
                <w:vertAlign w:val="superscript"/>
              </w:rPr>
              <w:t xml:space="preserve">o </w:t>
            </w:r>
            <w:r w:rsidRPr="001C7817">
              <w:t>(Premier hospital database)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Mortality, 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b/>
                <w:u w:val="single"/>
              </w:rPr>
            </w:pPr>
            <w:r w:rsidRPr="001C7817">
              <w:rPr>
                <w:b/>
                <w:u w:val="single"/>
              </w:rPr>
              <w:t>Mortality</w:t>
            </w:r>
          </w:p>
          <w:p w:rsidR="001C7817" w:rsidRPr="001C7817" w:rsidRDefault="001C7817" w:rsidP="001C7817">
            <w:pPr>
              <w:autoSpaceDE w:val="0"/>
              <w:autoSpaceDN w:val="0"/>
              <w:adjustRightInd w:val="0"/>
            </w:pPr>
            <w:r w:rsidRPr="001C7817">
              <w:t>- Total in-patient mortality was 8,556 (10.2%)</w:t>
            </w:r>
          </w:p>
          <w:p w:rsidR="001C7817" w:rsidRPr="001C7817" w:rsidRDefault="001C7817" w:rsidP="001C7817">
            <w:pPr>
              <w:autoSpaceDE w:val="0"/>
              <w:autoSpaceDN w:val="0"/>
              <w:adjustRightInd w:val="0"/>
              <w:rPr>
                <w:b/>
                <w:u w:val="single"/>
              </w:rPr>
            </w:pPr>
            <w:r w:rsidRPr="001C7817">
              <w:rPr>
                <w:b/>
                <w:u w:val="single"/>
              </w:rPr>
              <w:t>Cost</w:t>
            </w:r>
          </w:p>
          <w:p w:rsidR="001C7817" w:rsidRPr="001C7817" w:rsidRDefault="001C7817" w:rsidP="001C7817">
            <w:pPr>
              <w:autoSpaceDE w:val="0"/>
              <w:autoSpaceDN w:val="0"/>
              <w:adjustRightInd w:val="0"/>
            </w:pPr>
            <w:r w:rsidRPr="001C7817">
              <w:t>Total inpatient cost was $27,408</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after="100" w:afterAutospacing="1"/>
              <w:rPr>
                <w:sz w:val="20"/>
                <w:szCs w:val="20"/>
              </w:rPr>
            </w:pPr>
            <w:r w:rsidRPr="001C7817">
              <w:rPr>
                <w:sz w:val="20"/>
                <w:szCs w:val="20"/>
              </w:rPr>
              <w:t>Targeted therapy to prevent recurrences in vulnerable patients are essential to decrease the overall burden to hospitals.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6</w:t>
            </w:r>
          </w:p>
        </w:tc>
      </w:tr>
      <w:tr w:rsidR="001C7817" w:rsidRPr="001C7817" w:rsidTr="001C7817">
        <w:trPr>
          <w:gridAfter w:val="1"/>
          <w:wAfter w:w="6" w:type="dxa"/>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64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rPr>
                <w:sz w:val="18"/>
                <w:szCs w:val="18"/>
              </w:rPr>
            </w:pPr>
            <w:r w:rsidRPr="001C7817">
              <w:t>Nakov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t>National (Bulgaria)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Diarrhoeal </w:t>
            </w:r>
          </w:p>
          <w:p w:rsidR="001C7817" w:rsidRPr="001C7817" w:rsidRDefault="001C7817" w:rsidP="001C7817">
            <w:r w:rsidRPr="001C7817">
              <w:t>N=1,896</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Observational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1</w:t>
            </w:r>
            <w:r w:rsidRPr="001C7817">
              <w:rPr>
                <w:rFonts w:eastAsia="Calibri"/>
                <w:vertAlign w:val="superscript"/>
              </w:rPr>
              <w:t xml:space="preserve">o </w:t>
            </w:r>
            <w:r w:rsidRPr="001C7817">
              <w:rPr>
                <w:rFonts w:eastAsia="Calibri"/>
              </w:rPr>
              <w:t>(survey)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rPr>
                <w:rFonts w:eastAsia="Calibri"/>
                <w:bCs/>
              </w:rPr>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Prevalence</w:t>
            </w:r>
          </w:p>
          <w:p w:rsidR="001C7817" w:rsidRPr="001C7817" w:rsidRDefault="001C7817" w:rsidP="001C7817">
            <w:r w:rsidRPr="001C7817">
              <w:rPr>
                <w:rFonts w:eastAsia="Calibri"/>
              </w:rPr>
              <w:t xml:space="preserve">- </w:t>
            </w:r>
            <w:r w:rsidRPr="001C7817">
              <w:t xml:space="preserve"> The prevalence of irritable bowel syndrome (IBS) was 20%, but  32% of those with IBS had predominant diarrhea</w:t>
            </w:r>
          </w:p>
          <w:p w:rsidR="001C7817" w:rsidRPr="001C7817" w:rsidRDefault="001C7817" w:rsidP="001C7817">
            <w:pPr>
              <w:rPr>
                <w:rFonts w:eastAsia="Calibri"/>
              </w:rPr>
            </w:pPr>
            <w:r w:rsidRPr="001C7817">
              <w:t>- Thus, prevalence of diarrhea is 6.4%</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These results are</w:t>
            </w:r>
            <w:r w:rsidRPr="001C7817">
              <w:br/>
              <w:t>valuable in filling in the epidemiological data gap regarding IBS, FD, and OS in Eastern Europe.</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9</w:t>
            </w:r>
          </w:p>
        </w:tc>
      </w:tr>
      <w:tr w:rsidR="001C7817" w:rsidRPr="001C7817" w:rsidTr="001C7817">
        <w:trPr>
          <w:gridAfter w:val="1"/>
          <w:wAfter w:w="6" w:type="dxa"/>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65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Mawer et al, 2019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(UK)</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 xml:space="preserve">Diarrrhoea </w:t>
            </w:r>
          </w:p>
          <w:p w:rsidR="001C7817" w:rsidRPr="001C7817" w:rsidRDefault="001C7817" w:rsidP="001C7817">
            <w:r w:rsidRPr="001C7817">
              <w:t>N=5,142</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Prospective observ.</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1</w:t>
            </w:r>
            <w:r w:rsidRPr="001C7817">
              <w:rPr>
                <w:rFonts w:eastAsia="Calibri"/>
                <w:vertAlign w:val="superscript"/>
              </w:rPr>
              <w:t xml:space="preserve">o </w:t>
            </w:r>
            <w:r w:rsidRPr="001C7817">
              <w:rPr>
                <w:rFonts w:eastAsia="Calibri"/>
              </w:rPr>
              <w:t>(survey)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rPr>
                <w:rFonts w:eastAsia="Calibri"/>
                <w:bCs/>
              </w:rPr>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Prevalence</w:t>
            </w:r>
          </w:p>
          <w:p w:rsidR="001C7817" w:rsidRPr="001C7817" w:rsidRDefault="001C7817" w:rsidP="001C7817">
            <w:pPr>
              <w:rPr>
                <w:rFonts w:eastAsia="Calibri"/>
                <w:b/>
                <w:u w:val="single"/>
              </w:rPr>
            </w:pPr>
            <w:r w:rsidRPr="001C7817">
              <w:t>Point-prevalence of Hospital Onset Diarrhoea (HOD) was 4.5% (230/5142 patients; 95% confidence interval (CI) 3.9-5.0%). Teaching hospital HOD prevalence (5.9%, 95% CI 5.1-6.9%) was twice that of acute hospitals (2.8%, 95% CI 2.1-3.5%; odds ratio 2.2, 95% CI 1.7-3.0).</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Hospital Onset Diarrhoea is a prevalent symptom affecting thousands of patients across the UK health system each day</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9</w:t>
            </w:r>
          </w:p>
        </w:tc>
      </w:tr>
      <w:tr w:rsidR="001C7817" w:rsidRPr="001C7817" w:rsidTr="001C7817">
        <w:trPr>
          <w:gridAfter w:val="1"/>
          <w:wAfter w:w="6" w:type="dxa"/>
          <w:trHeight w:val="1925"/>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66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Azage et al, 2016</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(Ethiopia)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Diarrhoea</w:t>
            </w:r>
          </w:p>
          <w:p w:rsidR="001C7817" w:rsidRPr="001C7817" w:rsidRDefault="001C7817" w:rsidP="001C7817">
            <w:r w:rsidRPr="001C7817">
              <w:t>N= 2495</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Cross-sectional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1</w:t>
            </w:r>
            <w:r w:rsidRPr="001C7817">
              <w:rPr>
                <w:rFonts w:eastAsia="Calibri"/>
                <w:vertAlign w:val="superscript"/>
              </w:rPr>
              <w:t xml:space="preserve">o </w:t>
            </w:r>
            <w:r w:rsidRPr="001C7817">
              <w:rPr>
                <w:rFonts w:eastAsia="Calibri"/>
              </w:rPr>
              <w:t>(survey)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rPr>
                <w:rFonts w:eastAsia="Calibri"/>
                <w:bCs/>
              </w:rPr>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Prevalence</w:t>
            </w:r>
          </w:p>
          <w:p w:rsidR="001C7817" w:rsidRPr="001C7817" w:rsidRDefault="001C7817" w:rsidP="001C7817">
            <w:pPr>
              <w:rPr>
                <w:rFonts w:eastAsia="Calibri"/>
                <w:b/>
                <w:u w:val="single"/>
              </w:rPr>
            </w:pPr>
            <w:r w:rsidRPr="001C7817">
              <w:t>The prevalence of childhood diarrhea was 13.5 % and did not show significant variation between high [14.3 % (95 % CI 12.3-16.2 %)] and low [12.7 % (95 % CI 10.9-14.6 %)] hotspot districts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Childhood diarrhea occurrences remained high.</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11</w:t>
            </w:r>
          </w:p>
        </w:tc>
      </w:tr>
      <w:tr w:rsidR="001C7817" w:rsidRPr="001C7817" w:rsidTr="001C7817">
        <w:trPr>
          <w:gridAfter w:val="1"/>
          <w:wAfter w:w="6" w:type="dxa"/>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sz w:val="18"/>
                <w:szCs w:val="18"/>
              </w:rPr>
            </w:pPr>
            <w:r w:rsidRPr="001C7817">
              <w:rPr>
                <w:sz w:val="18"/>
                <w:szCs w:val="18"/>
              </w:rPr>
              <w:t>67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ind w:right="-36"/>
            </w:pPr>
            <w:r w:rsidRPr="001C7817">
              <w:t>Thibault et al, 2013</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National (SWitzerland</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Diarrhoea</w:t>
            </w:r>
          </w:p>
          <w:p w:rsidR="001C7817" w:rsidRPr="001C7817" w:rsidRDefault="001C7817" w:rsidP="001C7817">
            <w:r w:rsidRPr="001C7817">
              <w:t>N=278</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Prospective Observ</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rPr>
            </w:pPr>
            <w:r w:rsidRPr="001C7817">
              <w:rPr>
                <w:rFonts w:eastAsia="Calibri"/>
              </w:rPr>
              <w:t>1</w:t>
            </w:r>
            <w:r w:rsidRPr="001C7817">
              <w:rPr>
                <w:rFonts w:eastAsia="Calibri"/>
                <w:vertAlign w:val="superscript"/>
              </w:rPr>
              <w:t xml:space="preserve">o </w:t>
            </w:r>
            <w:r w:rsidRPr="001C7817">
              <w:rPr>
                <w:rFonts w:eastAsia="Calibri"/>
              </w:rPr>
              <w:t>(survey)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rPr>
                <w:rFonts w:eastAsia="Calibri"/>
                <w:bCs/>
              </w:rPr>
            </w:pPr>
            <w:r w:rsidRPr="001C7817">
              <w:rPr>
                <w:rFonts w:eastAsia="Calibri"/>
                <w:bCs/>
              </w:rPr>
              <w:t>Prevalence, Incidence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rPr>
                <w:rFonts w:eastAsia="Calibri"/>
                <w:b/>
                <w:u w:val="single"/>
              </w:rPr>
            </w:pPr>
            <w:r w:rsidRPr="001C7817">
              <w:rPr>
                <w:rFonts w:eastAsia="Calibri"/>
                <w:b/>
                <w:u w:val="single"/>
              </w:rPr>
              <w:t>Prevalence/Incidence</w:t>
            </w:r>
          </w:p>
          <w:p w:rsidR="001C7817" w:rsidRPr="001C7817" w:rsidRDefault="001C7817" w:rsidP="001C7817">
            <w:r w:rsidRPr="001C7817">
              <w:t xml:space="preserve">- A total of 1,595 patient-days were analysed. </w:t>
            </w:r>
          </w:p>
          <w:p w:rsidR="001C7817" w:rsidRPr="001C7817" w:rsidRDefault="001C7817" w:rsidP="001C7817">
            <w:r w:rsidRPr="001C7817">
              <w:t xml:space="preserve">- Diarrhoea was observed in 38 patients (14%) </w:t>
            </w:r>
          </w:p>
          <w:p w:rsidR="001C7817" w:rsidRPr="001C7817" w:rsidRDefault="001C7817" w:rsidP="001C7817">
            <w:pPr>
              <w:rPr>
                <w:rFonts w:eastAsia="Calibri"/>
                <w:b/>
                <w:u w:val="single"/>
              </w:rPr>
            </w:pPr>
            <w:r w:rsidRPr="001C7817">
              <w:t>- Diarrhoea was observed on 83 patient-days (incidence rate: 5.2 per 100 patient-days)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pPr>
            <w:r w:rsidRPr="001C7817">
              <w:t>Diarrhoea incidence during the first 2 weeks in a mixed population of patients in a tertiary ICU is 14%.</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t>8</w:t>
            </w:r>
          </w:p>
        </w:tc>
      </w:tr>
    </w:tbl>
    <w:p w:rsidR="001C7817" w:rsidRPr="001C7817" w:rsidRDefault="001C7817" w:rsidP="001C7817">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sz w:val="24"/>
          <w:szCs w:val="24"/>
          <w:lang w:eastAsia="en-GB"/>
        </w:rPr>
        <w:br w:type="page"/>
      </w:r>
    </w:p>
    <w:tbl>
      <w:tblPr>
        <w:tblStyle w:val="TableGrid"/>
        <w:tblW w:w="15030" w:type="dxa"/>
        <w:tblInd w:w="-882" w:type="dxa"/>
        <w:tblLayout w:type="fixed"/>
        <w:tblLook w:val="04A0" w:firstRow="1" w:lastRow="0" w:firstColumn="1" w:lastColumn="0" w:noHBand="0" w:noVBand="1"/>
      </w:tblPr>
      <w:tblGrid>
        <w:gridCol w:w="355"/>
        <w:gridCol w:w="356"/>
        <w:gridCol w:w="618"/>
        <w:gridCol w:w="705"/>
        <w:gridCol w:w="973"/>
        <w:gridCol w:w="531"/>
        <w:gridCol w:w="787"/>
        <w:gridCol w:w="769"/>
        <w:gridCol w:w="6315"/>
        <w:gridCol w:w="3261"/>
        <w:gridCol w:w="360"/>
      </w:tblGrid>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68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Kim et al, 2016</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(Korea)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240"/>
            </w:pPr>
            <w:r w:rsidRPr="001C7817">
              <w:t>Neonatal Disorders (n=N/Av)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2</w:t>
            </w:r>
            <w:r w:rsidRPr="001C7817">
              <w:rPr>
                <w:vertAlign w:val="superscript"/>
              </w:rPr>
              <w:t>o</w:t>
            </w:r>
            <w:r w:rsidRPr="001C7817">
              <w:t>(Korean NHIS, DisMod II, &amp; death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4"/>
              </w:numPr>
              <w:spacing w:before="100" w:beforeAutospacing="1"/>
              <w:ind w:left="72" w:right="-108" w:hanging="162"/>
              <w:contextualSpacing/>
              <w:rPr>
                <w:rFonts w:eastAsia="SimSun"/>
                <w:u w:val="single"/>
              </w:rPr>
            </w:pPr>
            <w:r w:rsidRPr="001C7817">
              <w:rPr>
                <w:rFonts w:eastAsia="SimSun"/>
              </w:rPr>
              <w:t>The total DALY was 64/100k population in neonatal disorders</w:t>
            </w:r>
          </w:p>
          <w:p w:rsidR="001C7817" w:rsidRPr="001C7817" w:rsidRDefault="001C7817" w:rsidP="001C7817">
            <w:pPr>
              <w:numPr>
                <w:ilvl w:val="0"/>
                <w:numId w:val="4"/>
              </w:numPr>
              <w:autoSpaceDE w:val="0"/>
              <w:autoSpaceDN w:val="0"/>
              <w:adjustRightInd w:val="0"/>
              <w:spacing w:before="100" w:beforeAutospacing="1"/>
              <w:ind w:left="72" w:right="-108" w:hanging="162"/>
              <w:contextualSpacing/>
              <w:rPr>
                <w:rFonts w:eastAsia="SimSun"/>
                <w:b/>
                <w:u w:val="single"/>
              </w:rPr>
            </w:pPr>
            <w:r w:rsidRPr="001C7817">
              <w:rPr>
                <w:rFonts w:eastAsia="SimSun"/>
              </w:rPr>
              <w:t>The leading causes of DALYs was preterm birth complications in neonatal disorders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The findings shed light on the considerable burden of neonatal conditions, emphasizing the need for health care policies that can reduce morbidity and mortality</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69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Zhang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National (China) </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IHD (n=N/Av)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(results of 2015 GBD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In 2015, number of DALYs from IHD were 25,765 thousand, with the age-standardized DALY rate at 1,760.2/100k.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From 1990 to 2015, the age-standardized death rate for IHD in China increased by 13.3% but age-standardized DALY rate decreased by 3.9%.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Number of IHD DALYs among male (16 664 thousand) was higher than it among female (9 101 thousand) in China in 2015</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83.5% of total DALYs from IHD occurred among people aged over 50 years old</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Burden of IHD in China increased remarkably from 1990 to 2015, especially among males and people aged over 50 years old.</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70</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Zhang et 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(China)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IHD (n=N/Av)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(results of 2015 GBD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Mortality,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contextualSpacing/>
              <w:rPr>
                <w:rFonts w:eastAsia="SimSun"/>
                <w:shd w:val="clear" w:color="auto" w:fill="FFFFFF"/>
              </w:rPr>
            </w:pPr>
            <w:r w:rsidRPr="001C7817">
              <w:rPr>
                <w:rFonts w:eastAsia="SimSun"/>
                <w:b/>
                <w:u w:val="single"/>
                <w:shd w:val="clear" w:color="auto" w:fill="FFFFFF"/>
              </w:rPr>
              <w:t>Mortality</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age-standardised death rate increased by 13.3% from 101.3  to 114.8/100k from 1990 to 2015 in China</w:t>
            </w:r>
          </w:p>
          <w:p w:rsidR="001C7817" w:rsidRPr="001C7817" w:rsidRDefault="001C7817" w:rsidP="001C7817">
            <w:pPr>
              <w:spacing w:before="100" w:beforeAutospacing="1"/>
              <w:ind w:right="-108"/>
              <w:contextualSpacing/>
              <w:rPr>
                <w:rFonts w:eastAsia="SimSun"/>
                <w:shd w:val="clear" w:color="auto" w:fill="FFFFFF"/>
              </w:rPr>
            </w:pPr>
            <w:r w:rsidRPr="001C7817">
              <w:rPr>
                <w:rFonts w:eastAsia="SimSun"/>
                <w:b/>
                <w:u w:val="single"/>
                <w:shd w:val="clear" w:color="auto" w:fill="FFFFFF"/>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age-standardised DALY declined 3.9% to 1,760.2/100k people in 2015</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Geographically, the age-standardised death and DALY rates for southern provinces were lower than northern provinces, especially in southeastern coastal provinces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Population growth and ageing has led to a steady increase in the IHD burden. Regional disparities in IHD burden were observed in provinces of China.</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71</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07</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Yu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(China)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CVD (IHD &amp; Stroke) 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(GBD 2017)</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Mortality,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5.76 thousand </w:t>
            </w:r>
            <w:proofErr w:type="gramStart"/>
            <w:r w:rsidRPr="001C7817">
              <w:rPr>
                <w:rFonts w:eastAsia="SimSun"/>
              </w:rPr>
              <w:t>deaths</w:t>
            </w:r>
            <w:proofErr w:type="gramEnd"/>
            <w:r w:rsidRPr="001C7817">
              <w:rPr>
                <w:rFonts w:eastAsia="SimSun"/>
              </w:rPr>
              <w:t xml:space="preserve"> (IHD = 18.92k, Stroke = 36.84k) and 1.11 million DALYs (IHD = 313.39k, Stroke = 791.90)  of IHD and stroke could be attributed to exposure to ambient PM</w:t>
            </w:r>
            <w:r w:rsidRPr="001C7817">
              <w:rPr>
                <w:rFonts w:eastAsia="SimSun"/>
                <w:vertAlign w:val="subscript"/>
              </w:rPr>
              <w:t>2.5</w:t>
            </w:r>
            <w:r w:rsidRPr="001C7817">
              <w:rPr>
                <w:rFonts w:eastAsia="SimSun"/>
              </w:rPr>
              <w:t xml:space="preserve"> in Hubei.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Disease burden of IHD and stroke attributable to PM</w:t>
            </w:r>
            <w:r w:rsidRPr="001C7817">
              <w:rPr>
                <w:rFonts w:eastAsia="SimSun"/>
                <w:vertAlign w:val="subscript"/>
              </w:rPr>
              <w:t>2.5</w:t>
            </w:r>
            <w:r w:rsidRPr="001C7817">
              <w:rPr>
                <w:rFonts w:eastAsia="SimSun"/>
              </w:rPr>
              <w:t xml:space="preserve"> increased with age and were higher in males than in females.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PM</w:t>
            </w:r>
            <w:r w:rsidRPr="001C7817">
              <w:rPr>
                <w:rFonts w:eastAsia="SimSun"/>
                <w:vertAlign w:val="subscript"/>
              </w:rPr>
              <w:t>2.5</w:t>
            </w:r>
            <w:r w:rsidRPr="001C7817">
              <w:rPr>
                <w:rFonts w:eastAsia="SimSun"/>
              </w:rPr>
              <w:t xml:space="preserve">-related disease burden of IHD and stroke was mainly concentrated in the eastern part of Hubei. </w:t>
            </w:r>
          </w:p>
          <w:p w:rsidR="001C7817" w:rsidRPr="001C7817" w:rsidRDefault="001C7817" w:rsidP="001C7817">
            <w:pPr>
              <w:numPr>
                <w:ilvl w:val="0"/>
                <w:numId w:val="6"/>
              </w:numPr>
              <w:spacing w:before="100" w:beforeAutospacing="1"/>
              <w:ind w:left="72" w:right="-108" w:hanging="162"/>
              <w:contextualSpacing/>
              <w:rPr>
                <w:rFonts w:eastAsia="SimSun"/>
              </w:rPr>
            </w:pPr>
            <w:r w:rsidRPr="001C7817">
              <w:rPr>
                <w:rFonts w:eastAsia="SimSun"/>
              </w:rPr>
              <w:t>The highest population attributable fraction (PAF) of IHD and stroke was mainly concentrated in the western part of Hubei.</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China needs proper</w:t>
            </w:r>
            <w:r w:rsidRPr="001C7817">
              <w:br/>
              <w:t>air quality management measures to effectively reduce ambient PM2.5, especially for cities with heavy disease</w:t>
            </w:r>
            <w:r w:rsidRPr="001C7817">
              <w:br/>
              <w:t>burden.</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72</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08</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Xie et al, 2016</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 (</w:t>
            </w:r>
            <w:r w:rsidRPr="001C7817">
              <w:rPr>
                <w:sz w:val="18"/>
                <w:szCs w:val="18"/>
              </w:rPr>
              <w:t>Fujian, China)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IHD</w:t>
            </w:r>
          </w:p>
          <w:p w:rsidR="001C7817" w:rsidRPr="001C7817" w:rsidRDefault="001C7817" w:rsidP="001C7817">
            <w:pPr>
              <w:spacing w:before="100" w:beforeAutospacing="1"/>
            </w:pPr>
            <w:r w:rsidRPr="001C7817">
              <w:t>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(GBD)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Mortality,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contextualSpacing/>
              <w:rPr>
                <w:rFonts w:eastAsia="SimSun"/>
                <w:shd w:val="clear" w:color="auto" w:fill="FFFFFF"/>
              </w:rPr>
            </w:pPr>
            <w:r w:rsidRPr="001C7817">
              <w:rPr>
                <w:rFonts w:eastAsia="SimSun"/>
                <w:b/>
                <w:u w:val="single"/>
                <w:shd w:val="clear" w:color="auto" w:fill="FFFFFF"/>
              </w:rPr>
              <w:t>Mortality</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The age-standardized IHD deaths rate increased by 15.3% from 1990 (74.7/100k) to 2013 (82.7/100k). </w:t>
            </w:r>
          </w:p>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shd w:val="clear" w:color="auto" w:fill="FFFFFF"/>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age-standardized IHD DALYs has slightly decreased 8.8% from 1990 (1356.2/100k) to 2013 (1202.7/100k).</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Despite decreased age-standardized IHD deaths and DALY rate since 1990, population growth and aging led to a higher global burden of IHD in 2013.</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6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Gao et 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(China)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Stroke</w:t>
            </w:r>
          </w:p>
          <w:p w:rsidR="001C7817" w:rsidRPr="001C7817" w:rsidRDefault="001C7817" w:rsidP="001C7817">
            <w:pPr>
              <w:spacing w:before="100" w:beforeAutospacing="1"/>
            </w:pPr>
            <w:r w:rsidRPr="001C7817">
              <w:t>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Epidemiological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r w:rsidRPr="001C7817">
              <w:rPr>
                <w:vertAlign w:val="superscript"/>
              </w:rPr>
              <w:t>o</w:t>
            </w:r>
            <w:r w:rsidRPr="001C7817">
              <w:t xml:space="preserve"> (Epidemiological Survey) &amp; 2</w:t>
            </w:r>
            <w:r w:rsidRPr="001C7817">
              <w:rPr>
                <w:vertAlign w:val="superscript"/>
              </w:rPr>
              <w:t>o</w:t>
            </w:r>
            <w:r w:rsidRPr="001C7817">
              <w:t xml:space="preserve"> (NESS-China)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Mortality,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rPr>
                <w:b/>
                <w:u w:val="single"/>
                <w:shd w:val="clear" w:color="auto" w:fill="FFFFFF"/>
              </w:rPr>
            </w:pPr>
            <w:r w:rsidRPr="001C7817">
              <w:rPr>
                <w:b/>
                <w:u w:val="single"/>
                <w:shd w:val="clear" w:color="auto" w:fill="FFFFFF"/>
              </w:rPr>
              <w:t>Mortality</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shd w:val="clear" w:color="auto" w:fill="FFFFFF"/>
              </w:rPr>
              <w:t xml:space="preserve">758 deaths (out of </w:t>
            </w:r>
            <w:r w:rsidRPr="001C7817">
              <w:rPr>
                <w:rFonts w:eastAsia="SimSun"/>
              </w:rPr>
              <w:t>96,536) in 2013</w:t>
            </w:r>
          </w:p>
          <w:p w:rsidR="001C7817" w:rsidRPr="001C7817" w:rsidRDefault="001C7817" w:rsidP="001C7817">
            <w:pPr>
              <w:spacing w:before="100" w:beforeAutospacing="1"/>
              <w:ind w:right="-108"/>
              <w:rPr>
                <w:b/>
                <w:u w:val="single"/>
                <w:shd w:val="clear" w:color="auto" w:fill="FFFFFF"/>
              </w:rPr>
            </w:pPr>
            <w:r w:rsidRPr="001C7817">
              <w:rPr>
                <w:b/>
                <w:shd w:val="clear" w:color="auto" w:fill="FFFFFF"/>
              </w:rPr>
              <w:t xml:space="preserve">  </w:t>
            </w:r>
            <w:r w:rsidRPr="001C7817">
              <w:rPr>
                <w:b/>
                <w:u w:val="single"/>
                <w:shd w:val="clear" w:color="auto" w:fill="FFFFFF"/>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11,976 (1,762/100k)</w:t>
            </w:r>
          </w:p>
        </w:tc>
        <w:tc>
          <w:tcPr>
            <w:tcW w:w="3261"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r w:rsidRPr="001C7817">
              <w:t>-The impact of stroke on Chinese population is more severe compared to the global average levels.</w:t>
            </w:r>
          </w:p>
          <w:p w:rsidR="001C7817" w:rsidRPr="001C7817" w:rsidRDefault="001C7817" w:rsidP="001C7817">
            <w:pPr>
              <w:spacing w:before="100" w:beforeAutospacing="1"/>
            </w:pPr>
          </w:p>
          <w:p w:rsidR="001C7817" w:rsidRPr="001C7817" w:rsidRDefault="001C7817" w:rsidP="001C7817">
            <w:pPr>
              <w:spacing w:before="100" w:beforeAutospacing="1"/>
              <w:rPr>
                <w:b/>
              </w:rPr>
            </w:pPr>
            <w:r w:rsidRPr="001C7817">
              <w:t>-DALYs caused by stroke rank 3th in global epidemiologic study territories, 1st in China</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Chen et al, 2013</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(Taiwan)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Stroke</w:t>
            </w:r>
          </w:p>
          <w:p w:rsidR="001C7817" w:rsidRPr="001C7817" w:rsidRDefault="001C7817" w:rsidP="001C7817">
            <w:pPr>
              <w:spacing w:before="100" w:beforeAutospacing="1"/>
            </w:pPr>
            <w:r w:rsidRPr="001C7817">
              <w:t>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(National Health Insurance Research</w:t>
            </w:r>
            <w:r w:rsidRPr="001C7817">
              <w:br/>
              <w:t>Database)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Prevalence, Mortality,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rPr>
                <w:b/>
                <w:u w:val="single"/>
                <w:shd w:val="clear" w:color="auto" w:fill="FFFFFF"/>
              </w:rPr>
            </w:pPr>
            <w:r w:rsidRPr="001C7817">
              <w:rPr>
                <w:b/>
                <w:u w:val="single"/>
                <w:shd w:val="clear" w:color="auto" w:fill="FFFFFF"/>
              </w:rPr>
              <w:t>Prevalence</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shd w:val="clear" w:color="auto" w:fill="FFFFFF"/>
              </w:rPr>
              <w:t>Prevalence of stroke for all ages in women was 5,813/100k and in men was 5,254/100k in 2005</w:t>
            </w:r>
          </w:p>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shd w:val="clear" w:color="auto" w:fill="FFFFFF"/>
              </w:rPr>
              <w:t>Mortality</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From study period, stroke mortality</w:t>
            </w:r>
            <w:r w:rsidRPr="001C7817">
              <w:rPr>
                <w:rFonts w:eastAsia="SimSun"/>
              </w:rPr>
              <w:br/>
              <w:t xml:space="preserve">increased from 50 to 2300/100k among individuals aged 50–90 years, with a higher prevalence among females than males. </w:t>
            </w:r>
          </w:p>
          <w:p w:rsidR="001C7817" w:rsidRPr="001C7817" w:rsidRDefault="001C7817" w:rsidP="001C7817">
            <w:pPr>
              <w:spacing w:before="100" w:beforeAutospacing="1"/>
              <w:ind w:right="-108"/>
              <w:contextualSpacing/>
              <w:rPr>
                <w:rFonts w:eastAsia="SimSun"/>
                <w:shd w:val="clear" w:color="auto" w:fill="FFFFFF"/>
              </w:rPr>
            </w:pPr>
            <w:r w:rsidRPr="001C7817">
              <w:rPr>
                <w:rFonts w:eastAsia="SimSun"/>
                <w:b/>
                <w:u w:val="single"/>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The DALY value was higher among men (77.5/100k) than among women (76.9 / 100k) in 2005.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-Stroke is a significant health concern in Taiwan. </w:t>
            </w:r>
          </w:p>
          <w:p w:rsidR="001C7817" w:rsidRPr="001C7817" w:rsidRDefault="001C7817" w:rsidP="001C7817">
            <w:pPr>
              <w:spacing w:before="100" w:beforeAutospacing="1"/>
              <w:rPr>
                <w:b/>
              </w:rPr>
            </w:pPr>
            <w:r w:rsidRPr="001C7817">
              <w:t>-Overall, the DALY value increased from 2000 to 2005, which suggests that the associated disease</w:t>
            </w:r>
            <w:r w:rsidRPr="001C7817">
              <w:br/>
              <w:t>burden will continue to increase over time</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Townsend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International (India &amp; China)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Diarrhoea</w:t>
            </w:r>
          </w:p>
          <w:p w:rsidR="001C7817" w:rsidRPr="001C7817" w:rsidRDefault="001C7817" w:rsidP="001C7817">
            <w:pPr>
              <w:spacing w:before="100" w:beforeAutospacing="1"/>
            </w:pPr>
            <w:r w:rsidRPr="001C7817">
              <w:t>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 xml:space="preserve">o </w:t>
            </w:r>
            <w:r w:rsidRPr="001C7817">
              <w:t xml:space="preserve"> (WHO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Cost, DALYs</w:t>
            </w:r>
          </w:p>
        </w:tc>
        <w:tc>
          <w:tcPr>
            <w:tcW w:w="6315"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shd w:val="clear" w:color="auto" w:fill="FFFFFF"/>
              </w:rPr>
              <w:t>Cost</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shd w:val="clear" w:color="auto" w:fill="FFFFFF"/>
              </w:rPr>
              <w:t>India = $</w:t>
            </w:r>
            <w:r w:rsidRPr="001C7817">
              <w:rPr>
                <w:rFonts w:eastAsia="SimSun"/>
              </w:rPr>
              <w:t>47.22billion (population = 1.25billion); China = $15.18billion (population = 1.38billion)</w:t>
            </w:r>
          </w:p>
          <w:p w:rsidR="001C7817" w:rsidRPr="001C7817" w:rsidRDefault="001C7817" w:rsidP="001C7817">
            <w:pPr>
              <w:spacing w:before="100" w:beforeAutospacing="1"/>
              <w:ind w:right="-108"/>
              <w:contextualSpacing/>
              <w:rPr>
                <w:rFonts w:eastAsia="SimSun"/>
                <w:b/>
                <w:u w:val="single"/>
              </w:rPr>
            </w:pPr>
          </w:p>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shd w:val="clear" w:color="auto" w:fill="FFFFFF"/>
              </w:rPr>
              <w:t xml:space="preserve">India = </w:t>
            </w:r>
            <w:r w:rsidRPr="001C7817">
              <w:rPr>
                <w:rFonts w:eastAsia="SimSun"/>
              </w:rPr>
              <w:t>29.77million; China = 2.07million</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Large economic gains relating to decreases in diarrhoea for both India &amp; China from behaviour change programmes to increase hand-washing with soap in households.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Ogbo et al, 2019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(Nigeria)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Diarrhoeal (due to suboptimal breastfeeding) 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(GBD 2016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Mortality &amp;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shd w:val="clear" w:color="auto" w:fill="FFFFFF"/>
              </w:rPr>
              <w:t>Mortality</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In 2016, suboptimal breastfeeding practices accounted for an estimated 56.5% of diarrhoea deaths in the late neonatal period, 39.0% in post-neonatal period, 39.0% in infancy period and 22.8% in children aged under five years in Nigeria</w:t>
            </w:r>
          </w:p>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DALYs from diarrhoea attributable to suboptimal breastfeeding practices was 1.9 million</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Suboptimal breastfeeding practices remain a significant contributor to diarrhoea mortality and disability among children under five years in Nigeria.</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Adhikari etal,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(Nepal)</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COPD (n=N/Av)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(WHO &amp; GBD repository)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Prevalence, Mortality &amp;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contextualSpacing/>
              <w:rPr>
                <w:rFonts w:eastAsia="SimSun"/>
                <w:shd w:val="clear" w:color="auto" w:fill="FFFFFF"/>
              </w:rPr>
            </w:pPr>
            <w:r w:rsidRPr="001C7817">
              <w:rPr>
                <w:rFonts w:eastAsia="SimSun"/>
                <w:b/>
                <w:u w:val="single"/>
                <w:shd w:val="clear" w:color="auto" w:fill="FFFFFF"/>
              </w:rPr>
              <w:t>Prevalence</w:t>
            </w:r>
          </w:p>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rPr>
              <w:t>Age-standardized prevalence rate of COPD was 4,899.1/100k in 1990 vs 4,810.3/100k in 2016</w:t>
            </w:r>
            <w:r w:rsidRPr="001C7817">
              <w:rPr>
                <w:rFonts w:eastAsia="SimSun"/>
                <w:shd w:val="clear" w:color="auto" w:fill="FFFFFF"/>
              </w:rPr>
              <w:br/>
            </w:r>
            <w:r w:rsidRPr="001C7817">
              <w:rPr>
                <w:rFonts w:eastAsia="SimSun"/>
                <w:b/>
                <w:u w:val="single"/>
                <w:shd w:val="clear" w:color="auto" w:fill="FFFFFF"/>
              </w:rPr>
              <w:t>Mortality</w:t>
            </w:r>
          </w:p>
          <w:p w:rsidR="001C7817" w:rsidRPr="001C7817" w:rsidRDefault="001C7817" w:rsidP="001C7817">
            <w:pPr>
              <w:numPr>
                <w:ilvl w:val="0"/>
                <w:numId w:val="6"/>
              </w:numPr>
              <w:spacing w:before="100" w:beforeAutospacing="1"/>
              <w:ind w:left="72" w:right="-108" w:hanging="162"/>
              <w:contextualSpacing/>
              <w:rPr>
                <w:rFonts w:eastAsia="SimSun"/>
              </w:rPr>
            </w:pPr>
            <w:r w:rsidRPr="001C7817">
              <w:rPr>
                <w:rFonts w:eastAsia="SimSun"/>
              </w:rPr>
              <w:t xml:space="preserve">The age-standardized death rate due to COPD for the females was 119.7/100k while for the males it was 102.6/100k </w:t>
            </w:r>
          </w:p>
          <w:p w:rsidR="001C7817" w:rsidRPr="001C7817" w:rsidRDefault="001C7817" w:rsidP="001C7817">
            <w:pPr>
              <w:spacing w:before="100" w:beforeAutospacing="1"/>
              <w:ind w:right="-108"/>
              <w:contextualSpacing/>
              <w:rPr>
                <w:rFonts w:eastAsia="SimSun"/>
              </w:rPr>
            </w:pPr>
            <w:r w:rsidRPr="001C7817">
              <w:rPr>
                <w:rFonts w:eastAsia="SimSun"/>
                <w:b/>
                <w:u w:val="single"/>
                <w:shd w:val="clear" w:color="auto" w:fill="FFFFFF"/>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age-standardized DALYs was 2,274.9/100k and 2,013.3/100k for females and males, respectively</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Comprehensive social, environmental, &amp; Behav-ioral approaches to curtail the risk factors, ie, decreasing the prevalence of smoking behavior, replacing the use of biomass fuels, &amp; reduction of outdoor</w:t>
            </w:r>
            <w:r w:rsidRPr="001C7817">
              <w:br/>
              <w:t>air pollution, along with early identification, treatment &amp; management of COPD is of utmost</w:t>
            </w:r>
            <w:r w:rsidRPr="001C7817">
              <w:br/>
              <w:t>importance</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17</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Tachkov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(Bulgaria)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COPD (n = 426)</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Observational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r w:rsidRPr="001C7817">
              <w:rPr>
                <w:vertAlign w:val="superscript"/>
              </w:rPr>
              <w:t>o</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Cost &amp;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shd w:val="clear" w:color="auto" w:fill="FFFFFF"/>
              </w:rPr>
              <w:t>20; 211; &amp; 85 particiapnts had mild, moderate &amp; severe COPD respectively</w:t>
            </w:r>
          </w:p>
          <w:p w:rsidR="001C7817" w:rsidRPr="001C7817" w:rsidRDefault="001C7817" w:rsidP="001C7817">
            <w:pPr>
              <w:spacing w:before="100" w:beforeAutospacing="1"/>
              <w:ind w:right="-108"/>
              <w:contextualSpacing/>
              <w:rPr>
                <w:rFonts w:eastAsia="SimSun"/>
                <w:shd w:val="clear" w:color="auto" w:fill="FFFFFF"/>
              </w:rPr>
            </w:pPr>
            <w:r w:rsidRPr="001C7817">
              <w:rPr>
                <w:rFonts w:eastAsia="SimSun"/>
                <w:b/>
                <w:u w:val="single"/>
                <w:shd w:val="clear" w:color="auto" w:fill="FFFFFF"/>
              </w:rPr>
              <w:t>Cost</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indirect costs (due to premature retirement): m=€30,253.85, f=€20,452.94</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indirect costs (due to paid disability</w:t>
            </w:r>
            <w:r w:rsidRPr="001C7817">
              <w:rPr>
                <w:rFonts w:eastAsia="SimSun"/>
              </w:rPr>
              <w:br/>
              <w:t>pensions) m=€9,652.13, f=€11,804.4</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indirect costs (due to reduced productivity) m=€3,870.82, f=€3630.46</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Lost productivity (per patient): Mild=€3596.52, Moderate=€34,204.01, Severe=€51,332.20</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b/>
                <w:u w:val="single"/>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Mild COPD = 0.619, Moderate = 6.00, Severe = 9.00 per patient</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There is a a significant indirect financial and societal burden of</w:t>
            </w:r>
            <w:r w:rsidRPr="001C7817">
              <w:br/>
              <w:t>COPD in Bulgaria, which is in correlation with the severity of the disease.</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18</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Rahimi-Movaghar et al, 2010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(Iran)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Road injuries (SCI) 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2</w:t>
            </w:r>
            <w:r w:rsidRPr="001C7817">
              <w:rPr>
                <w:vertAlign w:val="superscript"/>
              </w:rPr>
              <w:t xml:space="preserve">o </w:t>
            </w:r>
            <w:r w:rsidRPr="001C7817">
              <w:t xml:space="preserve"> (data bank of the State Welfare Organization of Iran of SCI patients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First year following traumatic SCI was 3772 years or 0.5 DALY per 1000 people.</w:t>
            </w:r>
          </w:p>
          <w:p w:rsidR="001C7817" w:rsidRPr="001C7817" w:rsidRDefault="001C7817" w:rsidP="001C7817">
            <w:pPr>
              <w:numPr>
                <w:ilvl w:val="0"/>
                <w:numId w:val="6"/>
              </w:numPr>
              <w:spacing w:before="100" w:beforeAutospacing="1"/>
              <w:ind w:left="72" w:right="-108" w:hanging="162"/>
              <w:contextualSpacing/>
              <w:rPr>
                <w:rFonts w:eastAsia="SimSun"/>
              </w:rPr>
            </w:pPr>
            <w:r w:rsidRPr="001C7817">
              <w:rPr>
                <w:rFonts w:eastAsia="SimSun"/>
              </w:rPr>
              <w:t>DALYs in next years in different types of SCI:</w:t>
            </w:r>
          </w:p>
          <w:p w:rsidR="001C7817" w:rsidRPr="001C7817" w:rsidRDefault="001C7817" w:rsidP="001C7817">
            <w:pPr>
              <w:spacing w:before="100" w:beforeAutospacing="1"/>
              <w:ind w:right="-108"/>
              <w:contextualSpacing/>
              <w:rPr>
                <w:rFonts w:eastAsia="SimSun"/>
              </w:rPr>
            </w:pPr>
            <w:r w:rsidRPr="001C7817">
              <w:rPr>
                <w:rFonts w:eastAsia="SimSun"/>
              </w:rPr>
              <w:t xml:space="preserve"> -Quadriplegia: 435 years</w:t>
            </w:r>
          </w:p>
          <w:p w:rsidR="001C7817" w:rsidRPr="001C7817" w:rsidRDefault="001C7817" w:rsidP="001C7817">
            <w:pPr>
              <w:spacing w:before="100" w:beforeAutospacing="1"/>
              <w:ind w:right="-108"/>
              <w:contextualSpacing/>
              <w:rPr>
                <w:rFonts w:eastAsia="SimSun"/>
              </w:rPr>
            </w:pPr>
            <w:r w:rsidRPr="001C7817">
              <w:rPr>
                <w:rFonts w:eastAsia="SimSun"/>
              </w:rPr>
              <w:t>-Quadriparesis: 163 years</w:t>
            </w:r>
          </w:p>
          <w:p w:rsidR="001C7817" w:rsidRPr="001C7817" w:rsidRDefault="001C7817" w:rsidP="001C7817">
            <w:pPr>
              <w:spacing w:before="100" w:beforeAutospacing="1"/>
              <w:ind w:right="-108"/>
              <w:contextualSpacing/>
              <w:rPr>
                <w:rFonts w:eastAsia="SimSun"/>
              </w:rPr>
            </w:pPr>
            <w:r w:rsidRPr="001C7817">
              <w:rPr>
                <w:rFonts w:eastAsia="SimSun"/>
              </w:rPr>
              <w:t>-Paraplegia: 868 years</w:t>
            </w:r>
          </w:p>
          <w:p w:rsidR="001C7817" w:rsidRPr="001C7817" w:rsidRDefault="001C7817" w:rsidP="001C7817">
            <w:pPr>
              <w:spacing w:before="100" w:beforeAutospacing="1"/>
              <w:ind w:right="-108"/>
              <w:contextualSpacing/>
              <w:rPr>
                <w:rFonts w:eastAsia="SimSun"/>
              </w:rPr>
            </w:pPr>
            <w:r w:rsidRPr="001C7817">
              <w:rPr>
                <w:rFonts w:eastAsia="SimSun"/>
              </w:rPr>
              <w:t>-Paraparesis: 164 years</w:t>
            </w:r>
          </w:p>
          <w:p w:rsidR="001C7817" w:rsidRPr="001C7817" w:rsidRDefault="001C7817" w:rsidP="001C7817">
            <w:pPr>
              <w:spacing w:before="100" w:beforeAutospacing="1"/>
              <w:ind w:right="-108"/>
              <w:contextualSpacing/>
              <w:rPr>
                <w:rFonts w:eastAsia="SimSun"/>
              </w:rPr>
            </w:pPr>
            <w:r w:rsidRPr="001C7817">
              <w:rPr>
                <w:rFonts w:eastAsia="SimSun"/>
              </w:rPr>
              <w:t>-Hemiplegia &amp; Hemiparesis: 26 &amp; 13 years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Total DALYs: 5441 years, which has 0.7 DALY per 1000 people.</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There is a high burden for SCI. Identifying the risk factors of SCI, and</w:t>
            </w:r>
            <w:r w:rsidRPr="001C7817">
              <w:br/>
              <w:t>performing cost-effective preventive interventions for reducing burden of SCI is recommended</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80</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19</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Hall et al, 2019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(USA)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Road injuries (SCI)</w:t>
            </w:r>
          </w:p>
          <w:p w:rsidR="001C7817" w:rsidRPr="001C7817" w:rsidRDefault="001C7817" w:rsidP="001C7817">
            <w:pPr>
              <w:spacing w:before="100" w:beforeAutospacing="1"/>
            </w:pPr>
            <w:r w:rsidRPr="001C7817">
              <w:t>n= 51,226</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Longitudinal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(SCIMS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contextualSpacing/>
              <w:rPr>
                <w:rFonts w:eastAsia="SimSun"/>
                <w:shd w:val="clear" w:color="auto" w:fill="FFFFFF"/>
              </w:rPr>
            </w:pPr>
            <w:r w:rsidRPr="001C7817">
              <w:rPr>
                <w:rFonts w:eastAsia="SimSun"/>
                <w:b/>
                <w:u w:val="single"/>
                <w:shd w:val="clear" w:color="auto" w:fill="FFFFFF"/>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shd w:val="clear" w:color="auto" w:fill="FFFFFF"/>
              </w:rPr>
              <w:t>Cervical SCI (n=</w:t>
            </w:r>
            <w:r w:rsidRPr="001C7817">
              <w:rPr>
                <w:rFonts w:eastAsia="SimSun"/>
              </w:rPr>
              <w:t xml:space="preserve"> 28,178) </w:t>
            </w:r>
            <w:r w:rsidRPr="001C7817">
              <w:rPr>
                <w:rFonts w:eastAsia="SimSun"/>
                <w:shd w:val="clear" w:color="auto" w:fill="FFFFFF"/>
              </w:rPr>
              <w:t xml:space="preserve">= </w:t>
            </w:r>
            <w:r w:rsidRPr="001C7817">
              <w:rPr>
                <w:rFonts w:eastAsia="SimSun"/>
              </w:rPr>
              <w:t>699,450.7</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Thoracic &amp; below SCI (n=23,048) = 367,043.2</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Proportionally adjusted DALYs attributable to SCI in 2010 were 445,911.</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The national burden of SCIs above other impactful conditions such as human immunodefic-iency virus / acquired immune deficiency syndrom</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81</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20</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Collie et al, 2010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(Australia)</w:t>
            </w:r>
          </w:p>
        </w:tc>
        <w:tc>
          <w:tcPr>
            <w:tcW w:w="973"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r w:rsidRPr="001C7817">
              <w:t>Road injuries (TBI &amp; SCI)</w:t>
            </w:r>
          </w:p>
          <w:p w:rsidR="001C7817" w:rsidRPr="001C7817" w:rsidRDefault="001C7817" w:rsidP="001C7817">
            <w:pPr>
              <w:spacing w:before="100" w:beforeAutospacing="1"/>
            </w:pP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Primary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Cost &amp;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contextualSpacing/>
              <w:rPr>
                <w:rFonts w:eastAsia="SimSun"/>
                <w:shd w:val="clear" w:color="auto" w:fill="FFFFFF"/>
              </w:rPr>
            </w:pPr>
            <w:r w:rsidRPr="001C7817">
              <w:rPr>
                <w:rFonts w:eastAsia="SimSun"/>
                <w:b/>
                <w:u w:val="single"/>
              </w:rPr>
              <w:t>Cost</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Total costs of TBI and SCI were estimated to be $8.6 billion and $2.0 billion, respectively</w:t>
            </w:r>
          </w:p>
          <w:p w:rsidR="001C7817" w:rsidRPr="001C7817" w:rsidRDefault="001C7817" w:rsidP="001C7817">
            <w:pPr>
              <w:spacing w:before="100" w:beforeAutospacing="1"/>
              <w:ind w:right="-108"/>
              <w:contextualSpacing/>
              <w:rPr>
                <w:rFonts w:eastAsia="SimSun"/>
                <w:shd w:val="clear" w:color="auto" w:fill="FFFFFF"/>
              </w:rPr>
            </w:pPr>
            <w:r w:rsidRPr="001C7817">
              <w:rPr>
                <w:rFonts w:eastAsia="SimSun"/>
                <w:b/>
                <w:u w:val="single"/>
                <w:shd w:val="clear" w:color="auto" w:fill="FFFFFF"/>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TBI &amp; SCI accounted for 30,458 and 5,090 DALYs respectively</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rPr>
                <w:b/>
              </w:rPr>
            </w:pPr>
            <w:r w:rsidRPr="001C7817">
              <w:t>The financial costs &amp; BoD associated with neurotrauma are substantial. Two clinical interventions developed in Australia with demonstrable health benefits are also</w:t>
            </w:r>
            <w:r w:rsidRPr="001C7817">
              <w:br/>
              <w:t>cost-effective</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82</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Scholten et al, 2014</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(Netherlands)</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Road injuries (TBI)</w:t>
            </w:r>
          </w:p>
          <w:p w:rsidR="001C7817" w:rsidRPr="001C7817" w:rsidRDefault="001C7817" w:rsidP="001C7817">
            <w:pPr>
              <w:spacing w:before="100" w:beforeAutospacing="1"/>
            </w:pPr>
            <w:r w:rsidRPr="001C7817">
              <w:t>n= 34,681</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 xml:space="preserve">o </w:t>
            </w:r>
            <w:r w:rsidRPr="001C7817">
              <w:t xml:space="preserve"> (LIS &amp; LSM datat(</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Incidence, Cost &amp;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shd w:val="clear" w:color="auto" w:fill="FFFFFF"/>
              </w:rPr>
              <w:t>Incidence</w:t>
            </w:r>
          </w:p>
          <w:p w:rsidR="001C7817" w:rsidRPr="001C7817" w:rsidRDefault="001C7817" w:rsidP="001C7817">
            <w:pPr>
              <w:numPr>
                <w:ilvl w:val="0"/>
                <w:numId w:val="6"/>
              </w:numPr>
              <w:spacing w:before="100" w:beforeAutospacing="1"/>
              <w:ind w:left="72" w:right="-108" w:hanging="162"/>
              <w:contextualSpacing/>
              <w:rPr>
                <w:rFonts w:eastAsia="SimSun"/>
              </w:rPr>
            </w:pPr>
            <w:r w:rsidRPr="001C7817">
              <w:rPr>
                <w:rFonts w:eastAsia="SimSun"/>
              </w:rPr>
              <w:t xml:space="preserve">TBI incidence was 213.6/100k person years. </w:t>
            </w:r>
          </w:p>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shd w:val="clear" w:color="auto" w:fill="FFFFFF"/>
              </w:rPr>
              <w:t>Cost</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Total costs were €314.6 (USD $433.8) million per year </w:t>
            </w:r>
          </w:p>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shd w:val="clear" w:color="auto" w:fill="FFFFFF"/>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disease burden resulted in 171,200 DALYs (on average 7.1 DALYs per case)</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The economic and health consequences of TBI are substantial. </w:t>
            </w:r>
          </w:p>
          <w:p w:rsidR="001C7817" w:rsidRPr="001C7817" w:rsidRDefault="001C7817" w:rsidP="001C7817">
            <w:pPr>
              <w:spacing w:before="100" w:beforeAutospacing="1"/>
              <w:rPr>
                <w:b/>
              </w:rPr>
            </w:pPr>
            <w:r w:rsidRPr="001C7817">
              <w:t>The integrated approach of assessing incidence, costs and disease burden enables detection of important risk groups in TBI, development of prevention programs that target these risk groups and assessment of the benefits of these programs.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Te Ao et al, 2015</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(New Zealand)</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Road injuries (TBI)</w:t>
            </w:r>
          </w:p>
          <w:p w:rsidR="001C7817" w:rsidRPr="001C7817" w:rsidRDefault="001C7817" w:rsidP="001C7817">
            <w:pPr>
              <w:spacing w:before="100" w:beforeAutospacing="1"/>
            </w:pPr>
            <w:r w:rsidRPr="001C7817">
              <w:t>n=527,000</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 xml:space="preserve">o </w:t>
            </w:r>
            <w:r w:rsidRPr="001C7817">
              <w:t xml:space="preserve"> (Data from BIONIC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The estimated 20,300DALYs attributable to TBI accounted for 27% of total injury-related health loss and 2.4% of DALYs from all causes.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Of the total DALYs attributable to TBI, 71% resulted from fatal injuries.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Non-fatal outcomes accounted for a substantial share of the burden (29%) with mild TBI making the greater contribution of non-fatal outcomes (56%).</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The burden of TBI in New Zealand is substantial, and mild TBI contributes to a major part of non-fatal outcomes.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Tandon et 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(India)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Diabetes </w:t>
            </w:r>
          </w:p>
          <w:p w:rsidR="001C7817" w:rsidRPr="001C7817" w:rsidRDefault="001C7817" w:rsidP="001C7817">
            <w:pPr>
              <w:spacing w:before="100" w:beforeAutospacing="1"/>
            </w:pPr>
            <w:r w:rsidRPr="001C7817">
              <w:t>(65·0 million)</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 xml:space="preserve">o </w:t>
            </w:r>
            <w:r w:rsidRPr="001C7817">
              <w:t xml:space="preserve"> (GBD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Prevalence, Mortality, 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shd w:val="clear" w:color="auto" w:fill="FFFFFF"/>
              </w:rPr>
              <w:t>Prevalence</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number of people with diabetes in India increased from 26·0 million in 1990 to 65·0 million in 2016.</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prevalence of diabetes in adults aged 20 years or older in India increased from 5·5% in 1990 to 7·7% in 2016</w:t>
            </w:r>
          </w:p>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shd w:val="clear" w:color="auto" w:fill="FFFFFF"/>
              </w:rPr>
              <w:t>Mortality</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crude death rate in 2016 was 23·1/100k (10.2/100k for those &lt;70yrs and 378·6/100k for those ≥70yrs).</w:t>
            </w:r>
          </w:p>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shd w:val="clear" w:color="auto" w:fill="FFFFFF"/>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In 2016, the crude DALY was 792/100k while age-standardized DALY was 1,059/100k</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age-standardised DALY rate for diabetes increased in India by 39·6% from 1990 to 2016</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If uncontrolled, the health costs of diabetes and its complications are likely to take a heavy toll on India’s health-care system in the coming decades.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Li et al, 2013</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(China)</w:t>
            </w:r>
          </w:p>
        </w:tc>
        <w:tc>
          <w:tcPr>
            <w:tcW w:w="973"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r w:rsidRPr="001C7817">
              <w:t>Diabetes (n=N/Av)</w:t>
            </w:r>
          </w:p>
          <w:p w:rsidR="001C7817" w:rsidRPr="001C7817" w:rsidRDefault="001C7817" w:rsidP="001C7817">
            <w:pPr>
              <w:spacing w:before="100" w:beforeAutospacing="1"/>
            </w:pP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 xml:space="preserve">o </w:t>
            </w:r>
            <w:r w:rsidRPr="001C7817">
              <w:t xml:space="preserve"> (MS-NDSPS &amp; CCDS 2010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The overall disease burden of diabetes (DALYs) was 19.12/1000 population (Men=18.30/1000; women=19.97/1000).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 Residents aged 15 - 79 years bore most part of disease burden and the burden peaked among population at age from 45 to 60 years (30.39/1000).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There was a higher DALY rate seen in the population from the urban areas (17.83/1000) than those from the rural areas (17.03/1000). </w:t>
            </w:r>
          </w:p>
        </w:tc>
        <w:tc>
          <w:tcPr>
            <w:tcW w:w="3261"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ind w:right="-198"/>
            </w:pPr>
            <w:r w:rsidRPr="001C7817">
              <w:t xml:space="preserve">-China is currently carrying considerable burden caused by diabetes among the population of labor force </w:t>
            </w:r>
          </w:p>
          <w:p w:rsidR="001C7817" w:rsidRPr="001C7817" w:rsidRDefault="001C7817" w:rsidP="001C7817">
            <w:pPr>
              <w:spacing w:before="100" w:beforeAutospacing="1"/>
              <w:ind w:right="-198"/>
            </w:pPr>
          </w:p>
          <w:p w:rsidR="001C7817" w:rsidRPr="001C7817" w:rsidRDefault="001C7817" w:rsidP="001C7817">
            <w:pPr>
              <w:spacing w:before="100" w:beforeAutospacing="1"/>
              <w:ind w:right="-198"/>
              <w:rPr>
                <w:b/>
              </w:rPr>
            </w:pPr>
            <w:r w:rsidRPr="001C7817">
              <w:t>-Inequity of burden occurs among different geographi-cal regions within China.</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Oliveira et al, 2009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(Brazil)</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Diabetes (n=N/Av)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Epidemiological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 xml:space="preserve">o </w:t>
            </w:r>
            <w:r w:rsidRPr="001C7817">
              <w:t xml:space="preserve"> (GBD)</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total DALY due to diabetes mellitus in 1998 in Brazil was estimated at 1,929,362 (females = 1,042,360; males = 887,002)</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Diabetes mellitus will have an increasing impact on disability in the world, shifting from the 11th to 7th cause of death by 2030.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González et al, 2015</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(Argentina)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Diabetes (n=N/Av)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(QUALIDIAB records)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total DALY due to diabetes in 2005 in Argentina was estimated at 1,328,802 (females = 793,011; males = 535,791)</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Disabilities are a key component of diabetes burden.</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27</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Bener et al, 2014</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(Qatar)</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Diabetes (n=N/Av)</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 xml:space="preserve">o </w:t>
            </w:r>
            <w:r w:rsidRPr="001C7817">
              <w:t xml:space="preserve"> (vital statistics database)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shd w:val="clear" w:color="auto" w:fill="FFFFFF"/>
              </w:rPr>
              <w:t xml:space="preserve">DALY due to diabetes in 2011 in the state of Qatar was </w:t>
            </w:r>
            <w:r w:rsidRPr="001C7817">
              <w:rPr>
                <w:rFonts w:eastAsia="SimSun"/>
              </w:rPr>
              <w:t>4.35/100k (male = 3.20/100k; female = 1.15/100k)</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Diabetes disease burden was considerably high in Qatar, particularly in the working age group.</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19</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Cuschierie,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(Malta)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Low Back Pain</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w:t>
            </w:r>
            <w:r w:rsidRPr="001C7817">
              <w:rPr>
                <w:shd w:val="clear" w:color="auto" w:fill="FFFFFF"/>
              </w:rPr>
              <w:t>Maltese European Health Interview Survey (EHIS 2014–2015) dataset)</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contextualSpacing/>
              <w:rPr>
                <w:rFonts w:eastAsia="SimSun"/>
                <w:shd w:val="clear" w:color="auto" w:fill="FFFFFF"/>
              </w:rPr>
            </w:pPr>
            <w:r w:rsidRPr="001C7817">
              <w:rPr>
                <w:rFonts w:eastAsia="SimSun"/>
                <w:b/>
                <w:u w:val="single"/>
                <w:shd w:val="clear" w:color="auto" w:fill="FFFFFF"/>
              </w:rPr>
              <w:t>Prevalence</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color w:val="333333"/>
                <w:shd w:val="clear" w:color="auto" w:fill="FFFFFF"/>
              </w:rPr>
              <w:t xml:space="preserve">LBP with activity limitation gave a point prevalence of 6.4% (5.6% males, 7.3% females), contributing to a total of 23,649 Maltese suffering from LBP. </w:t>
            </w:r>
          </w:p>
          <w:p w:rsidR="001C7817" w:rsidRPr="001C7817" w:rsidRDefault="001C7817" w:rsidP="001C7817">
            <w:pPr>
              <w:spacing w:before="100" w:beforeAutospacing="1"/>
              <w:ind w:right="-108"/>
              <w:rPr>
                <w:b/>
                <w:u w:val="single"/>
                <w:shd w:val="clear" w:color="auto" w:fill="FFFFFF"/>
              </w:rPr>
            </w:pPr>
            <w:r w:rsidRPr="001C7817">
              <w:rPr>
                <w:b/>
                <w:u w:val="single"/>
                <w:shd w:val="clear" w:color="auto" w:fill="FFFFFF"/>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color w:val="333333"/>
                <w:shd w:val="clear" w:color="auto" w:fill="FFFFFF"/>
              </w:rPr>
              <w:t xml:space="preserve">The LBP DALYs were of 716/100k. Females experienced higher LBP burden (739/100k) than males (693/100k).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color w:val="333333"/>
                <w:shd w:val="clear" w:color="auto" w:fill="FFFFFF"/>
              </w:rPr>
              <w:t>The DALY estimates were lower than those reported by the GBD 2017 study (i.e., 1829/100,000).</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rPr>
                <w:color w:val="333333"/>
                <w:shd w:val="clear" w:color="auto" w:fill="FFFFFF"/>
              </w:rPr>
              <w:t>LBP imposes a substantial burden on the Maltese population. Differences observed between national estimates and those of the GBD study suggest the integration of updated locally sourced data into the model.</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90</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Wu, et al, 2021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(China)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Low back pain (LBP)</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 xml:space="preserve">o </w:t>
            </w:r>
            <w:r w:rsidRPr="001C7817">
              <w:t>(GBD</w:t>
            </w:r>
            <w:r w:rsidRPr="001C7817">
              <w:br/>
              <w:t>2017)</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DALYs</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contextualSpacing/>
              <w:rPr>
                <w:rFonts w:eastAsia="SimSun"/>
                <w:b/>
                <w:u w:val="single"/>
                <w:shd w:val="clear" w:color="auto" w:fill="FFFFFF"/>
              </w:rPr>
            </w:pPr>
            <w:r w:rsidRPr="001C7817">
              <w:rPr>
                <w:rFonts w:eastAsia="SimSun"/>
                <w:b/>
                <w:u w:val="single"/>
              </w:rPr>
              <w:t>DALYs</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The burden in terms of DALYs of LBP is 7,184,540</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The age-standardized rate of DALYs for LBP is 411/100k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Major portion of the age-standardized rate of DALYs due to LBP was accounted for by Smoking (14.6%), high BMI (4.5%), and occupational ergonomic factors (26.1%)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rPr>
                <w:color w:val="333333"/>
                <w:shd w:val="clear" w:color="auto" w:fill="FFFFFF"/>
              </w:rPr>
              <w:t>Population-wide initiatives targeting high body-mass index may mitigate the burden of musculoskeletal disorders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91</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Kortbeek et al, 2009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(Netherlands)</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Congenital birth defect (n=10,008)</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Epidemiology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Incidence </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rPr>
                <w:b/>
                <w:u w:val="single"/>
                <w:shd w:val="clear" w:color="auto" w:fill="FFFFFF"/>
              </w:rPr>
            </w:pPr>
            <w:r w:rsidRPr="001C7817">
              <w:rPr>
                <w:b/>
                <w:u w:val="single"/>
                <w:shd w:val="clear" w:color="auto" w:fill="FFFFFF"/>
              </w:rPr>
              <w:t>Incidence</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Thirty-two out of 10,008 samples were found to be positive in the Wallac IgM screen test and 18 of these 32 tested positive for Toxoplasma-specific IgM in the ISAGA assay, resulting in a birth incidence of 1.8 per 1,000 live-born children in 2006 in the Netherlands. </w:t>
            </w:r>
          </w:p>
          <w:p w:rsidR="001C7817" w:rsidRPr="001C7817" w:rsidRDefault="001C7817" w:rsidP="001C7817">
            <w:pPr>
              <w:numPr>
                <w:ilvl w:val="0"/>
                <w:numId w:val="6"/>
              </w:numPr>
              <w:spacing w:before="100" w:beforeAutospacing="1"/>
              <w:ind w:left="72" w:right="-108" w:hanging="162"/>
              <w:contextualSpacing/>
              <w:rPr>
                <w:rFonts w:eastAsia="SimSun"/>
                <w:shd w:val="clear" w:color="auto" w:fill="FFFFFF"/>
              </w:rPr>
            </w:pPr>
            <w:r w:rsidRPr="001C7817">
              <w:rPr>
                <w:rFonts w:eastAsia="SimSun"/>
              </w:rPr>
              <w:t xml:space="preserve">The incidence of congenital toxoplasmosis was not homogeneously spread throughout the country, as it appeared to be higher in the South-West than in the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rPr>
            </w:pPr>
            <w:r w:rsidRPr="001C7817">
              <w:t>Recalculation of the DALYs attributable to toxoplasmosis indicates that the burden of disease of congenital toxoplasmosis in the Netherlands is high; if combined with acquired toxoplasmosis, this burden will be even higher, indicating the importance of Toxoplasma as a food-borne pathogen.</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92</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Bonita et al.</w:t>
            </w:r>
          </w:p>
          <w:p w:rsidR="001C7817" w:rsidRPr="001C7817" w:rsidRDefault="001C7817" w:rsidP="001C7817">
            <w:pPr>
              <w:spacing w:before="100" w:beforeAutospacing="1"/>
            </w:pPr>
            <w:r w:rsidRPr="001C7817">
              <w:t>1997.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Regional(Auckland , New Zealand)</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Stroke(7491 people)</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FFFFFF"/>
              </w:rPr>
              <w:t> population-based cohort  studies</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FFFFFF"/>
              </w:rPr>
              <w:t> Primary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u w:val="single"/>
              </w:rPr>
            </w:pPr>
            <w:r w:rsidRPr="001C7817">
              <w:rPr>
                <w:b/>
                <w:u w:val="single"/>
              </w:rPr>
              <w:t>Prevalence</w:t>
            </w:r>
          </w:p>
          <w:p w:rsidR="001C7817" w:rsidRPr="001C7817" w:rsidRDefault="001C7817" w:rsidP="001C7817">
            <w:pPr>
              <w:numPr>
                <w:ilvl w:val="0"/>
                <w:numId w:val="4"/>
              </w:numPr>
              <w:spacing w:before="100" w:beforeAutospacing="1"/>
              <w:ind w:left="72" w:hanging="180"/>
              <w:contextualSpacing/>
              <w:rPr>
                <w:rFonts w:eastAsia="SimSun"/>
                <w:b/>
                <w:u w:val="single"/>
              </w:rPr>
            </w:pPr>
            <w:r w:rsidRPr="001C7817">
              <w:rPr>
                <w:rFonts w:eastAsia="SimSun"/>
                <w:shd w:val="clear" w:color="auto" w:fill="FFFFFF"/>
              </w:rPr>
              <w:t xml:space="preserve">it was estimated that 7491 people (3793 men and 3698 women) living in Auckland (total population 945 000) in 1991 had experienced a stroke at some stage in the past. </w:t>
            </w:r>
          </w:p>
          <w:p w:rsidR="001C7817" w:rsidRPr="001C7817" w:rsidRDefault="001C7817" w:rsidP="001C7817">
            <w:pPr>
              <w:numPr>
                <w:ilvl w:val="0"/>
                <w:numId w:val="4"/>
              </w:numPr>
              <w:spacing w:before="100" w:beforeAutospacing="1"/>
              <w:ind w:left="72" w:hanging="180"/>
              <w:contextualSpacing/>
              <w:rPr>
                <w:rFonts w:eastAsia="SimSun"/>
                <w:b/>
                <w:u w:val="single"/>
              </w:rPr>
            </w:pPr>
            <w:r w:rsidRPr="001C7817">
              <w:rPr>
                <w:rFonts w:eastAsia="SimSun"/>
                <w:shd w:val="clear" w:color="auto" w:fill="FFFFFF"/>
              </w:rPr>
              <w:t>This represents an age-standardized rate of 833/100k (991/100k in men and 706/100k in women) in the population aged 15 years and older.</w:t>
            </w:r>
          </w:p>
          <w:p w:rsidR="001C7817" w:rsidRPr="001C7817" w:rsidRDefault="001C7817" w:rsidP="001C7817">
            <w:pPr>
              <w:numPr>
                <w:ilvl w:val="0"/>
                <w:numId w:val="4"/>
              </w:numPr>
              <w:spacing w:before="100" w:beforeAutospacing="1"/>
              <w:ind w:left="72" w:hanging="180"/>
              <w:contextualSpacing/>
              <w:rPr>
                <w:rFonts w:eastAsia="SimSun"/>
                <w:b/>
                <w:u w:val="single"/>
              </w:rPr>
            </w:pPr>
            <w:r w:rsidRPr="001C7817">
              <w:rPr>
                <w:rFonts w:eastAsia="SimSun"/>
                <w:shd w:val="clear" w:color="auto" w:fill="FFFFFF"/>
              </w:rPr>
              <w:t xml:space="preserve"> When only those who have made an incomplete recovery are considered, prevalence falls to 461 per 100 000. Of this group, one third (173 per 100 000 population 15 years and older) required assistance in at least one self-care activity.</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rPr>
                <w:shd w:val="clear" w:color="auto" w:fill="FFFFFF"/>
              </w:rPr>
              <w:t xml:space="preserve">Usual estimates of stroke prevalence, which include all people who have ever experienced a stroke, may overestimate by almost twofold the prevalence of stroke-related disability, since many have either recovered or have no continuing dependency related to stroke. </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6</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Reginatto et al.</w:t>
            </w:r>
          </w:p>
          <w:p w:rsidR="001C7817" w:rsidRPr="001C7817" w:rsidRDefault="001C7817" w:rsidP="001C7817">
            <w:pPr>
              <w:spacing w:before="100" w:beforeAutospacing="1"/>
            </w:pPr>
            <w:r w:rsidRPr="001C7817">
              <w:t>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Regional(Rio Degenero, Brazil)</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Neonatal Disorders (</w:t>
            </w:r>
            <w:r w:rsidRPr="001C7817">
              <w:rPr>
                <w:color w:val="403D39"/>
                <w:shd w:val="clear" w:color="auto" w:fill="FFFFFF"/>
              </w:rPr>
              <w:t> 2530 Neonates</w:t>
            </w:r>
            <w:r w:rsidRPr="001C7817">
              <w:t>)</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FFFFFF"/>
              </w:rPr>
              <w:t>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color w:val="403D39"/>
                <w:shd w:val="clear" w:color="auto" w:fill="FFFFFF"/>
              </w:rPr>
              <w:t>Primary </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u w:val="single"/>
              </w:rPr>
            </w:pPr>
            <w:r w:rsidRPr="001C7817">
              <w:rPr>
                <w:b/>
                <w:u w:val="single"/>
              </w:rPr>
              <w:t>Prevalence</w:t>
            </w:r>
          </w:p>
          <w:p w:rsidR="001C7817" w:rsidRPr="001C7817" w:rsidRDefault="001C7817" w:rsidP="001C7817">
            <w:pPr>
              <w:numPr>
                <w:ilvl w:val="0"/>
                <w:numId w:val="8"/>
              </w:numPr>
              <w:spacing w:before="100" w:beforeAutospacing="1"/>
              <w:ind w:left="72" w:hanging="180"/>
              <w:contextualSpacing/>
              <w:rPr>
                <w:rFonts w:eastAsia="SimSun"/>
                <w:b/>
                <w:u w:val="single"/>
              </w:rPr>
            </w:pPr>
            <w:r w:rsidRPr="001C7817">
              <w:rPr>
                <w:rFonts w:eastAsia="SimSun"/>
                <w:shd w:val="clear" w:color="auto" w:fill="FFFFFF"/>
              </w:rPr>
              <w:t xml:space="preserve"> The most prevalent dermatological findings were: lanugo, which was observed in 38.9% of the newborns, sebaceous hyperplasia (35%), dermal melanocytosis (24.61%), skin desquamation (23.3%), erythema toxicum neonatorum (23%), salmon patch (20.4%), skin erythema (19%), genital hyperpigmentation (18.4%), eyelid edema (17.4%), milia (17.3%), genital hypertrophy (12%), and skin xerosis (10.9%).</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FFFFFF"/>
              </w:rPr>
              <w:t xml:space="preserve">Dermatological findings are frequent during the early days of life and some of them characterize the newborn's skin. Mixed-race newborns and those whose mothers had some gestational risk factors had more dermatological findings. </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Meikle et al</w:t>
            </w:r>
          </w:p>
          <w:p w:rsidR="001C7817" w:rsidRPr="001C7817" w:rsidRDefault="001C7817" w:rsidP="001C7817">
            <w:pPr>
              <w:spacing w:before="100" w:beforeAutospacing="1"/>
            </w:pPr>
            <w:r w:rsidRPr="001C7817">
              <w:t>1999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(Australia)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Neo natal disorders.(543 individual)</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FFFFFF"/>
              </w:rPr>
              <w:t>retrospective oervational study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(National referral laboratory &amp; others)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contextualSpacing/>
              <w:rPr>
                <w:rFonts w:eastAsia="SimSun"/>
                <w:b/>
                <w:u w:val="single"/>
              </w:rPr>
            </w:pPr>
            <w:r w:rsidRPr="001C7817">
              <w:rPr>
                <w:rFonts w:eastAsia="SimSun"/>
                <w:b/>
                <w:u w:val="single"/>
              </w:rPr>
              <w:t>Prevalence</w:t>
            </w:r>
          </w:p>
          <w:p w:rsidR="001C7817" w:rsidRPr="001C7817" w:rsidRDefault="001C7817" w:rsidP="001C7817">
            <w:pPr>
              <w:numPr>
                <w:ilvl w:val="0"/>
                <w:numId w:val="10"/>
              </w:numPr>
              <w:spacing w:before="100" w:beforeAutospacing="1"/>
              <w:ind w:left="72" w:hanging="180"/>
              <w:contextualSpacing/>
              <w:rPr>
                <w:rFonts w:eastAsia="SimSun"/>
              </w:rPr>
            </w:pPr>
            <w:r w:rsidRPr="001C7817">
              <w:rPr>
                <w:rFonts w:eastAsia="SimSun"/>
              </w:rPr>
              <w:t xml:space="preserve">Twenty-seven different lysosomal storage disorder were diagnosed in 545 </w:t>
            </w:r>
            <w:proofErr w:type="gramStart"/>
            <w:r w:rsidRPr="001C7817">
              <w:rPr>
                <w:rFonts w:eastAsia="SimSun"/>
              </w:rPr>
              <w:t>individuals .</w:t>
            </w:r>
            <w:proofErr w:type="gramEnd"/>
          </w:p>
          <w:p w:rsidR="001C7817" w:rsidRPr="001C7817" w:rsidRDefault="001C7817" w:rsidP="001C7817">
            <w:pPr>
              <w:numPr>
                <w:ilvl w:val="0"/>
                <w:numId w:val="10"/>
              </w:numPr>
              <w:spacing w:before="100" w:beforeAutospacing="1"/>
              <w:ind w:left="72" w:hanging="180"/>
              <w:contextualSpacing/>
              <w:rPr>
                <w:rFonts w:eastAsia="SimSun"/>
              </w:rPr>
            </w:pPr>
            <w:r w:rsidRPr="001C7817">
              <w:rPr>
                <w:rFonts w:eastAsia="SimSun"/>
              </w:rPr>
              <w:t xml:space="preserve">The individual ranged from 1 per 57000 live births for Gaucher disease diagonised </w:t>
            </w:r>
            <w:proofErr w:type="gramStart"/>
            <w:r w:rsidRPr="001C7817">
              <w:rPr>
                <w:rFonts w:eastAsia="SimSun"/>
              </w:rPr>
              <w:t>cases .</w:t>
            </w:r>
            <w:proofErr w:type="gramEnd"/>
          </w:p>
          <w:p w:rsidR="001C7817" w:rsidRPr="001C7817" w:rsidRDefault="001C7817" w:rsidP="001C7817">
            <w:pPr>
              <w:numPr>
                <w:ilvl w:val="0"/>
                <w:numId w:val="10"/>
              </w:numPr>
              <w:spacing w:before="100" w:beforeAutospacing="1"/>
              <w:ind w:left="72" w:hanging="180"/>
              <w:contextualSpacing/>
              <w:rPr>
                <w:rFonts w:eastAsia="SimSun"/>
              </w:rPr>
            </w:pPr>
            <w:r w:rsidRPr="001C7817">
              <w:rPr>
                <w:rFonts w:eastAsia="SimSun"/>
              </w:rPr>
              <w:t>As a group disorder, the combined prevalence was 1 per 7700 live births.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Individually, lysosomal storage disorders are rare genetic diseases. However, as a group, they are relatively common and represent an important health problem in Australia.</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12"/>
              </w:numPr>
              <w:spacing w:before="100" w:beforeAutospacing="1"/>
              <w:ind w:left="-18"/>
              <w:rPr>
                <w:color w:val="333333"/>
              </w:rPr>
            </w:pPr>
            <w:r w:rsidRPr="001C7817">
              <w:t>Dahlberg et al.</w:t>
            </w:r>
          </w:p>
          <w:p w:rsidR="001C7817" w:rsidRPr="001C7817" w:rsidRDefault="001C7817" w:rsidP="001C7817">
            <w:pPr>
              <w:numPr>
                <w:ilvl w:val="0"/>
                <w:numId w:val="12"/>
              </w:numPr>
              <w:spacing w:before="100" w:beforeAutospacing="1"/>
              <w:ind w:left="-18"/>
              <w:rPr>
                <w:color w:val="333333"/>
              </w:rPr>
            </w:pPr>
            <w:r w:rsidRPr="001C7817">
              <w:rPr>
                <w:color w:val="333333"/>
              </w:rPr>
              <w:t>2005</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Regional(Helsinki, Fin-land)</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Injury (SCI, n=152)</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Epidemiological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2</w:t>
            </w:r>
            <w:r w:rsidRPr="001C7817">
              <w:rPr>
                <w:vertAlign w:val="superscript"/>
              </w:rPr>
              <w:t>o</w:t>
            </w:r>
            <w:r w:rsidRPr="001C7817">
              <w:t xml:space="preserve"> (registers of the Ka¨pyla¨ Rehabilitation Centre)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u w:val="single"/>
              </w:rPr>
            </w:pPr>
            <w:r w:rsidRPr="001C7817">
              <w:rPr>
                <w:b/>
                <w:u w:val="single"/>
              </w:rPr>
              <w:t>Prevalence</w:t>
            </w:r>
          </w:p>
          <w:p w:rsidR="001C7817" w:rsidRPr="001C7817" w:rsidRDefault="001C7817" w:rsidP="001C7817">
            <w:pPr>
              <w:numPr>
                <w:ilvl w:val="0"/>
                <w:numId w:val="10"/>
              </w:numPr>
              <w:spacing w:before="100" w:beforeAutospacing="1"/>
              <w:ind w:left="72" w:hanging="180"/>
              <w:contextualSpacing/>
              <w:rPr>
                <w:rFonts w:eastAsia="SimSun"/>
                <w:b/>
                <w:u w:val="thick"/>
              </w:rPr>
            </w:pPr>
            <w:r w:rsidRPr="001C7817">
              <w:rPr>
                <w:rFonts w:eastAsia="SimSun"/>
              </w:rPr>
              <w:t>The regional prevalence of SCI was 28/100k inhabiltants with ASIA impairments A-D (women = 12/100k, men = 46/100k)</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The prevalence rate in this study is consistent with the data published in other Nordic countries.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color w:val="333333"/>
                <w:shd w:val="clear" w:color="auto" w:fill="FFFFFF"/>
              </w:rPr>
            </w:pPr>
            <w:r w:rsidRPr="001C7817">
              <w:rPr>
                <w:color w:val="333333"/>
                <w:shd w:val="clear" w:color="auto" w:fill="FFFFFF"/>
              </w:rPr>
              <w:t>Ferguson et al.</w:t>
            </w:r>
          </w:p>
          <w:p w:rsidR="001C7817" w:rsidRPr="001C7817" w:rsidRDefault="001C7817" w:rsidP="001C7817">
            <w:pPr>
              <w:spacing w:before="100" w:beforeAutospacing="1"/>
            </w:pPr>
            <w:r w:rsidRPr="001C7817">
              <w:rPr>
                <w:color w:val="333333"/>
                <w:shd w:val="clear" w:color="auto" w:fill="FFFFFF"/>
              </w:rPr>
              <w:t>2012.</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(Norway)</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Injury (TBI; n=576 patients)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color w:val="333333"/>
                <w:shd w:val="clear" w:color="auto" w:fill="F9F7F7"/>
              </w:rPr>
              <w:t>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rPr>
                <w:color w:val="333333"/>
                <w:shd w:val="clear" w:color="auto" w:fill="FFFFFF"/>
              </w:rPr>
              <w:t xml:space="preserve">(SCD &amp; CDC) </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Prevalence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contextualSpacing/>
              <w:rPr>
                <w:rFonts w:eastAsia="SimSun"/>
                <w:b/>
                <w:u w:val="single"/>
              </w:rPr>
            </w:pPr>
            <w:r w:rsidRPr="001C7817">
              <w:rPr>
                <w:rFonts w:eastAsia="SimSun"/>
                <w:b/>
                <w:u w:val="single"/>
              </w:rPr>
              <w:t>Prevalence</w:t>
            </w:r>
          </w:p>
          <w:p w:rsidR="001C7817" w:rsidRPr="001C7817" w:rsidRDefault="001C7817" w:rsidP="001C7817">
            <w:pPr>
              <w:numPr>
                <w:ilvl w:val="0"/>
                <w:numId w:val="10"/>
              </w:numPr>
              <w:spacing w:before="100" w:beforeAutospacing="1"/>
              <w:ind w:left="72" w:hanging="180"/>
              <w:contextualSpacing/>
              <w:rPr>
                <w:rFonts w:eastAsia="SimSun"/>
                <w:b/>
                <w:u w:val="single"/>
              </w:rPr>
            </w:pPr>
            <w:r w:rsidRPr="001C7817">
              <w:rPr>
                <w:rFonts w:eastAsia="SimSun"/>
                <w:shd w:val="clear" w:color="auto" w:fill="F9F7F7"/>
              </w:rPr>
              <w:t xml:space="preserve">65.1% &amp; 65.4% of male releases and nonreleases, and 72.2% &amp; 72.7% of female releases and nonreleases, reported at least 1 TBI with an alteration of consciousness. </w:t>
            </w:r>
          </w:p>
          <w:p w:rsidR="001C7817" w:rsidRPr="001C7817" w:rsidRDefault="001C7817" w:rsidP="001C7817">
            <w:pPr>
              <w:numPr>
                <w:ilvl w:val="0"/>
                <w:numId w:val="10"/>
              </w:numPr>
              <w:spacing w:before="100" w:beforeAutospacing="1"/>
              <w:ind w:left="72" w:hanging="180"/>
              <w:contextualSpacing/>
              <w:rPr>
                <w:rFonts w:eastAsia="SimSun"/>
                <w:b/>
                <w:u w:val="single"/>
              </w:rPr>
            </w:pPr>
            <w:r w:rsidRPr="001C7817">
              <w:rPr>
                <w:rFonts w:eastAsia="SimSun"/>
                <w:shd w:val="clear" w:color="auto" w:fill="F9F7F7"/>
              </w:rPr>
              <w:t xml:space="preserve">40% of male releases &amp; 50% of nonreleases, and 50% of female releases &amp; 33% of nonreleases, reported at least 1 TBI with loss of consciousness.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color w:val="333333"/>
                <w:shd w:val="clear" w:color="auto" w:fill="F9F7F7"/>
              </w:rPr>
              <w:t>The ongoing TBI symptoms reported by prisoners may impact their success on release.</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Koton et al. 2014</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(USA)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Stroke (14, 357 patients)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FFFFFF"/>
              </w:rPr>
              <w:t> </w:t>
            </w:r>
            <w:r w:rsidRPr="001C7817">
              <w:t>Prospective 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FFFFFF"/>
              </w:rPr>
              <w:t> </w:t>
            </w:r>
            <w:r w:rsidRPr="001C7817">
              <w:t>2</w:t>
            </w:r>
            <w:r w:rsidRPr="001C7817">
              <w:rPr>
                <w:vertAlign w:val="superscript"/>
              </w:rPr>
              <w:t>o</w:t>
            </w:r>
            <w:r w:rsidRPr="001C7817">
              <w:rPr>
                <w:shd w:val="clear" w:color="auto" w:fill="FFFFFF"/>
              </w:rPr>
              <w:t xml:space="preserve"> (data from the Atherosclerosis Risk in Communities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Incidence, 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contextualSpacing/>
              <w:rPr>
                <w:rFonts w:eastAsia="SimSun"/>
                <w:b/>
                <w:u w:val="single"/>
              </w:rPr>
            </w:pPr>
            <w:r w:rsidRPr="001C7817">
              <w:rPr>
                <w:rFonts w:eastAsia="SimSun"/>
                <w:b/>
                <w:u w:val="single"/>
              </w:rPr>
              <w:t>Incidence</w:t>
            </w:r>
          </w:p>
          <w:p w:rsidR="001C7817" w:rsidRPr="001C7817" w:rsidRDefault="001C7817" w:rsidP="001C7817">
            <w:pPr>
              <w:numPr>
                <w:ilvl w:val="0"/>
                <w:numId w:val="4"/>
              </w:numPr>
              <w:spacing w:before="100" w:beforeAutospacing="1"/>
              <w:ind w:left="72" w:hanging="180"/>
              <w:contextualSpacing/>
              <w:rPr>
                <w:rFonts w:eastAsia="SimSun"/>
                <w:b/>
                <w:u w:val="single"/>
              </w:rPr>
            </w:pPr>
            <w:r w:rsidRPr="001C7817">
              <w:rPr>
                <w:rFonts w:eastAsia="SimSun"/>
              </w:rPr>
              <w:t>Among 1051 (7%) participants with incident stroke, there were 929 with incident ischemic stroke and 140 with incident hemorrhagic stroke (18 participants had both during the study period).</w:t>
            </w:r>
          </w:p>
          <w:p w:rsidR="001C7817" w:rsidRPr="001C7817" w:rsidRDefault="001C7817" w:rsidP="001C7817">
            <w:pPr>
              <w:numPr>
                <w:ilvl w:val="0"/>
                <w:numId w:val="4"/>
              </w:numPr>
              <w:spacing w:before="100" w:beforeAutospacing="1"/>
              <w:ind w:left="72" w:hanging="180"/>
              <w:contextualSpacing/>
              <w:rPr>
                <w:rFonts w:eastAsia="SimSun"/>
                <w:b/>
                <w:u w:val="single"/>
              </w:rPr>
            </w:pPr>
            <w:r w:rsidRPr="001C7817">
              <w:rPr>
                <w:rFonts w:eastAsia="SimSun"/>
              </w:rPr>
              <w:t xml:space="preserve">Crude incidence rates were 3.73/1000 person-years for total stroke(I = 3.29/1000, H = 0.49/1000 person-years) </w:t>
            </w:r>
          </w:p>
          <w:p w:rsidR="001C7817" w:rsidRPr="001C7817" w:rsidRDefault="001C7817" w:rsidP="001C7817">
            <w:pPr>
              <w:spacing w:before="100" w:beforeAutospacing="1"/>
              <w:rPr>
                <w:b/>
                <w:u w:val="single"/>
              </w:rPr>
            </w:pPr>
            <w:r w:rsidRPr="001C7817">
              <w:rPr>
                <w:b/>
                <w:u w:val="single"/>
              </w:rPr>
              <w:t>Mortality</w:t>
            </w:r>
          </w:p>
          <w:p w:rsidR="001C7817" w:rsidRPr="001C7817" w:rsidRDefault="001C7817" w:rsidP="001C7817">
            <w:pPr>
              <w:numPr>
                <w:ilvl w:val="0"/>
                <w:numId w:val="4"/>
              </w:numPr>
              <w:spacing w:before="100" w:beforeAutospacing="1"/>
              <w:ind w:left="72" w:hanging="180"/>
              <w:contextualSpacing/>
              <w:rPr>
                <w:rFonts w:eastAsia="SimSun"/>
                <w:b/>
                <w:u w:val="single"/>
              </w:rPr>
            </w:pPr>
            <w:r w:rsidRPr="001C7817">
              <w:rPr>
                <w:rFonts w:eastAsia="SimSun"/>
              </w:rPr>
              <w:t>30-day mortality rate = 110/960</w:t>
            </w:r>
          </w:p>
          <w:p w:rsidR="001C7817" w:rsidRPr="001C7817" w:rsidRDefault="001C7817" w:rsidP="001C7817">
            <w:pPr>
              <w:numPr>
                <w:ilvl w:val="0"/>
                <w:numId w:val="4"/>
              </w:numPr>
              <w:spacing w:before="100" w:beforeAutospacing="1"/>
              <w:ind w:left="72" w:hanging="180"/>
              <w:contextualSpacing/>
              <w:rPr>
                <w:rFonts w:eastAsia="SimSun"/>
                <w:u w:val="single"/>
              </w:rPr>
            </w:pPr>
            <w:r w:rsidRPr="001C7817">
              <w:rPr>
                <w:rFonts w:eastAsia="SimSun"/>
              </w:rPr>
              <w:t>1-yr Mortality rate = 213/841</w:t>
            </w:r>
          </w:p>
          <w:p w:rsidR="001C7817" w:rsidRPr="001C7817" w:rsidRDefault="001C7817" w:rsidP="001C7817">
            <w:pPr>
              <w:numPr>
                <w:ilvl w:val="0"/>
                <w:numId w:val="4"/>
              </w:numPr>
              <w:spacing w:before="100" w:beforeAutospacing="1"/>
              <w:ind w:left="72" w:hanging="180"/>
              <w:contextualSpacing/>
              <w:rPr>
                <w:rFonts w:eastAsia="SimSun"/>
                <w:u w:val="single"/>
              </w:rPr>
            </w:pPr>
            <w:r w:rsidRPr="001C7817">
              <w:rPr>
                <w:rFonts w:eastAsia="SimSun"/>
              </w:rPr>
              <w:t>5-yrs mortality rate = 319/2889</w:t>
            </w:r>
          </w:p>
          <w:p w:rsidR="001C7817" w:rsidRPr="001C7817" w:rsidRDefault="001C7817" w:rsidP="001C7817">
            <w:pPr>
              <w:numPr>
                <w:ilvl w:val="0"/>
                <w:numId w:val="4"/>
              </w:numPr>
              <w:spacing w:before="100" w:beforeAutospacing="1"/>
              <w:ind w:left="72" w:hanging="180"/>
              <w:contextualSpacing/>
              <w:rPr>
                <w:rFonts w:eastAsia="SimSun"/>
                <w:u w:val="single"/>
              </w:rPr>
            </w:pPr>
            <w:r w:rsidRPr="001C7817">
              <w:rPr>
                <w:rFonts w:eastAsia="SimSun"/>
              </w:rPr>
              <w:t>10-yrs mortality rate = 614/6120</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FFFFFF"/>
              </w:rPr>
              <w:t> </w:t>
            </w:r>
            <w:r w:rsidRPr="001C7817">
              <w:t xml:space="preserve">The decreases varied across age groups, but were similar across sex and race, showing that improvements in stroke incidence and outcome </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Burke et al, 2001.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 (KY &amp; IN in USA)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Injury</w:t>
            </w:r>
          </w:p>
          <w:p w:rsidR="001C7817" w:rsidRPr="001C7817" w:rsidRDefault="001C7817" w:rsidP="001C7817">
            <w:pPr>
              <w:spacing w:before="100" w:beforeAutospacing="1"/>
              <w:rPr>
                <w:highlight w:val="yellow"/>
              </w:rPr>
            </w:pPr>
            <w:r w:rsidRPr="001C7817">
              <w:t>(SCI, n=14,619 individual)</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FFFFFF"/>
              </w:rPr>
              <w:t> </w:t>
            </w:r>
            <w:r w:rsidRPr="001C7817">
              <w:t>retrospective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20"/>
                <w:szCs w:val="20"/>
              </w:rPr>
            </w:pPr>
            <w:r w:rsidRPr="001C7817">
              <w:rPr>
                <w:sz w:val="20"/>
                <w:szCs w:val="20"/>
                <w:shd w:val="clear" w:color="auto" w:fill="FFFFFF"/>
              </w:rPr>
              <w:t> 2</w:t>
            </w:r>
            <w:r w:rsidRPr="001C7817">
              <w:rPr>
                <w:sz w:val="20"/>
                <w:szCs w:val="20"/>
                <w:shd w:val="clear" w:color="auto" w:fill="FFFFFF"/>
                <w:vertAlign w:val="superscript"/>
              </w:rPr>
              <w:t xml:space="preserve">o </w:t>
            </w:r>
            <w:r w:rsidRPr="001C7817">
              <w:rPr>
                <w:sz w:val="20"/>
                <w:szCs w:val="20"/>
                <w:shd w:val="clear" w:color="auto" w:fill="FFFFFF"/>
              </w:rPr>
              <w:t>(</w:t>
            </w:r>
            <w:r w:rsidRPr="001C7817">
              <w:rPr>
                <w:sz w:val="20"/>
                <w:szCs w:val="20"/>
              </w:rPr>
              <w:t>The University of Louisville Hospital SCI Registry)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Incidence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u w:val="single"/>
              </w:rPr>
            </w:pPr>
            <w:r w:rsidRPr="001C7817">
              <w:rPr>
                <w:b/>
                <w:u w:val="single"/>
              </w:rPr>
              <w:t>Incidence</w:t>
            </w:r>
          </w:p>
          <w:p w:rsidR="001C7817" w:rsidRPr="001C7817" w:rsidRDefault="001C7817" w:rsidP="001C7817">
            <w:pPr>
              <w:numPr>
                <w:ilvl w:val="0"/>
                <w:numId w:val="14"/>
              </w:numPr>
              <w:spacing w:before="100" w:beforeAutospacing="1" w:after="240"/>
              <w:ind w:left="72" w:hanging="144"/>
              <w:contextualSpacing/>
              <w:rPr>
                <w:rFonts w:eastAsia="SimSun"/>
                <w:b/>
                <w:u w:val="single"/>
              </w:rPr>
            </w:pPr>
            <w:r w:rsidRPr="001C7817">
              <w:rPr>
                <w:rFonts w:eastAsia="SimSun"/>
              </w:rPr>
              <w:t>An adjusted average incidence rate of 27.1 cases per million per year was obtained for this region.</w:t>
            </w:r>
          </w:p>
          <w:p w:rsidR="001C7817" w:rsidRPr="001C7817" w:rsidRDefault="001C7817" w:rsidP="001C7817">
            <w:pPr>
              <w:numPr>
                <w:ilvl w:val="0"/>
                <w:numId w:val="14"/>
              </w:numPr>
              <w:spacing w:before="240" w:beforeAutospacing="1" w:after="240"/>
              <w:ind w:left="72" w:hanging="144"/>
              <w:contextualSpacing/>
              <w:rPr>
                <w:rFonts w:eastAsia="SimSun"/>
                <w:b/>
                <w:u w:val="single"/>
              </w:rPr>
            </w:pPr>
            <w:r w:rsidRPr="001C7817">
              <w:rPr>
                <w:rFonts w:eastAsia="SimSun"/>
              </w:rPr>
              <w:t xml:space="preserve">A high rate of SCI was found for the youngest age group, 14 ± 24 year olds, and for African Americans. </w:t>
            </w:r>
          </w:p>
          <w:p w:rsidR="001C7817" w:rsidRPr="001C7817" w:rsidRDefault="001C7817" w:rsidP="001C7817">
            <w:pPr>
              <w:numPr>
                <w:ilvl w:val="0"/>
                <w:numId w:val="14"/>
              </w:numPr>
              <w:spacing w:before="240" w:beforeAutospacing="1" w:after="240"/>
              <w:ind w:left="72" w:hanging="144"/>
              <w:contextualSpacing/>
              <w:rPr>
                <w:rFonts w:eastAsia="SimSun"/>
                <w:b/>
                <w:u w:val="single"/>
              </w:rPr>
            </w:pPr>
            <w:r w:rsidRPr="001C7817">
              <w:rPr>
                <w:rFonts w:eastAsia="SimSun"/>
              </w:rPr>
              <w:t xml:space="preserve">Motor vehicle accidents (MVA) were the leading cause of SCI. </w:t>
            </w:r>
          </w:p>
          <w:p w:rsidR="001C7817" w:rsidRPr="001C7817" w:rsidRDefault="001C7817" w:rsidP="001C7817">
            <w:pPr>
              <w:numPr>
                <w:ilvl w:val="0"/>
                <w:numId w:val="14"/>
              </w:numPr>
              <w:spacing w:before="240" w:beforeAutospacing="1" w:after="240"/>
              <w:ind w:left="72" w:hanging="144"/>
              <w:contextualSpacing/>
              <w:rPr>
                <w:rFonts w:eastAsia="SimSun"/>
                <w:b/>
                <w:u w:val="single"/>
              </w:rPr>
            </w:pPr>
            <w:r w:rsidRPr="001C7817">
              <w:rPr>
                <w:rFonts w:eastAsia="SimSun"/>
              </w:rPr>
              <w:t>Contributing factors included alcohol and widespread non-use of vehicle safety precautions.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In addition to the high proportion of youth at risk for SCI, a higher proportion of older adults with SCI was observed for this region compared to other studies.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20"/>
                <w:szCs w:val="20"/>
              </w:rPr>
            </w:pPr>
            <w:r w:rsidRPr="001C7817">
              <w:rPr>
                <w:sz w:val="20"/>
                <w:szCs w:val="20"/>
              </w:rPr>
              <w:t>99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20"/>
                <w:szCs w:val="20"/>
              </w:rPr>
            </w:pPr>
            <w:r w:rsidRPr="001C7817">
              <w:rPr>
                <w:sz w:val="20"/>
                <w:szCs w:val="20"/>
              </w:rPr>
              <w:t>03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20"/>
                <w:szCs w:val="20"/>
              </w:rPr>
            </w:pPr>
            <w:r w:rsidRPr="001C7817">
              <w:rPr>
                <w:sz w:val="20"/>
                <w:szCs w:val="20"/>
              </w:rPr>
              <w:t>Noonan et al.</w:t>
            </w:r>
          </w:p>
          <w:p w:rsidR="001C7817" w:rsidRPr="001C7817" w:rsidRDefault="001C7817" w:rsidP="001C7817">
            <w:pPr>
              <w:spacing w:before="100" w:beforeAutospacing="1"/>
              <w:rPr>
                <w:sz w:val="20"/>
                <w:szCs w:val="20"/>
              </w:rPr>
            </w:pPr>
            <w:r w:rsidRPr="001C7817">
              <w:rPr>
                <w:sz w:val="20"/>
                <w:szCs w:val="20"/>
              </w:rPr>
              <w:t>2012.</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20"/>
                <w:szCs w:val="20"/>
              </w:rPr>
            </w:pPr>
            <w:r w:rsidRPr="001C7817">
              <w:rPr>
                <w:sz w:val="20"/>
                <w:szCs w:val="20"/>
              </w:rPr>
              <w:t>National(Canada)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20"/>
                <w:szCs w:val="20"/>
              </w:rPr>
            </w:pPr>
            <w:r w:rsidRPr="001C7817">
              <w:rPr>
                <w:sz w:val="20"/>
                <w:szCs w:val="20"/>
              </w:rPr>
              <w:t>Injury(SCI, n=1,785 patient)</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rPr>
                <w:sz w:val="20"/>
                <w:szCs w:val="20"/>
              </w:rPr>
            </w:pPr>
            <w:r w:rsidRPr="001C7817">
              <w:rPr>
                <w:sz w:val="20"/>
                <w:szCs w:val="20"/>
                <w:shd w:val="clear" w:color="auto" w:fill="FFFFFF"/>
              </w:rPr>
              <w:t> Retrospective observational cohort study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20"/>
                <w:szCs w:val="20"/>
              </w:rPr>
            </w:pPr>
            <w:r w:rsidRPr="001C7817">
              <w:rPr>
                <w:sz w:val="20"/>
                <w:szCs w:val="20"/>
                <w:shd w:val="clear" w:color="auto" w:fill="FFFFFF"/>
              </w:rPr>
              <w:t> </w:t>
            </w:r>
            <w:r w:rsidRPr="001C7817">
              <w:rPr>
                <w:sz w:val="20"/>
                <w:szCs w:val="20"/>
              </w:rPr>
              <w:t>1</w:t>
            </w:r>
            <w:r w:rsidRPr="001C7817">
              <w:rPr>
                <w:sz w:val="20"/>
                <w:szCs w:val="20"/>
                <w:vertAlign w:val="superscript"/>
              </w:rPr>
              <w:t>o</w:t>
            </w:r>
            <w:r w:rsidRPr="001C7817">
              <w:rPr>
                <w:sz w:val="20"/>
                <w:szCs w:val="20"/>
              </w:rPr>
              <w:t xml:space="preserve"> &amp; 2</w:t>
            </w:r>
            <w:r w:rsidRPr="001C7817">
              <w:rPr>
                <w:sz w:val="20"/>
                <w:szCs w:val="20"/>
                <w:vertAlign w:val="superscript"/>
              </w:rPr>
              <w:t>o</w:t>
            </w:r>
            <w:r w:rsidRPr="001C7817">
              <w:rPr>
                <w:sz w:val="20"/>
                <w:szCs w:val="20"/>
              </w:rPr>
              <w:t xml:space="preserve"> source (CIHI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20"/>
                <w:szCs w:val="20"/>
              </w:rPr>
            </w:pPr>
            <w:r w:rsidRPr="001C7817">
              <w:rPr>
                <w:sz w:val="20"/>
                <w:szCs w:val="20"/>
              </w:rPr>
              <w:t>Prevalence and Incidence</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rPr>
            </w:pPr>
            <w:r w:rsidRPr="001C7817">
              <w:rPr>
                <w:b/>
                <w:u w:val="single"/>
              </w:rPr>
              <w:t>Incidence</w:t>
            </w:r>
          </w:p>
          <w:p w:rsidR="001C7817" w:rsidRPr="001C7817" w:rsidRDefault="001C7817" w:rsidP="001C7817">
            <w:pPr>
              <w:numPr>
                <w:ilvl w:val="0"/>
                <w:numId w:val="16"/>
              </w:numPr>
              <w:spacing w:before="100" w:beforeAutospacing="1"/>
              <w:ind w:left="189" w:hanging="270"/>
              <w:contextualSpacing/>
              <w:rPr>
                <w:rFonts w:eastAsia="SimSun"/>
              </w:rPr>
            </w:pPr>
            <w:r w:rsidRPr="001C7817">
              <w:rPr>
                <w:rFonts w:eastAsia="SimSun"/>
              </w:rPr>
              <w:t xml:space="preserve">the initial incidence of TSCI in 2010 is estimated to be 1,785 injuries (53 per million) and the discharge incidence is 1,389 (41 per million). </w:t>
            </w:r>
          </w:p>
          <w:p w:rsidR="001C7817" w:rsidRPr="001C7817" w:rsidRDefault="001C7817" w:rsidP="001C7817">
            <w:pPr>
              <w:spacing w:before="100" w:beforeAutospacing="1"/>
              <w:rPr>
                <w:b/>
                <w:u w:val="single"/>
              </w:rPr>
            </w:pPr>
            <w:r w:rsidRPr="001C7817">
              <w:rPr>
                <w:b/>
                <w:u w:val="single"/>
              </w:rPr>
              <w:t>Prevalence</w:t>
            </w:r>
          </w:p>
          <w:p w:rsidR="001C7817" w:rsidRPr="001C7817" w:rsidRDefault="001C7817" w:rsidP="001C7817">
            <w:pPr>
              <w:numPr>
                <w:ilvl w:val="0"/>
                <w:numId w:val="18"/>
              </w:numPr>
              <w:spacing w:before="100" w:beforeAutospacing="1"/>
              <w:ind w:left="200" w:hanging="270"/>
              <w:contextualSpacing/>
              <w:rPr>
                <w:rFonts w:eastAsia="SimSun"/>
              </w:rPr>
            </w:pPr>
            <w:r w:rsidRPr="001C7817">
              <w:rPr>
                <w:rFonts w:eastAsia="SimSun"/>
              </w:rPr>
              <w:t xml:space="preserve">The estimated prevalence of SCI, including both TSCI and NTSCI in Canada for 2010 is 85,556 persons, or 2,525per million. </w:t>
            </w:r>
          </w:p>
          <w:p w:rsidR="001C7817" w:rsidRPr="001C7817" w:rsidRDefault="001C7817" w:rsidP="001C7817">
            <w:pPr>
              <w:numPr>
                <w:ilvl w:val="0"/>
                <w:numId w:val="18"/>
              </w:numPr>
              <w:spacing w:before="100" w:beforeAutospacing="1"/>
              <w:ind w:left="200" w:hanging="270"/>
              <w:contextualSpacing/>
              <w:rPr>
                <w:rFonts w:eastAsia="SimSun"/>
              </w:rPr>
            </w:pPr>
            <w:r w:rsidRPr="001C7817">
              <w:rPr>
                <w:rFonts w:eastAsia="SimSun"/>
              </w:rPr>
              <w:t xml:space="preserve">Of this total, 43,974 people (51%) would have a TSCI and 41,582 (49%) would have an NTSCI. </w:t>
            </w:r>
          </w:p>
          <w:p w:rsidR="001C7817" w:rsidRPr="001C7817" w:rsidRDefault="001C7817" w:rsidP="001C7817">
            <w:pPr>
              <w:numPr>
                <w:ilvl w:val="0"/>
                <w:numId w:val="6"/>
              </w:numPr>
              <w:spacing w:before="100" w:beforeAutospacing="1"/>
              <w:ind w:left="72" w:hanging="180"/>
              <w:contextualSpacing/>
              <w:rPr>
                <w:rFonts w:eastAsia="SimSun"/>
                <w:shd w:val="clear" w:color="auto" w:fill="FFFFFF"/>
              </w:rPr>
            </w:pPr>
            <w:r w:rsidRPr="001C7817">
              <w:rPr>
                <w:rFonts w:eastAsia="SimSun"/>
              </w:rPr>
              <w:t>It is estimated that there are 37,313 people living with tetraplegia (44%) and 48,243 people living with paraplegia (56%)</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sz w:val="20"/>
                <w:szCs w:val="20"/>
              </w:rPr>
            </w:pPr>
            <w:r w:rsidRPr="001C7817">
              <w:rPr>
                <w:sz w:val="20"/>
                <w:szCs w:val="20"/>
              </w:rPr>
              <w:t>This study provides the first estimates of the incidence and prevalence of SCI in Canada.</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20"/>
                <w:szCs w:val="20"/>
              </w:rPr>
            </w:pPr>
            <w:r w:rsidRPr="001C7817">
              <w:rPr>
                <w:sz w:val="20"/>
                <w:szCs w:val="20"/>
              </w:rPr>
              <w:t>10</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100</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Mangu et , al 2021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National(Tanzania)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Neonatal disorers (235,689)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Secondary (Hospital registers)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u w:val="single"/>
              </w:rPr>
            </w:pPr>
            <w:r w:rsidRPr="001C7817">
              <w:rPr>
                <w:b/>
                <w:u w:val="single"/>
              </w:rPr>
              <w:t>Mortality</w:t>
            </w:r>
          </w:p>
          <w:p w:rsidR="001C7817" w:rsidRPr="001C7817" w:rsidRDefault="001C7817" w:rsidP="001C7817">
            <w:pPr>
              <w:numPr>
                <w:ilvl w:val="0"/>
                <w:numId w:val="20"/>
              </w:numPr>
              <w:spacing w:before="100" w:beforeAutospacing="1"/>
              <w:ind w:left="72" w:hanging="180"/>
              <w:contextualSpacing/>
              <w:rPr>
                <w:rFonts w:eastAsia="SimSun"/>
              </w:rPr>
            </w:pPr>
            <w:r w:rsidRPr="001C7817">
              <w:rPr>
                <w:rFonts w:eastAsia="SimSun"/>
                <w:color w:val="2A2A2A"/>
                <w:shd w:val="clear" w:color="auto" w:fill="EFF2F7"/>
              </w:rPr>
              <w:t xml:space="preserve">A total of 235 689 deaths were recorded and neonatal deaths accounted for 11.3% (n=26 630) of the deaths. The majority of neonatal deaths (87.5%) occurred in the first week of life. </w:t>
            </w:r>
          </w:p>
          <w:p w:rsidR="001C7817" w:rsidRPr="001C7817" w:rsidRDefault="001C7817" w:rsidP="001C7817">
            <w:pPr>
              <w:numPr>
                <w:ilvl w:val="0"/>
                <w:numId w:val="20"/>
              </w:numPr>
              <w:spacing w:before="100" w:beforeAutospacing="1"/>
              <w:ind w:left="72" w:hanging="180"/>
              <w:contextualSpacing/>
              <w:rPr>
                <w:rFonts w:eastAsia="SimSun"/>
              </w:rPr>
            </w:pPr>
            <w:r w:rsidRPr="001C7817">
              <w:rPr>
                <w:rFonts w:eastAsia="SimSun"/>
                <w:color w:val="2A2A2A"/>
                <w:shd w:val="clear" w:color="auto" w:fill="EFF2F7"/>
              </w:rPr>
              <w:t>Overall hospital-based neonatal mortality rates increased from 2.6 in 2006 to 10.4 deaths per 1000 live births in 2015, with the early neonates contributing 90% to this rate constantly over time.</w:t>
            </w:r>
          </w:p>
          <w:p w:rsidR="001C7817" w:rsidRPr="001C7817" w:rsidRDefault="001C7817" w:rsidP="001C7817">
            <w:pPr>
              <w:numPr>
                <w:ilvl w:val="0"/>
                <w:numId w:val="20"/>
              </w:numPr>
              <w:spacing w:before="100" w:beforeAutospacing="1"/>
              <w:ind w:left="72" w:hanging="180"/>
              <w:contextualSpacing/>
              <w:rPr>
                <w:rFonts w:eastAsia="SimSun"/>
              </w:rPr>
            </w:pPr>
            <w:r w:rsidRPr="001C7817">
              <w:rPr>
                <w:rFonts w:eastAsia="SimSun"/>
                <w:color w:val="2A2A2A"/>
                <w:shd w:val="clear" w:color="auto" w:fill="EFF2F7"/>
              </w:rPr>
              <w:t xml:space="preserve"> The neonatal mortality rate was 3.7/1000 during 2006–2010 and 10.4/1000 during 2011–2015, both periods indicating a stagnant trend in the years between. </w:t>
            </w:r>
          </w:p>
          <w:p w:rsidR="001C7817" w:rsidRPr="001C7817" w:rsidRDefault="001C7817" w:rsidP="001C7817">
            <w:pPr>
              <w:numPr>
                <w:ilvl w:val="0"/>
                <w:numId w:val="20"/>
              </w:numPr>
              <w:spacing w:before="100" w:beforeAutospacing="1"/>
              <w:ind w:left="72" w:hanging="180"/>
              <w:contextualSpacing/>
              <w:rPr>
                <w:rFonts w:eastAsia="SimSun"/>
              </w:rPr>
            </w:pPr>
            <w:r w:rsidRPr="001C7817">
              <w:rPr>
                <w:rFonts w:eastAsia="SimSun"/>
                <w:color w:val="2A2A2A"/>
                <w:shd w:val="clear" w:color="auto" w:fill="EFF2F7"/>
              </w:rPr>
              <w:t>The leading causes of early neonatal death were birth asphyxia (22.3%) and respiratory distress (20.8%), while those of late neonatal death were sepsis (29.1%) and respiratory distress (20.0%).</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EFF2F7"/>
              </w:rPr>
              <w:t>The majority of neonatal deaths in Tanzania occur among the early newborns and the trend over time indicates a slow improvement. Most neonatal deaths are preventable, hence there are opportunities to reduce mortality rates with improvements in service delivery during the first 7 d and maternal care.</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101</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Reyes et ,al  2018</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National(Mexico)</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Neonatal disorers (9633 people)</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Secondary (Hospital registers)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u w:val="single"/>
              </w:rPr>
            </w:pPr>
            <w:r w:rsidRPr="001C7817">
              <w:rPr>
                <w:b/>
                <w:u w:val="single"/>
              </w:rPr>
              <w:t>Mortality</w:t>
            </w:r>
          </w:p>
          <w:p w:rsidR="001C7817" w:rsidRPr="001C7817" w:rsidRDefault="001C7817" w:rsidP="001C7817">
            <w:pPr>
              <w:numPr>
                <w:ilvl w:val="0"/>
                <w:numId w:val="22"/>
              </w:numPr>
              <w:autoSpaceDE w:val="0"/>
              <w:autoSpaceDN w:val="0"/>
              <w:adjustRightInd w:val="0"/>
              <w:spacing w:before="100" w:beforeAutospacing="1"/>
              <w:ind w:left="169" w:hanging="270"/>
              <w:contextualSpacing/>
              <w:rPr>
                <w:rFonts w:eastAsia="SimSun"/>
              </w:rPr>
            </w:pPr>
            <w:r w:rsidRPr="001C7817">
              <w:rPr>
                <w:rFonts w:eastAsia="SimSun"/>
              </w:rPr>
              <w:t xml:space="preserve">A total of 9366 live births were registered; 15% (n: 1410) of these were admitted to the neonatal care unit. The mortality rate was 125.5 per 1000 hospitalized newborn infants </w:t>
            </w:r>
          </w:p>
          <w:p w:rsidR="001C7817" w:rsidRPr="001C7817" w:rsidRDefault="001C7817" w:rsidP="001C7817">
            <w:pPr>
              <w:numPr>
                <w:ilvl w:val="0"/>
                <w:numId w:val="22"/>
              </w:numPr>
              <w:autoSpaceDE w:val="0"/>
              <w:autoSpaceDN w:val="0"/>
              <w:adjustRightInd w:val="0"/>
              <w:spacing w:before="100" w:beforeAutospacing="1"/>
              <w:ind w:left="169" w:hanging="270"/>
              <w:contextualSpacing/>
              <w:rPr>
                <w:rFonts w:eastAsia="SimSun"/>
              </w:rPr>
            </w:pPr>
            <w:r w:rsidRPr="001C7817">
              <w:rPr>
                <w:rFonts w:eastAsia="SimSun"/>
              </w:rPr>
              <w:t xml:space="preserve">the main reasons for admission were congenital malformations or genetic disorders (28.2%), infections (24.9%), and respiratory distress (20.9%). </w:t>
            </w:r>
          </w:p>
          <w:p w:rsidR="001C7817" w:rsidRPr="001C7817" w:rsidRDefault="001C7817" w:rsidP="001C7817">
            <w:pPr>
              <w:numPr>
                <w:ilvl w:val="0"/>
                <w:numId w:val="22"/>
              </w:numPr>
              <w:autoSpaceDE w:val="0"/>
              <w:autoSpaceDN w:val="0"/>
              <w:adjustRightInd w:val="0"/>
              <w:spacing w:before="100" w:beforeAutospacing="1"/>
              <w:ind w:left="169" w:hanging="270"/>
              <w:contextualSpacing/>
              <w:rPr>
                <w:rFonts w:eastAsia="SimSun"/>
              </w:rPr>
            </w:pPr>
            <w:r w:rsidRPr="001C7817">
              <w:rPr>
                <w:rFonts w:eastAsia="SimSun"/>
              </w:rPr>
              <w:t>The conditions associated with death were gestational age &lt; 37 weeks (OR: 2.41, 95% CI: 1.49-3.93), birth weight ≤ 1500 grams (OR: 6.30, 95% CI: 4.15</w:t>
            </w:r>
            <w:r w:rsidRPr="001C7817">
              <w:rPr>
                <w:rFonts w:eastAsia="SimSun"/>
              </w:rPr>
              <w:noBreakHyphen/>
              <w:t>9.55), moderate/severe respiratory distress at 10 minutes (OR: 1.89, 95% CI: 1.24-2.86)</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Preterm birth, low birth weight, respiratory distress, Apgar score &lt; 7, congenital malformations, and a history of &lt; 5 antenatal care visits were associated with a higher risk for death</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102</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Dawood et al, 2012</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International (5 HICs)</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Lower respiratory diseases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Cohort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Secondary data</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u w:val="single"/>
              </w:rPr>
            </w:pPr>
            <w:r w:rsidRPr="001C7817">
              <w:rPr>
                <w:b/>
                <w:u w:val="single"/>
              </w:rPr>
              <w:t>Mortality</w:t>
            </w:r>
          </w:p>
          <w:p w:rsidR="001C7817" w:rsidRPr="001C7817" w:rsidRDefault="001C7817" w:rsidP="001C7817">
            <w:pPr>
              <w:numPr>
                <w:ilvl w:val="0"/>
                <w:numId w:val="22"/>
              </w:numPr>
              <w:spacing w:before="100" w:beforeAutospacing="1"/>
              <w:ind w:left="169" w:hanging="270"/>
              <w:contextualSpacing/>
              <w:rPr>
                <w:rFonts w:eastAsia="SimSun"/>
              </w:rPr>
            </w:pPr>
            <w:r w:rsidRPr="001C7817">
              <w:rPr>
                <w:rFonts w:eastAsia="SimSun"/>
              </w:rPr>
              <w:t>We estimate that globally there were 201,200 respiratory deaths (range 105 700–395 600) with an additional 83 300 cardiovascular deaths (46 000–179 900) associated with 2009 pandemic infl uenza A H1N1. 80% of the respiratory and cardiovascular deaths were in people younger than 65 years and 51% occurred in southeast Asia and Africa.</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Our estimate of respiratory and cardiovascular mortality associated with the 2009 pandemic infl uenza A H1N1 was 15 times higher than reported laboratory-confi rmed deaths..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Balakrishnan et al, 2020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Regional (South India)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Neonatal disorers (33 children)</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Secondary data (NSB registry)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Mortality</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b/>
                <w:u w:val="single"/>
              </w:rPr>
            </w:pPr>
            <w:r w:rsidRPr="001C7817">
              <w:rPr>
                <w:b/>
                <w:u w:val="single"/>
              </w:rPr>
              <w:t>Mortality</w:t>
            </w:r>
          </w:p>
          <w:p w:rsidR="001C7817" w:rsidRPr="001C7817" w:rsidRDefault="001C7817" w:rsidP="001C7817">
            <w:pPr>
              <w:numPr>
                <w:ilvl w:val="0"/>
                <w:numId w:val="22"/>
              </w:numPr>
              <w:spacing w:before="100" w:beforeAutospacing="1"/>
              <w:ind w:left="169" w:hanging="270"/>
              <w:contextualSpacing/>
              <w:rPr>
                <w:rFonts w:eastAsia="SimSun"/>
                <w:b/>
                <w:u w:val="single"/>
              </w:rPr>
            </w:pPr>
            <w:r w:rsidRPr="001C7817">
              <w:rPr>
                <w:rFonts w:eastAsia="SimSun"/>
              </w:rPr>
              <w:t xml:space="preserve">Among the total of 33 (14 intoxication and 19 non-intoxication groups), 7 died in neonatal period, 3 were lost to followup, 9 expired during varying period leaving 14 under regular follow-up. </w:t>
            </w:r>
          </w:p>
          <w:p w:rsidR="001C7817" w:rsidRPr="001C7817" w:rsidRDefault="001C7817" w:rsidP="001C7817">
            <w:pPr>
              <w:numPr>
                <w:ilvl w:val="0"/>
                <w:numId w:val="22"/>
              </w:numPr>
              <w:spacing w:before="100" w:beforeAutospacing="1"/>
              <w:ind w:left="169" w:hanging="270"/>
              <w:contextualSpacing/>
              <w:rPr>
                <w:rFonts w:eastAsia="SimSun"/>
                <w:b/>
                <w:u w:val="single"/>
              </w:rPr>
            </w:pPr>
            <w:r w:rsidRPr="001C7817">
              <w:rPr>
                <w:rFonts w:eastAsia="SimSun"/>
              </w:rPr>
              <w:t>NBS detected 3 of them, others presented symptomatically unwell during neonatal period</w:t>
            </w:r>
          </w:p>
          <w:p w:rsidR="001C7817" w:rsidRPr="001C7817" w:rsidRDefault="001C7817" w:rsidP="001C7817">
            <w:pPr>
              <w:numPr>
                <w:ilvl w:val="0"/>
                <w:numId w:val="22"/>
              </w:numPr>
              <w:spacing w:before="100" w:beforeAutospacing="1"/>
              <w:ind w:left="169" w:hanging="270"/>
              <w:contextualSpacing/>
              <w:rPr>
                <w:rFonts w:eastAsia="SimSun"/>
                <w:b/>
                <w:u w:val="single"/>
              </w:rPr>
            </w:pPr>
            <w:r w:rsidRPr="001C7817">
              <w:rPr>
                <w:rFonts w:eastAsia="SimSun"/>
              </w:rPr>
              <w:t>NBS detection rate was 1 in 1060 live births (3 positives out of 3180 NBS samples). Those detected by NBS remained well.</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Morbidity and mortality remain high in those diagnosed as IEM during neonatal period. Despite the small sample size, this study calls attention to implement NBS wherever feasible.</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01</w:t>
            </w:r>
          </w:p>
        </w:tc>
        <w:tc>
          <w:tcPr>
            <w:tcW w:w="61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numPr>
                <w:ilvl w:val="0"/>
                <w:numId w:val="24"/>
              </w:numPr>
              <w:shd w:val="clear" w:color="auto" w:fill="FFFFFF"/>
              <w:spacing w:before="100" w:beforeAutospacing="1"/>
              <w:ind w:left="360"/>
              <w:rPr>
                <w:color w:val="212121"/>
              </w:rPr>
            </w:pPr>
            <w:r w:rsidRPr="001C7817">
              <w:rPr>
                <w:color w:val="212121"/>
              </w:rPr>
              <w:t>Bugge et al, 1999</w:t>
            </w:r>
          </w:p>
          <w:p w:rsidR="001C7817" w:rsidRPr="001C7817" w:rsidRDefault="001C7817" w:rsidP="001C7817">
            <w:pPr>
              <w:spacing w:before="100" w:beforeAutospacing="1"/>
            </w:pP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(Scotland)</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Stroke (n=110)</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Caregiver strain</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b/>
                <w:u w:val="single"/>
              </w:rPr>
              <w:t>Caregiver strain</w:t>
            </w:r>
          </w:p>
          <w:p w:rsidR="001C7817" w:rsidRPr="001C7817" w:rsidRDefault="001C7817" w:rsidP="001C7817">
            <w:pPr>
              <w:numPr>
                <w:ilvl w:val="1"/>
                <w:numId w:val="26"/>
              </w:numPr>
              <w:spacing w:before="100" w:beforeAutospacing="1"/>
              <w:ind w:left="163" w:hanging="250"/>
              <w:contextualSpacing/>
              <w:rPr>
                <w:rFonts w:eastAsia="SimSun"/>
                <w:shd w:val="clear" w:color="auto" w:fill="FFFFFF"/>
              </w:rPr>
            </w:pPr>
            <w:r w:rsidRPr="001C7817">
              <w:rPr>
                <w:rFonts w:eastAsia="SimSun"/>
                <w:shd w:val="clear" w:color="auto" w:fill="FFFFFF"/>
              </w:rPr>
              <w:t xml:space="preserve">Six months after stroke, 37% of caregivers were experiencing considerable strain. </w:t>
            </w:r>
          </w:p>
          <w:p w:rsidR="001C7817" w:rsidRPr="001C7817" w:rsidRDefault="001C7817" w:rsidP="001C7817">
            <w:pPr>
              <w:numPr>
                <w:ilvl w:val="0"/>
                <w:numId w:val="26"/>
              </w:numPr>
              <w:spacing w:before="100" w:beforeAutospacing="1"/>
              <w:ind w:left="163" w:hanging="250"/>
              <w:contextualSpacing/>
              <w:rPr>
                <w:rFonts w:eastAsia="SimSun"/>
                <w:shd w:val="clear" w:color="auto" w:fill="FFFFFF"/>
              </w:rPr>
            </w:pPr>
            <w:r w:rsidRPr="001C7817">
              <w:rPr>
                <w:rFonts w:eastAsia="SimSun"/>
                <w:shd w:val="clear" w:color="auto" w:fill="FFFFFF"/>
              </w:rPr>
              <w:t>-The amount of time a caregiver spent helping a stroke patient, the amount of time the caregiver spent with the patient, and the caregiver’s health were all significantly associated with the level of strain experienced.</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rPr>
                <w:shd w:val="clear" w:color="auto" w:fill="FFFFFF"/>
              </w:rPr>
              <w:t>Caregivers are experiencing strain, which has implications for research and service provision. Service providers need to identify caregivers at risk of greater strain and to help caregivers work through situations that services cannot alter.</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Isle,et al, 2007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National(UK)</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Stroke</w:t>
            </w:r>
          </w:p>
          <w:p w:rsidR="001C7817" w:rsidRPr="001C7817" w:rsidRDefault="001C7817" w:rsidP="001C7817">
            <w:pPr>
              <w:spacing w:before="100" w:beforeAutospacing="1"/>
            </w:pPr>
            <w:r w:rsidRPr="001C7817">
              <w:t>(n = 90)</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Caregiver strain</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rPr>
                <w:b/>
                <w:u w:val="single"/>
              </w:rPr>
              <w:t>Caregiver strain</w:t>
            </w:r>
          </w:p>
          <w:p w:rsidR="001C7817" w:rsidRPr="001C7817" w:rsidRDefault="001C7817" w:rsidP="001C7817">
            <w:pPr>
              <w:numPr>
                <w:ilvl w:val="1"/>
                <w:numId w:val="26"/>
              </w:numPr>
              <w:autoSpaceDE w:val="0"/>
              <w:autoSpaceDN w:val="0"/>
              <w:adjustRightInd w:val="0"/>
              <w:spacing w:before="100" w:beforeAutospacing="1"/>
              <w:ind w:left="163" w:hanging="250"/>
              <w:contextualSpacing/>
              <w:rPr>
                <w:rFonts w:eastAsia="SimSun"/>
              </w:rPr>
            </w:pPr>
            <w:r w:rsidRPr="001C7817">
              <w:rPr>
                <w:rFonts w:eastAsia="SimSun"/>
              </w:rPr>
              <w:t xml:space="preserve">Nearly one out of three caregivers experienced strain. No differences were seen between 2, 4 and 6 months poststroke.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b/>
                <w:u w:val="single"/>
              </w:rPr>
            </w:pPr>
            <w:r w:rsidRPr="001C7817">
              <w:rPr>
                <w:rFonts w:eastAsia="SimSun"/>
              </w:rPr>
              <w:t>-Correlation and multiple regression analyses revealed that in predicting strain, the patients’ functional and activity level plays an important role in the sub-acute phase while the participation level gets more important over time</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These findings emphasize the importance of maximal physical recovery and optimal reintegration in the community. This is not only essential for the patients themselves but also a pre-requisite to reduce the strain of their caregivers.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Oosteveer, et a, 2014</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Regional (Delft, Neitherlands)</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Stroke (179 caregiver)</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Caregiver strain</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u w:val="single"/>
              </w:rPr>
            </w:pPr>
            <w:r w:rsidRPr="001C7817">
              <w:rPr>
                <w:b/>
                <w:u w:val="single"/>
              </w:rPr>
              <w:t>Caregiver strain</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-A total of 284 stroke-surviving patients were included in the study.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-Of the 179 caregivers who completed the CSI, 23 (12.8%) experienced considerable strain.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-A higher level of anxiety symptoms and lower life satisfaction in patients are independently associated with higher caregiver strain (p=0.000007 and p=0.0031, respectively)</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Treating patient anxiety at an early stage might therefore lead to a decrease in long-term caregiver strain.</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McPeake et al, 2021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(Scotland)</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Lower resp dx (COVID, n=93patient, 47carers)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Caregiver strain</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u w:val="single"/>
              </w:rPr>
            </w:pPr>
            <w:r w:rsidRPr="001C7817">
              <w:rPr>
                <w:b/>
                <w:u w:val="single"/>
              </w:rPr>
              <w:t>Caregiver strain</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Twenty-one (44.7%) family members had a Carer Strain Index score of seven or greater, representing strain in their role.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Thirteen (27.7%) described physical strain related to patient care and 14 (29.8%) described financial strain.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The need for emotional adjustments was described by almost half (46.9%) the family members</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Sixteen (34%) needed work adjustment</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rPr>
                <w:color w:val="212121"/>
                <w:shd w:val="clear" w:color="auto" w:fill="FFFFFF"/>
              </w:rPr>
              <w:t>This multicenter study has shown that family members of severe COVID-19 survivors often experience complex problems after hospital discharge.</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Neri et al, 2016</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National(Italy)</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Lower respiratory diseases (225 parents)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cross-sectional survey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Caregiver strain</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u w:val="single"/>
              </w:rPr>
            </w:pPr>
            <w:r w:rsidRPr="001C7817">
              <w:rPr>
                <w:b/>
                <w:u w:val="single"/>
              </w:rPr>
              <w:t>Caregiver strain</w:t>
            </w:r>
          </w:p>
          <w:p w:rsidR="001C7817" w:rsidRPr="001C7817" w:rsidRDefault="001C7817" w:rsidP="001C7817">
            <w:pPr>
              <w:numPr>
                <w:ilvl w:val="0"/>
                <w:numId w:val="28"/>
              </w:numPr>
              <w:autoSpaceDE w:val="0"/>
              <w:autoSpaceDN w:val="0"/>
              <w:adjustRightInd w:val="0"/>
              <w:spacing w:before="100" w:beforeAutospacing="1"/>
              <w:ind w:left="198" w:hanging="270"/>
              <w:contextualSpacing/>
              <w:rPr>
                <w:rFonts w:eastAsia="SimSun"/>
              </w:rPr>
            </w:pPr>
            <w:r w:rsidRPr="001C7817">
              <w:rPr>
                <w:rFonts w:eastAsia="SimSun"/>
              </w:rPr>
              <w:t xml:space="preserve">Approximately 34% of parents reported short depression–happiness scale scores suggestive of clinical depression.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-Higher caregiving strain was associated with increased likelihood of changing job, work shift schedule, or giving up career opportunities in order to fulfill their caregiving role and increased productivity losses due to family leaves and presenteeism</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Caregiving burden is a relevant and frequent issue among parents of adolescent patients with cystic fibrosis.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Marcus et. al, 2012</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National(Israel)</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COPD (90 patients, 46 spouses, 33 offspring, and 11 other kin.)</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Caregiver strain</w:t>
            </w:r>
          </w:p>
        </w:tc>
        <w:tc>
          <w:tcPr>
            <w:tcW w:w="6315"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autoSpaceDE w:val="0"/>
              <w:autoSpaceDN w:val="0"/>
              <w:adjustRightInd w:val="0"/>
              <w:spacing w:before="100" w:beforeAutospacing="1"/>
              <w:rPr>
                <w:b/>
                <w:u w:val="single"/>
              </w:rPr>
            </w:pPr>
            <w:r w:rsidRPr="001C7817">
              <w:rPr>
                <w:b/>
                <w:u w:val="single"/>
              </w:rPr>
              <w:t>Caregiver strain</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-Patients' mean age was 75.6 (range 64-92) and mean SGRQ score was 70.1 (range 26.5- 92.7).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-Caregivers were 71 females and 19 males; 46 spouses, 33 offspring, and 11 other kin.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-Caregivers' mean age was 61.2 (range 26-84) and mean CSI score was 6 (range 0-13). </w:t>
            </w:r>
          </w:p>
          <w:p w:rsidR="001C7817" w:rsidRPr="001C7817" w:rsidRDefault="001C7817" w:rsidP="001C7817">
            <w:pPr>
              <w:autoSpaceDE w:val="0"/>
              <w:autoSpaceDN w:val="0"/>
              <w:adjustRightInd w:val="0"/>
              <w:spacing w:before="100" w:beforeAutospacing="1"/>
            </w:pP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The higher the impact of disease on patient's quality of life, the higher the caregiver's burden. Daughters report the highest level of burden. Devoting more hours for care is associated with a higher level of burden.</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110</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07</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Pinto et al, 2007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(Brazil)</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COPD (42 COPD patients and their primary caregivers)</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cross-sectional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Caregiver strain</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u w:val="single"/>
              </w:rPr>
            </w:pPr>
            <w:r w:rsidRPr="001C7817">
              <w:rPr>
                <w:b/>
                <w:u w:val="single"/>
              </w:rPr>
              <w:t>Caregiver strain</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-The majority of caregivers were female (85.3%), married (59%) and had low levels of income and schooling.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-The mean age was 51.6716 years. Mean caregiver PCS and MCS scores were 45.9710 and 46712, while the mean total burden score was 1.7970.6.</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The regression analysis showed caregiver/patient relationship quality, caregiver MCS scores and patient PCS scores to be important predictors of burden and explained 63% of the variance</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COPD causes a significant impact on the quality of life of caregivers. The two most important predictors of COPD burden are the relationship between caregivers and patients and caregiver MCS scores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111</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09</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Schloten, et al, 2017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National(Netherlands)</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Road injuries (67 caregivers of individuals with SCI)</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Cross-sectional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Caregiver strain</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u w:val="single"/>
              </w:rPr>
            </w:pPr>
            <w:r w:rsidRPr="001C7817">
              <w:rPr>
                <w:b/>
                <w:u w:val="single"/>
              </w:rPr>
              <w:t>Caregiver strain</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Five years after inpatient rehabilitation, partners provided support with a large variety of activities.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About 43% of the partners experienced high levels of caregiver burden.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Provided support was related to perceived burden (rS = 0.58) and life satisfaction (rS = −0.24), and burden was negatively related to mental health (rS = −0.47) and life satisfaction (rS = −0.67).</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Cs/>
              </w:rPr>
            </w:pPr>
            <w:r w:rsidRPr="001C7817">
              <w:t xml:space="preserve">High levels of perceived burden among partners and the associations between higher burden with lower wellbeing show the importance to prevent caregiver overload in partners of individuals with SCI. </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89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112</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14</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King et al, 2021</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(US)</w:t>
            </w:r>
          </w:p>
        </w:tc>
        <w:tc>
          <w:tcPr>
            <w:tcW w:w="973"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hd w:val="clear" w:color="auto" w:fill="FFFFFF"/>
              <w:spacing w:before="100" w:beforeAutospacing="1"/>
              <w:outlineLvl w:val="0"/>
              <w:rPr>
                <w:spacing w:val="-2"/>
                <w:kern w:val="36"/>
              </w:rPr>
            </w:pPr>
            <w:r w:rsidRPr="001C7817">
              <w:rPr>
                <w:spacing w:val="-2"/>
                <w:kern w:val="36"/>
              </w:rPr>
              <w:t>Diabetes (</w:t>
            </w:r>
            <w:r w:rsidRPr="001C7817">
              <w:rPr>
                <w:color w:val="212121"/>
                <w:shd w:val="clear" w:color="auto" w:fill="FFFFFF"/>
              </w:rPr>
              <w:t>795 caregivers )</w:t>
            </w:r>
          </w:p>
          <w:p w:rsidR="001C7817" w:rsidRPr="001C7817" w:rsidRDefault="001C7817" w:rsidP="001C7817">
            <w:pPr>
              <w:spacing w:before="100" w:beforeAutospacing="1"/>
            </w:pP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Secondary  source (</w:t>
            </w:r>
            <w:r w:rsidRPr="001C7817">
              <w:rPr>
                <w:color w:val="212121"/>
                <w:shd w:val="clear" w:color="auto" w:fill="FFFFFF"/>
              </w:rPr>
              <w:t>data from Stroke (REGARDS) study)</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Caregiver strain</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u w:val="single"/>
              </w:rPr>
            </w:pPr>
            <w:r w:rsidRPr="001C7817">
              <w:rPr>
                <w:b/>
                <w:u w:val="single"/>
              </w:rPr>
              <w:t>Caregiver strain</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b/>
                <w:u w:val="single"/>
              </w:rPr>
            </w:pPr>
            <w:r w:rsidRPr="001C7817">
              <w:rPr>
                <w:rFonts w:eastAsia="SimSun"/>
                <w:color w:val="212121"/>
                <w:shd w:val="clear" w:color="auto" w:fill="FFFFFF"/>
              </w:rPr>
              <w:t>Overall, 146 caregivers (18.4%) reported high caregiver strain.</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b/>
                <w:u w:val="single"/>
              </w:rPr>
            </w:pPr>
            <w:r w:rsidRPr="001C7817">
              <w:rPr>
                <w:rFonts w:eastAsia="SimSun"/>
                <w:color w:val="212121"/>
                <w:shd w:val="clear" w:color="auto" w:fill="FFFFFF"/>
              </w:rPr>
              <w:t xml:space="preserve">In unadjusted models, high caregiver strain was associated with less physical activity (prevalence ratio [PR], 0.66; low medication adherence (PR, 0.80), and worse self-care (PR, 0.65).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b/>
                <w:u w:val="single"/>
              </w:rPr>
            </w:pPr>
            <w:r w:rsidRPr="001C7817">
              <w:rPr>
                <w:rFonts w:eastAsia="SimSun"/>
                <w:color w:val="212121"/>
                <w:shd w:val="clear" w:color="auto" w:fill="FFFFFF"/>
              </w:rPr>
              <w:t>In adjusted models, the association between some and high caregiving strain with low medication adherence remained significant (adjusted PR: some strain, 0.88; high strain, 0.83).</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rPr>
                <w:color w:val="212121"/>
                <w:shd w:val="clear" w:color="auto" w:fill="FFFFFF"/>
              </w:rPr>
              <w:t>In this cohort study of US adult caregivers with diabetes, a high level of strain was associated with low medication adherence. Increased awareness of the prevalence of caregiver strain and potential ramifications on caregivers’ self-care appears to be warranted among health care professionals and caregivers.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113</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Holmes et al, 2002</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(UK)</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hd w:val="clear" w:color="auto" w:fill="FFFFFF"/>
              <w:spacing w:before="100" w:beforeAutospacing="1"/>
              <w:outlineLvl w:val="0"/>
            </w:pPr>
            <w:r w:rsidRPr="001C7817">
              <w:rPr>
                <w:spacing w:val="-2"/>
                <w:kern w:val="36"/>
              </w:rPr>
              <w:t>Diabetes (</w:t>
            </w:r>
            <w:r w:rsidRPr="001C7817">
              <w:t>1578 patients and 500 regular informal carers )</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cohort study</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Primary source</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pPr>
            <w:r w:rsidRPr="001C7817">
              <w:t>Cost</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u w:val="single"/>
              </w:rPr>
            </w:pPr>
            <w:r w:rsidRPr="001C7817">
              <w:rPr>
                <w:b/>
                <w:u w:val="single"/>
              </w:rPr>
              <w:t xml:space="preserve"> Cost</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Across the total survey population aged B/65 years, mean lost earnings are estimated at £869 (S.D. £4109) per patient and £1300 (S.D. £4093) per carer.</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However, for the sub-set of respondents who actually lose earnings, the mean levels are £13 841 (S.D. £9551) and £10 960 (S.D. £6002), respectively.</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Patients and carers who lose earnings incur higher personal care-related expenditure than those who do not lose earnings </w:t>
            </w:r>
          </w:p>
          <w:p w:rsidR="001C7817" w:rsidRPr="001C7817" w:rsidRDefault="001C7817" w:rsidP="001C7817">
            <w:pPr>
              <w:numPr>
                <w:ilvl w:val="0"/>
                <w:numId w:val="26"/>
              </w:numPr>
              <w:autoSpaceDE w:val="0"/>
              <w:autoSpaceDN w:val="0"/>
              <w:adjustRightInd w:val="0"/>
              <w:spacing w:before="100" w:beforeAutospacing="1"/>
              <w:ind w:left="163" w:hanging="250"/>
              <w:contextualSpacing/>
              <w:rPr>
                <w:rFonts w:eastAsia="SimSun"/>
              </w:rPr>
            </w:pPr>
            <w:r w:rsidRPr="001C7817">
              <w:rPr>
                <w:rFonts w:eastAsia="SimSun"/>
              </w:rPr>
              <w:t xml:space="preserve">Patients who lose earnings also report poorer health-related quality of life and carers who lose earnings report higher levels of strain.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color w:val="212121"/>
                <w:shd w:val="clear" w:color="auto" w:fill="FFFFFF"/>
              </w:rPr>
            </w:pPr>
            <w:r w:rsidRPr="001C7817">
              <w:t>A strong association was found between patients’ loss of earnings and the presence of diabetic complication, especially micro-vascular complications. Policy priorities should, therefore, include facilitating comprehensive access to state benefits (especially for carers) and a clear focus on reducing the incidence of diabetic complications.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114</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01</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O'Mahony et al, 1999.</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Regional (East England) </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Stroke 2000)</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Crossectional Cohort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(Newcaste</w:t>
            </w:r>
          </w:p>
          <w:p w:rsidR="001C7817" w:rsidRPr="001C7817" w:rsidRDefault="001C7817" w:rsidP="001C7817">
            <w:pPr>
              <w:spacing w:before="100" w:beforeAutospacing="1"/>
            </w:pPr>
            <w:r w:rsidRPr="001C7817">
              <w:t>FHSA register)</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Prevalence </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rPr>
            </w:pPr>
            <w:r w:rsidRPr="001C7817">
              <w:rPr>
                <w:b/>
                <w:u w:val="single"/>
              </w:rPr>
              <w:t>Prevalence</w:t>
            </w:r>
          </w:p>
          <w:p w:rsidR="001C7817" w:rsidRPr="001C7817" w:rsidRDefault="001C7817" w:rsidP="001C7817">
            <w:pPr>
              <w:numPr>
                <w:ilvl w:val="0"/>
                <w:numId w:val="18"/>
              </w:numPr>
              <w:autoSpaceDE w:val="0"/>
              <w:autoSpaceDN w:val="0"/>
              <w:adjustRightInd w:val="0"/>
              <w:spacing w:before="100" w:beforeAutospacing="1"/>
              <w:ind w:left="200" w:hanging="270"/>
              <w:contextualSpacing/>
              <w:rPr>
                <w:rFonts w:eastAsia="Calibri"/>
              </w:rPr>
            </w:pPr>
            <w:r w:rsidRPr="001C7817">
              <w:rPr>
                <w:rFonts w:eastAsia="Calibri"/>
              </w:rPr>
              <w:t xml:space="preserve">The overall prevalence of stroke was found to be 17.5/1000  </w:t>
            </w:r>
          </w:p>
          <w:p w:rsidR="001C7817" w:rsidRPr="001C7817" w:rsidRDefault="001C7817" w:rsidP="001C7817">
            <w:pPr>
              <w:numPr>
                <w:ilvl w:val="0"/>
                <w:numId w:val="18"/>
              </w:numPr>
              <w:autoSpaceDE w:val="0"/>
              <w:autoSpaceDN w:val="0"/>
              <w:adjustRightInd w:val="0"/>
              <w:spacing w:before="100" w:beforeAutospacing="1"/>
              <w:ind w:left="200" w:hanging="270"/>
              <w:contextualSpacing/>
              <w:rPr>
                <w:rFonts w:eastAsia="Calibri"/>
              </w:rPr>
            </w:pPr>
            <w:r w:rsidRPr="001C7817">
              <w:rPr>
                <w:rFonts w:eastAsia="Calibri"/>
              </w:rPr>
              <w:t xml:space="preserve">The prevalence of stroke-associated dependence was 11.7/1000  </w:t>
            </w:r>
          </w:p>
          <w:p w:rsidR="001C7817" w:rsidRPr="001C7817" w:rsidRDefault="001C7817" w:rsidP="001C7817">
            <w:pPr>
              <w:numPr>
                <w:ilvl w:val="0"/>
                <w:numId w:val="18"/>
              </w:numPr>
              <w:autoSpaceDE w:val="0"/>
              <w:autoSpaceDN w:val="0"/>
              <w:adjustRightInd w:val="0"/>
              <w:spacing w:before="100" w:beforeAutospacing="1"/>
              <w:ind w:left="200" w:hanging="270"/>
              <w:contextualSpacing/>
              <w:rPr>
                <w:rFonts w:eastAsia="Calibri"/>
              </w:rPr>
            </w:pPr>
            <w:r w:rsidRPr="001C7817">
              <w:rPr>
                <w:rFonts w:eastAsia="Calibri"/>
              </w:rPr>
              <w:t>Self-reported comorbidity was most commonly due to circulatory and musculoskeletal disorders.</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rFonts w:eastAsia="Calibri"/>
              </w:rPr>
            </w:pPr>
            <w:r w:rsidRPr="001C7817">
              <w:rPr>
                <w:rFonts w:eastAsia="Calibri"/>
              </w:rPr>
              <w:t xml:space="preserve">The prevalence of stroke in this district is considerably higher than current guidelines and previous results suggest. </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115</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02</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rPr>
                <w:rFonts w:eastAsia="SimSun"/>
              </w:rPr>
              <w:t xml:space="preserve">Melcon </w:t>
            </w:r>
            <w:r w:rsidRPr="001C7817">
              <w:t>&amp;</w:t>
            </w:r>
            <w:r w:rsidRPr="001C7817">
              <w:rPr>
                <w:rFonts w:eastAsia="SimSun"/>
              </w:rPr>
              <w:t xml:space="preserve"> Melcon, 2006.</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Regional (Jubin, Argentina)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Stroke (17,049</w:t>
            </w:r>
            <w:r>
              <w:t>)</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Longitudinal 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r w:rsidRPr="001C7817">
              <w:rPr>
                <w:vertAlign w:val="superscript"/>
              </w:rPr>
              <w:t>o</w:t>
            </w:r>
            <w:r w:rsidRPr="001C7817">
              <w:t xml:space="preserve"> &amp; 2</w:t>
            </w:r>
            <w:r w:rsidRPr="001C7817">
              <w:rPr>
                <w:vertAlign w:val="superscript"/>
              </w:rPr>
              <w:t>o</w:t>
            </w:r>
            <w:r w:rsidRPr="001C7817">
              <w:t xml:space="preserve"> (households, hospitals and old people homes)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rFonts w:eastAsia="Calibri"/>
              </w:rPr>
            </w:pPr>
            <w:r w:rsidRPr="001C7817">
              <w:rPr>
                <w:rFonts w:eastAsia="Calibri"/>
                <w:bCs/>
              </w:rPr>
              <w:t>Prevalence</w:t>
            </w:r>
          </w:p>
        </w:tc>
        <w:tc>
          <w:tcPr>
            <w:tcW w:w="6315"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autoSpaceDE w:val="0"/>
              <w:autoSpaceDN w:val="0"/>
              <w:adjustRightInd w:val="0"/>
              <w:spacing w:before="100" w:beforeAutospacing="1"/>
              <w:rPr>
                <w:b/>
                <w:u w:val="single"/>
              </w:rPr>
            </w:pPr>
            <w:r w:rsidRPr="001C7817">
              <w:rPr>
                <w:b/>
                <w:u w:val="single"/>
              </w:rPr>
              <w:t xml:space="preserve">Prevalence </w:t>
            </w:r>
          </w:p>
          <w:p w:rsidR="001C7817" w:rsidRPr="001C7817" w:rsidRDefault="001C7817" w:rsidP="001C7817">
            <w:pPr>
              <w:numPr>
                <w:ilvl w:val="0"/>
                <w:numId w:val="18"/>
              </w:numPr>
              <w:spacing w:before="100" w:beforeAutospacing="1"/>
              <w:ind w:left="200" w:hanging="270"/>
              <w:contextualSpacing/>
              <w:rPr>
                <w:rFonts w:eastAsia="SimSun"/>
              </w:rPr>
            </w:pPr>
            <w:r w:rsidRPr="001C7817">
              <w:rPr>
                <w:rFonts w:eastAsia="SimSun"/>
              </w:rPr>
              <w:t>The 5,648 screened households had 17,049 persons, including 7,765 persons (45.5%) who were 40 years old or older. Finally, 148 (76.7%) cases with definite diagnosis of stroke were identified according to the previously defined eligibility and diagnosis criteria.</w:t>
            </w:r>
          </w:p>
          <w:p w:rsidR="001C7817" w:rsidRPr="001C7817" w:rsidRDefault="001C7817" w:rsidP="001C7817">
            <w:pPr>
              <w:numPr>
                <w:ilvl w:val="0"/>
                <w:numId w:val="18"/>
              </w:numPr>
              <w:spacing w:before="100" w:beforeAutospacing="1"/>
              <w:ind w:left="200" w:hanging="270"/>
              <w:contextualSpacing/>
              <w:rPr>
                <w:rFonts w:eastAsia="SimSun"/>
              </w:rPr>
            </w:pPr>
            <w:r w:rsidRPr="001C7817">
              <w:rPr>
                <w:rFonts w:eastAsia="SimSun"/>
              </w:rPr>
              <w:t xml:space="preserve"> Of the 148 patients, 10 had died between January 1, 1991, and December 31, 1992. Total crude prevalence was 868.1 cases per 100,000 inhabitants for the total population </w:t>
            </w:r>
          </w:p>
          <w:p w:rsidR="001C7817" w:rsidRPr="001C7817" w:rsidRDefault="001C7817" w:rsidP="001C7817">
            <w:pPr>
              <w:numPr>
                <w:ilvl w:val="0"/>
                <w:numId w:val="18"/>
              </w:numPr>
              <w:spacing w:before="100" w:beforeAutospacing="1"/>
              <w:ind w:left="200" w:hanging="270"/>
              <w:contextualSpacing/>
              <w:rPr>
                <w:rFonts w:eastAsia="SimSun"/>
              </w:rPr>
            </w:pPr>
            <w:r w:rsidRPr="001C7817">
              <w:rPr>
                <w:rFonts w:eastAsia="SimSun"/>
              </w:rPr>
              <w:t xml:space="preserve">473.4/100,000 age adjusted to the worldwide population and 1,867.4 in subjects of 40 years of age or older. </w:t>
            </w:r>
          </w:p>
          <w:p w:rsidR="001C7817" w:rsidRPr="001C7817" w:rsidRDefault="001C7817" w:rsidP="001C7817">
            <w:pPr>
              <w:numPr>
                <w:ilvl w:val="0"/>
                <w:numId w:val="18"/>
              </w:numPr>
              <w:spacing w:before="100" w:beforeAutospacing="1"/>
              <w:ind w:left="200" w:hanging="270"/>
              <w:contextualSpacing/>
              <w:rPr>
                <w:rFonts w:eastAsia="SimSun"/>
              </w:rPr>
            </w:pPr>
            <w:r w:rsidRPr="001C7817">
              <w:rPr>
                <w:rFonts w:eastAsia="SimSun"/>
              </w:rPr>
              <w:t>It was remarkably higher for men than for women: 1,116.5 versus 649.9 per 100,000 inhabitants (595.4 vs. 374.1 sex adjusted to the world population). Two thirds of the patients were older than 60 years of age</w:t>
            </w:r>
          </w:p>
          <w:p w:rsidR="001C7817" w:rsidRPr="001C7817" w:rsidRDefault="001C7817" w:rsidP="001C7817">
            <w:pPr>
              <w:spacing w:before="100" w:beforeAutospacing="1"/>
              <w:contextualSpacing/>
              <w:rPr>
                <w:rFonts w:eastAsia="SimSun"/>
              </w:rPr>
            </w:pPr>
          </w:p>
          <w:p w:rsidR="001C7817" w:rsidRPr="001C7817" w:rsidRDefault="001C7817" w:rsidP="001C7817">
            <w:pPr>
              <w:spacing w:before="100" w:beforeAutospacing="1"/>
            </w:pPr>
          </w:p>
          <w:p w:rsidR="001C7817" w:rsidRPr="001C7817" w:rsidRDefault="001C7817" w:rsidP="001C7817">
            <w:pPr>
              <w:autoSpaceDE w:val="0"/>
              <w:autoSpaceDN w:val="0"/>
              <w:adjustRightInd w:val="0"/>
              <w:spacing w:before="100" w:beforeAutospacing="1"/>
              <w:rPr>
                <w:rFonts w:eastAsia="Calibri"/>
                <w:b/>
                <w:bCs/>
                <w:u w:val="single"/>
              </w:rPr>
            </w:pPr>
          </w:p>
        </w:tc>
        <w:tc>
          <w:tcPr>
            <w:tcW w:w="3261"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r w:rsidRPr="001C7817">
              <w:t xml:space="preserve">During the 90s, there was a remarkable increase in the number of ‘old people’s homes’ due to sociocultural or </w:t>
            </w:r>
          </w:p>
          <w:p w:rsidR="001C7817" w:rsidRPr="001C7817" w:rsidRDefault="001C7817" w:rsidP="001C7817">
            <w:pPr>
              <w:spacing w:before="100" w:beforeAutospacing="1"/>
            </w:pPr>
            <w:r w:rsidRPr="001C7817">
              <w:t xml:space="preserve">economic reasons. These ‘homes’ provide living facilities to 10–15 individuals (mostly women), but have neither </w:t>
            </w:r>
          </w:p>
          <w:p w:rsidR="001C7817" w:rsidRPr="001C7817" w:rsidRDefault="001C7817" w:rsidP="001C7817">
            <w:pPr>
              <w:spacing w:before="100" w:beforeAutospacing="1"/>
            </w:pPr>
            <w:r w:rsidRPr="001C7817">
              <w:t xml:space="preserve">permanent medical nor specialized nursing staff. </w:t>
            </w:r>
          </w:p>
          <w:p w:rsidR="001C7817" w:rsidRPr="001C7817" w:rsidRDefault="001C7817" w:rsidP="001C7817">
            <w:pPr>
              <w:spacing w:before="100" w:beforeAutospacing="1"/>
            </w:pPr>
          </w:p>
          <w:p w:rsidR="001C7817" w:rsidRPr="001C7817" w:rsidRDefault="001C7817" w:rsidP="001C7817">
            <w:pPr>
              <w:spacing w:before="100" w:beforeAutospacing="1"/>
            </w:pPr>
            <w:r w:rsidRPr="001C7817">
              <w:t xml:space="preserve">Thus, a stroke may pass unnoticed, family members may also be unaware and, consequently, such cases may not be considered prevalent. </w:t>
            </w:r>
          </w:p>
          <w:p w:rsidR="001C7817" w:rsidRPr="001C7817" w:rsidRDefault="001C7817" w:rsidP="001C7817">
            <w:pPr>
              <w:autoSpaceDE w:val="0"/>
              <w:autoSpaceDN w:val="0"/>
              <w:adjustRightInd w:val="0"/>
              <w:spacing w:before="100" w:beforeAutospacing="1"/>
              <w:rPr>
                <w:rFonts w:eastAsia="Calibri"/>
              </w:rPr>
            </w:pPr>
          </w:p>
          <w:p w:rsidR="001C7817" w:rsidRPr="001C7817" w:rsidRDefault="001C7817" w:rsidP="001C7817">
            <w:pPr>
              <w:autoSpaceDE w:val="0"/>
              <w:autoSpaceDN w:val="0"/>
              <w:adjustRightInd w:val="0"/>
              <w:spacing w:before="100" w:beforeAutospacing="1"/>
              <w:rPr>
                <w:rFonts w:eastAsia="Calibri"/>
              </w:rPr>
            </w:pP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116</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03</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rPr>
                <w:rFonts w:eastAsia="SimSun"/>
              </w:rPr>
            </w:pPr>
            <w:r w:rsidRPr="001C7817">
              <w:rPr>
                <w:rFonts w:eastAsia="SimSun"/>
              </w:rPr>
              <w:t>Mustapha et al, 2007.</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Regional (Lagos, Nigeria).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240"/>
            </w:pPr>
            <w:r w:rsidRPr="001C7817">
              <w:t xml:space="preserve">Stroke </w:t>
            </w:r>
          </w:p>
          <w:p w:rsidR="001C7817" w:rsidRPr="001C7817" w:rsidRDefault="001C7817" w:rsidP="001C7817">
            <w:pPr>
              <w:spacing w:before="240"/>
            </w:pPr>
            <w:r w:rsidRPr="001C7817">
              <w:t>(13,127)</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Crossectional cohort </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r w:rsidRPr="001C7817">
              <w:rPr>
                <w:vertAlign w:val="superscript"/>
              </w:rPr>
              <w:t>o</w:t>
            </w:r>
            <w:r w:rsidRPr="001C7817">
              <w:t xml:space="preserve"> &amp; 2</w:t>
            </w:r>
            <w:r w:rsidRPr="001C7817">
              <w:rPr>
                <w:vertAlign w:val="superscript"/>
              </w:rPr>
              <w:t>o</w:t>
            </w:r>
            <w:r w:rsidRPr="001C7817">
              <w:t xml:space="preserve"> sources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rFonts w:eastAsia="Calibri"/>
                <w:bCs/>
              </w:rPr>
            </w:pPr>
            <w:r w:rsidRPr="001C7817">
              <w:rPr>
                <w:rFonts w:eastAsia="Calibri"/>
                <w:bCs/>
              </w:rPr>
              <w:t xml:space="preserve">Prevalence </w:t>
            </w:r>
          </w:p>
        </w:tc>
        <w:tc>
          <w:tcPr>
            <w:tcW w:w="6315"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autoSpaceDE w:val="0"/>
              <w:autoSpaceDN w:val="0"/>
              <w:adjustRightInd w:val="0"/>
              <w:spacing w:before="100" w:beforeAutospacing="1"/>
              <w:rPr>
                <w:b/>
                <w:u w:val="single"/>
              </w:rPr>
            </w:pPr>
            <w:r w:rsidRPr="001C7817">
              <w:rPr>
                <w:b/>
                <w:u w:val="single"/>
              </w:rPr>
              <w:t>Prevalence</w:t>
            </w:r>
          </w:p>
          <w:p w:rsidR="001C7817" w:rsidRPr="001C7817" w:rsidRDefault="001C7817" w:rsidP="001C7817">
            <w:pPr>
              <w:numPr>
                <w:ilvl w:val="0"/>
                <w:numId w:val="18"/>
              </w:numPr>
              <w:spacing w:before="100" w:beforeAutospacing="1"/>
              <w:ind w:left="200" w:hanging="270"/>
              <w:contextualSpacing/>
              <w:rPr>
                <w:rFonts w:eastAsia="SimSun"/>
              </w:rPr>
            </w:pPr>
            <w:r w:rsidRPr="001C7817">
              <w:rPr>
                <w:rFonts w:eastAsia="SimSun"/>
              </w:rPr>
              <w:t xml:space="preserve">Overall, the crude prevalence rate of stroke in urban Nigeria was 1.14/1,000 (males: 1.51; females: 0.69). </w:t>
            </w:r>
          </w:p>
          <w:p w:rsidR="001C7817" w:rsidRPr="001C7817" w:rsidRDefault="001C7817" w:rsidP="001C7817">
            <w:pPr>
              <w:numPr>
                <w:ilvl w:val="0"/>
                <w:numId w:val="18"/>
              </w:numPr>
              <w:spacing w:before="100" w:beforeAutospacing="1"/>
              <w:ind w:left="200" w:hanging="270"/>
              <w:contextualSpacing/>
              <w:rPr>
                <w:rFonts w:eastAsia="SimSun"/>
              </w:rPr>
            </w:pPr>
            <w:r w:rsidRPr="001C7817">
              <w:rPr>
                <w:rFonts w:eastAsia="SimSun"/>
              </w:rPr>
              <w:t xml:space="preserve">The age-adjusted prevalence rates per 1,000 (adjusted to the USA population 2000) in mid-decade strata showed a trend of increasing prevalence with advancing age as follows: 35–44 years = 0.009, 45–54 years = 0.33, 55–64 years = 0.71, 65–74 years = 0.98, 75–84 years = 2.04 and &gt;85 years = 0.74. </w:t>
            </w:r>
          </w:p>
          <w:p w:rsidR="001C7817" w:rsidRPr="001C7817" w:rsidRDefault="001C7817" w:rsidP="001C7817">
            <w:pPr>
              <w:autoSpaceDE w:val="0"/>
              <w:autoSpaceDN w:val="0"/>
              <w:adjustRightInd w:val="0"/>
              <w:spacing w:before="100" w:beforeAutospacing="1"/>
              <w:contextualSpacing/>
              <w:rPr>
                <w:rFonts w:eastAsia="SimSun"/>
                <w:b/>
                <w:u w:val="single"/>
              </w:rPr>
            </w:pPr>
          </w:p>
        </w:tc>
        <w:tc>
          <w:tcPr>
            <w:tcW w:w="3261"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r w:rsidRPr="001C7817">
              <w:t xml:space="preserve">Stroke prevalence rates in urban Nigeria are </w:t>
            </w:r>
          </w:p>
          <w:p w:rsidR="001C7817" w:rsidRPr="001C7817" w:rsidRDefault="001C7817" w:rsidP="001C7817">
            <w:pPr>
              <w:spacing w:before="100" w:beforeAutospacing="1"/>
            </w:pPr>
            <w:r w:rsidRPr="001C7817">
              <w:t xml:space="preserve">lower than those in most developed countries. The lower </w:t>
            </w:r>
          </w:p>
          <w:p w:rsidR="001C7817" w:rsidRPr="001C7817" w:rsidRDefault="001C7817" w:rsidP="001C7817">
            <w:pPr>
              <w:spacing w:before="100" w:beforeAutospacing="1"/>
            </w:pPr>
            <w:r w:rsidRPr="001C7817">
              <w:t xml:space="preserve">rates may be related to lower incidence and higher stroke </w:t>
            </w:r>
          </w:p>
          <w:p w:rsidR="001C7817" w:rsidRPr="001C7817" w:rsidRDefault="001C7817" w:rsidP="001C7817">
            <w:pPr>
              <w:spacing w:before="100" w:beforeAutospacing="1"/>
            </w:pPr>
            <w:r w:rsidRPr="001C7817">
              <w:t xml:space="preserve">mortality in developing countries. </w:t>
            </w:r>
          </w:p>
          <w:p w:rsidR="001C7817" w:rsidRPr="001C7817" w:rsidRDefault="001C7817" w:rsidP="001C7817">
            <w:pPr>
              <w:spacing w:before="100" w:beforeAutospacing="1"/>
            </w:pP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117</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05</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CE25EF" w:rsidP="001C7817">
            <w:pPr>
              <w:spacing w:before="100" w:beforeAutospacing="1"/>
              <w:ind w:right="-36"/>
              <w:rPr>
                <w:rFonts w:eastAsia="SimSun"/>
              </w:rPr>
            </w:pPr>
            <w:hyperlink r:id="rId8" w:history="1">
              <w:r w:rsidR="001C7817" w:rsidRPr="001C7817">
                <w:rPr>
                  <w:color w:val="0000FF"/>
                  <w:u w:val="single"/>
                </w:rPr>
                <w:t>Papageorgiou</w:t>
              </w:r>
            </w:hyperlink>
            <w:r w:rsidR="001C7817" w:rsidRPr="001C7817">
              <w:t xml:space="preserve"> et al, 1995</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Regional (south maanchester)</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240"/>
            </w:pPr>
            <w:r w:rsidRPr="001C7817">
              <w:t>Low back Pain (7669)</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Cross sectional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rFonts w:eastAsia="Calibri"/>
                <w:bCs/>
              </w:rPr>
            </w:pPr>
            <w:r w:rsidRPr="001C7817">
              <w:rPr>
                <w:rFonts w:eastAsia="Calibri"/>
                <w:bCs/>
              </w:rPr>
              <w:t xml:space="preserve">Prevalence </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b/>
              </w:rPr>
            </w:pPr>
            <w:r w:rsidRPr="001C7817">
              <w:rPr>
                <w:b/>
                <w:u w:val="single"/>
              </w:rPr>
              <w:t>Prevalence</w:t>
            </w:r>
          </w:p>
          <w:p w:rsidR="001C7817" w:rsidRPr="001C7817" w:rsidRDefault="001C7817" w:rsidP="001C7817">
            <w:pPr>
              <w:numPr>
                <w:ilvl w:val="0"/>
                <w:numId w:val="18"/>
              </w:numPr>
              <w:autoSpaceDE w:val="0"/>
              <w:autoSpaceDN w:val="0"/>
              <w:adjustRightInd w:val="0"/>
              <w:spacing w:before="100" w:beforeAutospacing="1"/>
              <w:ind w:left="200" w:hanging="270"/>
              <w:contextualSpacing/>
              <w:rPr>
                <w:rFonts w:eastAsia="SimSun"/>
                <w:b/>
              </w:rPr>
            </w:pPr>
            <w:r w:rsidRPr="001C7817">
              <w:rPr>
                <w:rFonts w:eastAsia="SimSun"/>
              </w:rPr>
              <w:t xml:space="preserve">Of the study population, 4501 (59%) responded. </w:t>
            </w:r>
          </w:p>
          <w:p w:rsidR="001C7817" w:rsidRPr="001C7817" w:rsidRDefault="001C7817" w:rsidP="001C7817">
            <w:pPr>
              <w:numPr>
                <w:ilvl w:val="0"/>
                <w:numId w:val="18"/>
              </w:numPr>
              <w:autoSpaceDE w:val="0"/>
              <w:autoSpaceDN w:val="0"/>
              <w:adjustRightInd w:val="0"/>
              <w:spacing w:before="100" w:beforeAutospacing="1"/>
              <w:ind w:left="200" w:hanging="270"/>
              <w:contextualSpacing/>
              <w:rPr>
                <w:rFonts w:eastAsia="SimSun"/>
                <w:b/>
              </w:rPr>
            </w:pPr>
            <w:r w:rsidRPr="001C7817">
              <w:rPr>
                <w:rFonts w:eastAsia="SimSun"/>
              </w:rPr>
              <w:t xml:space="preserve">The 1-month period prevalence of low back pain was 39% (35% in males, 42% in females). </w:t>
            </w:r>
          </w:p>
          <w:p w:rsidR="001C7817" w:rsidRPr="001C7817" w:rsidRDefault="001C7817" w:rsidP="001C7817">
            <w:pPr>
              <w:numPr>
                <w:ilvl w:val="0"/>
                <w:numId w:val="18"/>
              </w:numPr>
              <w:autoSpaceDE w:val="0"/>
              <w:autoSpaceDN w:val="0"/>
              <w:adjustRightInd w:val="0"/>
              <w:spacing w:before="100" w:beforeAutospacing="1"/>
              <w:ind w:left="200" w:hanging="270"/>
              <w:contextualSpacing/>
              <w:rPr>
                <w:rFonts w:eastAsia="SimSun"/>
                <w:b/>
              </w:rPr>
            </w:pPr>
            <w:r w:rsidRPr="001C7817">
              <w:rPr>
                <w:rFonts w:eastAsia="SimSun"/>
              </w:rPr>
              <w:t xml:space="preserve">The age distribution was unimodal, with peak prevalence in those aged 45 to 59 years old.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Prevalence figures in survey responders may overestimate the true population prevalence by a modest amount.</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5</w:t>
            </w:r>
          </w:p>
        </w:tc>
      </w:tr>
      <w:tr w:rsidR="001C7817" w:rsidRPr="001C7817" w:rsidTr="001C7817">
        <w:trPr>
          <w:trHeight w:val="1610"/>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118</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06</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CE25EF" w:rsidP="001C7817">
            <w:pPr>
              <w:spacing w:before="100" w:beforeAutospacing="1"/>
              <w:ind w:right="-36"/>
            </w:pPr>
            <w:hyperlink r:id="rId9" w:history="1">
              <w:r w:rsidR="001C7817" w:rsidRPr="001C7817">
                <w:rPr>
                  <w:color w:val="0000FF"/>
                  <w:u w:val="single"/>
                </w:rPr>
                <w:t>Omokhodion</w:t>
              </w:r>
            </w:hyperlink>
            <w:r w:rsidR="001C7817" w:rsidRPr="001C7817">
              <w:t xml:space="preserve"> et al, 2000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Regional (south west, Nigeria)</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240"/>
            </w:pPr>
            <w:r w:rsidRPr="001C7817">
              <w:t>Low back pain(80)</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Cross sectional</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r w:rsidRPr="001C7817">
              <w:rPr>
                <w:vertAlign w:val="superscript"/>
              </w:rPr>
              <w:t>o</w:t>
            </w:r>
            <w:r w:rsidRPr="001C7817">
              <w:t xml:space="preserve"> </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rFonts w:eastAsia="Calibri"/>
                <w:bCs/>
              </w:rPr>
            </w:pPr>
            <w:r w:rsidRPr="001C7817">
              <w:rPr>
                <w:rFonts w:eastAsia="Calibri"/>
                <w:bCs/>
              </w:rPr>
              <w:t xml:space="preserve">Prevalence </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b/>
                <w:u w:val="single"/>
              </w:rPr>
              <w:t>Prevalence</w:t>
            </w:r>
          </w:p>
          <w:p w:rsidR="001C7817" w:rsidRPr="001C7817" w:rsidRDefault="001C7817" w:rsidP="001C7817">
            <w:pPr>
              <w:numPr>
                <w:ilvl w:val="0"/>
                <w:numId w:val="30"/>
              </w:numPr>
              <w:spacing w:before="100" w:beforeAutospacing="1"/>
              <w:ind w:left="72" w:hanging="180"/>
              <w:contextualSpacing/>
              <w:rPr>
                <w:rFonts w:eastAsia="SimSun"/>
              </w:rPr>
            </w:pPr>
            <w:r w:rsidRPr="001C7817">
              <w:rPr>
                <w:rFonts w:eastAsia="SimSun"/>
              </w:rPr>
              <w:t>The 12 months prevalence of back pain was 46%.</w:t>
            </w:r>
          </w:p>
          <w:p w:rsidR="001C7817" w:rsidRPr="001C7817" w:rsidRDefault="001C7817" w:rsidP="001C7817">
            <w:pPr>
              <w:numPr>
                <w:ilvl w:val="0"/>
                <w:numId w:val="30"/>
              </w:numPr>
              <w:spacing w:before="100" w:beforeAutospacing="1"/>
              <w:ind w:left="72" w:hanging="180"/>
              <w:contextualSpacing/>
              <w:rPr>
                <w:rFonts w:eastAsia="SimSun"/>
              </w:rPr>
            </w:pPr>
            <w:r w:rsidRPr="001C7817">
              <w:rPr>
                <w:rFonts w:eastAsia="SimSun"/>
              </w:rPr>
              <w:t>23 (68%) rated it as mild, seven (20%) moderate and four (12%) severe</w:t>
            </w:r>
          </w:p>
          <w:p w:rsidR="001C7817" w:rsidRPr="001C7817" w:rsidRDefault="001C7817" w:rsidP="001C7817">
            <w:pPr>
              <w:numPr>
                <w:ilvl w:val="0"/>
                <w:numId w:val="30"/>
              </w:numPr>
              <w:spacing w:before="100" w:beforeAutospacing="1"/>
              <w:ind w:left="72" w:hanging="180"/>
              <w:contextualSpacing/>
              <w:rPr>
                <w:rFonts w:eastAsia="SimSun"/>
              </w:rPr>
            </w:pPr>
            <w:r w:rsidRPr="001C7817">
              <w:rPr>
                <w:rFonts w:eastAsia="SimSun"/>
              </w:rPr>
              <w:t>A prevalence of 64% was recorded among female workers, while 37% of men reported low back</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The prevalence of low back pain among these workers is comparable to that of workers in high income countries. Health education on posture and correct lifting techniques can be introduced to reduce the burden of low back pain among these workers.</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3824"/>
        </w:trPr>
        <w:tc>
          <w:tcPr>
            <w:tcW w:w="35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119</w:t>
            </w:r>
          </w:p>
        </w:tc>
        <w:tc>
          <w:tcPr>
            <w:tcW w:w="356"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 xml:space="preserve">07 </w:t>
            </w:r>
          </w:p>
        </w:tc>
        <w:tc>
          <w:tcPr>
            <w:tcW w:w="61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36"/>
            </w:pPr>
            <w:r w:rsidRPr="001C7817">
              <w:t>Wu et al, 2010.</w:t>
            </w:r>
          </w:p>
        </w:tc>
        <w:tc>
          <w:tcPr>
            <w:tcW w:w="70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National (Taiwan)</w:t>
            </w:r>
          </w:p>
        </w:tc>
        <w:tc>
          <w:tcPr>
            <w:tcW w:w="973"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Congenital heart disease</w:t>
            </w:r>
          </w:p>
        </w:tc>
        <w:tc>
          <w:tcPr>
            <w:tcW w:w="53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Longitudinal cohort</w:t>
            </w:r>
          </w:p>
        </w:tc>
        <w:tc>
          <w:tcPr>
            <w:tcW w:w="787"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w:t>
            </w:r>
            <w:r w:rsidRPr="001C7817">
              <w:rPr>
                <w:vertAlign w:val="superscript"/>
              </w:rPr>
              <w:t>o</w:t>
            </w:r>
            <w:r w:rsidRPr="001C7817">
              <w:t xml:space="preserve"> (National Health Insurance databases)</w:t>
            </w:r>
          </w:p>
        </w:tc>
        <w:tc>
          <w:tcPr>
            <w:tcW w:w="769"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autoSpaceDE w:val="0"/>
              <w:autoSpaceDN w:val="0"/>
              <w:adjustRightInd w:val="0"/>
              <w:spacing w:before="100" w:beforeAutospacing="1"/>
              <w:rPr>
                <w:rFonts w:eastAsia="Calibri"/>
                <w:bCs/>
              </w:rPr>
            </w:pPr>
            <w:r w:rsidRPr="001C7817">
              <w:rPr>
                <w:rFonts w:eastAsia="Calibri"/>
                <w:bCs/>
              </w:rPr>
              <w:t xml:space="preserve">Prevalence </w:t>
            </w:r>
          </w:p>
        </w:tc>
        <w:tc>
          <w:tcPr>
            <w:tcW w:w="6315"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r w:rsidRPr="001C7817">
              <w:rPr>
                <w:b/>
                <w:u w:val="single"/>
              </w:rPr>
              <w:t>Prevalence</w:t>
            </w:r>
          </w:p>
          <w:p w:rsidR="001C7817" w:rsidRPr="001C7817" w:rsidRDefault="001C7817" w:rsidP="001C7817">
            <w:pPr>
              <w:numPr>
                <w:ilvl w:val="0"/>
                <w:numId w:val="18"/>
              </w:numPr>
              <w:spacing w:before="100" w:beforeAutospacing="1" w:after="100" w:afterAutospacing="1"/>
              <w:ind w:left="200" w:hanging="270"/>
            </w:pPr>
            <w:r w:rsidRPr="001C7817">
              <w:t xml:space="preserve">CHD prevalence was 13.08 per 1000 live births: 12.05 (simple, 10.53; severe, 1.51) in male infants and 14.21 (simple, 12.90; severe, 1.32) in female infants. </w:t>
            </w:r>
          </w:p>
          <w:p w:rsidR="001C7817" w:rsidRPr="001C7817" w:rsidRDefault="00CE25EF" w:rsidP="001C7817">
            <w:pPr>
              <w:numPr>
                <w:ilvl w:val="0"/>
                <w:numId w:val="18"/>
              </w:numPr>
              <w:spacing w:before="100" w:beforeAutospacing="1" w:after="100" w:afterAutospacing="1"/>
              <w:ind w:left="200" w:hanging="270"/>
            </w:pPr>
            <w:hyperlink r:id="rId10" w:tooltip="Learn more about Ventricular septal defect from ScienceDirect's AI-generated Topic Pages" w:history="1">
              <w:r w:rsidR="001C7817" w:rsidRPr="001C7817">
                <w:rPr>
                  <w:color w:val="0000FF"/>
                  <w:u w:val="single"/>
                </w:rPr>
                <w:t>Ventricular septal defect</w:t>
              </w:r>
            </w:hyperlink>
            <w:r w:rsidR="001C7817" w:rsidRPr="001C7817">
              <w:t xml:space="preserve"> (VSD; 4.0) was the most common defect, followed by secundum </w:t>
            </w:r>
            <w:hyperlink r:id="rId11" w:tooltip="Learn more about atrial septal defect from ScienceDirect's AI-generated Topic Pages" w:history="1">
              <w:r w:rsidR="001C7817" w:rsidRPr="001C7817">
                <w:rPr>
                  <w:color w:val="0000FF"/>
                  <w:u w:val="single"/>
                </w:rPr>
                <w:t>atrial septal defect</w:t>
              </w:r>
            </w:hyperlink>
            <w:r w:rsidR="001C7817" w:rsidRPr="001C7817">
              <w:t xml:space="preserve"> (ASDII; 3.2), </w:t>
            </w:r>
            <w:hyperlink r:id="rId12" w:tooltip="Learn more about patent ductus arteriosus from ScienceDirect's AI-generated Topic Pages" w:history="1">
              <w:r w:rsidR="001C7817" w:rsidRPr="001C7817">
                <w:rPr>
                  <w:color w:val="0000FF"/>
                  <w:u w:val="single"/>
                </w:rPr>
                <w:t>patent ductus arteriosus</w:t>
              </w:r>
            </w:hyperlink>
            <w:r w:rsidR="001C7817" w:rsidRPr="001C7817">
              <w:t xml:space="preserve"> (PDA; 2.0), </w:t>
            </w:r>
            <w:hyperlink r:id="rId13" w:tooltip="Learn more about pulmonary stenosis from ScienceDirect's AI-generated Topic Pages" w:history="1">
              <w:r w:rsidR="001C7817" w:rsidRPr="001C7817">
                <w:rPr>
                  <w:color w:val="0000FF"/>
                  <w:u w:val="single"/>
                </w:rPr>
                <w:t>pulmonary stenosis</w:t>
              </w:r>
            </w:hyperlink>
            <w:r w:rsidR="001C7817" w:rsidRPr="001C7817">
              <w:t xml:space="preserve"> (PS; 1.2), </w:t>
            </w:r>
            <w:hyperlink r:id="rId14" w:tooltip="Learn more about tetralogy of Fallot from ScienceDirect's AI-generated Topic Pages" w:history="1">
              <w:r w:rsidR="001C7817" w:rsidRPr="001C7817">
                <w:rPr>
                  <w:color w:val="0000FF"/>
                  <w:u w:val="single"/>
                </w:rPr>
                <w:t>tetralogy of Fallot</w:t>
              </w:r>
            </w:hyperlink>
            <w:r w:rsidR="001C7817" w:rsidRPr="001C7817">
              <w:t xml:space="preserve"> (TOF; 0.63), coarctation of aorta (CoA; 0.25), transposition of great arteries (TGA; 0.21), </w:t>
            </w:r>
            <w:hyperlink r:id="rId15" w:tooltip="Learn more about endocardial cushion defect from ScienceDirect's AI-generated Topic Pages" w:history="1">
              <w:r w:rsidR="001C7817" w:rsidRPr="001C7817">
                <w:rPr>
                  <w:color w:val="0000FF"/>
                  <w:u w:val="single"/>
                </w:rPr>
                <w:t>endocardial cushion defect</w:t>
              </w:r>
            </w:hyperlink>
            <w:r w:rsidR="001C7817" w:rsidRPr="001C7817">
              <w:t xml:space="preserve"> (ECD; 0.20), double outlet of right ventricle (DORV; 0.15), total </w:t>
            </w:r>
            <w:hyperlink r:id="rId16" w:tooltip="Learn more about anomalous pulmonary venous return from ScienceDirect's AI-generated Topic Pages" w:history="1">
              <w:r w:rsidR="001C7817" w:rsidRPr="001C7817">
                <w:rPr>
                  <w:color w:val="0000FF"/>
                  <w:u w:val="single"/>
                </w:rPr>
                <w:t>anomalous pulmonary venous return</w:t>
              </w:r>
            </w:hyperlink>
            <w:r w:rsidR="001C7817" w:rsidRPr="001C7817">
              <w:t xml:space="preserve"> (TAPVR; 0.11), </w:t>
            </w:r>
            <w:hyperlink r:id="rId17" w:tooltip="Learn more about aortic stenosis from ScienceDirect's AI-generated Topic Pages" w:history="1">
              <w:r w:rsidR="001C7817" w:rsidRPr="001C7817">
                <w:rPr>
                  <w:color w:val="0000FF"/>
                  <w:u w:val="single"/>
                </w:rPr>
                <w:t>aortic stenosis</w:t>
              </w:r>
            </w:hyperlink>
            <w:r w:rsidR="001C7817" w:rsidRPr="001C7817">
              <w:t xml:space="preserve"> (0.09), </w:t>
            </w:r>
            <w:hyperlink r:id="rId18" w:tooltip="Learn more about hypoplastic left heart syndrome from ScienceDirect's AI-generated Topic Pages" w:history="1">
              <w:r w:rsidR="001C7817" w:rsidRPr="001C7817">
                <w:rPr>
                  <w:color w:val="0000FF"/>
                  <w:u w:val="single"/>
                </w:rPr>
                <w:t>hypoplastic left heart syndrome</w:t>
              </w:r>
            </w:hyperlink>
            <w:r w:rsidR="001C7817" w:rsidRPr="001C7817">
              <w:t xml:space="preserve"> (HLHS; 0.062), </w:t>
            </w:r>
            <w:hyperlink r:id="rId19" w:tooltip="Learn more about Ebstein anomaly from ScienceDirect's AI-generated Topic Pages" w:history="1">
              <w:r w:rsidR="001C7817" w:rsidRPr="001C7817">
                <w:rPr>
                  <w:color w:val="0000FF"/>
                  <w:u w:val="single"/>
                </w:rPr>
                <w:t>Ebstein anomaly</w:t>
              </w:r>
            </w:hyperlink>
            <w:r w:rsidR="001C7817" w:rsidRPr="001C7817">
              <w:t xml:space="preserve"> (0.047), and </w:t>
            </w:r>
            <w:hyperlink r:id="rId20" w:tooltip="Learn more about tricuspid atresia from ScienceDirect's AI-generated Topic Pages" w:history="1">
              <w:r w:rsidR="001C7817" w:rsidRPr="001C7817">
                <w:rPr>
                  <w:color w:val="0000FF"/>
                  <w:u w:val="single"/>
                </w:rPr>
                <w:t>tricuspid atresia</w:t>
              </w:r>
            </w:hyperlink>
            <w:r w:rsidR="001C7817" w:rsidRPr="001C7817">
              <w:t xml:space="preserve"> (0.046). </w:t>
            </w:r>
          </w:p>
          <w:p w:rsidR="001C7817" w:rsidRPr="001C7817" w:rsidRDefault="001C7817" w:rsidP="001C7817">
            <w:pPr>
              <w:numPr>
                <w:ilvl w:val="0"/>
                <w:numId w:val="18"/>
              </w:numPr>
              <w:spacing w:before="100" w:beforeAutospacing="1" w:after="100" w:afterAutospacing="1"/>
              <w:ind w:left="200" w:hanging="270"/>
            </w:pPr>
            <w:r w:rsidRPr="001C7817">
              <w:t xml:space="preserve">Female predominance was observed in VSD, ASDII, PDA, and ECD; and male predominance was observed in </w:t>
            </w:r>
            <w:hyperlink r:id="rId21" w:tooltip="Learn more about TGA from ScienceDirect's AI-generated Topic Pages" w:history="1">
              <w:r w:rsidRPr="001C7817">
                <w:rPr>
                  <w:color w:val="0000FF"/>
                  <w:u w:val="single"/>
                </w:rPr>
                <w:t>TGA</w:t>
              </w:r>
            </w:hyperlink>
            <w:r w:rsidRPr="001C7817">
              <w:t xml:space="preserve"> and TOF. </w:t>
            </w:r>
          </w:p>
        </w:tc>
        <w:tc>
          <w:tcPr>
            <w:tcW w:w="3261"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In this Asian population, the prevalence of CHD was at the high end of the reported range, with more PS and TOF, but fewer left-sided obstructions, TGA, and tricuspid atresia.</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bl>
    <w:p w:rsidR="001C7817" w:rsidRPr="001C7817" w:rsidRDefault="001C7817" w:rsidP="001C7817">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sz w:val="24"/>
          <w:szCs w:val="24"/>
          <w:lang w:eastAsia="en-GB"/>
        </w:rPr>
        <w:br w:type="page"/>
      </w:r>
    </w:p>
    <w:tbl>
      <w:tblPr>
        <w:tblStyle w:val="TableGrid"/>
        <w:tblW w:w="14400" w:type="dxa"/>
        <w:tblInd w:w="-432" w:type="dxa"/>
        <w:tblLayout w:type="fixed"/>
        <w:tblLook w:val="04A0" w:firstRow="1" w:lastRow="0" w:firstColumn="1" w:lastColumn="0" w:noHBand="0" w:noVBand="1"/>
      </w:tblPr>
      <w:tblGrid>
        <w:gridCol w:w="14400"/>
      </w:tblGrid>
      <w:tr w:rsidR="001C7817" w:rsidRPr="001C7817" w:rsidTr="001C7817">
        <w:trPr>
          <w:trHeight w:val="1610"/>
        </w:trPr>
        <w:tc>
          <w:tcPr>
            <w:tcW w:w="14400" w:type="dxa"/>
            <w:tcBorders>
              <w:top w:val="single" w:sz="4" w:space="0" w:color="auto"/>
              <w:left w:val="nil"/>
              <w:bottom w:val="nil"/>
              <w:right w:val="nil"/>
            </w:tcBorders>
          </w:tcPr>
          <w:p w:rsidR="001C7817" w:rsidRPr="001C7817" w:rsidRDefault="001C7817" w:rsidP="001C7817">
            <w:pPr>
              <w:spacing w:before="100" w:beforeAutospacing="1"/>
              <w:ind w:right="-180"/>
              <w:rPr>
                <w:b/>
                <w:i/>
                <w:sz w:val="18"/>
                <w:szCs w:val="18"/>
              </w:rPr>
            </w:pPr>
            <w:r w:rsidRPr="001C7817">
              <w:rPr>
                <w:b/>
                <w:i/>
                <w:sz w:val="18"/>
                <w:szCs w:val="18"/>
              </w:rPr>
              <w:t xml:space="preserve">ABBREVIATION </w:t>
            </w:r>
          </w:p>
          <w:p w:rsidR="001C7817" w:rsidRPr="001C7817" w:rsidRDefault="001C7817" w:rsidP="001C7817">
            <w:pPr>
              <w:spacing w:before="100" w:beforeAutospacing="1"/>
              <w:ind w:right="-180"/>
            </w:pPr>
            <w:r w:rsidRPr="001C7817">
              <w:rPr>
                <w:i/>
              </w:rPr>
              <w:t>STEMI</w:t>
            </w:r>
            <w:r w:rsidRPr="001C7817">
              <w:rPr>
                <w:b/>
                <w:i/>
              </w:rPr>
              <w:t xml:space="preserve"> - S</w:t>
            </w:r>
            <w:r w:rsidRPr="001C7817">
              <w:rPr>
                <w:i/>
              </w:rPr>
              <w:t>T elevation myocardial infarction SVD-  single vessel disease  MVD- multivessel coronary artery disease; APBORD = Asia Pacific Burden of Respiratory Diseases, AR = allergic rhinitis T2D - Type 2 diabetes; CVD- cardiovascular disease  IHD- Ischemic Heart Disease; CGB – Care giver burden; KDIGO (Kidney Disease: Improving Global Outcomes SNAPPE-II (Score for Neonatal Acute Physiology with Perinatal extension-II)    AAMR - Age adjusted mortality rates Cytomegalovirus (CMV) LOS length of stay ICES = Institute for Clinical Evaluative Sciences</w:t>
            </w:r>
          </w:p>
          <w:p w:rsidR="001C7817" w:rsidRPr="001C7817" w:rsidRDefault="001C7817" w:rsidP="001C7817">
            <w:pPr>
              <w:spacing w:before="100" w:beforeAutospacing="1"/>
            </w:pPr>
            <w:r w:rsidRPr="001C7817">
              <w:rPr>
                <w:i/>
              </w:rPr>
              <w:t>ATVS: Acute Transient Vestibular Syndrome; TMD: Temperomandibular Disorder; LBP: Lower Back Pain; RLS: Restless Leg Syndrome; COPD: Chronic Obstructive Pulmonary Disorder; Pt: Patient; CHD: Chronic Heart Disease; DM : Diabetes Mellitus; LDL : Low Density Lipoprotein</w:t>
            </w:r>
          </w:p>
          <w:p w:rsidR="001C7817" w:rsidRPr="001C7817" w:rsidRDefault="001C7817" w:rsidP="001C7817">
            <w:pPr>
              <w:shd w:val="clear" w:color="auto" w:fill="FFFFFF"/>
              <w:spacing w:before="100" w:beforeAutospacing="1"/>
            </w:pPr>
            <w:r w:rsidRPr="001C7817">
              <w:rPr>
                <w:b/>
                <w:bCs/>
                <w:i/>
                <w:iCs/>
              </w:rPr>
              <w:t xml:space="preserve">ELBW: </w:t>
            </w:r>
            <w:r w:rsidRPr="001C7817">
              <w:t xml:space="preserve">Extremely low birth weight; </w:t>
            </w:r>
            <w:r w:rsidRPr="001C7817">
              <w:rPr>
                <w:b/>
                <w:bCs/>
                <w:i/>
                <w:iCs/>
              </w:rPr>
              <w:t>VLBW:</w:t>
            </w:r>
            <w:r w:rsidRPr="001C7817">
              <w:rPr>
                <w:b/>
                <w:bCs/>
              </w:rPr>
              <w:t xml:space="preserve"> </w:t>
            </w:r>
            <w:r w:rsidRPr="001C7817">
              <w:t>Very low birth weight.</w:t>
            </w:r>
          </w:p>
          <w:p w:rsidR="001C7817" w:rsidRPr="001C7817" w:rsidRDefault="001C7817" w:rsidP="001C7817">
            <w:pPr>
              <w:spacing w:before="100" w:beforeAutospacing="1"/>
            </w:pPr>
            <w:r w:rsidRPr="001C7817">
              <w:t>CHAMPS CoD = Child Health and Mortality Prevention Surveillance Cause of Death</w:t>
            </w:r>
          </w:p>
          <w:p w:rsidR="001C7817" w:rsidRPr="001C7817" w:rsidRDefault="001C7817" w:rsidP="001C7817">
            <w:pPr>
              <w:spacing w:before="100" w:beforeAutospacing="1"/>
            </w:pPr>
          </w:p>
        </w:tc>
      </w:tr>
    </w:tbl>
    <w:p w:rsidR="001C7817" w:rsidRPr="001C7817" w:rsidRDefault="001C7817" w:rsidP="001C7817">
      <w:pPr>
        <w:spacing w:before="100" w:beforeAutospacing="1" w:after="0" w:line="240" w:lineRule="auto"/>
        <w:rPr>
          <w:rFonts w:ascii="Times New Roman" w:eastAsia="Times New Roman" w:hAnsi="Times New Roman" w:cs="Times New Roman"/>
          <w:b/>
          <w:sz w:val="24"/>
          <w:szCs w:val="24"/>
          <w:lang w:eastAsia="en-GB"/>
        </w:rPr>
      </w:pPr>
      <w:r w:rsidRPr="001C7817">
        <w:rPr>
          <w:rFonts w:ascii="Times New Roman" w:eastAsia="Times New Roman" w:hAnsi="Times New Roman" w:cs="Times New Roman"/>
          <w:b/>
          <w:sz w:val="24"/>
          <w:szCs w:val="24"/>
          <w:lang w:eastAsia="en-GB"/>
        </w:rPr>
        <w:t xml:space="preserve"> </w:t>
      </w:r>
    </w:p>
    <w:p w:rsidR="001C7817" w:rsidRPr="001C7817" w:rsidRDefault="001C7817" w:rsidP="001C7817">
      <w:pPr>
        <w:spacing w:before="100" w:beforeAutospacing="1" w:after="0" w:line="240" w:lineRule="auto"/>
        <w:rPr>
          <w:rFonts w:ascii="Times New Roman" w:eastAsia="Times New Roman" w:hAnsi="Times New Roman" w:cs="Times New Roman"/>
          <w:b/>
          <w:sz w:val="24"/>
          <w:szCs w:val="24"/>
          <w:lang w:eastAsia="en-GB"/>
        </w:rPr>
      </w:pPr>
      <w:r w:rsidRPr="001C7817">
        <w:rPr>
          <w:rFonts w:ascii="Times New Roman" w:eastAsia="Times New Roman" w:hAnsi="Times New Roman" w:cs="Times New Roman"/>
          <w:b/>
          <w:sz w:val="24"/>
          <w:szCs w:val="24"/>
          <w:lang w:eastAsia="en-GB"/>
        </w:rPr>
        <w:br w:type="page"/>
      </w:r>
    </w:p>
    <w:p w:rsidR="001C7817" w:rsidRPr="001C7817" w:rsidRDefault="001C7817" w:rsidP="001C7817">
      <w:pPr>
        <w:spacing w:before="100" w:beforeAutospacing="1" w:after="0" w:line="240" w:lineRule="auto"/>
        <w:rPr>
          <w:rFonts w:ascii="Times New Roman" w:eastAsia="Times New Roman" w:hAnsi="Times New Roman" w:cs="Times New Roman"/>
          <w:b/>
          <w:sz w:val="24"/>
          <w:szCs w:val="24"/>
          <w:lang w:eastAsia="en-GB"/>
        </w:rPr>
      </w:pPr>
    </w:p>
    <w:tbl>
      <w:tblPr>
        <w:tblStyle w:val="TableGrid"/>
        <w:tblW w:w="14238" w:type="dxa"/>
        <w:tblInd w:w="135" w:type="dxa"/>
        <w:tblLayout w:type="fixed"/>
        <w:tblLook w:val="04A0" w:firstRow="1" w:lastRow="0" w:firstColumn="1" w:lastColumn="0" w:noHBand="0" w:noVBand="1"/>
      </w:tblPr>
      <w:tblGrid>
        <w:gridCol w:w="558"/>
        <w:gridCol w:w="468"/>
        <w:gridCol w:w="2808"/>
        <w:gridCol w:w="720"/>
        <w:gridCol w:w="630"/>
        <w:gridCol w:w="630"/>
        <w:gridCol w:w="702"/>
        <w:gridCol w:w="630"/>
        <w:gridCol w:w="810"/>
        <w:gridCol w:w="810"/>
        <w:gridCol w:w="702"/>
        <w:gridCol w:w="810"/>
        <w:gridCol w:w="720"/>
        <w:gridCol w:w="810"/>
        <w:gridCol w:w="630"/>
        <w:gridCol w:w="360"/>
        <w:gridCol w:w="810"/>
        <w:gridCol w:w="630"/>
      </w:tblGrid>
      <w:tr w:rsidR="001C7817" w:rsidRPr="001C7817" w:rsidTr="001C7817">
        <w:trPr>
          <w:cantSplit/>
          <w:trHeight w:val="20"/>
        </w:trPr>
        <w:tc>
          <w:tcPr>
            <w:tcW w:w="14238" w:type="dxa"/>
            <w:gridSpan w:val="18"/>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ind w:right="113"/>
              <w:jc w:val="center"/>
              <w:rPr>
                <w:b/>
                <w:sz w:val="28"/>
                <w:szCs w:val="28"/>
              </w:rPr>
            </w:pPr>
            <w:r w:rsidRPr="001C7817">
              <w:rPr>
                <w:b/>
              </w:rPr>
              <w:t>METHODOLOGICAL QUALITY OF STUDIES</w:t>
            </w:r>
          </w:p>
        </w:tc>
      </w:tr>
      <w:tr w:rsidR="001C7817" w:rsidRPr="001C7817" w:rsidTr="00502DB6">
        <w:trPr>
          <w:cantSplit/>
          <w:trHeight w:val="4078"/>
        </w:trPr>
        <w:tc>
          <w:tcPr>
            <w:tcW w:w="558" w:type="dxa"/>
            <w:tcBorders>
              <w:top w:val="single" w:sz="4" w:space="0" w:color="auto"/>
              <w:left w:val="single" w:sz="4" w:space="0" w:color="auto"/>
              <w:bottom w:val="single" w:sz="4" w:space="0" w:color="auto"/>
              <w:right w:val="single" w:sz="4" w:space="0" w:color="auto"/>
            </w:tcBorders>
            <w:textDirection w:val="btLr"/>
            <w:hideMark/>
          </w:tcPr>
          <w:p w:rsidR="001C7817" w:rsidRPr="001C7817" w:rsidRDefault="001C7817" w:rsidP="00502DB6">
            <w:pPr>
              <w:spacing w:before="100" w:beforeAutospacing="1"/>
              <w:ind w:left="113" w:right="113"/>
              <w:jc w:val="center"/>
              <w:rPr>
                <w:b/>
                <w:sz w:val="28"/>
                <w:szCs w:val="28"/>
              </w:rPr>
            </w:pPr>
            <w:r w:rsidRPr="001C7817">
              <w:rPr>
                <w:b/>
                <w:sz w:val="28"/>
                <w:szCs w:val="28"/>
              </w:rPr>
              <w:t>S/N</w:t>
            </w:r>
          </w:p>
        </w:tc>
        <w:tc>
          <w:tcPr>
            <w:tcW w:w="468" w:type="dxa"/>
            <w:tcBorders>
              <w:top w:val="single" w:sz="4" w:space="0" w:color="auto"/>
              <w:left w:val="single" w:sz="4" w:space="0" w:color="auto"/>
              <w:bottom w:val="single" w:sz="4" w:space="0" w:color="auto"/>
              <w:right w:val="single" w:sz="4" w:space="0" w:color="auto"/>
            </w:tcBorders>
            <w:textDirection w:val="btLr"/>
          </w:tcPr>
          <w:p w:rsidR="001C7817" w:rsidRPr="001C7817" w:rsidRDefault="001C7817" w:rsidP="00502DB6">
            <w:pPr>
              <w:spacing w:before="100" w:beforeAutospacing="1"/>
              <w:ind w:left="113" w:right="113"/>
              <w:jc w:val="center"/>
              <w:rPr>
                <w:b/>
                <w:sz w:val="28"/>
                <w:szCs w:val="28"/>
              </w:rPr>
            </w:pPr>
          </w:p>
        </w:tc>
        <w:tc>
          <w:tcPr>
            <w:tcW w:w="2808"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113"/>
              <w:jc w:val="center"/>
              <w:rPr>
                <w:b/>
              </w:rPr>
            </w:pPr>
            <w:r w:rsidRPr="001C7817">
              <w:rPr>
                <w:b/>
                <w:sz w:val="28"/>
                <w:szCs w:val="28"/>
              </w:rPr>
              <w:t>Study ID</w:t>
            </w:r>
          </w:p>
        </w:tc>
        <w:tc>
          <w:tcPr>
            <w:tcW w:w="72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Q1: </w:t>
            </w:r>
            <w:r w:rsidRPr="001C7817">
              <w:t>Was the research question or objective in this paper clearly stated?</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Q2: </w:t>
            </w:r>
            <w:r w:rsidRPr="001C7817">
              <w:t>Was the study population clearly specified and defined?</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Q3:</w:t>
            </w:r>
            <w:r w:rsidRPr="001C7817">
              <w:t xml:space="preserve"> Was the participation rate of eligible persons at least 50%?</w:t>
            </w:r>
          </w:p>
        </w:tc>
        <w:tc>
          <w:tcPr>
            <w:tcW w:w="702"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Q4: </w:t>
            </w:r>
            <w:r w:rsidRPr="001C7817">
              <w:t>Were all the subjects selected or recruited from the same or similar populations (including the same time period)? Were inclusion and exclusion criteria for being in the study pre-specified and applied uniformly to all participants?</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Q5: </w:t>
            </w:r>
            <w:r w:rsidRPr="001C7817">
              <w:t>Was a sample size justification, power description, or variance and effect estimates provided?</w:t>
            </w:r>
          </w:p>
        </w:tc>
        <w:tc>
          <w:tcPr>
            <w:tcW w:w="81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Q6: </w:t>
            </w:r>
            <w:r w:rsidRPr="001C7817">
              <w:t>For the analyses in this paper, were the exposure(s) of interest measured prior to the outcome(s) being measured?</w:t>
            </w:r>
          </w:p>
        </w:tc>
        <w:tc>
          <w:tcPr>
            <w:tcW w:w="81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Q7: </w:t>
            </w:r>
            <w:r w:rsidRPr="001C7817">
              <w:t>Was the timeframe sufficient so that one could reasonably expect to see an association between exposure and outcome if it existed?</w:t>
            </w:r>
          </w:p>
        </w:tc>
        <w:tc>
          <w:tcPr>
            <w:tcW w:w="702"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Q8: </w:t>
            </w:r>
            <w:r w:rsidRPr="001C7817">
              <w:t>For exposures that can vary in amount or level, did the study examine different levels of the exposure as related to the outcome (e.g., categories of exposure, or exposure measured as continuous variable)?</w:t>
            </w:r>
          </w:p>
        </w:tc>
        <w:tc>
          <w:tcPr>
            <w:tcW w:w="81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Q9: </w:t>
            </w:r>
            <w:r w:rsidRPr="001C7817">
              <w:t>Were the exposure measures (independent variables) clearly defined, valid, reliable, and implemented consistently across all study participants?</w:t>
            </w:r>
          </w:p>
        </w:tc>
        <w:tc>
          <w:tcPr>
            <w:tcW w:w="72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Q10: </w:t>
            </w:r>
            <w:r w:rsidRPr="001C7817">
              <w:t>Was the exposure(s) assessed more than once over time?</w:t>
            </w:r>
          </w:p>
        </w:tc>
        <w:tc>
          <w:tcPr>
            <w:tcW w:w="81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Q11: </w:t>
            </w:r>
            <w:r w:rsidRPr="001C7817">
              <w:t>Were the outcome measures (dependent variables) clearly defined, valid, reliable, and implemented consistently across all study participants?</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Q12: </w:t>
            </w:r>
            <w:r w:rsidRPr="001C7817">
              <w:t>Were the outcome assessors blinded to the exposure status of participants?</w:t>
            </w:r>
          </w:p>
        </w:tc>
        <w:tc>
          <w:tcPr>
            <w:tcW w:w="36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Q13: </w:t>
            </w:r>
            <w:r w:rsidRPr="001C7817">
              <w:t>Was loss to follow-up after baseline 20% or less?</w:t>
            </w:r>
          </w:p>
        </w:tc>
        <w:tc>
          <w:tcPr>
            <w:tcW w:w="81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36"/>
              <w:jc w:val="center"/>
            </w:pPr>
            <w:r w:rsidRPr="001C7817">
              <w:rPr>
                <w:b/>
              </w:rPr>
              <w:t xml:space="preserve">Q14: </w:t>
            </w:r>
            <w:r w:rsidRPr="001C7817">
              <w:t>Were key potential confounding variables measured and adjusted statistically for their impact on the relationship between exposure(s) and outcome(s)?</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1C7817" w:rsidRPr="001C7817" w:rsidRDefault="001C7817" w:rsidP="00502DB6">
            <w:pPr>
              <w:spacing w:before="100" w:beforeAutospacing="1"/>
              <w:ind w:left="113" w:right="113"/>
              <w:jc w:val="center"/>
            </w:pPr>
            <w:r w:rsidRPr="001C7817">
              <w:rPr>
                <w:b/>
                <w:sz w:val="28"/>
                <w:szCs w:val="28"/>
              </w:rPr>
              <w:t>Total</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13</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z w:val="18"/>
                <w:szCs w:val="18"/>
              </w:rPr>
              <w:t>Burgess et. al, 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14</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z w:val="18"/>
                <w:szCs w:val="18"/>
              </w:rPr>
              <w:t>Lisspers et. al,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15</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Thanaviratananich</w:t>
            </w:r>
            <w:r w:rsidRPr="001C7817">
              <w:rPr>
                <w:sz w:val="18"/>
                <w:szCs w:val="18"/>
              </w:rPr>
              <w:t>et.al, 2016</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16</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Rapattoni et al,2020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17</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Sakboonyarat &amp; Rangsin ,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18</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z w:val="18"/>
                <w:szCs w:val="18"/>
              </w:rPr>
              <w:t>Alegre-Díaz, et al, 2016</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19</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Talamantes, et al,2021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20</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Nwita et al, 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rPr>
          <w:trHeight w:val="85"/>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21</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Muktan, et al, 2019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22</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Kumar, et al, 2022</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23</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Shah, et al, 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24</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Chuluunbaatar, et al, 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25</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Verberk et al, 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26</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Patirana et al,2019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27</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Ylitalo et al, 2013</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28</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Abdo et al,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29</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Guo, et al, 2021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30</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rPr>
                <w:sz w:val="18"/>
                <w:szCs w:val="18"/>
              </w:rPr>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Warrell et al, 2021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31</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Bragado et al, 2014</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32</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Vazquez et al ,2015</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5</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33</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Zhao et al,2017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6</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34</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Picarzo et al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5</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35</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Lawrence et al ,2021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36</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Beobide-Telleria et al,2020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37</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Alarez-Rodriguez et al 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6</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38</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Anderson et al, 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39</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Amin et al, 2019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40</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Salam et al, 2016</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41</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Wacker et al,2017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42</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Sudharsanan et al ,2019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43</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Wong et al 2013</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44</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Almutairi et al 2013</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45</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Sicras-Mainar et al 2014</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46</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Choi et al,2017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47</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Romero-Lopez et al, 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48</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Heller et al,2018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49</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Laraqui et al,2018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50</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Marcos-Fornin et al, 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51</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Sicras-Mainar et al,2014</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52</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Krairittichai et al, 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53</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Kumbhare et al, 2016</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54</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CE25EF" w:rsidP="001C7817">
            <w:pPr>
              <w:spacing w:before="100" w:beforeAutospacing="1"/>
            </w:pPr>
            <w:hyperlink r:id="rId22" w:anchor="auth-Francesco-Cavallin" w:history="1">
              <w:r w:rsidR="001C7817" w:rsidRPr="001C7817">
                <w:rPr>
                  <w:color w:val="0000FF"/>
                  <w:u w:val="single"/>
                </w:rPr>
                <w:t>Cavallin</w:t>
              </w:r>
            </w:hyperlink>
            <w:r w:rsidR="001C7817" w:rsidRPr="001C7817">
              <w:t>et al, 2020</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55</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CE25EF" w:rsidP="001C7817">
            <w:pPr>
              <w:spacing w:before="100" w:beforeAutospacing="1"/>
            </w:pPr>
            <w:hyperlink r:id="rId23" w:history="1">
              <w:r w:rsidR="001C7817" w:rsidRPr="001C7817">
                <w:rPr>
                  <w:color w:val="0000FF"/>
                  <w:u w:val="single"/>
                </w:rPr>
                <w:t>Bjerg</w:t>
              </w:r>
            </w:hyperlink>
            <w:r w:rsidR="001C7817" w:rsidRPr="001C7817">
              <w:t xml:space="preserve"> et al, 2019</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56</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Sulo et al, 2019.</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57</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Merino et al, 2018</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58</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Mulpuru et al, 2017.</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vAlign w:val="center"/>
            <w:hideMark/>
          </w:tcPr>
          <w:p w:rsidR="001C7817" w:rsidRPr="001C7817" w:rsidRDefault="001C7817" w:rsidP="001C7817">
            <w:pPr>
              <w:spacing w:before="100" w:beforeAutospacing="1"/>
            </w:pPr>
            <w:r w:rsidRPr="001C7817">
              <w:t>12</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59</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Latina et al,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60</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Rohde et al, 2019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61</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Li et al,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62</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Breiman  et al, 2021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63</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Magee et al, 2015</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6</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64</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Nakov et al, 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65</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Mawer et al, 2019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66</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Azage et al, 2016</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67</w:t>
            </w:r>
          </w:p>
        </w:tc>
        <w:tc>
          <w:tcPr>
            <w:tcW w:w="468" w:type="dxa"/>
            <w:tcBorders>
              <w:top w:val="single" w:sz="4" w:space="0" w:color="auto"/>
              <w:left w:val="single" w:sz="4" w:space="0" w:color="auto"/>
              <w:bottom w:val="single" w:sz="4" w:space="0" w:color="auto"/>
              <w:right w:val="single" w:sz="4" w:space="0" w:color="auto"/>
            </w:tcBorders>
          </w:tcPr>
          <w:p w:rsidR="001C7817" w:rsidRPr="001C7817" w:rsidRDefault="001C7817" w:rsidP="001C7817">
            <w:pPr>
              <w:spacing w:before="100" w:beforeAutospacing="1"/>
            </w:pP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Thibault et al, 2013</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68</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01</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Kim et al, 2016</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69</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03</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Zhang et al, 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70</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04</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Zhang et al,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71</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07</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Yu et al, 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72</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08</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Xie et al, 2016</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73</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Gao et al,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74</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Chen et al, 2013</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75</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13</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Townsend et al, 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76</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14</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Ogbo et al, 2019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77</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16</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Adhikari etal,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78</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17</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Tachkov et al, 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79</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18</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Rahimi-Movaghar et al, 2010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80</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19</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Hall et al, 2019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81</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20</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Collie et al, 2010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82</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21</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Scholten et al, 2014</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83</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22</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Te Ao et al, 2015</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84</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23</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Tandon et al,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85</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24</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Li et al, 2013</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86</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25</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Oliveira et al, 2009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87</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26</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González et al, 2015</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88</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27</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Bener et al, 2014</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89</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19</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Cuschierie, et al, 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90</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23</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Wu, et al, 2021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91</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24</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08"/>
            </w:pPr>
            <w:r w:rsidRPr="001C7817">
              <w:t>Kurtbeek et al, 2009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92</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01</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Bonita et al, 1997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6</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93</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02</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Reginatto et al,2017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94</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04</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t>Meikle et al,1999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9</w:t>
            </w:r>
          </w:p>
        </w:tc>
      </w:tr>
      <w:tr w:rsidR="001C7817" w:rsidRPr="001C7817" w:rsidTr="001C7817">
        <w:trPr>
          <w:trHeight w:val="170"/>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95</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05</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numPr>
                <w:ilvl w:val="0"/>
                <w:numId w:val="12"/>
              </w:numPr>
              <w:spacing w:before="100" w:beforeAutospacing="1"/>
              <w:ind w:left="-27" w:right="-18"/>
            </w:pPr>
            <w:r w:rsidRPr="001C7817">
              <w:t>Dahlberg et al,</w:t>
            </w:r>
            <w:r w:rsidRPr="001C7817">
              <w:rPr>
                <w:color w:val="333333"/>
              </w:rPr>
              <w:t xml:space="preserve"> 2005</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96</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06</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pPr>
            <w:r w:rsidRPr="001C7817">
              <w:rPr>
                <w:color w:val="333333"/>
                <w:shd w:val="clear" w:color="auto" w:fill="FFFFFF"/>
              </w:rPr>
              <w:t>Ferguson et al, 2012</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ind w:right="-18"/>
              <w:jc w:val="center"/>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97</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01</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CE25EF" w:rsidP="001C7817">
            <w:pPr>
              <w:spacing w:before="100" w:beforeAutospacing="1"/>
            </w:pPr>
            <w:hyperlink r:id="rId24" w:history="1">
              <w:r w:rsidR="001C7817" w:rsidRPr="001C7817">
                <w:rPr>
                  <w:color w:val="0000FF"/>
                  <w:u w:val="single"/>
                </w:rPr>
                <w:t>Koton</w:t>
              </w:r>
            </w:hyperlink>
            <w:r w:rsidR="001C7817" w:rsidRPr="001C7817">
              <w:t xml:space="preserve"> et al, 2014</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98</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02</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Burke et al, 2001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99</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03</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shd w:val="clear" w:color="auto" w:fill="FFFFFF"/>
              </w:rPr>
              <w:t>Noonan et al, 2012</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jc w:val="center"/>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100</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01</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Mangu et al, 2021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101</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02</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Reyes et al., 2018</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11</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102</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04</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Fatima et al, 2009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103</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05</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Balakrishnan et al, 2020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104</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01</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502DB6">
            <w:pPr>
              <w:shd w:val="clear" w:color="auto" w:fill="FFFFFF"/>
              <w:spacing w:before="100" w:beforeAutospacing="1"/>
              <w:rPr>
                <w:color w:val="212121"/>
              </w:rPr>
            </w:pPr>
            <w:r w:rsidRPr="001C7817">
              <w:rPr>
                <w:color w:val="212121"/>
              </w:rPr>
              <w:t>Bugge et al, 1999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105</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02</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Isle,et al, 2007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106</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03</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Oosteveer, et a, 2014</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107</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04</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Thorac Soc, 2021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108</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05</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Neri et al, 2016</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109</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06</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Marcus et. al, 2012</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110</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07</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Pinto et al, 2007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111</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09</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Schloten, et al, 2017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112</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14</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King et al, 2021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12</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113</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15</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Holmes et al, 2002</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114</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01</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O'Mahony et al, 1999.</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115</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02</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rFonts w:eastAsia="SimSun"/>
              </w:rPr>
              <w:t xml:space="preserve">Melcon </w:t>
            </w:r>
            <w:r w:rsidRPr="001C7817">
              <w:t>and</w:t>
            </w:r>
            <w:r w:rsidRPr="001C7817">
              <w:rPr>
                <w:rFonts w:eastAsia="SimSun"/>
              </w:rPr>
              <w:t xml:space="preserve"> Melcon, 2006.</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8</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116</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03</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rPr>
                <w:rFonts w:eastAsia="SimSun"/>
              </w:rPr>
              <w:t>Mustapha et al, 2007.</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9</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117</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05</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CE25EF" w:rsidP="001C7817">
            <w:pPr>
              <w:spacing w:before="100" w:beforeAutospacing="1"/>
            </w:pPr>
            <w:hyperlink r:id="rId25" w:history="1">
              <w:r w:rsidR="001C7817" w:rsidRPr="001C7817">
                <w:rPr>
                  <w:color w:val="0000FF"/>
                  <w:u w:val="single"/>
                </w:rPr>
                <w:t>Papageorgiou</w:t>
              </w:r>
            </w:hyperlink>
            <w:r w:rsidR="001C7817" w:rsidRPr="001C7817">
              <w:t xml:space="preserve"> et al, 1995</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5</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118</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06</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CE25EF" w:rsidP="001C7817">
            <w:pPr>
              <w:spacing w:before="100" w:beforeAutospacing="1"/>
            </w:pPr>
            <w:hyperlink r:id="rId26" w:history="1">
              <w:r w:rsidR="001C7817" w:rsidRPr="001C7817">
                <w:rPr>
                  <w:color w:val="0000FF"/>
                  <w:u w:val="single"/>
                </w:rPr>
                <w:t>Omokhodion</w:t>
              </w:r>
            </w:hyperlink>
            <w:r w:rsidR="001C7817" w:rsidRPr="001C7817">
              <w:t xml:space="preserve"> et al, 2000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7</w:t>
            </w:r>
          </w:p>
        </w:tc>
      </w:tr>
      <w:tr w:rsidR="001C7817" w:rsidRPr="001C7817" w:rsidTr="001C7817">
        <w:trPr>
          <w:trHeight w:val="244"/>
        </w:trPr>
        <w:tc>
          <w:tcPr>
            <w:tcW w:w="55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rPr>
                <w:sz w:val="18"/>
                <w:szCs w:val="18"/>
              </w:rPr>
            </w:pPr>
            <w:r w:rsidRPr="001C7817">
              <w:rPr>
                <w:sz w:val="18"/>
                <w:szCs w:val="18"/>
              </w:rPr>
              <w:t>119</w:t>
            </w:r>
          </w:p>
        </w:tc>
        <w:tc>
          <w:tcPr>
            <w:tcW w:w="46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07</w:t>
            </w:r>
          </w:p>
        </w:tc>
        <w:tc>
          <w:tcPr>
            <w:tcW w:w="2808"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Wu et al, 2010.</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702"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72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0</w:t>
            </w:r>
          </w:p>
        </w:tc>
        <w:tc>
          <w:tcPr>
            <w:tcW w:w="36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81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w:t>
            </w:r>
          </w:p>
        </w:tc>
        <w:tc>
          <w:tcPr>
            <w:tcW w:w="630" w:type="dxa"/>
            <w:tcBorders>
              <w:top w:val="single" w:sz="4" w:space="0" w:color="auto"/>
              <w:left w:val="single" w:sz="4" w:space="0" w:color="auto"/>
              <w:bottom w:val="single" w:sz="4" w:space="0" w:color="auto"/>
              <w:right w:val="single" w:sz="4" w:space="0" w:color="auto"/>
            </w:tcBorders>
            <w:hideMark/>
          </w:tcPr>
          <w:p w:rsidR="001C7817" w:rsidRPr="001C7817" w:rsidRDefault="001C7817" w:rsidP="001C7817">
            <w:pPr>
              <w:spacing w:before="100" w:beforeAutospacing="1"/>
            </w:pPr>
            <w:r w:rsidRPr="001C7817">
              <w:t>10</w:t>
            </w:r>
          </w:p>
        </w:tc>
      </w:tr>
    </w:tbl>
    <w:p w:rsidR="001C7817" w:rsidRPr="001C7817" w:rsidRDefault="001C7817" w:rsidP="001C7817">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sz w:val="24"/>
          <w:szCs w:val="24"/>
          <w:lang w:eastAsia="en-GB"/>
        </w:rPr>
        <w:t xml:space="preserve"> </w:t>
      </w:r>
    </w:p>
    <w:p w:rsidR="001C7817" w:rsidRPr="001C7817" w:rsidRDefault="001C7817" w:rsidP="001C7817">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sz w:val="24"/>
          <w:szCs w:val="24"/>
          <w:lang w:eastAsia="en-GB"/>
        </w:rPr>
        <w:t xml:space="preserve"> </w:t>
      </w:r>
    </w:p>
    <w:p w:rsidR="001C7817" w:rsidRPr="001C7817" w:rsidRDefault="001C7817" w:rsidP="001C7817">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sz w:val="24"/>
          <w:szCs w:val="24"/>
          <w:lang w:eastAsia="en-GB"/>
        </w:rPr>
        <w:t xml:space="preserve"> </w:t>
      </w:r>
    </w:p>
    <w:p w:rsidR="005E0657" w:rsidRDefault="005E0657"/>
    <w:sectPr w:rsidR="005E0657" w:rsidSect="00CE25E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55745"/>
    <w:multiLevelType w:val="multilevel"/>
    <w:tmpl w:val="70BC3D4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 w15:restartNumberingAfterBreak="0">
    <w:nsid w:val="08D63211"/>
    <w:multiLevelType w:val="multilevel"/>
    <w:tmpl w:val="C69833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212804"/>
    <w:multiLevelType w:val="multilevel"/>
    <w:tmpl w:val="B74C55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5E5490"/>
    <w:multiLevelType w:val="multilevel"/>
    <w:tmpl w:val="9CF29A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EDA0313"/>
    <w:multiLevelType w:val="multilevel"/>
    <w:tmpl w:val="50509B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04D6751"/>
    <w:multiLevelType w:val="multilevel"/>
    <w:tmpl w:val="95E01616"/>
    <w:lvl w:ilvl="0">
      <w:start w:val="50"/>
      <w:numFmt w:val="bullet"/>
      <w:lvlText w:val="-"/>
      <w:lvlJc w:val="left"/>
      <w:pPr>
        <w:ind w:left="720" w:hanging="360"/>
      </w:pPr>
      <w:rPr>
        <w:rFonts w:ascii="Times New Roman" w:eastAsia="SimSun" w:hAnsi="Times New Roman" w:cs="Times New Roman" w:hint="default"/>
        <w:b w:val="0"/>
        <w:sz w:val="21"/>
        <w:szCs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65D74AE"/>
    <w:multiLevelType w:val="multilevel"/>
    <w:tmpl w:val="FB7A04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8D94760"/>
    <w:multiLevelType w:val="multilevel"/>
    <w:tmpl w:val="DE9ECF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D2E09D0"/>
    <w:multiLevelType w:val="multilevel"/>
    <w:tmpl w:val="429016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CE5D0E"/>
    <w:multiLevelType w:val="multilevel"/>
    <w:tmpl w:val="3AA060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3E77008"/>
    <w:multiLevelType w:val="multilevel"/>
    <w:tmpl w:val="7D2C61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A6746B5"/>
    <w:multiLevelType w:val="multilevel"/>
    <w:tmpl w:val="C040D532"/>
    <w:lvl w:ilvl="0">
      <w:start w:val="1"/>
      <w:numFmt w:val="bullet"/>
      <w:lvlText w:val=""/>
      <w:lvlJc w:val="left"/>
      <w:pPr>
        <w:ind w:left="720" w:hanging="360"/>
      </w:pPr>
      <w:rPr>
        <w:rFonts w:ascii="Symbol" w:hAnsi="Symbol" w:hint="default"/>
      </w:rPr>
    </w:lvl>
    <w:lvl w:ilvl="1">
      <w:start w:val="3"/>
      <w:numFmt w:val="bullet"/>
      <w:lvlText w:val="-"/>
      <w:lvlJc w:val="left"/>
      <w:pPr>
        <w:ind w:left="1440" w:hanging="360"/>
      </w:pPr>
      <w:rPr>
        <w:rFonts w:ascii="Times New Roman" w:eastAsia="Calibr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0931AC1"/>
    <w:multiLevelType w:val="multilevel"/>
    <w:tmpl w:val="25AEE56E"/>
    <w:lvl w:ilvl="0">
      <w:start w:val="1"/>
      <w:numFmt w:val="bullet"/>
      <w:lvlText w:val=""/>
      <w:lvlJc w:val="left"/>
      <w:pPr>
        <w:ind w:left="81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6D46774"/>
    <w:multiLevelType w:val="multilevel"/>
    <w:tmpl w:val="11426684"/>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4" w15:restartNumberingAfterBreak="0">
    <w:nsid w:val="5684441F"/>
    <w:multiLevelType w:val="multilevel"/>
    <w:tmpl w:val="2B6C1A60"/>
    <w:lvl w:ilvl="0">
      <w:start w:val="1"/>
      <w:numFmt w:val="bullet"/>
      <w:lvlText w:val=""/>
      <w:lvlJc w:val="left"/>
      <w:pPr>
        <w:ind w:left="740" w:hanging="360"/>
      </w:pPr>
      <w:rPr>
        <w:rFonts w:ascii="Symbol" w:hAnsi="Symbol" w:hint="default"/>
      </w:rPr>
    </w:lvl>
    <w:lvl w:ilvl="1">
      <w:start w:val="1"/>
      <w:numFmt w:val="bullet"/>
      <w:lvlText w:val="o"/>
      <w:lvlJc w:val="left"/>
      <w:pPr>
        <w:ind w:left="1460" w:hanging="360"/>
      </w:pPr>
      <w:rPr>
        <w:rFonts w:ascii="Courier New" w:hAnsi="Courier New" w:cs="Courier New" w:hint="default"/>
      </w:rPr>
    </w:lvl>
    <w:lvl w:ilvl="2">
      <w:start w:val="1"/>
      <w:numFmt w:val="bullet"/>
      <w:lvlText w:val=""/>
      <w:lvlJc w:val="left"/>
      <w:pPr>
        <w:ind w:left="2180" w:hanging="360"/>
      </w:pPr>
      <w:rPr>
        <w:rFonts w:ascii="Wingdings" w:hAnsi="Wingdings" w:hint="default"/>
      </w:rPr>
    </w:lvl>
    <w:lvl w:ilvl="3">
      <w:start w:val="1"/>
      <w:numFmt w:val="bullet"/>
      <w:lvlText w:val=""/>
      <w:lvlJc w:val="left"/>
      <w:pPr>
        <w:ind w:left="2900" w:hanging="360"/>
      </w:pPr>
      <w:rPr>
        <w:rFonts w:ascii="Symbol" w:hAnsi="Symbol" w:hint="default"/>
      </w:rPr>
    </w:lvl>
    <w:lvl w:ilvl="4">
      <w:start w:val="1"/>
      <w:numFmt w:val="bullet"/>
      <w:lvlText w:val="o"/>
      <w:lvlJc w:val="left"/>
      <w:pPr>
        <w:ind w:left="3620" w:hanging="360"/>
      </w:pPr>
      <w:rPr>
        <w:rFonts w:ascii="Courier New" w:hAnsi="Courier New" w:cs="Courier New" w:hint="default"/>
      </w:rPr>
    </w:lvl>
    <w:lvl w:ilvl="5">
      <w:start w:val="1"/>
      <w:numFmt w:val="bullet"/>
      <w:lvlText w:val=""/>
      <w:lvlJc w:val="left"/>
      <w:pPr>
        <w:ind w:left="4340" w:hanging="360"/>
      </w:pPr>
      <w:rPr>
        <w:rFonts w:ascii="Wingdings" w:hAnsi="Wingdings" w:hint="default"/>
      </w:rPr>
    </w:lvl>
    <w:lvl w:ilvl="6">
      <w:start w:val="1"/>
      <w:numFmt w:val="bullet"/>
      <w:lvlText w:val=""/>
      <w:lvlJc w:val="left"/>
      <w:pPr>
        <w:ind w:left="5060" w:hanging="360"/>
      </w:pPr>
      <w:rPr>
        <w:rFonts w:ascii="Symbol" w:hAnsi="Symbol" w:hint="default"/>
      </w:rPr>
    </w:lvl>
    <w:lvl w:ilvl="7">
      <w:start w:val="1"/>
      <w:numFmt w:val="bullet"/>
      <w:lvlText w:val="o"/>
      <w:lvlJc w:val="left"/>
      <w:pPr>
        <w:ind w:left="5780" w:hanging="360"/>
      </w:pPr>
      <w:rPr>
        <w:rFonts w:ascii="Courier New" w:hAnsi="Courier New" w:cs="Courier New" w:hint="default"/>
      </w:rPr>
    </w:lvl>
    <w:lvl w:ilvl="8">
      <w:start w:val="1"/>
      <w:numFmt w:val="bullet"/>
      <w:lvlText w:val=""/>
      <w:lvlJc w:val="left"/>
      <w:pPr>
        <w:ind w:left="6500" w:hanging="360"/>
      </w:pPr>
      <w:rPr>
        <w:rFonts w:ascii="Wingdings" w:hAnsi="Wingdings" w:hint="default"/>
      </w:rPr>
    </w:lvl>
  </w:abstractNum>
  <w:num w:numId="1">
    <w:abstractNumId w:val="5"/>
  </w:num>
  <w:num w:numId="2">
    <w:abstractNumId w:val="5"/>
  </w:num>
  <w:num w:numId="3">
    <w:abstractNumId w:val="7"/>
  </w:num>
  <w:num w:numId="4">
    <w:abstractNumId w:val="7"/>
  </w:num>
  <w:num w:numId="5">
    <w:abstractNumId w:val="12"/>
  </w:num>
  <w:num w:numId="6">
    <w:abstractNumId w:val="12"/>
  </w:num>
  <w:num w:numId="7">
    <w:abstractNumId w:val="9"/>
  </w:num>
  <w:num w:numId="8">
    <w:abstractNumId w:val="9"/>
  </w:num>
  <w:num w:numId="9">
    <w:abstractNumId w:val="3"/>
  </w:num>
  <w:num w:numId="10">
    <w:abstractNumId w:val="3"/>
  </w:num>
  <w:num w:numId="11">
    <w:abstractNumId w:val="0"/>
  </w:num>
  <w:num w:numId="12">
    <w:abstractNumId w:val="0"/>
  </w:num>
  <w:num w:numId="13">
    <w:abstractNumId w:val="8"/>
  </w:num>
  <w:num w:numId="14">
    <w:abstractNumId w:val="8"/>
  </w:num>
  <w:num w:numId="15">
    <w:abstractNumId w:val="4"/>
  </w:num>
  <w:num w:numId="16">
    <w:abstractNumId w:val="4"/>
  </w:num>
  <w:num w:numId="17">
    <w:abstractNumId w:val="14"/>
  </w:num>
  <w:num w:numId="18">
    <w:abstractNumId w:val="14"/>
  </w:num>
  <w:num w:numId="19">
    <w:abstractNumId w:val="6"/>
  </w:num>
  <w:num w:numId="20">
    <w:abstractNumId w:val="6"/>
  </w:num>
  <w:num w:numId="21">
    <w:abstractNumId w:val="2"/>
  </w:num>
  <w:num w:numId="22">
    <w:abstractNumId w:val="2"/>
  </w:num>
  <w:num w:numId="23">
    <w:abstractNumId w:val="13"/>
  </w:num>
  <w:num w:numId="24">
    <w:abstractNumId w:val="13"/>
  </w:num>
  <w:num w:numId="25">
    <w:abstractNumId w:val="11"/>
  </w:num>
  <w:num w:numId="26">
    <w:abstractNumId w:val="11"/>
  </w:num>
  <w:num w:numId="27">
    <w:abstractNumId w:val="10"/>
  </w:num>
  <w:num w:numId="28">
    <w:abstractNumId w:val="10"/>
  </w:num>
  <w:num w:numId="29">
    <w:abstractNumId w:val="1"/>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817"/>
    <w:rsid w:val="00136D6F"/>
    <w:rsid w:val="001C7817"/>
    <w:rsid w:val="00502DB6"/>
    <w:rsid w:val="005E0657"/>
    <w:rsid w:val="006103BA"/>
    <w:rsid w:val="00782805"/>
    <w:rsid w:val="007925C9"/>
    <w:rsid w:val="00BC477E"/>
    <w:rsid w:val="00CE25EF"/>
    <w:rsid w:val="00E17BA8"/>
    <w:rsid w:val="00FA1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ACCD0F-3769-4479-941C-045BE2A50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C7817"/>
  </w:style>
  <w:style w:type="paragraph" w:customStyle="1" w:styleId="msonormal0">
    <w:name w:val="msonormal"/>
    <w:basedOn w:val="Normal"/>
    <w:rsid w:val="001C781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99"/>
    <w:qFormat/>
    <w:rsid w:val="001C7817"/>
    <w:pPr>
      <w:spacing w:before="100" w:beforeAutospacing="1" w:after="0" w:line="480" w:lineRule="auto"/>
      <w:ind w:left="720"/>
      <w:contextualSpacing/>
    </w:pPr>
    <w:rPr>
      <w:rFonts w:ascii="Times New Roman" w:eastAsia="SimSun" w:hAnsi="Times New Roman" w:cs="Times New Roman"/>
      <w:color w:val="000000"/>
      <w:sz w:val="20"/>
      <w:szCs w:val="20"/>
      <w:lang w:eastAsia="en-GB"/>
    </w:rPr>
  </w:style>
  <w:style w:type="paragraph" w:styleId="NormalWeb">
    <w:name w:val="Normal (Web)"/>
    <w:basedOn w:val="Normal"/>
    <w:uiPriority w:val="99"/>
    <w:semiHidden/>
    <w:unhideWhenUsed/>
    <w:rsid w:val="001C78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10">
    <w:name w:val="10"/>
    <w:basedOn w:val="DefaultParagraphFont"/>
    <w:rsid w:val="001C7817"/>
    <w:rPr>
      <w:rFonts w:ascii="Times New Roman" w:hAnsi="Times New Roman" w:cs="Times New Roman" w:hint="default"/>
    </w:rPr>
  </w:style>
  <w:style w:type="character" w:customStyle="1" w:styleId="15">
    <w:name w:val="15"/>
    <w:basedOn w:val="DefaultParagraphFont"/>
    <w:rsid w:val="001C7817"/>
    <w:rPr>
      <w:rFonts w:ascii="Times New Roman" w:hAnsi="Times New Roman" w:cs="Times New Roman" w:hint="default"/>
      <w:b/>
      <w:bCs/>
    </w:rPr>
  </w:style>
  <w:style w:type="character" w:customStyle="1" w:styleId="16">
    <w:name w:val="16"/>
    <w:basedOn w:val="DefaultParagraphFont"/>
    <w:rsid w:val="001C7817"/>
    <w:rPr>
      <w:rFonts w:ascii="Times New Roman" w:hAnsi="Times New Roman" w:cs="Times New Roman" w:hint="default"/>
      <w:color w:val="0000FF"/>
      <w:u w:val="single"/>
    </w:rPr>
  </w:style>
  <w:style w:type="character" w:customStyle="1" w:styleId="17">
    <w:name w:val="17"/>
    <w:basedOn w:val="DefaultParagraphFont"/>
    <w:rsid w:val="001C7817"/>
    <w:rPr>
      <w:rFonts w:ascii="Times New Roman" w:hAnsi="Times New Roman" w:cs="Times New Roman" w:hint="default"/>
      <w:i/>
      <w:iCs/>
    </w:rPr>
  </w:style>
  <w:style w:type="character" w:customStyle="1" w:styleId="18">
    <w:name w:val="18"/>
    <w:basedOn w:val="DefaultParagraphFont"/>
    <w:rsid w:val="001C7817"/>
    <w:rPr>
      <w:rFonts w:ascii="Times New Roman" w:hAnsi="Times New Roman" w:cs="Times New Roman" w:hint="default"/>
    </w:rPr>
  </w:style>
  <w:style w:type="character" w:customStyle="1" w:styleId="19">
    <w:name w:val="19"/>
    <w:basedOn w:val="DefaultParagraphFont"/>
    <w:rsid w:val="001C7817"/>
    <w:rPr>
      <w:rFonts w:ascii="Times New Roman" w:hAnsi="Times New Roman" w:cs="Times New Roman" w:hint="default"/>
    </w:rPr>
  </w:style>
  <w:style w:type="character" w:customStyle="1" w:styleId="20">
    <w:name w:val="20"/>
    <w:basedOn w:val="DefaultParagraphFont"/>
    <w:rsid w:val="001C7817"/>
    <w:rPr>
      <w:rFonts w:ascii="Times New Roman" w:hAnsi="Times New Roman" w:cs="Times New Roman" w:hint="default"/>
    </w:rPr>
  </w:style>
  <w:style w:type="character" w:customStyle="1" w:styleId="21">
    <w:name w:val="21"/>
    <w:basedOn w:val="DefaultParagraphFont"/>
    <w:rsid w:val="001C7817"/>
    <w:rPr>
      <w:rFonts w:ascii="Times New Roman" w:hAnsi="Times New Roman" w:cs="Times New Roman" w:hint="default"/>
    </w:rPr>
  </w:style>
  <w:style w:type="character" w:customStyle="1" w:styleId="22">
    <w:name w:val="22"/>
    <w:basedOn w:val="DefaultParagraphFont"/>
    <w:rsid w:val="001C7817"/>
    <w:rPr>
      <w:rFonts w:ascii="Times New Roman" w:hAnsi="Times New Roman" w:cs="Times New Roman" w:hint="default"/>
    </w:rPr>
  </w:style>
  <w:style w:type="character" w:customStyle="1" w:styleId="23">
    <w:name w:val="23"/>
    <w:basedOn w:val="DefaultParagraphFont"/>
    <w:rsid w:val="001C7817"/>
    <w:rPr>
      <w:rFonts w:ascii="Times New Roman" w:hAnsi="Times New Roman" w:cs="Times New Roman" w:hint="default"/>
    </w:rPr>
  </w:style>
  <w:style w:type="character" w:customStyle="1" w:styleId="24">
    <w:name w:val="24"/>
    <w:basedOn w:val="DefaultParagraphFont"/>
    <w:rsid w:val="001C7817"/>
    <w:rPr>
      <w:rFonts w:ascii="Times New Roman" w:hAnsi="Times New Roman" w:cs="Times New Roman" w:hint="default"/>
    </w:rPr>
  </w:style>
  <w:style w:type="table" w:styleId="TableGrid">
    <w:name w:val="Table Grid"/>
    <w:basedOn w:val="TableNormal"/>
    <w:uiPriority w:val="99"/>
    <w:unhideWhenUsed/>
    <w:rsid w:val="001C7817"/>
    <w:pPr>
      <w:spacing w:after="0" w:line="240" w:lineRule="auto"/>
    </w:pPr>
    <w:rPr>
      <w:rFonts w:ascii="Times New Roman" w:eastAsia="Times New Roman" w:hAnsi="Times New Roman" w:cs="Times New Roman"/>
      <w:color w:val="000000"/>
      <w:sz w:val="24"/>
      <w:szCs w:val="24"/>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7817"/>
    <w:rPr>
      <w:color w:val="0000FF"/>
      <w:u w:val="single"/>
    </w:rPr>
  </w:style>
  <w:style w:type="character" w:styleId="FollowedHyperlink">
    <w:name w:val="FollowedHyperlink"/>
    <w:basedOn w:val="DefaultParagraphFont"/>
    <w:uiPriority w:val="99"/>
    <w:unhideWhenUsed/>
    <w:rsid w:val="001C781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28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epmc.org/search?query=AUTH%3A%22A%20C%20Papageorgiou%22" TargetMode="External"/><Relationship Id="rId13" Type="http://schemas.openxmlformats.org/officeDocument/2006/relationships/hyperlink" Target="https://www.sciencedirect.com/topics/medicine-and-dentistry/pulmonary-valve-stenosis" TargetMode="External"/><Relationship Id="rId18" Type="http://schemas.openxmlformats.org/officeDocument/2006/relationships/hyperlink" Target="https://www.sciencedirect.com/topics/medicine-and-dentistry/hypoplastic-left-heart-syndrome" TargetMode="External"/><Relationship Id="rId26" Type="http://schemas.openxmlformats.org/officeDocument/2006/relationships/hyperlink" Target="javascript:;" TargetMode="External"/><Relationship Id="rId3" Type="http://schemas.openxmlformats.org/officeDocument/2006/relationships/settings" Target="settings.xml"/><Relationship Id="rId21" Type="http://schemas.openxmlformats.org/officeDocument/2006/relationships/hyperlink" Target="https://www.sciencedirect.com/topics/medicine-and-dentistry/great-arteries" TargetMode="External"/><Relationship Id="rId7" Type="http://schemas.openxmlformats.org/officeDocument/2006/relationships/hyperlink" Target="https://pubmed.ncbi.nlm.nih.gov/?term=Bjerg+L&amp;cauthor_id=30649599" TargetMode="External"/><Relationship Id="rId12" Type="http://schemas.openxmlformats.org/officeDocument/2006/relationships/hyperlink" Target="https://www.sciencedirect.com/topics/medicine-and-dentistry/patent-ductus-arteriosus" TargetMode="External"/><Relationship Id="rId17" Type="http://schemas.openxmlformats.org/officeDocument/2006/relationships/hyperlink" Target="https://www.sciencedirect.com/topics/medicine-and-dentistry/aortic-stenosis" TargetMode="External"/><Relationship Id="rId25" Type="http://schemas.openxmlformats.org/officeDocument/2006/relationships/hyperlink" Target="https://europepmc.org/search?query=AUTH%3A%22A%20C%20Papageorgiou%22" TargetMode="External"/><Relationship Id="rId2" Type="http://schemas.openxmlformats.org/officeDocument/2006/relationships/styles" Target="styles.xml"/><Relationship Id="rId16" Type="http://schemas.openxmlformats.org/officeDocument/2006/relationships/hyperlink" Target="https://www.sciencedirect.com/topics/medicine-and-dentistry/anomalous-pulmonary-venous-connection" TargetMode="External"/><Relationship Id="rId20" Type="http://schemas.openxmlformats.org/officeDocument/2006/relationships/hyperlink" Target="https://www.sciencedirect.com/topics/medicine-and-dentistry/tricuspid-atresia" TargetMode="External"/><Relationship Id="rId1" Type="http://schemas.openxmlformats.org/officeDocument/2006/relationships/numbering" Target="numbering.xml"/><Relationship Id="rId6" Type="http://schemas.openxmlformats.org/officeDocument/2006/relationships/hyperlink" Target="file:///C:\Users\neofl\Downloads\Burden%20of%20Rehab%20Disorders%2013-03-23.docx" TargetMode="External"/><Relationship Id="rId11" Type="http://schemas.openxmlformats.org/officeDocument/2006/relationships/hyperlink" Target="https://www.sciencedirect.com/topics/medicine-and-dentistry/atrial-septal-defect" TargetMode="External"/><Relationship Id="rId24" Type="http://schemas.openxmlformats.org/officeDocument/2006/relationships/hyperlink" Target="https://pubmed.ncbi.nlm.nih.gov/?term=Larsson+K&amp;cauthor_id=29347939" TargetMode="External"/><Relationship Id="rId5" Type="http://schemas.openxmlformats.org/officeDocument/2006/relationships/hyperlink" Target="file:///C:\Users\neofl\Downloads\Burden%20of%20Rehab%20Disorders%2013-03-23.docx" TargetMode="External"/><Relationship Id="rId15" Type="http://schemas.openxmlformats.org/officeDocument/2006/relationships/hyperlink" Target="https://www.sciencedirect.com/topics/medicine-and-dentistry/endocardial-cushion-defect" TargetMode="External"/><Relationship Id="rId23" Type="http://schemas.openxmlformats.org/officeDocument/2006/relationships/hyperlink" Target="https://pubmed.ncbi.nlm.nih.gov/?term=Bjerg+L&amp;cauthor_id=30649599" TargetMode="External"/><Relationship Id="rId28" Type="http://schemas.openxmlformats.org/officeDocument/2006/relationships/theme" Target="theme/theme1.xml"/><Relationship Id="rId10" Type="http://schemas.openxmlformats.org/officeDocument/2006/relationships/hyperlink" Target="https://www.sciencedirect.com/topics/medicine-and-dentistry/ventricular-septal-defect" TargetMode="External"/><Relationship Id="rId19" Type="http://schemas.openxmlformats.org/officeDocument/2006/relationships/hyperlink" Target="https://www.sciencedirect.com/topics/medicine-and-dentistry/ebsteins-anomaly" TargetMode="External"/><Relationship Id="rId4" Type="http://schemas.openxmlformats.org/officeDocument/2006/relationships/webSettings" Target="webSettings.xml"/><Relationship Id="rId9" Type="http://schemas.openxmlformats.org/officeDocument/2006/relationships/hyperlink" Target="javascript:;" TargetMode="External"/><Relationship Id="rId14" Type="http://schemas.openxmlformats.org/officeDocument/2006/relationships/hyperlink" Target="https://www.sciencedirect.com/topics/medicine-and-dentistry/tetralogy-of-fallot" TargetMode="External"/><Relationship Id="rId22" Type="http://schemas.openxmlformats.org/officeDocument/2006/relationships/hyperlink" Target="file:///C:\Users\neofl\Downloads\Burden%20of%20Rehab%20Disorders%2013-03-23.doc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12020</Words>
  <Characters>68516</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Echezona Ekechukwu</dc:creator>
  <cp:keywords/>
  <dc:description/>
  <cp:lastModifiedBy>Rajalakshmi Thangaraj</cp:lastModifiedBy>
  <cp:revision>2</cp:revision>
  <dcterms:created xsi:type="dcterms:W3CDTF">2024-10-30T05:18:00Z</dcterms:created>
  <dcterms:modified xsi:type="dcterms:W3CDTF">2024-12-18T08:09:00Z</dcterms:modified>
</cp:coreProperties>
</file>