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85290" w14:textId="77777777" w:rsidR="00BE1318" w:rsidRDefault="0041472C">
      <w:pPr>
        <w:rPr>
          <w:rFonts w:ascii="Times New Roman" w:hAnsi="Times New Roman" w:cs="Times New Roman"/>
          <w:sz w:val="24"/>
          <w:szCs w:val="28"/>
        </w:rPr>
      </w:pPr>
      <w:r>
        <w:rPr>
          <w:rFonts w:ascii="Times New Roman" w:hAnsi="Times New Roman" w:cs="Times New Roman" w:hint="eastAsia"/>
          <w:b/>
          <w:bCs/>
          <w:sz w:val="24"/>
          <w:szCs w:val="28"/>
        </w:rPr>
        <w:t>Table S1</w:t>
      </w:r>
      <w:r>
        <w:rPr>
          <w:rFonts w:ascii="Times New Roman" w:hAnsi="Times New Roman" w:cs="Times New Roman" w:hint="eastAsia"/>
          <w:b/>
          <w:bCs/>
          <w:sz w:val="24"/>
          <w:szCs w:val="28"/>
        </w:rPr>
        <w:t>.</w:t>
      </w:r>
      <w:r>
        <w:rPr>
          <w:rFonts w:ascii="Times New Roman" w:eastAsia="SimSun" w:hAnsi="Times New Roman" w:cs="Times New Roman"/>
          <w:b/>
          <w:bCs/>
          <w:spacing w:val="15"/>
          <w:kern w:val="0"/>
          <w:sz w:val="28"/>
          <w:szCs w:val="28"/>
        </w:rPr>
        <w:t xml:space="preserve"> </w:t>
      </w:r>
      <w:r>
        <w:rPr>
          <w:rFonts w:ascii="Times New Roman" w:hAnsi="Times New Roman" w:cs="Times New Roman" w:hint="eastAsia"/>
          <w:szCs w:val="21"/>
        </w:rPr>
        <w:t xml:space="preserve">Human X-linked immune-related genes and </w:t>
      </w:r>
      <w:r>
        <w:rPr>
          <w:rFonts w:ascii="Times New Roman" w:hAnsi="Times New Roman" w:cs="Times New Roman" w:hint="eastAsia"/>
          <w:szCs w:val="21"/>
        </w:rPr>
        <w:t>e</w:t>
      </w:r>
      <w:r>
        <w:rPr>
          <w:rFonts w:ascii="Times New Roman" w:hAnsi="Times New Roman" w:cs="Times New Roman" w:hint="eastAsia"/>
          <w:szCs w:val="21"/>
        </w:rPr>
        <w:t>scape</w:t>
      </w:r>
      <w:r>
        <w:rPr>
          <w:rFonts w:ascii="Times New Roman" w:hAnsi="Times New Roman" w:cs="Times New Roman" w:hint="eastAsia"/>
          <w:szCs w:val="21"/>
        </w:rPr>
        <w:t xml:space="preserve"> from X Chromosome Inactivation</w:t>
      </w:r>
      <w:r>
        <w:rPr>
          <w:rFonts w:ascii="Times New Roman" w:hAnsi="Times New Roman" w:cs="Times New Roman" w:hint="eastAsia"/>
          <w:szCs w:val="21"/>
        </w:rPr>
        <w:t xml:space="preserve"> (</w:t>
      </w:r>
      <w:r>
        <w:rPr>
          <w:rFonts w:ascii="Times New Roman" w:hAnsi="Times New Roman" w:cs="Times New Roman" w:hint="eastAsia"/>
          <w:szCs w:val="21"/>
        </w:rPr>
        <w:t>XCI</w:t>
      </w:r>
      <w:r>
        <w:rPr>
          <w:rFonts w:ascii="Times New Roman" w:hAnsi="Times New Roman" w:cs="Times New Roman" w:hint="eastAsia"/>
          <w:szCs w:val="21"/>
        </w:rPr>
        <w:t>)</w:t>
      </w:r>
      <w:r>
        <w:rPr>
          <w:rFonts w:ascii="Times New Roman" w:hAnsi="Times New Roman" w:cs="Times New Roman"/>
          <w:szCs w:val="21"/>
        </w:rPr>
        <w:t>.</w:t>
      </w:r>
    </w:p>
    <w:tbl>
      <w:tblPr>
        <w:tblpPr w:leftFromText="180" w:rightFromText="180" w:vertAnchor="text" w:horzAnchor="page" w:tblpX="1955" w:tblpY="157"/>
        <w:tblW w:w="8285" w:type="dxa"/>
        <w:tblBorders>
          <w:top w:val="single" w:sz="4" w:space="0" w:color="auto"/>
        </w:tblBorders>
        <w:tblLayout w:type="fixed"/>
        <w:tblLook w:val="04A0" w:firstRow="1" w:lastRow="0" w:firstColumn="1" w:lastColumn="0" w:noHBand="0" w:noVBand="1"/>
      </w:tblPr>
      <w:tblGrid>
        <w:gridCol w:w="887"/>
        <w:gridCol w:w="1211"/>
        <w:gridCol w:w="903"/>
        <w:gridCol w:w="5284"/>
      </w:tblGrid>
      <w:tr w:rsidR="00BE1318" w14:paraId="712F990B" w14:textId="77777777">
        <w:trPr>
          <w:trHeight w:val="626"/>
          <w:tblHeader/>
        </w:trPr>
        <w:tc>
          <w:tcPr>
            <w:tcW w:w="887" w:type="dxa"/>
          </w:tcPr>
          <w:p w14:paraId="5CF32C96" w14:textId="77777777" w:rsidR="00BE1318" w:rsidRDefault="0041472C">
            <w:pPr>
              <w:pStyle w:val="40"/>
              <w:spacing w:beforeLines="50" w:before="156" w:afterLines="50" w:after="156" w:line="240" w:lineRule="auto"/>
              <w:ind w:firstLineChars="0" w:firstLine="0"/>
              <w:jc w:val="left"/>
              <w:rPr>
                <w:rFonts w:ascii="Times New Roman" w:hAnsi="Times New Roman" w:cs="Times New Roman"/>
                <w:b/>
                <w:color w:val="000000"/>
                <w:sz w:val="18"/>
                <w:szCs w:val="18"/>
              </w:rPr>
            </w:pPr>
            <w:r>
              <w:rPr>
                <w:rFonts w:ascii="Times New Roman" w:hAnsi="Times New Roman" w:cs="Times New Roman"/>
                <w:b/>
                <w:color w:val="000000"/>
                <w:sz w:val="18"/>
                <w:szCs w:val="18"/>
              </w:rPr>
              <w:t>Gene ID</w:t>
            </w:r>
          </w:p>
        </w:tc>
        <w:tc>
          <w:tcPr>
            <w:tcW w:w="1211" w:type="dxa"/>
          </w:tcPr>
          <w:p w14:paraId="348357C4" w14:textId="77777777" w:rsidR="00BE1318" w:rsidRDefault="0041472C">
            <w:pPr>
              <w:pStyle w:val="40"/>
              <w:spacing w:beforeLines="50" w:before="156" w:afterLines="50" w:after="156" w:line="240" w:lineRule="auto"/>
              <w:ind w:firstLineChars="0" w:firstLine="0"/>
              <w:jc w:val="left"/>
              <w:rPr>
                <w:rFonts w:ascii="Times New Roman" w:hAnsi="Times New Roman" w:cs="Times New Roman"/>
                <w:b/>
                <w:color w:val="000000"/>
                <w:sz w:val="18"/>
                <w:szCs w:val="18"/>
              </w:rPr>
            </w:pPr>
            <w:r>
              <w:rPr>
                <w:rFonts w:ascii="Times New Roman" w:hAnsi="Times New Roman" w:cs="Times New Roman"/>
                <w:b/>
                <w:color w:val="000000"/>
                <w:sz w:val="18"/>
                <w:szCs w:val="18"/>
              </w:rPr>
              <w:t>Gene</w:t>
            </w:r>
            <w:r>
              <w:rPr>
                <w:rFonts w:ascii="Times New Roman" w:hAnsi="Times New Roman" w:cs="Times New Roman"/>
                <w:b/>
                <w:color w:val="000000"/>
                <w:sz w:val="18"/>
                <w:szCs w:val="18"/>
              </w:rPr>
              <w:t xml:space="preserve"> </w:t>
            </w:r>
            <w:r>
              <w:rPr>
                <w:rFonts w:ascii="Times New Roman" w:hAnsi="Times New Roman" w:cs="Times New Roman"/>
                <w:b/>
                <w:color w:val="000000"/>
                <w:sz w:val="18"/>
                <w:szCs w:val="18"/>
              </w:rPr>
              <w:t>names</w:t>
            </w:r>
          </w:p>
        </w:tc>
        <w:tc>
          <w:tcPr>
            <w:tcW w:w="903" w:type="dxa"/>
          </w:tcPr>
          <w:p w14:paraId="11EE1605" w14:textId="77777777" w:rsidR="00BE1318" w:rsidRDefault="0041472C">
            <w:pPr>
              <w:pStyle w:val="40"/>
              <w:spacing w:beforeLines="50" w:before="156" w:afterLines="50" w:after="156" w:line="240" w:lineRule="auto"/>
              <w:ind w:firstLineChars="0" w:firstLine="0"/>
              <w:jc w:val="left"/>
              <w:rPr>
                <w:rFonts w:ascii="Times New Roman" w:hAnsi="Times New Roman" w:cs="Times New Roman"/>
                <w:b/>
                <w:color w:val="000000"/>
                <w:sz w:val="18"/>
                <w:szCs w:val="18"/>
              </w:rPr>
            </w:pPr>
            <w:r>
              <w:rPr>
                <w:rFonts w:ascii="Times New Roman" w:hAnsi="Times New Roman" w:cs="Times New Roman"/>
                <w:b/>
                <w:color w:val="000000"/>
                <w:sz w:val="18"/>
                <w:szCs w:val="18"/>
              </w:rPr>
              <w:t>L</w:t>
            </w:r>
            <w:r>
              <w:rPr>
                <w:rFonts w:ascii="Times New Roman" w:hAnsi="Times New Roman" w:cs="Times New Roman"/>
                <w:b/>
                <w:color w:val="000000"/>
                <w:sz w:val="18"/>
                <w:szCs w:val="18"/>
              </w:rPr>
              <w:t>ocated</w:t>
            </w:r>
          </w:p>
        </w:tc>
        <w:tc>
          <w:tcPr>
            <w:tcW w:w="5284" w:type="dxa"/>
          </w:tcPr>
          <w:p w14:paraId="0819B157" w14:textId="77777777" w:rsidR="00BE1318" w:rsidRDefault="0041472C">
            <w:pPr>
              <w:pStyle w:val="40"/>
              <w:spacing w:beforeLines="50" w:before="156" w:afterLines="50" w:after="156" w:line="240" w:lineRule="auto"/>
              <w:ind w:firstLineChars="0" w:firstLine="0"/>
              <w:jc w:val="left"/>
              <w:rPr>
                <w:rFonts w:ascii="Times New Roman" w:hAnsi="Times New Roman" w:cs="Times New Roman"/>
                <w:b/>
                <w:color w:val="000000"/>
                <w:sz w:val="18"/>
                <w:szCs w:val="18"/>
              </w:rPr>
            </w:pPr>
            <w:r>
              <w:rPr>
                <w:rFonts w:ascii="Times New Roman" w:hAnsi="Times New Roman" w:cs="Times New Roman"/>
                <w:b/>
                <w:color w:val="000000"/>
                <w:sz w:val="18"/>
                <w:szCs w:val="18"/>
              </w:rPr>
              <w:t>K</w:t>
            </w:r>
            <w:r>
              <w:rPr>
                <w:rFonts w:ascii="Times New Roman" w:hAnsi="Times New Roman" w:cs="Times New Roman"/>
                <w:b/>
                <w:color w:val="000000"/>
                <w:sz w:val="18"/>
                <w:szCs w:val="18"/>
              </w:rPr>
              <w:t>nown</w:t>
            </w:r>
            <w:r>
              <w:rPr>
                <w:rFonts w:ascii="Times New Roman" w:hAnsi="Times New Roman" w:cs="Times New Roman"/>
                <w:b/>
                <w:color w:val="000000"/>
                <w:sz w:val="18"/>
                <w:szCs w:val="18"/>
              </w:rPr>
              <w:t xml:space="preserve"> or </w:t>
            </w:r>
            <w:r>
              <w:rPr>
                <w:rFonts w:ascii="Times New Roman" w:hAnsi="Times New Roman" w:cs="Times New Roman"/>
                <w:b/>
                <w:color w:val="000000"/>
                <w:sz w:val="18"/>
                <w:szCs w:val="18"/>
              </w:rPr>
              <w:t>potential role</w:t>
            </w:r>
            <w:r>
              <w:rPr>
                <w:rFonts w:ascii="Times New Roman" w:hAnsi="Times New Roman" w:cs="Times New Roman"/>
                <w:b/>
                <w:color w:val="000000"/>
                <w:sz w:val="18"/>
                <w:szCs w:val="18"/>
              </w:rPr>
              <w:t xml:space="preserve"> in immune</w:t>
            </w:r>
          </w:p>
        </w:tc>
      </w:tr>
      <w:tr w:rsidR="00BE1318" w14:paraId="43F14E50" w14:textId="77777777">
        <w:trPr>
          <w:trHeight w:val="1171"/>
        </w:trPr>
        <w:tc>
          <w:tcPr>
            <w:tcW w:w="887" w:type="dxa"/>
          </w:tcPr>
          <w:p w14:paraId="0A667CF5"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64109</w:t>
            </w:r>
          </w:p>
        </w:tc>
        <w:tc>
          <w:tcPr>
            <w:tcW w:w="1211" w:type="dxa"/>
          </w:tcPr>
          <w:p w14:paraId="7384A979" w14:textId="77777777" w:rsidR="00BE1318" w:rsidRDefault="0041472C">
            <w:pPr>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CRLF2</w:t>
            </w:r>
          </w:p>
        </w:tc>
        <w:tc>
          <w:tcPr>
            <w:tcW w:w="903" w:type="dxa"/>
          </w:tcPr>
          <w:p w14:paraId="42A42098" w14:textId="77777777" w:rsidR="00BE1318" w:rsidRDefault="0041472C">
            <w:pPr>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Xp22.33</w:t>
            </w:r>
          </w:p>
        </w:tc>
        <w:tc>
          <w:tcPr>
            <w:tcW w:w="5284" w:type="dxa"/>
          </w:tcPr>
          <w:p w14:paraId="0A80EE2F"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 xml:space="preserve">This </w:t>
            </w:r>
            <w:proofErr w:type="spellStart"/>
            <w:r>
              <w:rPr>
                <w:rFonts w:ascii="Times New Roman" w:hAnsi="Times New Roman" w:cs="Times New Roman"/>
                <w:color w:val="000000"/>
                <w:sz w:val="18"/>
                <w:szCs w:val="18"/>
                <w:lang w:val="fr-FR"/>
              </w:rPr>
              <w:t>gene</w:t>
            </w:r>
            <w:proofErr w:type="spellEnd"/>
            <w:r>
              <w:rPr>
                <w:rFonts w:ascii="Times New Roman" w:hAnsi="Times New Roman" w:cs="Times New Roman"/>
                <w:color w:val="000000"/>
                <w:sz w:val="18"/>
                <w:szCs w:val="18"/>
                <w:lang w:val="fr-FR"/>
              </w:rPr>
              <w:t xml:space="preserve"> encodes a </w:t>
            </w:r>
            <w:proofErr w:type="spellStart"/>
            <w:r>
              <w:rPr>
                <w:rFonts w:ascii="Times New Roman" w:hAnsi="Times New Roman" w:cs="Times New Roman"/>
                <w:color w:val="000000"/>
                <w:sz w:val="18"/>
                <w:szCs w:val="18"/>
                <w:lang w:val="fr-FR"/>
              </w:rPr>
              <w:t>receptor</w:t>
            </w:r>
            <w:proofErr w:type="spellEnd"/>
            <w:r>
              <w:rPr>
                <w:rFonts w:ascii="Times New Roman" w:hAnsi="Times New Roman" w:cs="Times New Roman"/>
                <w:color w:val="000000"/>
                <w:sz w:val="18"/>
                <w:szCs w:val="18"/>
                <w:lang w:val="fr-FR"/>
              </w:rPr>
              <w:t xml:space="preserve"> for </w:t>
            </w:r>
            <w:proofErr w:type="spellStart"/>
            <w:r>
              <w:rPr>
                <w:rFonts w:ascii="Times New Roman" w:hAnsi="Times New Roman" w:cs="Times New Roman"/>
                <w:color w:val="000000"/>
                <w:sz w:val="18"/>
                <w:szCs w:val="18"/>
                <w:lang w:val="fr-FR"/>
              </w:rPr>
              <w:t>thymic</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stromal</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lymphopoietin</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activating</w:t>
            </w:r>
            <w:proofErr w:type="spellEnd"/>
            <w:r>
              <w:rPr>
                <w:rFonts w:ascii="Times New Roman" w:hAnsi="Times New Roman" w:cs="Times New Roman"/>
                <w:color w:val="000000"/>
                <w:sz w:val="18"/>
                <w:szCs w:val="18"/>
                <w:lang w:val="fr-FR"/>
              </w:rPr>
              <w:t xml:space="preserve"> </w:t>
            </w:r>
            <w:r>
              <w:rPr>
                <w:rFonts w:ascii="Times New Roman" w:hAnsi="Times New Roman" w:cs="Times New Roman"/>
                <w:color w:val="000000"/>
                <w:sz w:val="18"/>
                <w:szCs w:val="18"/>
                <w:lang w:val="fr-FR"/>
              </w:rPr>
              <w:t xml:space="preserve">STAT3, STAT5, and JAK2 </w:t>
            </w:r>
            <w:proofErr w:type="spellStart"/>
            <w:r>
              <w:rPr>
                <w:rFonts w:ascii="Times New Roman" w:hAnsi="Times New Roman" w:cs="Times New Roman"/>
                <w:color w:val="000000"/>
                <w:sz w:val="18"/>
                <w:szCs w:val="18"/>
                <w:lang w:val="fr-FR"/>
              </w:rPr>
              <w:t>pathways</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which</w:t>
            </w:r>
            <w:proofErr w:type="spellEnd"/>
            <w:r>
              <w:rPr>
                <w:rFonts w:ascii="Times New Roman" w:hAnsi="Times New Roman" w:cs="Times New Roman"/>
                <w:color w:val="000000"/>
                <w:sz w:val="18"/>
                <w:szCs w:val="18"/>
                <w:lang w:val="fr-FR"/>
              </w:rPr>
              <w:t xml:space="preserve"> control </w:t>
            </w:r>
            <w:proofErr w:type="spellStart"/>
            <w:r>
              <w:rPr>
                <w:rFonts w:ascii="Times New Roman" w:hAnsi="Times New Roman" w:cs="Times New Roman"/>
                <w:color w:val="000000"/>
                <w:sz w:val="18"/>
                <w:szCs w:val="18"/>
                <w:lang w:val="fr-FR"/>
              </w:rPr>
              <w:t>processes</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such</w:t>
            </w:r>
            <w:proofErr w:type="spellEnd"/>
            <w:r>
              <w:rPr>
                <w:rFonts w:ascii="Times New Roman" w:hAnsi="Times New Roman" w:cs="Times New Roman"/>
                <w:color w:val="000000"/>
                <w:sz w:val="18"/>
                <w:szCs w:val="18"/>
                <w:lang w:val="fr-FR"/>
              </w:rPr>
              <w:t xml:space="preserve"> as </w:t>
            </w:r>
            <w:proofErr w:type="spellStart"/>
            <w:r>
              <w:rPr>
                <w:rFonts w:ascii="Times New Roman" w:hAnsi="Times New Roman" w:cs="Times New Roman"/>
                <w:color w:val="000000"/>
                <w:sz w:val="18"/>
                <w:szCs w:val="18"/>
                <w:lang w:val="fr-FR"/>
              </w:rPr>
              <w:t>cell</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proliferation</w:t>
            </w:r>
            <w:proofErr w:type="spellEnd"/>
            <w:r>
              <w:rPr>
                <w:rFonts w:ascii="Times New Roman" w:hAnsi="Times New Roman" w:cs="Times New Roman"/>
                <w:color w:val="000000"/>
                <w:sz w:val="18"/>
                <w:szCs w:val="18"/>
                <w:lang w:val="fr-FR"/>
              </w:rPr>
              <w:t xml:space="preserve"> and </w:t>
            </w:r>
            <w:proofErr w:type="spellStart"/>
            <w:r>
              <w:rPr>
                <w:rFonts w:ascii="Times New Roman" w:hAnsi="Times New Roman" w:cs="Times New Roman"/>
                <w:color w:val="000000"/>
                <w:sz w:val="18"/>
                <w:szCs w:val="18"/>
                <w:lang w:val="fr-FR"/>
              </w:rPr>
              <w:t>hematopoietic</w:t>
            </w:r>
            <w:proofErr w:type="spellEnd"/>
            <w:r>
              <w:rPr>
                <w:rFonts w:ascii="Times New Roman" w:hAnsi="Times New Roman" w:cs="Times New Roman"/>
                <w:color w:val="000000"/>
                <w:sz w:val="18"/>
                <w:szCs w:val="18"/>
                <w:lang w:val="fr-FR"/>
              </w:rPr>
              <w:t xml:space="preserve"> system </w:t>
            </w:r>
            <w:bookmarkStart w:id="0" w:name="_GoBack"/>
            <w:bookmarkEnd w:id="0"/>
            <w:proofErr w:type="spellStart"/>
            <w:r>
              <w:rPr>
                <w:rFonts w:ascii="Times New Roman" w:hAnsi="Times New Roman" w:cs="Times New Roman"/>
                <w:color w:val="000000"/>
                <w:sz w:val="18"/>
                <w:szCs w:val="18"/>
                <w:lang w:val="fr-FR"/>
              </w:rPr>
              <w:t>development</w:t>
            </w:r>
            <w:proofErr w:type="spellEnd"/>
            <w:r>
              <w:rPr>
                <w:rFonts w:ascii="Times New Roman" w:hAnsi="Times New Roman" w:cs="Times New Roman"/>
                <w:color w:val="000000"/>
                <w:sz w:val="18"/>
                <w:szCs w:val="18"/>
                <w:lang w:val="fr-FR"/>
              </w:rPr>
              <w:t>.</w:t>
            </w:r>
          </w:p>
        </w:tc>
      </w:tr>
      <w:tr w:rsidR="00BE1318" w14:paraId="1B5CBC3F" w14:textId="77777777">
        <w:trPr>
          <w:trHeight w:val="90"/>
        </w:trPr>
        <w:tc>
          <w:tcPr>
            <w:tcW w:w="887" w:type="dxa"/>
          </w:tcPr>
          <w:p w14:paraId="2EF7796B"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1438</w:t>
            </w:r>
          </w:p>
          <w:p w14:paraId="5C49F7C5" w14:textId="77777777" w:rsidR="00BE1318" w:rsidRDefault="00BE1318">
            <w:pPr>
              <w:widowControl/>
              <w:spacing w:beforeLines="10" w:before="31" w:afterLines="10" w:after="31" w:line="72" w:lineRule="auto"/>
              <w:jc w:val="left"/>
              <w:rPr>
                <w:rFonts w:ascii="Times New Roman" w:hAnsi="Times New Roman" w:cs="Times New Roman"/>
                <w:color w:val="000000"/>
                <w:sz w:val="18"/>
                <w:szCs w:val="18"/>
              </w:rPr>
            </w:pPr>
          </w:p>
        </w:tc>
        <w:tc>
          <w:tcPr>
            <w:tcW w:w="1211" w:type="dxa"/>
          </w:tcPr>
          <w:p w14:paraId="335E06F5" w14:textId="77777777" w:rsidR="00BE1318" w:rsidRDefault="0041472C">
            <w:pPr>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CSF2RA</w:t>
            </w:r>
          </w:p>
          <w:p w14:paraId="4303E598" w14:textId="77777777" w:rsidR="00BE1318" w:rsidRDefault="00BE1318">
            <w:pPr>
              <w:spacing w:beforeLines="10" w:before="31" w:afterLines="10" w:after="31" w:line="72" w:lineRule="auto"/>
              <w:jc w:val="left"/>
              <w:rPr>
                <w:rFonts w:ascii="Times New Roman" w:hAnsi="Times New Roman" w:cs="Times New Roman"/>
                <w:color w:val="000000"/>
                <w:sz w:val="18"/>
                <w:szCs w:val="18"/>
                <w:lang w:val="fr-FR"/>
              </w:rPr>
            </w:pPr>
          </w:p>
        </w:tc>
        <w:tc>
          <w:tcPr>
            <w:tcW w:w="903" w:type="dxa"/>
          </w:tcPr>
          <w:p w14:paraId="1A3C6E99" w14:textId="77777777" w:rsidR="00BE1318" w:rsidRDefault="0041472C">
            <w:pPr>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Xp22.1</w:t>
            </w:r>
          </w:p>
          <w:p w14:paraId="16C5C0A1" w14:textId="77777777" w:rsidR="00BE1318" w:rsidRDefault="00BE1318">
            <w:pPr>
              <w:spacing w:beforeLines="10" w:before="31" w:afterLines="10" w:after="31" w:line="72" w:lineRule="auto"/>
              <w:jc w:val="left"/>
              <w:rPr>
                <w:rFonts w:ascii="Times New Roman" w:hAnsi="Times New Roman" w:cs="Times New Roman"/>
                <w:color w:val="000000"/>
                <w:sz w:val="18"/>
                <w:szCs w:val="18"/>
                <w:lang w:val="fr-FR"/>
              </w:rPr>
            </w:pPr>
          </w:p>
        </w:tc>
        <w:tc>
          <w:tcPr>
            <w:tcW w:w="5284" w:type="dxa"/>
          </w:tcPr>
          <w:p w14:paraId="7D9722DB"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 xml:space="preserve">This </w:t>
            </w:r>
            <w:proofErr w:type="spellStart"/>
            <w:r>
              <w:rPr>
                <w:rFonts w:ascii="Times New Roman" w:hAnsi="Times New Roman" w:cs="Times New Roman"/>
                <w:color w:val="000000"/>
                <w:sz w:val="18"/>
                <w:szCs w:val="18"/>
                <w:lang w:val="fr-FR"/>
              </w:rPr>
              <w:t>gene</w:t>
            </w:r>
            <w:proofErr w:type="spellEnd"/>
            <w:r>
              <w:rPr>
                <w:rFonts w:ascii="Times New Roman" w:hAnsi="Times New Roman" w:cs="Times New Roman"/>
                <w:color w:val="000000"/>
                <w:sz w:val="18"/>
                <w:szCs w:val="18"/>
                <w:lang w:val="fr-FR"/>
              </w:rPr>
              <w:t xml:space="preserve"> encodes the alpha </w:t>
            </w:r>
            <w:proofErr w:type="spellStart"/>
            <w:r>
              <w:rPr>
                <w:rFonts w:ascii="Times New Roman" w:hAnsi="Times New Roman" w:cs="Times New Roman"/>
                <w:color w:val="000000"/>
                <w:sz w:val="18"/>
                <w:szCs w:val="18"/>
                <w:lang w:val="fr-FR"/>
              </w:rPr>
              <w:t>subunit</w:t>
            </w:r>
            <w:proofErr w:type="spellEnd"/>
            <w:r>
              <w:rPr>
                <w:rFonts w:ascii="Times New Roman" w:hAnsi="Times New Roman" w:cs="Times New Roman"/>
                <w:color w:val="000000"/>
                <w:sz w:val="18"/>
                <w:szCs w:val="18"/>
                <w:lang w:val="fr-FR"/>
              </w:rPr>
              <w:t xml:space="preserve"> of the </w:t>
            </w:r>
            <w:proofErr w:type="spellStart"/>
            <w:r>
              <w:rPr>
                <w:rFonts w:ascii="Times New Roman" w:hAnsi="Times New Roman" w:cs="Times New Roman"/>
                <w:color w:val="000000"/>
                <w:sz w:val="18"/>
                <w:szCs w:val="18"/>
                <w:lang w:val="fr-FR"/>
              </w:rPr>
              <w:t>heterodimeric</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receptor</w:t>
            </w:r>
            <w:proofErr w:type="spellEnd"/>
            <w:r>
              <w:rPr>
                <w:rFonts w:ascii="Times New Roman" w:hAnsi="Times New Roman" w:cs="Times New Roman"/>
                <w:color w:val="000000"/>
                <w:sz w:val="18"/>
                <w:szCs w:val="18"/>
                <w:lang w:val="fr-FR"/>
              </w:rPr>
              <w:t xml:space="preserve"> for </w:t>
            </w:r>
            <w:proofErr w:type="spellStart"/>
            <w:r>
              <w:rPr>
                <w:rFonts w:ascii="Times New Roman" w:hAnsi="Times New Roman" w:cs="Times New Roman"/>
                <w:color w:val="000000"/>
                <w:sz w:val="18"/>
                <w:szCs w:val="18"/>
                <w:lang w:val="fr-FR"/>
              </w:rPr>
              <w:t>colony</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stimulating</w:t>
            </w:r>
            <w:proofErr w:type="spellEnd"/>
            <w:r>
              <w:rPr>
                <w:rFonts w:ascii="Times New Roman" w:hAnsi="Times New Roman" w:cs="Times New Roman"/>
                <w:color w:val="000000"/>
                <w:sz w:val="18"/>
                <w:szCs w:val="18"/>
                <w:lang w:val="fr-FR"/>
              </w:rPr>
              <w:t xml:space="preserve"> factor 2, </w:t>
            </w:r>
            <w:proofErr w:type="spellStart"/>
            <w:r>
              <w:rPr>
                <w:rFonts w:ascii="Times New Roman" w:hAnsi="Times New Roman" w:cs="Times New Roman"/>
                <w:color w:val="000000"/>
                <w:sz w:val="18"/>
                <w:szCs w:val="18"/>
                <w:lang w:val="fr-FR"/>
              </w:rPr>
              <w:t>controlling</w:t>
            </w:r>
            <w:proofErr w:type="spellEnd"/>
            <w:r>
              <w:rPr>
                <w:rFonts w:ascii="Times New Roman" w:hAnsi="Times New Roman" w:cs="Times New Roman"/>
                <w:color w:val="000000"/>
                <w:sz w:val="18"/>
                <w:szCs w:val="18"/>
                <w:lang w:val="fr-FR"/>
              </w:rPr>
              <w:t xml:space="preserve"> </w:t>
            </w:r>
            <w:r>
              <w:rPr>
                <w:rFonts w:ascii="Times New Roman" w:hAnsi="Times New Roman" w:cs="Times New Roman"/>
                <w:color w:val="000000"/>
                <w:sz w:val="18"/>
                <w:szCs w:val="18"/>
                <w:lang w:val="fr-FR"/>
              </w:rPr>
              <w:t xml:space="preserve">the production, </w:t>
            </w:r>
            <w:proofErr w:type="spellStart"/>
            <w:r>
              <w:rPr>
                <w:rFonts w:ascii="Times New Roman" w:hAnsi="Times New Roman" w:cs="Times New Roman"/>
                <w:color w:val="000000"/>
                <w:sz w:val="18"/>
                <w:szCs w:val="18"/>
                <w:lang w:val="fr-FR"/>
              </w:rPr>
              <w:t>differentiation</w:t>
            </w:r>
            <w:proofErr w:type="spellEnd"/>
            <w:r>
              <w:rPr>
                <w:rFonts w:ascii="Times New Roman" w:hAnsi="Times New Roman" w:cs="Times New Roman"/>
                <w:color w:val="000000"/>
                <w:sz w:val="18"/>
                <w:szCs w:val="18"/>
                <w:lang w:val="fr-FR"/>
              </w:rPr>
              <w:t xml:space="preserve">, and </w:t>
            </w:r>
            <w:proofErr w:type="spellStart"/>
            <w:r>
              <w:rPr>
                <w:rFonts w:ascii="Times New Roman" w:hAnsi="Times New Roman" w:cs="Times New Roman"/>
                <w:color w:val="000000"/>
                <w:sz w:val="18"/>
                <w:szCs w:val="18"/>
                <w:lang w:val="fr-FR"/>
              </w:rPr>
              <w:t>function</w:t>
            </w:r>
            <w:proofErr w:type="spellEnd"/>
            <w:r>
              <w:rPr>
                <w:rFonts w:ascii="Times New Roman" w:hAnsi="Times New Roman" w:cs="Times New Roman"/>
                <w:color w:val="000000"/>
                <w:sz w:val="18"/>
                <w:szCs w:val="18"/>
                <w:lang w:val="fr-FR"/>
              </w:rPr>
              <w:t xml:space="preserve"> of granulocytes and macrophages.</w:t>
            </w:r>
          </w:p>
        </w:tc>
      </w:tr>
      <w:tr w:rsidR="00BE1318" w14:paraId="10516C84" w14:textId="77777777">
        <w:trPr>
          <w:trHeight w:val="1273"/>
        </w:trPr>
        <w:tc>
          <w:tcPr>
            <w:tcW w:w="887" w:type="dxa"/>
          </w:tcPr>
          <w:p w14:paraId="78A00AF6"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3563</w:t>
            </w:r>
          </w:p>
        </w:tc>
        <w:tc>
          <w:tcPr>
            <w:tcW w:w="1211" w:type="dxa"/>
          </w:tcPr>
          <w:p w14:paraId="10262893" w14:textId="77777777" w:rsidR="00BE1318" w:rsidRDefault="0041472C">
            <w:pPr>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IL3RA</w:t>
            </w:r>
          </w:p>
        </w:tc>
        <w:tc>
          <w:tcPr>
            <w:tcW w:w="903" w:type="dxa"/>
          </w:tcPr>
          <w:p w14:paraId="675B490E" w14:textId="77777777" w:rsidR="00BE1318" w:rsidRDefault="0041472C">
            <w:pPr>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Xq24</w:t>
            </w:r>
          </w:p>
        </w:tc>
        <w:tc>
          <w:tcPr>
            <w:tcW w:w="5284" w:type="dxa"/>
          </w:tcPr>
          <w:p w14:paraId="04386D0B"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 xml:space="preserve">This </w:t>
            </w:r>
            <w:proofErr w:type="spellStart"/>
            <w:r>
              <w:rPr>
                <w:rFonts w:ascii="Times New Roman" w:hAnsi="Times New Roman" w:cs="Times New Roman"/>
                <w:color w:val="000000"/>
                <w:sz w:val="18"/>
                <w:szCs w:val="18"/>
                <w:lang w:val="fr-FR"/>
              </w:rPr>
              <w:t>gene</w:t>
            </w:r>
            <w:proofErr w:type="spellEnd"/>
            <w:r>
              <w:rPr>
                <w:rFonts w:ascii="Times New Roman" w:hAnsi="Times New Roman" w:cs="Times New Roman"/>
                <w:color w:val="000000"/>
                <w:sz w:val="18"/>
                <w:szCs w:val="18"/>
                <w:lang w:val="fr-FR"/>
              </w:rPr>
              <w:t xml:space="preserve"> encodes a </w:t>
            </w:r>
            <w:proofErr w:type="spellStart"/>
            <w:r>
              <w:rPr>
                <w:rFonts w:ascii="Times New Roman" w:hAnsi="Times New Roman" w:cs="Times New Roman"/>
                <w:color w:val="000000"/>
                <w:sz w:val="18"/>
                <w:szCs w:val="18"/>
                <w:lang w:val="fr-FR"/>
              </w:rPr>
              <w:t>subunit</w:t>
            </w:r>
            <w:proofErr w:type="spellEnd"/>
            <w:r>
              <w:rPr>
                <w:rFonts w:ascii="Times New Roman" w:hAnsi="Times New Roman" w:cs="Times New Roman"/>
                <w:color w:val="000000"/>
                <w:sz w:val="18"/>
                <w:szCs w:val="18"/>
                <w:lang w:val="fr-FR"/>
              </w:rPr>
              <w:t xml:space="preserve"> of a </w:t>
            </w:r>
            <w:proofErr w:type="spellStart"/>
            <w:r>
              <w:rPr>
                <w:rFonts w:ascii="Times New Roman" w:hAnsi="Times New Roman" w:cs="Times New Roman"/>
                <w:color w:val="000000"/>
                <w:sz w:val="18"/>
                <w:szCs w:val="18"/>
                <w:lang w:val="fr-FR"/>
              </w:rPr>
              <w:t>heterodimeric</w:t>
            </w:r>
            <w:proofErr w:type="spellEnd"/>
            <w:r>
              <w:rPr>
                <w:rFonts w:ascii="Times New Roman" w:hAnsi="Times New Roman" w:cs="Times New Roman"/>
                <w:color w:val="000000"/>
                <w:sz w:val="18"/>
                <w:szCs w:val="18"/>
                <w:lang w:val="fr-FR"/>
              </w:rPr>
              <w:t xml:space="preserve"> cytokine </w:t>
            </w:r>
            <w:proofErr w:type="spellStart"/>
            <w:r>
              <w:rPr>
                <w:rFonts w:ascii="Times New Roman" w:hAnsi="Times New Roman" w:cs="Times New Roman"/>
                <w:color w:val="000000"/>
                <w:sz w:val="18"/>
                <w:szCs w:val="18"/>
                <w:lang w:val="fr-FR"/>
              </w:rPr>
              <w:t>receptor</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that</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binds</w:t>
            </w:r>
            <w:proofErr w:type="spellEnd"/>
            <w:r>
              <w:rPr>
                <w:rFonts w:ascii="Times New Roman" w:hAnsi="Times New Roman" w:cs="Times New Roman"/>
                <w:color w:val="000000"/>
                <w:sz w:val="18"/>
                <w:szCs w:val="18"/>
                <w:lang w:val="fr-FR"/>
              </w:rPr>
              <w:t xml:space="preserve"> IL3. The </w:t>
            </w:r>
            <w:proofErr w:type="spellStart"/>
            <w:r>
              <w:rPr>
                <w:rFonts w:ascii="Times New Roman" w:hAnsi="Times New Roman" w:cs="Times New Roman"/>
                <w:color w:val="000000"/>
                <w:sz w:val="18"/>
                <w:szCs w:val="18"/>
                <w:lang w:val="fr-FR"/>
              </w:rPr>
              <w:t>receptor</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includes</w:t>
            </w:r>
            <w:proofErr w:type="spellEnd"/>
            <w:r>
              <w:rPr>
                <w:rFonts w:ascii="Times New Roman" w:hAnsi="Times New Roman" w:cs="Times New Roman"/>
                <w:color w:val="000000"/>
                <w:sz w:val="18"/>
                <w:szCs w:val="18"/>
                <w:lang w:val="fr-FR"/>
              </w:rPr>
              <w:t xml:space="preserve"> a ligand-</w:t>
            </w:r>
            <w:proofErr w:type="spellStart"/>
            <w:r>
              <w:rPr>
                <w:rFonts w:ascii="Times New Roman" w:hAnsi="Times New Roman" w:cs="Times New Roman"/>
                <w:color w:val="000000"/>
                <w:sz w:val="18"/>
                <w:szCs w:val="18"/>
                <w:lang w:val="fr-FR"/>
              </w:rPr>
              <w:t>specific</w:t>
            </w:r>
            <w:proofErr w:type="spellEnd"/>
            <w:r>
              <w:rPr>
                <w:rFonts w:ascii="Times New Roman" w:hAnsi="Times New Roman" w:cs="Times New Roman"/>
                <w:color w:val="000000"/>
                <w:sz w:val="18"/>
                <w:szCs w:val="18"/>
                <w:lang w:val="fr-FR"/>
              </w:rPr>
              <w:t xml:space="preserve"> α </w:t>
            </w:r>
            <w:proofErr w:type="spellStart"/>
            <w:r>
              <w:rPr>
                <w:rFonts w:ascii="Times New Roman" w:hAnsi="Times New Roman" w:cs="Times New Roman"/>
                <w:color w:val="000000"/>
                <w:sz w:val="18"/>
                <w:szCs w:val="18"/>
                <w:lang w:val="fr-FR"/>
              </w:rPr>
              <w:t>subunit</w:t>
            </w:r>
            <w:proofErr w:type="spellEnd"/>
            <w:r>
              <w:rPr>
                <w:rFonts w:ascii="Times New Roman" w:hAnsi="Times New Roman" w:cs="Times New Roman"/>
                <w:color w:val="000000"/>
                <w:sz w:val="18"/>
                <w:szCs w:val="18"/>
                <w:lang w:val="fr-FR"/>
              </w:rPr>
              <w:t xml:space="preserve"> and a signal-</w:t>
            </w:r>
            <w:proofErr w:type="spellStart"/>
            <w:r>
              <w:rPr>
                <w:rFonts w:ascii="Times New Roman" w:hAnsi="Times New Roman" w:cs="Times New Roman"/>
                <w:color w:val="000000"/>
                <w:sz w:val="18"/>
                <w:szCs w:val="18"/>
                <w:lang w:val="fr-FR"/>
              </w:rPr>
              <w:t>transducing</w:t>
            </w:r>
            <w:proofErr w:type="spellEnd"/>
            <w:r>
              <w:rPr>
                <w:rFonts w:ascii="Times New Roman" w:hAnsi="Times New Roman" w:cs="Times New Roman"/>
                <w:color w:val="000000"/>
                <w:sz w:val="18"/>
                <w:szCs w:val="18"/>
                <w:lang w:val="fr-FR"/>
              </w:rPr>
              <w:t xml:space="preserve"> β </w:t>
            </w:r>
            <w:proofErr w:type="spellStart"/>
            <w:r>
              <w:rPr>
                <w:rFonts w:ascii="Times New Roman" w:hAnsi="Times New Roman" w:cs="Times New Roman"/>
                <w:color w:val="000000"/>
                <w:sz w:val="18"/>
                <w:szCs w:val="18"/>
                <w:lang w:val="fr-FR"/>
              </w:rPr>
              <w:t>subunit</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shared</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with</w:t>
            </w:r>
            <w:proofErr w:type="spellEnd"/>
            <w:r>
              <w:rPr>
                <w:rFonts w:ascii="Times New Roman" w:hAnsi="Times New Roman" w:cs="Times New Roman"/>
                <w:color w:val="000000"/>
                <w:sz w:val="18"/>
                <w:szCs w:val="18"/>
                <w:lang w:val="fr-FR"/>
              </w:rPr>
              <w:t xml:space="preserve"> IL3, CSF2/GM-CSF, and IL5 </w:t>
            </w:r>
            <w:proofErr w:type="spellStart"/>
            <w:r>
              <w:rPr>
                <w:rFonts w:ascii="Times New Roman" w:hAnsi="Times New Roman" w:cs="Times New Roman"/>
                <w:color w:val="000000"/>
                <w:sz w:val="18"/>
                <w:szCs w:val="18"/>
                <w:lang w:val="fr-FR"/>
              </w:rPr>
              <w:t>receptors</w:t>
            </w:r>
            <w:proofErr w:type="spellEnd"/>
            <w:r>
              <w:rPr>
                <w:rFonts w:ascii="Times New Roman" w:hAnsi="Times New Roman" w:cs="Times New Roman"/>
                <w:color w:val="000000"/>
                <w:sz w:val="18"/>
                <w:szCs w:val="18"/>
                <w:lang w:val="fr-FR"/>
              </w:rPr>
              <w:t xml:space="preserve">. </w:t>
            </w:r>
          </w:p>
        </w:tc>
      </w:tr>
      <w:tr w:rsidR="00BE1318" w14:paraId="55CAE403" w14:textId="77777777">
        <w:trPr>
          <w:trHeight w:val="1294"/>
        </w:trPr>
        <w:tc>
          <w:tcPr>
            <w:tcW w:w="887" w:type="dxa"/>
          </w:tcPr>
          <w:p w14:paraId="02C94AFC"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8233</w:t>
            </w:r>
          </w:p>
        </w:tc>
        <w:tc>
          <w:tcPr>
            <w:tcW w:w="1211" w:type="dxa"/>
          </w:tcPr>
          <w:p w14:paraId="276C0568" w14:textId="77777777" w:rsidR="00BE1318" w:rsidRDefault="0041472C">
            <w:pPr>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ZRSR2</w:t>
            </w:r>
          </w:p>
        </w:tc>
        <w:tc>
          <w:tcPr>
            <w:tcW w:w="903" w:type="dxa"/>
          </w:tcPr>
          <w:p w14:paraId="74B3CF06" w14:textId="77777777" w:rsidR="00BE1318" w:rsidRDefault="0041472C">
            <w:pPr>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Xp22.2</w:t>
            </w:r>
          </w:p>
        </w:tc>
        <w:tc>
          <w:tcPr>
            <w:tcW w:w="5284" w:type="dxa"/>
          </w:tcPr>
          <w:p w14:paraId="7ADCDD3D"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lang w:val="fr-FR"/>
              </w:rPr>
            </w:pPr>
            <w:r>
              <w:rPr>
                <w:rFonts w:ascii="Times New Roman" w:hAnsi="Times New Roman" w:cs="Times New Roman"/>
                <w:color w:val="000000"/>
                <w:sz w:val="18"/>
                <w:szCs w:val="18"/>
                <w:lang w:val="fr-FR"/>
              </w:rPr>
              <w:t xml:space="preserve">This </w:t>
            </w:r>
            <w:proofErr w:type="spellStart"/>
            <w:r>
              <w:rPr>
                <w:rFonts w:ascii="Times New Roman" w:hAnsi="Times New Roman" w:cs="Times New Roman"/>
                <w:color w:val="000000"/>
                <w:sz w:val="18"/>
                <w:szCs w:val="18"/>
                <w:lang w:val="fr-FR"/>
              </w:rPr>
              <w:t>gene</w:t>
            </w:r>
            <w:proofErr w:type="spellEnd"/>
            <w:r>
              <w:rPr>
                <w:rFonts w:ascii="Times New Roman" w:hAnsi="Times New Roman" w:cs="Times New Roman"/>
                <w:color w:val="000000"/>
                <w:sz w:val="18"/>
                <w:szCs w:val="18"/>
                <w:lang w:val="fr-FR"/>
              </w:rPr>
              <w:t xml:space="preserve"> encodes a </w:t>
            </w:r>
            <w:proofErr w:type="spellStart"/>
            <w:r>
              <w:rPr>
                <w:rFonts w:ascii="Times New Roman" w:hAnsi="Times New Roman" w:cs="Times New Roman"/>
                <w:color w:val="000000"/>
                <w:sz w:val="18"/>
                <w:szCs w:val="18"/>
                <w:lang w:val="fr-FR"/>
              </w:rPr>
              <w:t>splicing</w:t>
            </w:r>
            <w:proofErr w:type="spellEnd"/>
            <w:r>
              <w:rPr>
                <w:rFonts w:ascii="Times New Roman" w:hAnsi="Times New Roman" w:cs="Times New Roman"/>
                <w:color w:val="000000"/>
                <w:sz w:val="18"/>
                <w:szCs w:val="18"/>
                <w:lang w:val="fr-FR"/>
              </w:rPr>
              <w:t xml:space="preserve"> factor </w:t>
            </w:r>
            <w:proofErr w:type="spellStart"/>
            <w:r>
              <w:rPr>
                <w:rFonts w:ascii="Times New Roman" w:hAnsi="Times New Roman" w:cs="Times New Roman"/>
                <w:color w:val="000000"/>
                <w:sz w:val="18"/>
                <w:szCs w:val="18"/>
                <w:lang w:val="fr-FR"/>
              </w:rPr>
              <w:t>that</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binds</w:t>
            </w:r>
            <w:proofErr w:type="spellEnd"/>
            <w:r>
              <w:rPr>
                <w:rFonts w:ascii="Times New Roman" w:hAnsi="Times New Roman" w:cs="Times New Roman"/>
                <w:color w:val="000000"/>
                <w:sz w:val="18"/>
                <w:szCs w:val="18"/>
                <w:lang w:val="fr-FR"/>
              </w:rPr>
              <w:t xml:space="preserve"> to the U2 </w:t>
            </w:r>
            <w:proofErr w:type="spellStart"/>
            <w:r>
              <w:rPr>
                <w:rFonts w:ascii="Times New Roman" w:hAnsi="Times New Roman" w:cs="Times New Roman"/>
                <w:color w:val="000000"/>
                <w:sz w:val="18"/>
                <w:szCs w:val="18"/>
                <w:lang w:val="fr-FR"/>
              </w:rPr>
              <w:t>auxiliary</w:t>
            </w:r>
            <w:proofErr w:type="spellEnd"/>
            <w:r>
              <w:rPr>
                <w:rFonts w:ascii="Times New Roman" w:hAnsi="Times New Roman" w:cs="Times New Roman"/>
                <w:color w:val="000000"/>
                <w:sz w:val="18"/>
                <w:szCs w:val="18"/>
                <w:lang w:val="fr-FR"/>
              </w:rPr>
              <w:t xml:space="preserve"> factor </w:t>
            </w:r>
            <w:proofErr w:type="spellStart"/>
            <w:r>
              <w:rPr>
                <w:rFonts w:ascii="Times New Roman" w:hAnsi="Times New Roman" w:cs="Times New Roman"/>
                <w:color w:val="000000"/>
                <w:sz w:val="18"/>
                <w:szCs w:val="18"/>
                <w:lang w:val="fr-FR"/>
              </w:rPr>
              <w:t>heterodimer</w:t>
            </w:r>
            <w:proofErr w:type="spellEnd"/>
            <w:r>
              <w:rPr>
                <w:rFonts w:ascii="Times New Roman" w:hAnsi="Times New Roman" w:cs="Times New Roman"/>
                <w:color w:val="000000"/>
                <w:sz w:val="18"/>
                <w:szCs w:val="18"/>
                <w:lang w:val="fr-FR"/>
              </w:rPr>
              <w:t xml:space="preserve"> to </w:t>
            </w:r>
            <w:proofErr w:type="spellStart"/>
            <w:r>
              <w:rPr>
                <w:rFonts w:ascii="Times New Roman" w:hAnsi="Times New Roman" w:cs="Times New Roman"/>
                <w:color w:val="000000"/>
                <w:sz w:val="18"/>
                <w:szCs w:val="18"/>
                <w:lang w:val="fr-FR"/>
              </w:rPr>
              <w:t>recognize</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functional</w:t>
            </w:r>
            <w:proofErr w:type="spellEnd"/>
            <w:r>
              <w:rPr>
                <w:rFonts w:ascii="Times New Roman" w:hAnsi="Times New Roman" w:cs="Times New Roman"/>
                <w:color w:val="000000"/>
                <w:sz w:val="18"/>
                <w:szCs w:val="18"/>
                <w:lang w:val="fr-FR"/>
              </w:rPr>
              <w:t xml:space="preserve"> 3' </w:t>
            </w:r>
            <w:proofErr w:type="spellStart"/>
            <w:r>
              <w:rPr>
                <w:rFonts w:ascii="Times New Roman" w:hAnsi="Times New Roman" w:cs="Times New Roman"/>
                <w:color w:val="000000"/>
                <w:sz w:val="18"/>
                <w:szCs w:val="18"/>
                <w:lang w:val="fr-FR"/>
              </w:rPr>
              <w:t>splice</w:t>
            </w:r>
            <w:proofErr w:type="spellEnd"/>
            <w:r>
              <w:rPr>
                <w:rFonts w:ascii="Times New Roman" w:hAnsi="Times New Roman" w:cs="Times New Roman"/>
                <w:color w:val="000000"/>
                <w:sz w:val="18"/>
                <w:szCs w:val="18"/>
                <w:lang w:val="fr-FR"/>
              </w:rPr>
              <w:t xml:space="preserve"> sites </w:t>
            </w:r>
            <w:proofErr w:type="spellStart"/>
            <w:r>
              <w:rPr>
                <w:rFonts w:ascii="Times New Roman" w:hAnsi="Times New Roman" w:cs="Times New Roman"/>
                <w:color w:val="000000"/>
                <w:sz w:val="18"/>
                <w:szCs w:val="18"/>
                <w:lang w:val="fr-FR"/>
              </w:rPr>
              <w:t>during</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pre-mRNA</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splicing</w:t>
            </w:r>
            <w:proofErr w:type="spellEnd"/>
            <w:r>
              <w:rPr>
                <w:rFonts w:ascii="Times New Roman" w:hAnsi="Times New Roman" w:cs="Times New Roman"/>
                <w:color w:val="000000"/>
                <w:sz w:val="18"/>
                <w:szCs w:val="18"/>
                <w:lang w:val="fr-FR"/>
              </w:rPr>
              <w:t xml:space="preserve">. By </w:t>
            </w:r>
            <w:proofErr w:type="spellStart"/>
            <w:r>
              <w:rPr>
                <w:rFonts w:ascii="Times New Roman" w:hAnsi="Times New Roman" w:cs="Times New Roman"/>
                <w:color w:val="000000"/>
                <w:sz w:val="18"/>
                <w:szCs w:val="18"/>
                <w:lang w:val="fr-FR"/>
              </w:rPr>
              <w:t>influencing</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biological</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processes</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such</w:t>
            </w:r>
            <w:proofErr w:type="spellEnd"/>
            <w:r>
              <w:rPr>
                <w:rFonts w:ascii="Times New Roman" w:hAnsi="Times New Roman" w:cs="Times New Roman"/>
                <w:color w:val="000000"/>
                <w:sz w:val="18"/>
                <w:szCs w:val="18"/>
                <w:lang w:val="fr-FR"/>
              </w:rPr>
              <w:t xml:space="preserve"> as signal transduction, </w:t>
            </w:r>
            <w:proofErr w:type="spellStart"/>
            <w:r>
              <w:rPr>
                <w:rFonts w:ascii="Times New Roman" w:hAnsi="Times New Roman" w:cs="Times New Roman"/>
                <w:color w:val="000000"/>
                <w:sz w:val="18"/>
                <w:szCs w:val="18"/>
                <w:lang w:val="fr-FR"/>
              </w:rPr>
              <w:t>cell</w:t>
            </w:r>
            <w:proofErr w:type="spellEnd"/>
            <w:r>
              <w:rPr>
                <w:rFonts w:ascii="Times New Roman" w:hAnsi="Times New Roman" w:cs="Times New Roman"/>
                <w:color w:val="000000"/>
                <w:sz w:val="18"/>
                <w:szCs w:val="18"/>
                <w:lang w:val="fr-FR"/>
              </w:rPr>
              <w:t xml:space="preserve"> cycle, and </w:t>
            </w:r>
            <w:proofErr w:type="spellStart"/>
            <w:r>
              <w:rPr>
                <w:rFonts w:ascii="Times New Roman" w:hAnsi="Times New Roman" w:cs="Times New Roman"/>
                <w:color w:val="000000"/>
                <w:sz w:val="18"/>
                <w:szCs w:val="18"/>
                <w:lang w:val="fr-FR"/>
              </w:rPr>
              <w:t>apoptosis</w:t>
            </w:r>
            <w:proofErr w:type="spellEnd"/>
            <w:r>
              <w:rPr>
                <w:rFonts w:ascii="Times New Roman" w:hAnsi="Times New Roman" w:cs="Times New Roman"/>
                <w:color w:val="000000"/>
                <w:sz w:val="18"/>
                <w:szCs w:val="18"/>
                <w:lang w:val="fr-FR"/>
              </w:rPr>
              <w:t xml:space="preserve"> in immune </w:t>
            </w:r>
            <w:proofErr w:type="spellStart"/>
            <w:r>
              <w:rPr>
                <w:rFonts w:ascii="Times New Roman" w:hAnsi="Times New Roman" w:cs="Times New Roman"/>
                <w:color w:val="000000"/>
                <w:sz w:val="18"/>
                <w:szCs w:val="18"/>
                <w:lang w:val="fr-FR"/>
              </w:rPr>
              <w:t>cells</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it</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regulates</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the</w:t>
            </w:r>
            <w:r>
              <w:rPr>
                <w:rFonts w:ascii="Times New Roman" w:hAnsi="Times New Roman" w:cs="Times New Roman"/>
                <w:color w:val="000000"/>
                <w:sz w:val="18"/>
                <w:szCs w:val="18"/>
                <w:lang w:val="fr-FR"/>
              </w:rPr>
              <w:t>ir</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function</w:t>
            </w:r>
            <w:proofErr w:type="spellEnd"/>
            <w:r>
              <w:rPr>
                <w:rFonts w:ascii="Times New Roman" w:hAnsi="Times New Roman" w:cs="Times New Roman"/>
                <w:color w:val="000000"/>
                <w:sz w:val="18"/>
                <w:szCs w:val="18"/>
                <w:lang w:val="fr-FR"/>
              </w:rPr>
              <w:t xml:space="preserve">. Mutations in the ZRSR2 </w:t>
            </w:r>
            <w:proofErr w:type="spellStart"/>
            <w:r>
              <w:rPr>
                <w:rFonts w:ascii="Times New Roman" w:hAnsi="Times New Roman" w:cs="Times New Roman"/>
                <w:color w:val="000000"/>
                <w:sz w:val="18"/>
                <w:szCs w:val="18"/>
                <w:lang w:val="fr-FR"/>
              </w:rPr>
              <w:t>gene</w:t>
            </w:r>
            <w:proofErr w:type="spellEnd"/>
            <w:r>
              <w:rPr>
                <w:rFonts w:ascii="Times New Roman" w:hAnsi="Times New Roman" w:cs="Times New Roman"/>
                <w:color w:val="000000"/>
                <w:sz w:val="18"/>
                <w:szCs w:val="18"/>
                <w:lang w:val="fr-FR"/>
              </w:rPr>
              <w:t xml:space="preserve"> have been </w:t>
            </w:r>
            <w:proofErr w:type="spellStart"/>
            <w:r>
              <w:rPr>
                <w:rFonts w:ascii="Times New Roman" w:hAnsi="Times New Roman" w:cs="Times New Roman"/>
                <w:color w:val="000000"/>
                <w:sz w:val="18"/>
                <w:szCs w:val="18"/>
                <w:lang w:val="fr-FR"/>
              </w:rPr>
              <w:t>associated</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with</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hematological</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disorders</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such</w:t>
            </w:r>
            <w:proofErr w:type="spellEnd"/>
            <w:r>
              <w:rPr>
                <w:rFonts w:ascii="Times New Roman" w:hAnsi="Times New Roman" w:cs="Times New Roman"/>
                <w:color w:val="000000"/>
                <w:sz w:val="18"/>
                <w:szCs w:val="18"/>
                <w:lang w:val="fr-FR"/>
              </w:rPr>
              <w:t xml:space="preserve"> as </w:t>
            </w:r>
            <w:proofErr w:type="spellStart"/>
            <w:r>
              <w:rPr>
                <w:rFonts w:ascii="Times New Roman" w:hAnsi="Times New Roman" w:cs="Times New Roman"/>
                <w:color w:val="000000"/>
                <w:sz w:val="18"/>
                <w:szCs w:val="18"/>
                <w:lang w:val="fr-FR"/>
              </w:rPr>
              <w:t>myelodysplastic</w:t>
            </w:r>
            <w:proofErr w:type="spellEnd"/>
            <w:r>
              <w:rPr>
                <w:rFonts w:ascii="Times New Roman" w:hAnsi="Times New Roman" w:cs="Times New Roman"/>
                <w:color w:val="000000"/>
                <w:sz w:val="18"/>
                <w:szCs w:val="18"/>
                <w:lang w:val="fr-FR"/>
              </w:rPr>
              <w:t xml:space="preserve"> syndromes and acute </w:t>
            </w:r>
            <w:proofErr w:type="spellStart"/>
            <w:r>
              <w:rPr>
                <w:rFonts w:ascii="Times New Roman" w:hAnsi="Times New Roman" w:cs="Times New Roman"/>
                <w:color w:val="000000"/>
                <w:sz w:val="18"/>
                <w:szCs w:val="18"/>
                <w:lang w:val="fr-FR"/>
              </w:rPr>
              <w:t>myeloid</w:t>
            </w:r>
            <w:proofErr w:type="spellEnd"/>
            <w:r>
              <w:rPr>
                <w:rFonts w:ascii="Times New Roman" w:hAnsi="Times New Roman" w:cs="Times New Roman"/>
                <w:color w:val="000000"/>
                <w:sz w:val="18"/>
                <w:szCs w:val="18"/>
                <w:lang w:val="fr-FR"/>
              </w:rPr>
              <w:t xml:space="preserve"> </w:t>
            </w:r>
            <w:proofErr w:type="spellStart"/>
            <w:r>
              <w:rPr>
                <w:rFonts w:ascii="Times New Roman" w:hAnsi="Times New Roman" w:cs="Times New Roman"/>
                <w:color w:val="000000"/>
                <w:sz w:val="18"/>
                <w:szCs w:val="18"/>
                <w:lang w:val="fr-FR"/>
              </w:rPr>
              <w:t>leukemia</w:t>
            </w:r>
            <w:proofErr w:type="spellEnd"/>
            <w:r>
              <w:rPr>
                <w:rFonts w:ascii="Times New Roman" w:hAnsi="Times New Roman" w:cs="Times New Roman"/>
                <w:color w:val="000000"/>
                <w:sz w:val="18"/>
                <w:szCs w:val="18"/>
                <w:lang w:val="fr-FR"/>
              </w:rPr>
              <w:t xml:space="preserve"> .</w:t>
            </w:r>
          </w:p>
        </w:tc>
      </w:tr>
      <w:tr w:rsidR="00BE1318" w14:paraId="248D1187" w14:textId="77777777">
        <w:trPr>
          <w:trHeight w:val="708"/>
        </w:trPr>
        <w:tc>
          <w:tcPr>
            <w:tcW w:w="887" w:type="dxa"/>
          </w:tcPr>
          <w:p w14:paraId="6B30B684"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51284</w:t>
            </w:r>
          </w:p>
        </w:tc>
        <w:tc>
          <w:tcPr>
            <w:tcW w:w="1211" w:type="dxa"/>
          </w:tcPr>
          <w:p w14:paraId="280FD075"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TLR7</w:t>
            </w:r>
          </w:p>
        </w:tc>
        <w:tc>
          <w:tcPr>
            <w:tcW w:w="903" w:type="dxa"/>
          </w:tcPr>
          <w:p w14:paraId="5F124C18"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Xq28</w:t>
            </w:r>
          </w:p>
        </w:tc>
        <w:tc>
          <w:tcPr>
            <w:tcW w:w="5284" w:type="dxa"/>
          </w:tcPr>
          <w:p w14:paraId="4F064637"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The gene encodes a member of the Toll-like receptor family, TLR7, which is closely </w:t>
            </w:r>
            <w:r>
              <w:rPr>
                <w:rFonts w:ascii="Times New Roman" w:hAnsi="Times New Roman" w:cs="Times New Roman"/>
                <w:color w:val="000000"/>
                <w:sz w:val="18"/>
                <w:szCs w:val="18"/>
              </w:rPr>
              <w:t>associated with interactions with immune cells such as B cells, dendritic cells, and T cells. It regulates the direction and strength of the immune response by influencing cytokine expression and the balance of cell subsets.</w:t>
            </w:r>
          </w:p>
        </w:tc>
      </w:tr>
      <w:tr w:rsidR="00BE1318" w14:paraId="7CAA66C4" w14:textId="77777777">
        <w:trPr>
          <w:trHeight w:val="679"/>
        </w:trPr>
        <w:tc>
          <w:tcPr>
            <w:tcW w:w="887" w:type="dxa"/>
          </w:tcPr>
          <w:p w14:paraId="00FFD67A"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51311</w:t>
            </w:r>
          </w:p>
        </w:tc>
        <w:tc>
          <w:tcPr>
            <w:tcW w:w="1211" w:type="dxa"/>
          </w:tcPr>
          <w:p w14:paraId="2EE0DFE8"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TLR8</w:t>
            </w:r>
          </w:p>
        </w:tc>
        <w:tc>
          <w:tcPr>
            <w:tcW w:w="903" w:type="dxa"/>
          </w:tcPr>
          <w:p w14:paraId="4C6E0F85"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Xp22.2</w:t>
            </w:r>
          </w:p>
        </w:tc>
        <w:tc>
          <w:tcPr>
            <w:tcW w:w="5284" w:type="dxa"/>
          </w:tcPr>
          <w:p w14:paraId="58885522"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TLR8 </w:t>
            </w:r>
            <w:r>
              <w:rPr>
                <w:rFonts w:ascii="Times New Roman" w:hAnsi="Times New Roman" w:cs="Times New Roman"/>
                <w:color w:val="000000"/>
                <w:sz w:val="18"/>
                <w:szCs w:val="18"/>
              </w:rPr>
              <w:t xml:space="preserve">significantly impacts immune cells by enhancing the function of regulatory T cells and glucose metabolism in cancer therapies, and its heightened expression in </w:t>
            </w:r>
            <w:proofErr w:type="spellStart"/>
            <w:r>
              <w:rPr>
                <w:rFonts w:ascii="Times New Roman" w:hAnsi="Times New Roman" w:cs="Times New Roman"/>
                <w:color w:val="000000"/>
                <w:sz w:val="18"/>
                <w:szCs w:val="18"/>
              </w:rPr>
              <w:t>plasmacytoid</w:t>
            </w:r>
            <w:proofErr w:type="spellEnd"/>
            <w:r>
              <w:rPr>
                <w:rFonts w:ascii="Times New Roman" w:hAnsi="Times New Roman" w:cs="Times New Roman"/>
                <w:color w:val="000000"/>
                <w:sz w:val="18"/>
                <w:szCs w:val="18"/>
              </w:rPr>
              <w:t xml:space="preserve"> dendritic cells and macrophages is linked to autoimmune conditions. In females, TLR</w:t>
            </w:r>
            <w:r>
              <w:rPr>
                <w:rFonts w:ascii="Times New Roman" w:hAnsi="Times New Roman" w:cs="Times New Roman"/>
                <w:color w:val="000000"/>
                <w:sz w:val="18"/>
                <w:szCs w:val="18"/>
              </w:rPr>
              <w:t>8's presence on both X chromosomes is crucial for the production of IgG autoantibodies, type I IFN expression, and neutrophil generation.</w:t>
            </w:r>
          </w:p>
        </w:tc>
      </w:tr>
      <w:tr w:rsidR="00BE1318" w14:paraId="0CA1F623" w14:textId="77777777">
        <w:trPr>
          <w:trHeight w:val="90"/>
        </w:trPr>
        <w:tc>
          <w:tcPr>
            <w:tcW w:w="887" w:type="dxa"/>
          </w:tcPr>
          <w:p w14:paraId="06CF5592"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50943</w:t>
            </w:r>
          </w:p>
        </w:tc>
        <w:tc>
          <w:tcPr>
            <w:tcW w:w="1211" w:type="dxa"/>
          </w:tcPr>
          <w:p w14:paraId="29A25AAB"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FOXP3</w:t>
            </w:r>
          </w:p>
        </w:tc>
        <w:tc>
          <w:tcPr>
            <w:tcW w:w="903" w:type="dxa"/>
          </w:tcPr>
          <w:p w14:paraId="79AA2DE4"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Xp11</w:t>
            </w:r>
          </w:p>
        </w:tc>
        <w:tc>
          <w:tcPr>
            <w:tcW w:w="5284" w:type="dxa"/>
          </w:tcPr>
          <w:p w14:paraId="035B87B2"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FOXP3 regulates immune functions, particularly in the development and function of </w:t>
            </w:r>
            <w:proofErr w:type="spellStart"/>
            <w:r>
              <w:rPr>
                <w:rFonts w:ascii="Times New Roman" w:hAnsi="Times New Roman" w:cs="Times New Roman"/>
                <w:color w:val="000000"/>
                <w:sz w:val="18"/>
                <w:szCs w:val="18"/>
              </w:rPr>
              <w:t>Treg</w:t>
            </w:r>
            <w:proofErr w:type="spellEnd"/>
            <w:r>
              <w:rPr>
                <w:rFonts w:ascii="Times New Roman" w:hAnsi="Times New Roman" w:cs="Times New Roman"/>
                <w:color w:val="000000"/>
                <w:sz w:val="18"/>
                <w:szCs w:val="18"/>
              </w:rPr>
              <w:t xml:space="preserve"> cells, with </w:t>
            </w:r>
            <w:r>
              <w:rPr>
                <w:rFonts w:ascii="Times New Roman" w:hAnsi="Times New Roman" w:cs="Times New Roman"/>
                <w:color w:val="000000"/>
                <w:sz w:val="18"/>
                <w:szCs w:val="18"/>
              </w:rPr>
              <w:t>its expression being controlled by the IL-2/</w:t>
            </w:r>
            <w:proofErr w:type="spellStart"/>
            <w:r>
              <w:rPr>
                <w:rFonts w:ascii="Times New Roman" w:hAnsi="Times New Roman" w:cs="Times New Roman"/>
                <w:color w:val="000000"/>
                <w:sz w:val="18"/>
                <w:szCs w:val="18"/>
              </w:rPr>
              <w:t>Jak</w:t>
            </w:r>
            <w:proofErr w:type="spellEnd"/>
            <w:r>
              <w:rPr>
                <w:rFonts w:ascii="Times New Roman" w:hAnsi="Times New Roman" w:cs="Times New Roman"/>
                <w:color w:val="000000"/>
                <w:sz w:val="18"/>
                <w:szCs w:val="18"/>
              </w:rPr>
              <w:t xml:space="preserve">/Stat pathway. Gender differences affect FOXP3 expression and function, with variations in </w:t>
            </w:r>
            <w:proofErr w:type="spellStart"/>
            <w:r>
              <w:rPr>
                <w:rFonts w:ascii="Times New Roman" w:hAnsi="Times New Roman" w:cs="Times New Roman"/>
                <w:color w:val="000000"/>
                <w:sz w:val="18"/>
                <w:szCs w:val="18"/>
              </w:rPr>
              <w:t>Treg</w:t>
            </w:r>
            <w:proofErr w:type="spellEnd"/>
            <w:r>
              <w:rPr>
                <w:rFonts w:ascii="Times New Roman" w:hAnsi="Times New Roman" w:cs="Times New Roman"/>
                <w:color w:val="000000"/>
                <w:sz w:val="18"/>
                <w:szCs w:val="18"/>
              </w:rPr>
              <w:t xml:space="preserve"> cell counts and roles observed in diseases such as </w:t>
            </w:r>
            <w:proofErr w:type="spellStart"/>
            <w:r>
              <w:rPr>
                <w:rFonts w:ascii="Times New Roman" w:hAnsi="Times New Roman" w:cs="Times New Roman"/>
                <w:color w:val="000000"/>
                <w:sz w:val="18"/>
                <w:szCs w:val="18"/>
              </w:rPr>
              <w:t>SSc</w:t>
            </w:r>
            <w:proofErr w:type="spellEnd"/>
            <w:r>
              <w:rPr>
                <w:rFonts w:ascii="Times New Roman" w:hAnsi="Times New Roman" w:cs="Times New Roman"/>
                <w:color w:val="000000"/>
                <w:sz w:val="18"/>
                <w:szCs w:val="18"/>
              </w:rPr>
              <w:t xml:space="preserve"> and melanoma.</w:t>
            </w:r>
          </w:p>
        </w:tc>
      </w:tr>
      <w:tr w:rsidR="00BE1318" w14:paraId="3250DBAA" w14:textId="77777777">
        <w:trPr>
          <w:trHeight w:val="870"/>
        </w:trPr>
        <w:tc>
          <w:tcPr>
            <w:tcW w:w="887" w:type="dxa"/>
          </w:tcPr>
          <w:p w14:paraId="14AB96B3"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3476</w:t>
            </w:r>
          </w:p>
        </w:tc>
        <w:tc>
          <w:tcPr>
            <w:tcW w:w="1211" w:type="dxa"/>
          </w:tcPr>
          <w:p w14:paraId="16C15391"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IGBP1</w:t>
            </w:r>
          </w:p>
        </w:tc>
        <w:tc>
          <w:tcPr>
            <w:tcW w:w="903" w:type="dxa"/>
          </w:tcPr>
          <w:p w14:paraId="2BC09342"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Xq13.1</w:t>
            </w:r>
          </w:p>
        </w:tc>
        <w:tc>
          <w:tcPr>
            <w:tcW w:w="5284" w:type="dxa"/>
          </w:tcPr>
          <w:p w14:paraId="0B17440F"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IGBP1 serves as a pivotal</w:t>
            </w:r>
            <w:r>
              <w:rPr>
                <w:rFonts w:ascii="Times New Roman" w:hAnsi="Times New Roman" w:cs="Times New Roman"/>
                <w:color w:val="000000"/>
                <w:sz w:val="18"/>
                <w:szCs w:val="18"/>
              </w:rPr>
              <w:t xml:space="preserve"> adaptor protein within the BCR signaling pathway. It interacts with the BCR complex, facilitating the transmission of signals from BCR to downstream signaling pathways. This process is crucial for initiating the tyrosine phosphorylation reaction upon anti</w:t>
            </w:r>
            <w:r>
              <w:rPr>
                <w:rFonts w:ascii="Times New Roman" w:hAnsi="Times New Roman" w:cs="Times New Roman"/>
                <w:color w:val="000000"/>
                <w:sz w:val="18"/>
                <w:szCs w:val="18"/>
              </w:rPr>
              <w:t>gen binding to BCR, thereby activating multiple signal transduction routes that are vital for B-cell proliferation and differentiation.</w:t>
            </w:r>
          </w:p>
        </w:tc>
      </w:tr>
      <w:tr w:rsidR="00BE1318" w14:paraId="516255BA" w14:textId="77777777">
        <w:trPr>
          <w:trHeight w:val="1602"/>
        </w:trPr>
        <w:tc>
          <w:tcPr>
            <w:tcW w:w="887" w:type="dxa"/>
          </w:tcPr>
          <w:p w14:paraId="1D2DDBDF"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8473</w:t>
            </w:r>
          </w:p>
        </w:tc>
        <w:tc>
          <w:tcPr>
            <w:tcW w:w="1211" w:type="dxa"/>
          </w:tcPr>
          <w:p w14:paraId="751F6386"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OGT</w:t>
            </w:r>
          </w:p>
        </w:tc>
        <w:tc>
          <w:tcPr>
            <w:tcW w:w="903" w:type="dxa"/>
          </w:tcPr>
          <w:p w14:paraId="21ABC555"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Xq13.1</w:t>
            </w:r>
          </w:p>
        </w:tc>
        <w:tc>
          <w:tcPr>
            <w:tcW w:w="5284" w:type="dxa"/>
          </w:tcPr>
          <w:p w14:paraId="1B37649F"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OGT</w:t>
            </w:r>
            <w:r>
              <w:rPr>
                <w:rFonts w:ascii="Times New Roman" w:hAnsi="Times New Roman" w:cs="Times New Roman"/>
                <w:color w:val="000000"/>
                <w:sz w:val="18"/>
                <w:szCs w:val="18"/>
              </w:rPr>
              <w:t xml:space="preserve"> regulates cellular processes by catalyzing O-</w:t>
            </w:r>
            <w:proofErr w:type="spellStart"/>
            <w:r>
              <w:rPr>
                <w:rFonts w:ascii="Times New Roman" w:hAnsi="Times New Roman" w:cs="Times New Roman"/>
                <w:color w:val="000000"/>
                <w:sz w:val="18"/>
                <w:szCs w:val="18"/>
              </w:rPr>
              <w:t>GlcNAc</w:t>
            </w:r>
            <w:proofErr w:type="spellEnd"/>
            <w:r>
              <w:rPr>
                <w:rFonts w:ascii="Times New Roman" w:hAnsi="Times New Roman" w:cs="Times New Roman"/>
                <w:color w:val="000000"/>
                <w:sz w:val="18"/>
                <w:szCs w:val="18"/>
              </w:rPr>
              <w:t xml:space="preserve"> modifications, which are crucial for the activation of T cells and B cells. Lower levels of </w:t>
            </w:r>
            <w:proofErr w:type="spellStart"/>
            <w:r>
              <w:rPr>
                <w:rFonts w:ascii="Times New Roman" w:hAnsi="Times New Roman" w:cs="Times New Roman"/>
                <w:color w:val="000000"/>
                <w:sz w:val="18"/>
                <w:szCs w:val="18"/>
              </w:rPr>
              <w:t>Ogt</w:t>
            </w:r>
            <w:proofErr w:type="spellEnd"/>
            <w:r>
              <w:rPr>
                <w:rFonts w:ascii="Times New Roman" w:hAnsi="Times New Roman" w:cs="Times New Roman"/>
                <w:color w:val="000000"/>
                <w:sz w:val="18"/>
                <w:szCs w:val="18"/>
              </w:rPr>
              <w:t xml:space="preserve"> result in decreased expression of the activation marker CD69, thereby impacting immune responses. In female</w:t>
            </w:r>
            <w:r>
              <w:rPr>
                <w:rFonts w:ascii="Times New Roman" w:hAnsi="Times New Roman" w:cs="Times New Roman"/>
                <w:color w:val="000000"/>
                <w:sz w:val="18"/>
                <w:szCs w:val="18"/>
              </w:rPr>
              <w:t xml:space="preserve"> SLE patients, higher expression of </w:t>
            </w:r>
            <w:proofErr w:type="spellStart"/>
            <w:r>
              <w:rPr>
                <w:rFonts w:ascii="Times New Roman" w:hAnsi="Times New Roman" w:cs="Times New Roman"/>
                <w:color w:val="000000"/>
                <w:sz w:val="18"/>
                <w:szCs w:val="18"/>
              </w:rPr>
              <w:t>Ogt</w:t>
            </w:r>
            <w:proofErr w:type="spellEnd"/>
            <w:r>
              <w:rPr>
                <w:rFonts w:ascii="Times New Roman" w:hAnsi="Times New Roman" w:cs="Times New Roman"/>
                <w:color w:val="000000"/>
                <w:sz w:val="18"/>
                <w:szCs w:val="18"/>
              </w:rPr>
              <w:t xml:space="preserve"> and </w:t>
            </w:r>
            <w:proofErr w:type="spellStart"/>
            <w:r>
              <w:rPr>
                <w:rFonts w:ascii="Times New Roman" w:hAnsi="Times New Roman" w:cs="Times New Roman"/>
                <w:color w:val="000000"/>
                <w:sz w:val="18"/>
                <w:szCs w:val="18"/>
              </w:rPr>
              <w:t>hypomethylation</w:t>
            </w:r>
            <w:proofErr w:type="spellEnd"/>
            <w:r>
              <w:rPr>
                <w:rFonts w:ascii="Times New Roman" w:hAnsi="Times New Roman" w:cs="Times New Roman"/>
                <w:color w:val="000000"/>
                <w:sz w:val="18"/>
                <w:szCs w:val="18"/>
              </w:rPr>
              <w:t xml:space="preserve"> of its promoter in CD4+ T cells have been linked to sustained lymphocyte activation in SLE.</w:t>
            </w:r>
          </w:p>
        </w:tc>
      </w:tr>
      <w:tr w:rsidR="00BE1318" w14:paraId="1C023B4D" w14:textId="77777777">
        <w:trPr>
          <w:trHeight w:val="1451"/>
        </w:trPr>
        <w:tc>
          <w:tcPr>
            <w:tcW w:w="887" w:type="dxa"/>
          </w:tcPr>
          <w:p w14:paraId="3CF52148"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2833</w:t>
            </w:r>
          </w:p>
        </w:tc>
        <w:tc>
          <w:tcPr>
            <w:tcW w:w="1211" w:type="dxa"/>
          </w:tcPr>
          <w:p w14:paraId="356CCDEE"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CXCR3</w:t>
            </w:r>
          </w:p>
        </w:tc>
        <w:tc>
          <w:tcPr>
            <w:tcW w:w="903" w:type="dxa"/>
          </w:tcPr>
          <w:p w14:paraId="33FD2DFA"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Xq13</w:t>
            </w:r>
          </w:p>
        </w:tc>
        <w:tc>
          <w:tcPr>
            <w:tcW w:w="5284" w:type="dxa"/>
          </w:tcPr>
          <w:p w14:paraId="63B92920"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A G protein-coupled receptor with selectivity for three chemokines, termed CXCL9, </w:t>
            </w:r>
            <w:r>
              <w:rPr>
                <w:rFonts w:ascii="Times New Roman" w:hAnsi="Times New Roman" w:cs="Times New Roman"/>
                <w:color w:val="000000"/>
                <w:sz w:val="18"/>
                <w:szCs w:val="18"/>
              </w:rPr>
              <w:t>CXCL10 and CXCL11. Binding of chemokines to this protein induces cellular responses that are involved in leukocyte traffic, most notably integrin activation, cytoskeletal changes and chemotactic migration.</w:t>
            </w:r>
          </w:p>
        </w:tc>
      </w:tr>
      <w:tr w:rsidR="00BE1318" w14:paraId="054B340C" w14:textId="77777777">
        <w:trPr>
          <w:trHeight w:val="1485"/>
        </w:trPr>
        <w:tc>
          <w:tcPr>
            <w:tcW w:w="887" w:type="dxa"/>
          </w:tcPr>
          <w:p w14:paraId="5A668602"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695</w:t>
            </w:r>
          </w:p>
        </w:tc>
        <w:tc>
          <w:tcPr>
            <w:tcW w:w="1211" w:type="dxa"/>
          </w:tcPr>
          <w:p w14:paraId="10400AC4"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BTK</w:t>
            </w:r>
          </w:p>
        </w:tc>
        <w:tc>
          <w:tcPr>
            <w:tcW w:w="903" w:type="dxa"/>
          </w:tcPr>
          <w:p w14:paraId="6DE786AE"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Xq22.1</w:t>
            </w:r>
          </w:p>
        </w:tc>
        <w:tc>
          <w:tcPr>
            <w:tcW w:w="5284" w:type="dxa"/>
          </w:tcPr>
          <w:p w14:paraId="6AA0E6DD"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The protein encoded by the BTK </w:t>
            </w:r>
            <w:r>
              <w:rPr>
                <w:rFonts w:ascii="Times New Roman" w:hAnsi="Times New Roman" w:cs="Times New Roman"/>
                <w:color w:val="000000"/>
                <w:sz w:val="18"/>
                <w:szCs w:val="18"/>
              </w:rPr>
              <w:t xml:space="preserve">gene plays a pivotal role in B-cell development. Mutations in this gene can lead to X-linked </w:t>
            </w:r>
            <w:proofErr w:type="spellStart"/>
            <w:r>
              <w:rPr>
                <w:rFonts w:ascii="Times New Roman" w:hAnsi="Times New Roman" w:cs="Times New Roman"/>
                <w:color w:val="000000"/>
                <w:sz w:val="18"/>
                <w:szCs w:val="18"/>
              </w:rPr>
              <w:t>agammaglobulinemia</w:t>
            </w:r>
            <w:proofErr w:type="spellEnd"/>
            <w:r>
              <w:rPr>
                <w:rFonts w:ascii="Times New Roman" w:hAnsi="Times New Roman" w:cs="Times New Roman"/>
                <w:color w:val="000000"/>
                <w:sz w:val="18"/>
                <w:szCs w:val="18"/>
              </w:rPr>
              <w:t xml:space="preserve"> type 1, an immunodeficiency characterized by the inability to produce mature B lymphocytes and associated with a failure of Ig heavy chain rearr</w:t>
            </w:r>
            <w:r>
              <w:rPr>
                <w:rFonts w:ascii="Times New Roman" w:hAnsi="Times New Roman" w:cs="Times New Roman"/>
                <w:color w:val="000000"/>
                <w:sz w:val="18"/>
                <w:szCs w:val="18"/>
              </w:rPr>
              <w:t>angement.</w:t>
            </w:r>
          </w:p>
        </w:tc>
      </w:tr>
      <w:tr w:rsidR="00BE1318" w14:paraId="58A63D83" w14:textId="77777777">
        <w:trPr>
          <w:trHeight w:val="1192"/>
        </w:trPr>
        <w:tc>
          <w:tcPr>
            <w:tcW w:w="887" w:type="dxa"/>
          </w:tcPr>
          <w:p w14:paraId="6E136626"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3597</w:t>
            </w:r>
          </w:p>
        </w:tc>
        <w:tc>
          <w:tcPr>
            <w:tcW w:w="1211" w:type="dxa"/>
          </w:tcPr>
          <w:p w14:paraId="128EB2C3"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IL13RA1</w:t>
            </w:r>
          </w:p>
        </w:tc>
        <w:tc>
          <w:tcPr>
            <w:tcW w:w="903" w:type="dxa"/>
          </w:tcPr>
          <w:p w14:paraId="64FFCEC0"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Xq24</w:t>
            </w:r>
          </w:p>
        </w:tc>
        <w:tc>
          <w:tcPr>
            <w:tcW w:w="5284" w:type="dxa"/>
          </w:tcPr>
          <w:p w14:paraId="3D218CC7"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Serves as a primary IL13-binding subunit of the IL13 receptor, and may also be a component of IL4 receptors. Binds to TYK2, which lead to the activation JAk1, STST3 and STAT6 induced by IL13 and IL4.</w:t>
            </w:r>
          </w:p>
        </w:tc>
      </w:tr>
      <w:tr w:rsidR="00BE1318" w14:paraId="3E0076E1" w14:textId="77777777">
        <w:trPr>
          <w:trHeight w:val="986"/>
        </w:trPr>
        <w:tc>
          <w:tcPr>
            <w:tcW w:w="887" w:type="dxa"/>
          </w:tcPr>
          <w:p w14:paraId="4F1C28DA"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4068</w:t>
            </w:r>
          </w:p>
        </w:tc>
        <w:tc>
          <w:tcPr>
            <w:tcW w:w="1211" w:type="dxa"/>
          </w:tcPr>
          <w:p w14:paraId="34B898E1"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SH2D1A</w:t>
            </w:r>
          </w:p>
        </w:tc>
        <w:tc>
          <w:tcPr>
            <w:tcW w:w="903" w:type="dxa"/>
          </w:tcPr>
          <w:p w14:paraId="56DAD6D5"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Xq25</w:t>
            </w:r>
          </w:p>
        </w:tc>
        <w:tc>
          <w:tcPr>
            <w:tcW w:w="5284" w:type="dxa"/>
          </w:tcPr>
          <w:p w14:paraId="4A16AB72"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The </w:t>
            </w:r>
            <w:r>
              <w:rPr>
                <w:rFonts w:ascii="Times New Roman" w:hAnsi="Times New Roman" w:cs="Times New Roman"/>
                <w:color w:val="000000"/>
                <w:sz w:val="18"/>
                <w:szCs w:val="18"/>
              </w:rPr>
              <w:t xml:space="preserve">protein encoded by the SH2D1A gene plays a major role in the bidirectional stimulation of T and B cells. SH2D1A interacts with other related surface molecules expressed on activated T cells, B cells, and NK cells, thereby modifying the signal transduction </w:t>
            </w:r>
            <w:r>
              <w:rPr>
                <w:rFonts w:ascii="Times New Roman" w:hAnsi="Times New Roman" w:cs="Times New Roman"/>
                <w:color w:val="000000"/>
                <w:sz w:val="18"/>
                <w:szCs w:val="18"/>
              </w:rPr>
              <w:t>pathways in these cells.</w:t>
            </w:r>
          </w:p>
        </w:tc>
      </w:tr>
      <w:tr w:rsidR="00BE1318" w14:paraId="72D164B8" w14:textId="77777777">
        <w:trPr>
          <w:trHeight w:val="1294"/>
        </w:trPr>
        <w:tc>
          <w:tcPr>
            <w:tcW w:w="887" w:type="dxa"/>
          </w:tcPr>
          <w:p w14:paraId="58588399"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54440</w:t>
            </w:r>
          </w:p>
        </w:tc>
        <w:tc>
          <w:tcPr>
            <w:tcW w:w="1211" w:type="dxa"/>
          </w:tcPr>
          <w:p w14:paraId="1D90540C"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SASH3</w:t>
            </w:r>
          </w:p>
        </w:tc>
        <w:tc>
          <w:tcPr>
            <w:tcW w:w="903" w:type="dxa"/>
          </w:tcPr>
          <w:p w14:paraId="2FD4F79A"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Xq26.1</w:t>
            </w:r>
          </w:p>
        </w:tc>
        <w:tc>
          <w:tcPr>
            <w:tcW w:w="5284" w:type="dxa"/>
          </w:tcPr>
          <w:p w14:paraId="7714C412"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The SH3 protein contains a </w:t>
            </w:r>
            <w:proofErr w:type="spellStart"/>
            <w:r>
              <w:rPr>
                <w:rFonts w:ascii="Times New Roman" w:hAnsi="Times New Roman" w:cs="Times New Roman"/>
                <w:color w:val="000000"/>
                <w:sz w:val="18"/>
                <w:szCs w:val="18"/>
              </w:rPr>
              <w:t>Src</w:t>
            </w:r>
            <w:proofErr w:type="spellEnd"/>
            <w:r>
              <w:rPr>
                <w:rFonts w:ascii="Times New Roman" w:hAnsi="Times New Roman" w:cs="Times New Roman"/>
                <w:color w:val="000000"/>
                <w:sz w:val="18"/>
                <w:szCs w:val="18"/>
              </w:rPr>
              <w:t xml:space="preserve"> homology 3 domain and a sterile alpha motif, both of which are found in proteins involved in cell signaling. The SH3 protein may function as a signaling adapter protein in </w:t>
            </w:r>
            <w:r>
              <w:rPr>
                <w:rFonts w:ascii="Times New Roman" w:hAnsi="Times New Roman" w:cs="Times New Roman"/>
                <w:color w:val="000000"/>
                <w:sz w:val="18"/>
                <w:szCs w:val="18"/>
              </w:rPr>
              <w:t>lymphocytes.</w:t>
            </w:r>
          </w:p>
        </w:tc>
      </w:tr>
      <w:tr w:rsidR="00BE1318" w14:paraId="38EE5E46" w14:textId="77777777">
        <w:trPr>
          <w:trHeight w:val="1294"/>
        </w:trPr>
        <w:tc>
          <w:tcPr>
            <w:tcW w:w="887" w:type="dxa"/>
          </w:tcPr>
          <w:p w14:paraId="1BB86CA3"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2000</w:t>
            </w:r>
          </w:p>
        </w:tc>
        <w:tc>
          <w:tcPr>
            <w:tcW w:w="1211" w:type="dxa"/>
          </w:tcPr>
          <w:p w14:paraId="5A4340FE"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ELF4</w:t>
            </w:r>
          </w:p>
        </w:tc>
        <w:tc>
          <w:tcPr>
            <w:tcW w:w="903" w:type="dxa"/>
          </w:tcPr>
          <w:p w14:paraId="2D4ACC46"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Xq26.1</w:t>
            </w:r>
          </w:p>
        </w:tc>
        <w:tc>
          <w:tcPr>
            <w:tcW w:w="5284" w:type="dxa"/>
          </w:tcPr>
          <w:p w14:paraId="11E1D898"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ELF4 is a transcriptional activator that can bind and activate the promoters of the CSF2, IL3, IL8, and PRF1 genes. ELF4 is involved in the development and function of natural killer cells, innate immunity, and the induction </w:t>
            </w:r>
            <w:r>
              <w:rPr>
                <w:rFonts w:ascii="Times New Roman" w:hAnsi="Times New Roman" w:cs="Times New Roman"/>
                <w:color w:val="000000"/>
                <w:sz w:val="18"/>
                <w:szCs w:val="18"/>
              </w:rPr>
              <w:t>of cell cycle arrest in naive CD8+ cells.</w:t>
            </w:r>
          </w:p>
        </w:tc>
      </w:tr>
      <w:tr w:rsidR="00BE1318" w14:paraId="38C7C9E3" w14:textId="77777777">
        <w:trPr>
          <w:trHeight w:val="996"/>
        </w:trPr>
        <w:tc>
          <w:tcPr>
            <w:tcW w:w="887" w:type="dxa"/>
          </w:tcPr>
          <w:p w14:paraId="2598843B"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959</w:t>
            </w:r>
          </w:p>
        </w:tc>
        <w:tc>
          <w:tcPr>
            <w:tcW w:w="1211" w:type="dxa"/>
          </w:tcPr>
          <w:p w14:paraId="619F195D"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CD40LG</w:t>
            </w:r>
          </w:p>
        </w:tc>
        <w:tc>
          <w:tcPr>
            <w:tcW w:w="903" w:type="dxa"/>
          </w:tcPr>
          <w:p w14:paraId="4482E500"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Xq26.3</w:t>
            </w:r>
          </w:p>
        </w:tc>
        <w:tc>
          <w:tcPr>
            <w:tcW w:w="5284" w:type="dxa"/>
          </w:tcPr>
          <w:p w14:paraId="4FE34689"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The CD40LG protein is expressed on the surface of T cells and regulates B cell function by binding to CD40 on the surface of B cells. A defect in this gene results in an inability to undergo immu</w:t>
            </w:r>
            <w:r>
              <w:rPr>
                <w:rFonts w:ascii="Times New Roman" w:hAnsi="Times New Roman" w:cs="Times New Roman"/>
                <w:color w:val="000000"/>
                <w:sz w:val="18"/>
                <w:szCs w:val="18"/>
              </w:rPr>
              <w:t>noglobulin class switch and is associated with hyper-IgM syndrome.</w:t>
            </w:r>
          </w:p>
        </w:tc>
      </w:tr>
      <w:tr w:rsidR="00BE1318" w14:paraId="6286FA72" w14:textId="77777777">
        <w:trPr>
          <w:trHeight w:val="838"/>
        </w:trPr>
        <w:tc>
          <w:tcPr>
            <w:tcW w:w="887" w:type="dxa"/>
          </w:tcPr>
          <w:p w14:paraId="27045F52"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3654</w:t>
            </w:r>
          </w:p>
        </w:tc>
        <w:tc>
          <w:tcPr>
            <w:tcW w:w="1211" w:type="dxa"/>
          </w:tcPr>
          <w:p w14:paraId="1A24ECA9"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IRAK1</w:t>
            </w:r>
          </w:p>
        </w:tc>
        <w:tc>
          <w:tcPr>
            <w:tcW w:w="903" w:type="dxa"/>
          </w:tcPr>
          <w:p w14:paraId="21C35E19"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Xq28</w:t>
            </w:r>
          </w:p>
        </w:tc>
        <w:tc>
          <w:tcPr>
            <w:tcW w:w="5284" w:type="dxa"/>
          </w:tcPr>
          <w:p w14:paraId="6C688756"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IRAK1 binds to IL1R upon stimulation and is partially responsible for the upregulation of the transcription factor NF-kappa B induced by IL1.</w:t>
            </w:r>
          </w:p>
        </w:tc>
      </w:tr>
      <w:tr w:rsidR="00BE1318" w14:paraId="42A527F8" w14:textId="77777777">
        <w:trPr>
          <w:trHeight w:val="1199"/>
        </w:trPr>
        <w:tc>
          <w:tcPr>
            <w:tcW w:w="887" w:type="dxa"/>
          </w:tcPr>
          <w:p w14:paraId="6CBD33F3"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8517</w:t>
            </w:r>
          </w:p>
        </w:tc>
        <w:tc>
          <w:tcPr>
            <w:tcW w:w="1211" w:type="dxa"/>
          </w:tcPr>
          <w:p w14:paraId="63D962F5"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IKBKG</w:t>
            </w:r>
          </w:p>
        </w:tc>
        <w:tc>
          <w:tcPr>
            <w:tcW w:w="903" w:type="dxa"/>
          </w:tcPr>
          <w:p w14:paraId="0B2DBA12"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Xq28</w:t>
            </w:r>
          </w:p>
        </w:tc>
        <w:tc>
          <w:tcPr>
            <w:tcW w:w="5284" w:type="dxa"/>
          </w:tcPr>
          <w:p w14:paraId="017F61A0"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The IKBKG </w:t>
            </w:r>
            <w:r>
              <w:rPr>
                <w:rFonts w:ascii="Times New Roman" w:hAnsi="Times New Roman" w:cs="Times New Roman"/>
                <w:color w:val="000000"/>
                <w:sz w:val="18"/>
                <w:szCs w:val="18"/>
              </w:rPr>
              <w:t xml:space="preserve">gene encodes the regulatory subunit of the inhibitor of </w:t>
            </w:r>
            <w:proofErr w:type="spellStart"/>
            <w:r>
              <w:rPr>
                <w:rFonts w:ascii="Times New Roman" w:hAnsi="Times New Roman" w:cs="Times New Roman"/>
                <w:color w:val="000000"/>
                <w:sz w:val="18"/>
                <w:szCs w:val="18"/>
              </w:rPr>
              <w:t>kappaB</w:t>
            </w:r>
            <w:proofErr w:type="spellEnd"/>
            <w:r>
              <w:rPr>
                <w:rFonts w:ascii="Times New Roman" w:hAnsi="Times New Roman" w:cs="Times New Roman"/>
                <w:color w:val="000000"/>
                <w:sz w:val="18"/>
                <w:szCs w:val="18"/>
              </w:rPr>
              <w:t xml:space="preserve"> kinase (IKK) complex, which activates NF-</w:t>
            </w:r>
            <w:proofErr w:type="spellStart"/>
            <w:r>
              <w:rPr>
                <w:rFonts w:ascii="Times New Roman" w:hAnsi="Times New Roman" w:cs="Times New Roman"/>
                <w:color w:val="000000"/>
                <w:sz w:val="18"/>
                <w:szCs w:val="18"/>
              </w:rPr>
              <w:t>kappaB</w:t>
            </w:r>
            <w:proofErr w:type="spellEnd"/>
            <w:r>
              <w:rPr>
                <w:rFonts w:ascii="Times New Roman" w:hAnsi="Times New Roman" w:cs="Times New Roman"/>
                <w:color w:val="000000"/>
                <w:sz w:val="18"/>
                <w:szCs w:val="18"/>
              </w:rPr>
              <w:t>, leading to the activation of genes involved in inflammation, immunity, cell survival, and other pathways.</w:t>
            </w:r>
          </w:p>
        </w:tc>
      </w:tr>
      <w:tr w:rsidR="00BE1318" w14:paraId="5A9D57A3" w14:textId="77777777">
        <w:trPr>
          <w:trHeight w:val="986"/>
        </w:trPr>
        <w:tc>
          <w:tcPr>
            <w:tcW w:w="887" w:type="dxa"/>
          </w:tcPr>
          <w:p w14:paraId="6098FE24"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4515</w:t>
            </w:r>
          </w:p>
        </w:tc>
        <w:tc>
          <w:tcPr>
            <w:tcW w:w="1211" w:type="dxa"/>
          </w:tcPr>
          <w:p w14:paraId="67FBB538"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MTCP1</w:t>
            </w:r>
          </w:p>
        </w:tc>
        <w:tc>
          <w:tcPr>
            <w:tcW w:w="903" w:type="dxa"/>
          </w:tcPr>
          <w:p w14:paraId="355D1872"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Xq28</w:t>
            </w:r>
          </w:p>
        </w:tc>
        <w:tc>
          <w:tcPr>
            <w:tcW w:w="5284" w:type="dxa"/>
          </w:tcPr>
          <w:p w14:paraId="4430D72B"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The MTCP1 gene is </w:t>
            </w:r>
            <w:r>
              <w:rPr>
                <w:rFonts w:ascii="Times New Roman" w:hAnsi="Times New Roman" w:cs="Times New Roman"/>
                <w:color w:val="000000"/>
                <w:sz w:val="18"/>
                <w:szCs w:val="18"/>
              </w:rPr>
              <w:t xml:space="preserve">involved in some t(X;14) translocations associated with mature T-cell proliferations and may be implicated in </w:t>
            </w:r>
            <w:proofErr w:type="spellStart"/>
            <w:r>
              <w:rPr>
                <w:rFonts w:ascii="Times New Roman" w:hAnsi="Times New Roman" w:cs="Times New Roman"/>
                <w:color w:val="000000"/>
                <w:sz w:val="18"/>
                <w:szCs w:val="18"/>
              </w:rPr>
              <w:t>leukemogenesis</w:t>
            </w:r>
            <w:proofErr w:type="spellEnd"/>
            <w:r>
              <w:rPr>
                <w:rFonts w:ascii="Times New Roman" w:hAnsi="Times New Roman" w:cs="Times New Roman"/>
                <w:color w:val="000000"/>
                <w:sz w:val="18"/>
                <w:szCs w:val="18"/>
              </w:rPr>
              <w:t>.</w:t>
            </w:r>
          </w:p>
        </w:tc>
      </w:tr>
      <w:tr w:rsidR="00BE1318" w14:paraId="2119BDBA" w14:textId="77777777">
        <w:trPr>
          <w:trHeight w:val="1294"/>
        </w:trPr>
        <w:tc>
          <w:tcPr>
            <w:tcW w:w="887" w:type="dxa"/>
          </w:tcPr>
          <w:p w14:paraId="3AF6BE35"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3581</w:t>
            </w:r>
          </w:p>
        </w:tc>
        <w:tc>
          <w:tcPr>
            <w:tcW w:w="1211" w:type="dxa"/>
          </w:tcPr>
          <w:p w14:paraId="6084B5AA"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IL9R</w:t>
            </w:r>
          </w:p>
        </w:tc>
        <w:tc>
          <w:tcPr>
            <w:tcW w:w="903" w:type="dxa"/>
          </w:tcPr>
          <w:p w14:paraId="12E51332"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Xq28</w:t>
            </w:r>
          </w:p>
        </w:tc>
        <w:tc>
          <w:tcPr>
            <w:tcW w:w="5284" w:type="dxa"/>
          </w:tcPr>
          <w:p w14:paraId="5721FEEE"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The IL9R gene encodes a cytokine receptor that specifically mediates the biological effects of interleukin 9 </w:t>
            </w:r>
            <w:r>
              <w:rPr>
                <w:rFonts w:ascii="Times New Roman" w:hAnsi="Times New Roman" w:cs="Times New Roman"/>
                <w:color w:val="000000"/>
                <w:sz w:val="18"/>
                <w:szCs w:val="18"/>
              </w:rPr>
              <w:t>(IL9). IL9R forms a complex with the interleukin 2 receptor gamma (IL2RG). Ligand binding to this receptor leads to the activation of various JAK kinases and STAT proteins, which are connected to different biological responses.</w:t>
            </w:r>
          </w:p>
        </w:tc>
      </w:tr>
      <w:tr w:rsidR="00BE1318" w14:paraId="3C8B4CDD" w14:textId="77777777">
        <w:trPr>
          <w:trHeight w:val="1456"/>
        </w:trPr>
        <w:tc>
          <w:tcPr>
            <w:tcW w:w="887" w:type="dxa"/>
          </w:tcPr>
          <w:p w14:paraId="6117F465"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3920</w:t>
            </w:r>
          </w:p>
        </w:tc>
        <w:tc>
          <w:tcPr>
            <w:tcW w:w="1211" w:type="dxa"/>
          </w:tcPr>
          <w:p w14:paraId="21B06526"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LAMP2</w:t>
            </w:r>
          </w:p>
        </w:tc>
        <w:tc>
          <w:tcPr>
            <w:tcW w:w="903" w:type="dxa"/>
          </w:tcPr>
          <w:p w14:paraId="76F61BE0"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Xq24</w:t>
            </w:r>
          </w:p>
        </w:tc>
        <w:tc>
          <w:tcPr>
            <w:tcW w:w="5284" w:type="dxa"/>
          </w:tcPr>
          <w:p w14:paraId="6BF8C759"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LAMP2 plays</w:t>
            </w:r>
            <w:r>
              <w:rPr>
                <w:rFonts w:ascii="Times New Roman" w:hAnsi="Times New Roman" w:cs="Times New Roman"/>
                <w:color w:val="000000"/>
                <w:sz w:val="18"/>
                <w:szCs w:val="18"/>
              </w:rPr>
              <w:t xml:space="preserve"> a crucial role in the immune system by participating in lysosome function, which is essential for antigen processing and presentation. Additionally, it may influence tumor cell metastasis and immune responses by interacting with selectins and affecting ce</w:t>
            </w:r>
            <w:r>
              <w:rPr>
                <w:rFonts w:ascii="Times New Roman" w:hAnsi="Times New Roman" w:cs="Times New Roman"/>
                <w:color w:val="000000"/>
                <w:sz w:val="18"/>
                <w:szCs w:val="18"/>
              </w:rPr>
              <w:t>ll adhesion.</w:t>
            </w:r>
          </w:p>
        </w:tc>
      </w:tr>
      <w:tr w:rsidR="00BE1318" w14:paraId="4EB84B4B" w14:textId="77777777">
        <w:trPr>
          <w:trHeight w:val="679"/>
        </w:trPr>
        <w:tc>
          <w:tcPr>
            <w:tcW w:w="887" w:type="dxa"/>
          </w:tcPr>
          <w:p w14:paraId="1A30ED6E"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389856</w:t>
            </w:r>
          </w:p>
        </w:tc>
        <w:tc>
          <w:tcPr>
            <w:tcW w:w="1211" w:type="dxa"/>
          </w:tcPr>
          <w:p w14:paraId="4DE27E14"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USP27X</w:t>
            </w:r>
          </w:p>
        </w:tc>
        <w:tc>
          <w:tcPr>
            <w:tcW w:w="903" w:type="dxa"/>
          </w:tcPr>
          <w:p w14:paraId="7BEEE328"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Xp11.23</w:t>
            </w:r>
          </w:p>
        </w:tc>
        <w:tc>
          <w:tcPr>
            <w:tcW w:w="5284" w:type="dxa"/>
          </w:tcPr>
          <w:p w14:paraId="176EE2C4"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USP27X is involved in immune regulation by modulating the levels of </w:t>
            </w:r>
            <w:proofErr w:type="spellStart"/>
            <w:r>
              <w:rPr>
                <w:rFonts w:ascii="Times New Roman" w:hAnsi="Times New Roman" w:cs="Times New Roman"/>
                <w:color w:val="000000"/>
                <w:sz w:val="18"/>
                <w:szCs w:val="18"/>
              </w:rPr>
              <w:t>Bim</w:t>
            </w:r>
            <w:proofErr w:type="spellEnd"/>
            <w:r>
              <w:rPr>
                <w:rFonts w:ascii="Times New Roman" w:hAnsi="Times New Roman" w:cs="Times New Roman"/>
                <w:color w:val="000000"/>
                <w:sz w:val="18"/>
                <w:szCs w:val="18"/>
              </w:rPr>
              <w:t xml:space="preserve">, a pro-apoptotic protein that influences cell death and survival. By increasing </w:t>
            </w:r>
            <w:proofErr w:type="spellStart"/>
            <w:r>
              <w:rPr>
                <w:rFonts w:ascii="Times New Roman" w:hAnsi="Times New Roman" w:cs="Times New Roman"/>
                <w:color w:val="000000"/>
                <w:sz w:val="18"/>
                <w:szCs w:val="18"/>
              </w:rPr>
              <w:t>Bim</w:t>
            </w:r>
            <w:proofErr w:type="spellEnd"/>
            <w:r>
              <w:rPr>
                <w:rFonts w:ascii="Times New Roman" w:hAnsi="Times New Roman" w:cs="Times New Roman"/>
                <w:color w:val="000000"/>
                <w:sz w:val="18"/>
                <w:szCs w:val="18"/>
              </w:rPr>
              <w:t xml:space="preserve"> levels, USP27X may help counteract anti-apoptotic signals in </w:t>
            </w:r>
            <w:r>
              <w:rPr>
                <w:rFonts w:ascii="Times New Roman" w:hAnsi="Times New Roman" w:cs="Times New Roman"/>
                <w:color w:val="000000"/>
                <w:sz w:val="18"/>
                <w:szCs w:val="18"/>
              </w:rPr>
              <w:t>immune cells and potentially impact immune responses and tumor suppression.</w:t>
            </w:r>
          </w:p>
        </w:tc>
      </w:tr>
      <w:tr w:rsidR="00BE1318" w14:paraId="19AF72A7" w14:textId="77777777">
        <w:trPr>
          <w:trHeight w:val="679"/>
        </w:trPr>
        <w:tc>
          <w:tcPr>
            <w:tcW w:w="887" w:type="dxa"/>
          </w:tcPr>
          <w:p w14:paraId="62252E40"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331</w:t>
            </w:r>
          </w:p>
        </w:tc>
        <w:tc>
          <w:tcPr>
            <w:tcW w:w="1211" w:type="dxa"/>
          </w:tcPr>
          <w:p w14:paraId="1F2E3417"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XIAP</w:t>
            </w:r>
          </w:p>
        </w:tc>
        <w:tc>
          <w:tcPr>
            <w:tcW w:w="903" w:type="dxa"/>
          </w:tcPr>
          <w:p w14:paraId="0903B78A"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Xq25</w:t>
            </w:r>
          </w:p>
        </w:tc>
        <w:tc>
          <w:tcPr>
            <w:tcW w:w="5284" w:type="dxa"/>
          </w:tcPr>
          <w:p w14:paraId="3C496A4F"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The XIAP</w:t>
            </w:r>
            <w:r>
              <w:rPr>
                <w:rFonts w:ascii="Times New Roman" w:hAnsi="Times New Roman" w:cs="Times New Roman" w:hint="eastAsia"/>
                <w:color w:val="000000"/>
                <w:sz w:val="18"/>
                <w:szCs w:val="18"/>
              </w:rPr>
              <w:t xml:space="preserve"> </w:t>
            </w:r>
            <w:r>
              <w:rPr>
                <w:rFonts w:ascii="Times New Roman" w:hAnsi="Times New Roman" w:cs="Times New Roman"/>
                <w:color w:val="000000"/>
                <w:sz w:val="18"/>
                <w:szCs w:val="18"/>
              </w:rPr>
              <w:t xml:space="preserve">belongs to the apoptotic suppressor protein family. XIAP exerts its function by binding to tumor necrosis factor receptor-associated factors TRAF1 and </w:t>
            </w:r>
            <w:r>
              <w:rPr>
                <w:rFonts w:ascii="Times New Roman" w:hAnsi="Times New Roman" w:cs="Times New Roman"/>
                <w:color w:val="000000"/>
                <w:sz w:val="18"/>
                <w:szCs w:val="18"/>
              </w:rPr>
              <w:t xml:space="preserve">TRAF2, inhibiting apoptosis induced by </w:t>
            </w:r>
            <w:proofErr w:type="spellStart"/>
            <w:r>
              <w:rPr>
                <w:rFonts w:ascii="Times New Roman" w:hAnsi="Times New Roman" w:cs="Times New Roman"/>
                <w:color w:val="000000"/>
                <w:sz w:val="18"/>
                <w:szCs w:val="18"/>
              </w:rPr>
              <w:t>menadione</w:t>
            </w:r>
            <w:proofErr w:type="spellEnd"/>
            <w:r>
              <w:rPr>
                <w:rFonts w:ascii="Times New Roman" w:hAnsi="Times New Roman" w:cs="Times New Roman"/>
                <w:color w:val="000000"/>
                <w:sz w:val="18"/>
                <w:szCs w:val="18"/>
              </w:rPr>
              <w:t>, a potent free radical inducer, and interleukin 1-beta converting enzyme.</w:t>
            </w:r>
          </w:p>
        </w:tc>
      </w:tr>
      <w:tr w:rsidR="00BE1318" w14:paraId="6452B127" w14:textId="77777777">
        <w:trPr>
          <w:trHeight w:val="679"/>
        </w:trPr>
        <w:tc>
          <w:tcPr>
            <w:tcW w:w="887" w:type="dxa"/>
          </w:tcPr>
          <w:p w14:paraId="00EB816A"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1654</w:t>
            </w:r>
          </w:p>
        </w:tc>
        <w:tc>
          <w:tcPr>
            <w:tcW w:w="1211" w:type="dxa"/>
          </w:tcPr>
          <w:p w14:paraId="6CBCC705"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DDX3X</w:t>
            </w:r>
          </w:p>
        </w:tc>
        <w:tc>
          <w:tcPr>
            <w:tcW w:w="903" w:type="dxa"/>
          </w:tcPr>
          <w:p w14:paraId="288504D3"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Xp11.4</w:t>
            </w:r>
          </w:p>
        </w:tc>
        <w:tc>
          <w:tcPr>
            <w:tcW w:w="5284" w:type="dxa"/>
          </w:tcPr>
          <w:p w14:paraId="6C39802D"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DDX3X influences immune responses by modulating the regulation of mRNA processing and translation, which affects </w:t>
            </w:r>
            <w:r>
              <w:rPr>
                <w:rFonts w:ascii="Times New Roman" w:hAnsi="Times New Roman" w:cs="Times New Roman"/>
                <w:color w:val="000000"/>
                <w:sz w:val="18"/>
                <w:szCs w:val="18"/>
              </w:rPr>
              <w:t>the expression of immune-related genes. Additionally, it may play a role in cellular signaling pathways that impact immune cell function and viral infections.</w:t>
            </w:r>
          </w:p>
        </w:tc>
      </w:tr>
      <w:tr w:rsidR="00BE1318" w14:paraId="3EF0EC1D" w14:textId="77777777">
        <w:trPr>
          <w:trHeight w:val="679"/>
        </w:trPr>
        <w:tc>
          <w:tcPr>
            <w:tcW w:w="887" w:type="dxa"/>
          </w:tcPr>
          <w:p w14:paraId="17905721"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7503</w:t>
            </w:r>
          </w:p>
        </w:tc>
        <w:tc>
          <w:tcPr>
            <w:tcW w:w="1211" w:type="dxa"/>
          </w:tcPr>
          <w:p w14:paraId="78C34F54"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XIST</w:t>
            </w:r>
          </w:p>
        </w:tc>
        <w:tc>
          <w:tcPr>
            <w:tcW w:w="903" w:type="dxa"/>
          </w:tcPr>
          <w:p w14:paraId="13FAD160"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Xq13.2</w:t>
            </w:r>
          </w:p>
        </w:tc>
        <w:tc>
          <w:tcPr>
            <w:tcW w:w="5284" w:type="dxa"/>
          </w:tcPr>
          <w:p w14:paraId="325D05CF"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DXIST, a long non-coding RNA, is involved in X chromosome inactivation and may </w:t>
            </w:r>
            <w:r>
              <w:rPr>
                <w:rFonts w:ascii="Times New Roman" w:hAnsi="Times New Roman" w:cs="Times New Roman"/>
                <w:color w:val="000000"/>
                <w:sz w:val="18"/>
                <w:szCs w:val="18"/>
              </w:rPr>
              <w:t>influence immune system function by modulating gene expression related to immune responses. Disruptions in DXIST expression can potentially impact the balance of immune cell function and contribute to autoimmune disorders.</w:t>
            </w:r>
          </w:p>
        </w:tc>
      </w:tr>
      <w:tr w:rsidR="00BE1318" w14:paraId="191B0EB4" w14:textId="77777777">
        <w:trPr>
          <w:trHeight w:val="679"/>
        </w:trPr>
        <w:tc>
          <w:tcPr>
            <w:tcW w:w="887" w:type="dxa"/>
          </w:tcPr>
          <w:p w14:paraId="4767F7A2"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1756</w:t>
            </w:r>
          </w:p>
        </w:tc>
        <w:tc>
          <w:tcPr>
            <w:tcW w:w="1211" w:type="dxa"/>
          </w:tcPr>
          <w:p w14:paraId="1FCAB489"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DMD</w:t>
            </w:r>
          </w:p>
        </w:tc>
        <w:tc>
          <w:tcPr>
            <w:tcW w:w="903" w:type="dxa"/>
          </w:tcPr>
          <w:p w14:paraId="3558EBE6"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Xp21.2-p21.1</w:t>
            </w:r>
          </w:p>
          <w:p w14:paraId="5B8809C6" w14:textId="77777777" w:rsidR="00BE1318" w:rsidRDefault="00BE1318">
            <w:pPr>
              <w:spacing w:beforeLines="10" w:before="31" w:afterLines="10" w:after="31" w:line="72" w:lineRule="auto"/>
              <w:jc w:val="left"/>
              <w:rPr>
                <w:rFonts w:ascii="Times New Roman" w:hAnsi="Times New Roman" w:cs="Times New Roman"/>
                <w:color w:val="000000"/>
                <w:sz w:val="18"/>
                <w:szCs w:val="18"/>
              </w:rPr>
            </w:pPr>
          </w:p>
        </w:tc>
        <w:tc>
          <w:tcPr>
            <w:tcW w:w="5284" w:type="dxa"/>
          </w:tcPr>
          <w:p w14:paraId="6A96AC65"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DMD is cr</w:t>
            </w:r>
            <w:r>
              <w:rPr>
                <w:rFonts w:ascii="Times New Roman" w:hAnsi="Times New Roman" w:cs="Times New Roman"/>
                <w:color w:val="000000"/>
                <w:sz w:val="18"/>
                <w:szCs w:val="18"/>
              </w:rPr>
              <w:t xml:space="preserve">ucial for maintaining muscle cell integrity, and its loss or dysfunction can lead to chronic inflammation and immune system activation in dystrophic muscles. The resulting inflammatory environment can further exacerbate muscle damage and contribute to the </w:t>
            </w:r>
            <w:r>
              <w:rPr>
                <w:rFonts w:ascii="Times New Roman" w:hAnsi="Times New Roman" w:cs="Times New Roman"/>
                <w:color w:val="000000"/>
                <w:sz w:val="18"/>
                <w:szCs w:val="18"/>
              </w:rPr>
              <w:t>progression of Duchenne muscular dystrophy.</w:t>
            </w:r>
          </w:p>
        </w:tc>
      </w:tr>
      <w:tr w:rsidR="00BE1318" w14:paraId="32228E90" w14:textId="77777777">
        <w:trPr>
          <w:trHeight w:val="679"/>
        </w:trPr>
        <w:tc>
          <w:tcPr>
            <w:tcW w:w="887" w:type="dxa"/>
          </w:tcPr>
          <w:p w14:paraId="49C97C1C"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5613</w:t>
            </w:r>
          </w:p>
        </w:tc>
        <w:tc>
          <w:tcPr>
            <w:tcW w:w="1211" w:type="dxa"/>
          </w:tcPr>
          <w:p w14:paraId="5DA799F4"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PRKX</w:t>
            </w:r>
          </w:p>
        </w:tc>
        <w:tc>
          <w:tcPr>
            <w:tcW w:w="903" w:type="dxa"/>
          </w:tcPr>
          <w:p w14:paraId="1E1A8CE8"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Xp22.33</w:t>
            </w:r>
          </w:p>
        </w:tc>
        <w:tc>
          <w:tcPr>
            <w:tcW w:w="5284" w:type="dxa"/>
          </w:tcPr>
          <w:p w14:paraId="6608FA1E"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PRKX</w:t>
            </w:r>
            <w:r>
              <w:rPr>
                <w:rFonts w:ascii="Times New Roman" w:hAnsi="Times New Roman" w:cs="Times New Roman" w:hint="eastAsia"/>
                <w:color w:val="000000"/>
                <w:sz w:val="18"/>
                <w:szCs w:val="18"/>
              </w:rPr>
              <w:t xml:space="preserve"> </w:t>
            </w:r>
            <w:r>
              <w:rPr>
                <w:rFonts w:ascii="Times New Roman" w:hAnsi="Times New Roman" w:cs="Times New Roman"/>
                <w:color w:val="000000"/>
                <w:sz w:val="18"/>
                <w:szCs w:val="18"/>
              </w:rPr>
              <w:t>may influence immune responses through its role in cellular signaling and development, potentially affecting the maturation of immune cells such as macrophages and granulocytes. Abnormalit</w:t>
            </w:r>
            <w:r>
              <w:rPr>
                <w:rFonts w:ascii="Times New Roman" w:hAnsi="Times New Roman" w:cs="Times New Roman"/>
                <w:color w:val="000000"/>
                <w:sz w:val="18"/>
                <w:szCs w:val="18"/>
              </w:rPr>
              <w:t>ies in PRKX function can disrupt these processes, potentially impacting immune system regulation and contributing to disorders involving immune cell dysfunction.</w:t>
            </w:r>
          </w:p>
        </w:tc>
      </w:tr>
      <w:tr w:rsidR="00BE1318" w14:paraId="1E9157D9" w14:textId="77777777">
        <w:trPr>
          <w:trHeight w:val="689"/>
        </w:trPr>
        <w:tc>
          <w:tcPr>
            <w:tcW w:w="887" w:type="dxa"/>
          </w:tcPr>
          <w:p w14:paraId="300A7DCA"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5009</w:t>
            </w:r>
          </w:p>
        </w:tc>
        <w:tc>
          <w:tcPr>
            <w:tcW w:w="1211" w:type="dxa"/>
          </w:tcPr>
          <w:p w14:paraId="7017FDE6"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OTC</w:t>
            </w:r>
          </w:p>
        </w:tc>
        <w:tc>
          <w:tcPr>
            <w:tcW w:w="903" w:type="dxa"/>
          </w:tcPr>
          <w:p w14:paraId="651BDAD5"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Xp11.4</w:t>
            </w:r>
          </w:p>
        </w:tc>
        <w:tc>
          <w:tcPr>
            <w:tcW w:w="5284" w:type="dxa"/>
          </w:tcPr>
          <w:p w14:paraId="1DA883F7"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OTC is essential for detoxifying ammonia in the urea cycle, and its </w:t>
            </w:r>
            <w:r>
              <w:rPr>
                <w:rFonts w:ascii="Times New Roman" w:hAnsi="Times New Roman" w:cs="Times New Roman"/>
                <w:color w:val="000000"/>
                <w:sz w:val="18"/>
                <w:szCs w:val="18"/>
              </w:rPr>
              <w:t>deficiency can lead to high ammonia levels that affect multiple organ systems, including the immune system. Elevated ammonia levels can disrupt immune cell function and contribute to immune system dysregulation and related disorders.</w:t>
            </w:r>
          </w:p>
        </w:tc>
      </w:tr>
      <w:tr w:rsidR="00BE1318" w14:paraId="3C17F0DF" w14:textId="77777777">
        <w:trPr>
          <w:trHeight w:val="708"/>
        </w:trPr>
        <w:tc>
          <w:tcPr>
            <w:tcW w:w="887" w:type="dxa"/>
          </w:tcPr>
          <w:p w14:paraId="6D97B87E"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80231</w:t>
            </w:r>
          </w:p>
        </w:tc>
        <w:tc>
          <w:tcPr>
            <w:tcW w:w="1211" w:type="dxa"/>
          </w:tcPr>
          <w:p w14:paraId="092577A2"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CXorf21</w:t>
            </w:r>
          </w:p>
        </w:tc>
        <w:tc>
          <w:tcPr>
            <w:tcW w:w="903" w:type="dxa"/>
          </w:tcPr>
          <w:p w14:paraId="155463C5"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Xp21</w:t>
            </w:r>
          </w:p>
        </w:tc>
        <w:tc>
          <w:tcPr>
            <w:tcW w:w="5284" w:type="dxa"/>
          </w:tcPr>
          <w:p w14:paraId="1E4392E2"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CXorf21 is involved in the positive regulation of innate immune responses, positively regulates the Toll-like receptor signaling pathway, and regulates the pH of the lysosomal lumen.</w:t>
            </w:r>
          </w:p>
        </w:tc>
      </w:tr>
      <w:tr w:rsidR="00BE1318" w14:paraId="7CF34BB8" w14:textId="77777777">
        <w:trPr>
          <w:trHeight w:val="1455"/>
        </w:trPr>
        <w:tc>
          <w:tcPr>
            <w:tcW w:w="887" w:type="dxa"/>
          </w:tcPr>
          <w:p w14:paraId="5A87C31B"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8269</w:t>
            </w:r>
          </w:p>
        </w:tc>
        <w:tc>
          <w:tcPr>
            <w:tcW w:w="1211" w:type="dxa"/>
          </w:tcPr>
          <w:p w14:paraId="0BE49A79"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TMEM187</w:t>
            </w:r>
          </w:p>
        </w:tc>
        <w:tc>
          <w:tcPr>
            <w:tcW w:w="903" w:type="dxa"/>
          </w:tcPr>
          <w:p w14:paraId="2A9EC575"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Xq28</w:t>
            </w:r>
          </w:p>
        </w:tc>
        <w:tc>
          <w:tcPr>
            <w:tcW w:w="5284" w:type="dxa"/>
          </w:tcPr>
          <w:p w14:paraId="4F778CB7"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TMEM187 may influence immune responses by regulating </w:t>
            </w:r>
            <w:r>
              <w:rPr>
                <w:rFonts w:ascii="Times New Roman" w:hAnsi="Times New Roman" w:cs="Times New Roman"/>
                <w:color w:val="000000"/>
                <w:sz w:val="18"/>
                <w:szCs w:val="18"/>
              </w:rPr>
              <w:t>the function of membrane proteins involved in immune cell signaling and function. Abnormal expression or dysfunction of TMEM187 could disrupt normal immune system operation and contribute to immune-related disorders.</w:t>
            </w:r>
          </w:p>
        </w:tc>
      </w:tr>
      <w:tr w:rsidR="00BE1318" w14:paraId="61ADD17B" w14:textId="77777777">
        <w:trPr>
          <w:trHeight w:val="679"/>
        </w:trPr>
        <w:tc>
          <w:tcPr>
            <w:tcW w:w="887" w:type="dxa"/>
          </w:tcPr>
          <w:p w14:paraId="1F8E5118"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1536</w:t>
            </w:r>
          </w:p>
        </w:tc>
        <w:tc>
          <w:tcPr>
            <w:tcW w:w="1211" w:type="dxa"/>
          </w:tcPr>
          <w:p w14:paraId="171A7361"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CYBB</w:t>
            </w:r>
          </w:p>
        </w:tc>
        <w:tc>
          <w:tcPr>
            <w:tcW w:w="903" w:type="dxa"/>
          </w:tcPr>
          <w:p w14:paraId="4DB0383D"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Xp21.1-p11.4</w:t>
            </w:r>
          </w:p>
        </w:tc>
        <w:tc>
          <w:tcPr>
            <w:tcW w:w="5284" w:type="dxa"/>
          </w:tcPr>
          <w:p w14:paraId="1BCF4B0D"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CYBB</w:t>
            </w:r>
            <w:r>
              <w:rPr>
                <w:rFonts w:ascii="Times New Roman" w:hAnsi="Times New Roman" w:cs="Times New Roman" w:hint="eastAsia"/>
                <w:color w:val="000000"/>
                <w:sz w:val="18"/>
                <w:szCs w:val="18"/>
              </w:rPr>
              <w:t xml:space="preserve"> </w:t>
            </w:r>
            <w:r>
              <w:rPr>
                <w:rFonts w:ascii="Times New Roman" w:hAnsi="Times New Roman" w:cs="Times New Roman"/>
                <w:color w:val="000000"/>
                <w:sz w:val="18"/>
                <w:szCs w:val="18"/>
              </w:rPr>
              <w:t xml:space="preserve">is a key </w:t>
            </w:r>
            <w:r>
              <w:rPr>
                <w:rFonts w:ascii="Times New Roman" w:hAnsi="Times New Roman" w:cs="Times New Roman"/>
                <w:color w:val="000000"/>
                <w:sz w:val="18"/>
                <w:szCs w:val="18"/>
              </w:rPr>
              <w:t xml:space="preserve">component of the microbial killing oxidase system in phagocytes, involved in generating reactive oxygen species to kill bacteria. Deficiency of CYBB leads to chronic granulomatous disease, where neutrophils can engulf bacteria but fail to kill them due to </w:t>
            </w:r>
            <w:r>
              <w:rPr>
                <w:rFonts w:ascii="Times New Roman" w:hAnsi="Times New Roman" w:cs="Times New Roman"/>
                <w:color w:val="000000"/>
                <w:sz w:val="18"/>
                <w:szCs w:val="18"/>
              </w:rPr>
              <w:t>insufficient production of reactive oxygen, resulting in impaired infection resistance.</w:t>
            </w:r>
          </w:p>
        </w:tc>
      </w:tr>
      <w:tr w:rsidR="00BE1318" w14:paraId="002E4FBF" w14:textId="77777777">
        <w:trPr>
          <w:trHeight w:val="679"/>
        </w:trPr>
        <w:tc>
          <w:tcPr>
            <w:tcW w:w="887" w:type="dxa"/>
          </w:tcPr>
          <w:p w14:paraId="5BAB47E9"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7403</w:t>
            </w:r>
          </w:p>
        </w:tc>
        <w:tc>
          <w:tcPr>
            <w:tcW w:w="1211" w:type="dxa"/>
          </w:tcPr>
          <w:p w14:paraId="5A0E0CC2"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KDM6A </w:t>
            </w:r>
          </w:p>
        </w:tc>
        <w:tc>
          <w:tcPr>
            <w:tcW w:w="903" w:type="dxa"/>
          </w:tcPr>
          <w:p w14:paraId="43836246"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Xp11.3</w:t>
            </w:r>
          </w:p>
        </w:tc>
        <w:tc>
          <w:tcPr>
            <w:tcW w:w="5284" w:type="dxa"/>
          </w:tcPr>
          <w:p w14:paraId="05F0FACD"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KDM6A plays a role in immune regulation by modifying histone methylation patterns, which can influence the expression of genes involved in immune </w:t>
            </w:r>
            <w:r>
              <w:rPr>
                <w:rFonts w:ascii="Times New Roman" w:hAnsi="Times New Roman" w:cs="Times New Roman"/>
                <w:color w:val="000000"/>
                <w:sz w:val="18"/>
                <w:szCs w:val="18"/>
              </w:rPr>
              <w:t>responses. Dysregulation of KDM6A can affect immune cell differentiation and function, potentially contributing to autoimmune disorders and cancer.</w:t>
            </w:r>
          </w:p>
        </w:tc>
      </w:tr>
      <w:tr w:rsidR="00BE1318" w14:paraId="3F820539" w14:textId="77777777">
        <w:trPr>
          <w:trHeight w:val="1524"/>
        </w:trPr>
        <w:tc>
          <w:tcPr>
            <w:tcW w:w="887" w:type="dxa"/>
          </w:tcPr>
          <w:p w14:paraId="27FBF5B4"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8242</w:t>
            </w:r>
          </w:p>
        </w:tc>
        <w:tc>
          <w:tcPr>
            <w:tcW w:w="1211" w:type="dxa"/>
          </w:tcPr>
          <w:p w14:paraId="357009F5"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KDM5C </w:t>
            </w:r>
          </w:p>
        </w:tc>
        <w:tc>
          <w:tcPr>
            <w:tcW w:w="903" w:type="dxa"/>
          </w:tcPr>
          <w:p w14:paraId="64F47AAD"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Xp11.22</w:t>
            </w:r>
          </w:p>
        </w:tc>
        <w:tc>
          <w:tcPr>
            <w:tcW w:w="5284" w:type="dxa"/>
          </w:tcPr>
          <w:p w14:paraId="5313C13E"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KDM5C is involved in regulating gene expression through histone modification, impacting</w:t>
            </w:r>
            <w:r>
              <w:rPr>
                <w:rFonts w:ascii="Times New Roman" w:hAnsi="Times New Roman" w:cs="Times New Roman"/>
                <w:color w:val="000000"/>
                <w:sz w:val="18"/>
                <w:szCs w:val="18"/>
              </w:rPr>
              <w:t xml:space="preserve"> immune cell differentiation and function. Dysregulation of KDM5C can lead to altered immune responses and has been linked to X-linked cognitive disabilities and potentially to immune-related disorders.</w:t>
            </w:r>
          </w:p>
        </w:tc>
      </w:tr>
      <w:tr w:rsidR="00BE1318" w14:paraId="06B0D5B3" w14:textId="77777777">
        <w:trPr>
          <w:trHeight w:val="627"/>
        </w:trPr>
        <w:tc>
          <w:tcPr>
            <w:tcW w:w="887" w:type="dxa"/>
          </w:tcPr>
          <w:p w14:paraId="2AFDC05D"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7454</w:t>
            </w:r>
          </w:p>
        </w:tc>
        <w:tc>
          <w:tcPr>
            <w:tcW w:w="1211" w:type="dxa"/>
          </w:tcPr>
          <w:p w14:paraId="7E486743"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WAS</w:t>
            </w:r>
          </w:p>
        </w:tc>
        <w:tc>
          <w:tcPr>
            <w:tcW w:w="903" w:type="dxa"/>
          </w:tcPr>
          <w:p w14:paraId="15E6590D"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Xp11.23</w:t>
            </w:r>
          </w:p>
        </w:tc>
        <w:tc>
          <w:tcPr>
            <w:tcW w:w="5284" w:type="dxa"/>
          </w:tcPr>
          <w:p w14:paraId="7832318C"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WAS is involved in transmitting </w:t>
            </w:r>
            <w:r>
              <w:rPr>
                <w:rFonts w:ascii="Times New Roman" w:hAnsi="Times New Roman" w:cs="Times New Roman"/>
                <w:color w:val="000000"/>
                <w:sz w:val="18"/>
                <w:szCs w:val="18"/>
              </w:rPr>
              <w:t xml:space="preserve">signals from cell surface receptors to the actin cytoskeleton. </w:t>
            </w:r>
            <w:proofErr w:type="spellStart"/>
            <w:r>
              <w:rPr>
                <w:rFonts w:ascii="Times New Roman" w:hAnsi="Times New Roman" w:cs="Times New Roman"/>
                <w:color w:val="000000"/>
                <w:sz w:val="18"/>
                <w:szCs w:val="18"/>
              </w:rPr>
              <w:t>Wiskott</w:t>
            </w:r>
            <w:proofErr w:type="spellEnd"/>
            <w:r>
              <w:rPr>
                <w:rFonts w:ascii="Times New Roman" w:hAnsi="Times New Roman" w:cs="Times New Roman"/>
                <w:color w:val="000000"/>
                <w:sz w:val="18"/>
                <w:szCs w:val="18"/>
              </w:rPr>
              <w:t xml:space="preserve">-Aldrich syndrome is a rare, inherited X-linked recessive disease characterized by immune dysregulation and </w:t>
            </w:r>
            <w:proofErr w:type="spellStart"/>
            <w:r>
              <w:rPr>
                <w:rFonts w:ascii="Times New Roman" w:hAnsi="Times New Roman" w:cs="Times New Roman"/>
                <w:color w:val="000000"/>
                <w:sz w:val="18"/>
                <w:szCs w:val="18"/>
              </w:rPr>
              <w:t>microthrombocytopenia</w:t>
            </w:r>
            <w:proofErr w:type="spellEnd"/>
            <w:r>
              <w:rPr>
                <w:rFonts w:ascii="Times New Roman" w:hAnsi="Times New Roman" w:cs="Times New Roman"/>
                <w:color w:val="000000"/>
                <w:sz w:val="18"/>
                <w:szCs w:val="18"/>
              </w:rPr>
              <w:t>. The WAS gene product is a cytoplasmic protein expressed</w:t>
            </w:r>
            <w:r>
              <w:rPr>
                <w:rFonts w:ascii="Times New Roman" w:hAnsi="Times New Roman" w:cs="Times New Roman"/>
                <w:color w:val="000000"/>
                <w:sz w:val="18"/>
                <w:szCs w:val="18"/>
              </w:rPr>
              <w:t xml:space="preserve"> exclusively in hematopoietic cells.</w:t>
            </w:r>
          </w:p>
        </w:tc>
      </w:tr>
      <w:tr w:rsidR="00BE1318" w14:paraId="6C33583B" w14:textId="77777777">
        <w:trPr>
          <w:trHeight w:val="679"/>
        </w:trPr>
        <w:tc>
          <w:tcPr>
            <w:tcW w:w="887" w:type="dxa"/>
          </w:tcPr>
          <w:p w14:paraId="23C5E5ED"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6197</w:t>
            </w:r>
          </w:p>
        </w:tc>
        <w:tc>
          <w:tcPr>
            <w:tcW w:w="1211" w:type="dxa"/>
          </w:tcPr>
          <w:p w14:paraId="04BA0A9B" w14:textId="77777777" w:rsidR="00BE1318" w:rsidRDefault="0041472C">
            <w:pPr>
              <w:jc w:val="left"/>
              <w:rPr>
                <w:rFonts w:ascii="Times New Roman" w:hAnsi="Times New Roman" w:cs="Times New Roman"/>
                <w:sz w:val="18"/>
                <w:szCs w:val="18"/>
              </w:rPr>
            </w:pPr>
            <w:r>
              <w:rPr>
                <w:rFonts w:ascii="Times New Roman" w:hAnsi="Times New Roman" w:cs="Times New Roman"/>
                <w:sz w:val="18"/>
                <w:szCs w:val="18"/>
              </w:rPr>
              <w:t>RPS6KA3</w:t>
            </w:r>
          </w:p>
        </w:tc>
        <w:tc>
          <w:tcPr>
            <w:tcW w:w="903" w:type="dxa"/>
          </w:tcPr>
          <w:p w14:paraId="0A1C0341"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Xp22.12</w:t>
            </w:r>
          </w:p>
        </w:tc>
        <w:tc>
          <w:tcPr>
            <w:tcW w:w="5284" w:type="dxa"/>
          </w:tcPr>
          <w:p w14:paraId="36DFD61E"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RPS6KA3 is involved in the regulation of various immune cell functions by phosphorylating components of the MAPK signaling pathway. Dysregulation of RPS6KA3 can affect immune cell growth and </w:t>
            </w:r>
            <w:r>
              <w:rPr>
                <w:rFonts w:ascii="Times New Roman" w:hAnsi="Times New Roman" w:cs="Times New Roman"/>
                <w:color w:val="000000"/>
                <w:sz w:val="18"/>
                <w:szCs w:val="18"/>
              </w:rPr>
              <w:t>differentiation, potentially contributing to immune-related disorders and impacting overall immune responses.</w:t>
            </w:r>
          </w:p>
        </w:tc>
      </w:tr>
      <w:tr w:rsidR="00BE1318" w14:paraId="7EEB6FC6" w14:textId="77777777">
        <w:trPr>
          <w:trHeight w:val="679"/>
        </w:trPr>
        <w:tc>
          <w:tcPr>
            <w:tcW w:w="887" w:type="dxa"/>
          </w:tcPr>
          <w:p w14:paraId="265C5431"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8227</w:t>
            </w:r>
          </w:p>
        </w:tc>
        <w:tc>
          <w:tcPr>
            <w:tcW w:w="1211" w:type="dxa"/>
          </w:tcPr>
          <w:p w14:paraId="71ED78E2" w14:textId="77777777" w:rsidR="00BE1318" w:rsidRDefault="0041472C">
            <w:pPr>
              <w:jc w:val="left"/>
              <w:rPr>
                <w:rFonts w:ascii="Times New Roman" w:hAnsi="Times New Roman" w:cs="Times New Roman"/>
                <w:sz w:val="18"/>
                <w:szCs w:val="18"/>
              </w:rPr>
            </w:pPr>
            <w:r>
              <w:rPr>
                <w:rFonts w:ascii="Times New Roman" w:hAnsi="Times New Roman" w:cs="Times New Roman"/>
                <w:sz w:val="18"/>
                <w:szCs w:val="18"/>
              </w:rPr>
              <w:t>AKAP17A</w:t>
            </w:r>
          </w:p>
        </w:tc>
        <w:tc>
          <w:tcPr>
            <w:tcW w:w="903" w:type="dxa"/>
          </w:tcPr>
          <w:p w14:paraId="6057B4F9"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Xq28</w:t>
            </w:r>
          </w:p>
        </w:tc>
        <w:tc>
          <w:tcPr>
            <w:tcW w:w="5284" w:type="dxa"/>
          </w:tcPr>
          <w:p w14:paraId="38863EC8"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AKAP17A is involved in the regulation of alternative splicing of mRNA precursors, which can affect the expression of </w:t>
            </w:r>
            <w:r>
              <w:rPr>
                <w:rFonts w:ascii="Times New Roman" w:hAnsi="Times New Roman" w:cs="Times New Roman"/>
                <w:color w:val="000000"/>
                <w:sz w:val="18"/>
                <w:szCs w:val="18"/>
              </w:rPr>
              <w:t>immune-related genes. Its role in the spliceosome complex may influence immune cell function and contribute to the modulation of immune responses.</w:t>
            </w:r>
          </w:p>
        </w:tc>
      </w:tr>
      <w:tr w:rsidR="00BE1318" w14:paraId="3155CDDC" w14:textId="77777777">
        <w:trPr>
          <w:trHeight w:val="1476"/>
        </w:trPr>
        <w:tc>
          <w:tcPr>
            <w:tcW w:w="887" w:type="dxa"/>
          </w:tcPr>
          <w:p w14:paraId="2F0B5972"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401577</w:t>
            </w:r>
          </w:p>
        </w:tc>
        <w:tc>
          <w:tcPr>
            <w:tcW w:w="1211" w:type="dxa"/>
          </w:tcPr>
          <w:p w14:paraId="7B57CE66" w14:textId="77777777" w:rsidR="00BE1318" w:rsidRDefault="0041472C">
            <w:pPr>
              <w:jc w:val="left"/>
              <w:rPr>
                <w:rFonts w:ascii="Times New Roman" w:hAnsi="Times New Roman" w:cs="Times New Roman"/>
                <w:sz w:val="18"/>
                <w:szCs w:val="18"/>
              </w:rPr>
            </w:pPr>
            <w:r>
              <w:rPr>
                <w:rFonts w:ascii="Times New Roman" w:hAnsi="Times New Roman" w:cs="Times New Roman"/>
                <w:sz w:val="18"/>
                <w:szCs w:val="18"/>
              </w:rPr>
              <w:t>CD99P1</w:t>
            </w:r>
          </w:p>
        </w:tc>
        <w:tc>
          <w:tcPr>
            <w:tcW w:w="903" w:type="dxa"/>
          </w:tcPr>
          <w:p w14:paraId="4892C61C"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Xp11.3</w:t>
            </w:r>
          </w:p>
        </w:tc>
        <w:tc>
          <w:tcPr>
            <w:tcW w:w="5284" w:type="dxa"/>
          </w:tcPr>
          <w:p w14:paraId="738E45E0"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CD99P1 is involved in regulating cell adhesion and signaling, which can influence immun</w:t>
            </w:r>
            <w:r>
              <w:rPr>
                <w:rFonts w:ascii="Times New Roman" w:hAnsi="Times New Roman" w:cs="Times New Roman"/>
                <w:color w:val="000000"/>
                <w:sz w:val="18"/>
                <w:szCs w:val="18"/>
              </w:rPr>
              <w:t>e cell migration and interactions. Dysregulation of CD99P1 may impact immune responses and contribute to the development of autoimmune diseases or other immune system disorders.</w:t>
            </w:r>
          </w:p>
        </w:tc>
      </w:tr>
      <w:tr w:rsidR="00BE1318" w14:paraId="1FEF56D0" w14:textId="77777777">
        <w:trPr>
          <w:trHeight w:val="1511"/>
        </w:trPr>
        <w:tc>
          <w:tcPr>
            <w:tcW w:w="887" w:type="dxa"/>
          </w:tcPr>
          <w:p w14:paraId="3C5E7CE1"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5277</w:t>
            </w:r>
          </w:p>
        </w:tc>
        <w:tc>
          <w:tcPr>
            <w:tcW w:w="1211" w:type="dxa"/>
          </w:tcPr>
          <w:p w14:paraId="27EA1BE7" w14:textId="77777777" w:rsidR="00BE1318" w:rsidRDefault="0041472C">
            <w:pPr>
              <w:jc w:val="left"/>
              <w:rPr>
                <w:rFonts w:ascii="Times New Roman" w:hAnsi="Times New Roman" w:cs="Times New Roman"/>
                <w:sz w:val="18"/>
                <w:szCs w:val="18"/>
              </w:rPr>
            </w:pPr>
            <w:r>
              <w:rPr>
                <w:rFonts w:ascii="Times New Roman" w:hAnsi="Times New Roman" w:cs="Times New Roman"/>
                <w:sz w:val="18"/>
                <w:szCs w:val="18"/>
              </w:rPr>
              <w:t>PIGA</w:t>
            </w:r>
          </w:p>
        </w:tc>
        <w:tc>
          <w:tcPr>
            <w:tcW w:w="903" w:type="dxa"/>
          </w:tcPr>
          <w:p w14:paraId="6008FE34"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Xq28</w:t>
            </w:r>
          </w:p>
        </w:tc>
        <w:tc>
          <w:tcPr>
            <w:tcW w:w="5284" w:type="dxa"/>
          </w:tcPr>
          <w:p w14:paraId="181EA423"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PIGA is essential for synthesizing the GPI anchor, which is </w:t>
            </w:r>
            <w:r>
              <w:rPr>
                <w:rFonts w:ascii="Times New Roman" w:hAnsi="Times New Roman" w:cs="Times New Roman"/>
                <w:color w:val="000000"/>
                <w:sz w:val="18"/>
                <w:szCs w:val="18"/>
              </w:rPr>
              <w:t>crucial for attaching various cell surface proteins involved in immune responses. Mutations in PIGA can lead to paroxysmal nocturnal hemoglobinuria (PNH), a condition that affects immune cell function and can result in increased susceptibility to infection</w:t>
            </w:r>
            <w:r>
              <w:rPr>
                <w:rFonts w:ascii="Times New Roman" w:hAnsi="Times New Roman" w:cs="Times New Roman"/>
                <w:color w:val="000000"/>
                <w:sz w:val="18"/>
                <w:szCs w:val="18"/>
              </w:rPr>
              <w:t>s and other immune-related issues.</w:t>
            </w:r>
          </w:p>
        </w:tc>
      </w:tr>
      <w:tr w:rsidR="00BE1318" w14:paraId="7D43832F" w14:textId="77777777">
        <w:trPr>
          <w:trHeight w:val="1796"/>
        </w:trPr>
        <w:tc>
          <w:tcPr>
            <w:tcW w:w="887" w:type="dxa"/>
          </w:tcPr>
          <w:p w14:paraId="63BEE9CA"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369</w:t>
            </w:r>
          </w:p>
        </w:tc>
        <w:tc>
          <w:tcPr>
            <w:tcW w:w="1211" w:type="dxa"/>
          </w:tcPr>
          <w:p w14:paraId="772FCED9" w14:textId="77777777" w:rsidR="00BE1318" w:rsidRDefault="0041472C">
            <w:pPr>
              <w:jc w:val="left"/>
              <w:rPr>
                <w:rFonts w:ascii="Times New Roman" w:hAnsi="Times New Roman" w:cs="Times New Roman"/>
                <w:sz w:val="18"/>
                <w:szCs w:val="18"/>
              </w:rPr>
            </w:pPr>
            <w:r>
              <w:rPr>
                <w:rFonts w:ascii="Times New Roman" w:hAnsi="Times New Roman" w:cs="Times New Roman"/>
                <w:sz w:val="18"/>
                <w:szCs w:val="18"/>
              </w:rPr>
              <w:t>ARAF</w:t>
            </w:r>
          </w:p>
        </w:tc>
        <w:tc>
          <w:tcPr>
            <w:tcW w:w="903" w:type="dxa"/>
          </w:tcPr>
          <w:p w14:paraId="598CCB64"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Xp11.3</w:t>
            </w:r>
          </w:p>
        </w:tc>
        <w:tc>
          <w:tcPr>
            <w:tcW w:w="5284" w:type="dxa"/>
          </w:tcPr>
          <w:p w14:paraId="4C471CDA"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ARAF is involved in regulating the TOR signaling pathway, which affects various immune cell functions, including cell growth and survival. Dysregulation of ARAF can impact immune responses and is </w:t>
            </w:r>
            <w:r>
              <w:rPr>
                <w:rFonts w:ascii="Times New Roman" w:hAnsi="Times New Roman" w:cs="Times New Roman"/>
                <w:color w:val="000000"/>
                <w:sz w:val="18"/>
                <w:szCs w:val="18"/>
              </w:rPr>
              <w:t>associated with the development of certain cancers, including high-grade gliomas, which can influence overall immune system health.</w:t>
            </w:r>
          </w:p>
        </w:tc>
      </w:tr>
      <w:tr w:rsidR="00BE1318" w14:paraId="6FD0039D" w14:textId="77777777">
        <w:trPr>
          <w:trHeight w:val="679"/>
        </w:trPr>
        <w:tc>
          <w:tcPr>
            <w:tcW w:w="887" w:type="dxa"/>
          </w:tcPr>
          <w:p w14:paraId="1BC95EE9"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5199</w:t>
            </w:r>
          </w:p>
        </w:tc>
        <w:tc>
          <w:tcPr>
            <w:tcW w:w="1211" w:type="dxa"/>
          </w:tcPr>
          <w:p w14:paraId="11F58880" w14:textId="77777777" w:rsidR="00BE1318" w:rsidRDefault="0041472C">
            <w:pPr>
              <w:jc w:val="left"/>
              <w:rPr>
                <w:rFonts w:ascii="Times New Roman" w:hAnsi="Times New Roman" w:cs="Times New Roman"/>
                <w:sz w:val="18"/>
                <w:szCs w:val="18"/>
              </w:rPr>
            </w:pPr>
            <w:r>
              <w:rPr>
                <w:rFonts w:ascii="Times New Roman" w:hAnsi="Times New Roman" w:cs="Times New Roman"/>
                <w:sz w:val="18"/>
                <w:szCs w:val="18"/>
              </w:rPr>
              <w:t>CFP</w:t>
            </w:r>
          </w:p>
        </w:tc>
        <w:tc>
          <w:tcPr>
            <w:tcW w:w="903" w:type="dxa"/>
          </w:tcPr>
          <w:p w14:paraId="30E37B9A"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Xp11.23</w:t>
            </w:r>
          </w:p>
        </w:tc>
        <w:tc>
          <w:tcPr>
            <w:tcW w:w="5284" w:type="dxa"/>
          </w:tcPr>
          <w:p w14:paraId="028946C1"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CFP positively regulates the alternative complement pathway, enhancing the immune system's ability to </w:t>
            </w:r>
            <w:r>
              <w:rPr>
                <w:rFonts w:ascii="Times New Roman" w:hAnsi="Times New Roman" w:cs="Times New Roman"/>
                <w:color w:val="000000"/>
                <w:sz w:val="18"/>
                <w:szCs w:val="18"/>
              </w:rPr>
              <w:t>target and eliminate pathogens. Deficiencies in CFP can lead to increased susceptibility to infections, particularly meningococcal infections, due to impaired formation of the membrane attack complex.</w:t>
            </w:r>
          </w:p>
        </w:tc>
      </w:tr>
      <w:tr w:rsidR="00BE1318" w14:paraId="130A3061" w14:textId="77777777">
        <w:trPr>
          <w:trHeight w:val="1379"/>
        </w:trPr>
        <w:tc>
          <w:tcPr>
            <w:tcW w:w="887" w:type="dxa"/>
          </w:tcPr>
          <w:p w14:paraId="06928663"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139716</w:t>
            </w:r>
          </w:p>
        </w:tc>
        <w:tc>
          <w:tcPr>
            <w:tcW w:w="1211" w:type="dxa"/>
          </w:tcPr>
          <w:p w14:paraId="203683FC" w14:textId="77777777" w:rsidR="00BE1318" w:rsidRDefault="0041472C">
            <w:pPr>
              <w:jc w:val="left"/>
              <w:rPr>
                <w:rFonts w:ascii="Times New Roman" w:hAnsi="Times New Roman" w:cs="Times New Roman"/>
                <w:sz w:val="18"/>
                <w:szCs w:val="18"/>
              </w:rPr>
            </w:pPr>
            <w:r>
              <w:rPr>
                <w:rFonts w:ascii="Times New Roman" w:hAnsi="Times New Roman" w:cs="Times New Roman"/>
                <w:sz w:val="18"/>
                <w:szCs w:val="18"/>
              </w:rPr>
              <w:t>GAB3</w:t>
            </w:r>
          </w:p>
        </w:tc>
        <w:tc>
          <w:tcPr>
            <w:tcW w:w="903" w:type="dxa"/>
          </w:tcPr>
          <w:p w14:paraId="04C9D385" w14:textId="77777777" w:rsidR="00BE1318" w:rsidRDefault="0041472C">
            <w:pPr>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Xq28</w:t>
            </w:r>
          </w:p>
        </w:tc>
        <w:tc>
          <w:tcPr>
            <w:tcW w:w="5284" w:type="dxa"/>
          </w:tcPr>
          <w:p w14:paraId="757B3113" w14:textId="77777777" w:rsidR="00BE1318" w:rsidRDefault="0041472C">
            <w:pPr>
              <w:widowControl/>
              <w:spacing w:beforeLines="10" w:before="31" w:afterLines="10" w:after="31" w:line="72" w:lineRule="auto"/>
              <w:jc w:val="left"/>
              <w:rPr>
                <w:rFonts w:ascii="Times New Roman" w:hAnsi="Times New Roman" w:cs="Times New Roman"/>
                <w:color w:val="000000"/>
                <w:sz w:val="18"/>
                <w:szCs w:val="18"/>
              </w:rPr>
            </w:pPr>
            <w:r>
              <w:rPr>
                <w:rFonts w:ascii="Times New Roman" w:hAnsi="Times New Roman" w:cs="Times New Roman"/>
                <w:color w:val="000000"/>
                <w:sz w:val="18"/>
                <w:szCs w:val="18"/>
              </w:rPr>
              <w:t xml:space="preserve">GAB3 is involved in the signaling </w:t>
            </w:r>
            <w:r>
              <w:rPr>
                <w:rFonts w:ascii="Times New Roman" w:hAnsi="Times New Roman" w:cs="Times New Roman"/>
                <w:color w:val="000000"/>
                <w:sz w:val="18"/>
                <w:szCs w:val="18"/>
              </w:rPr>
              <w:t>pathways of growth factors and cytokines, playing a key role in macrophage differentiation and immune cell activation. Its function as a scaffolding protein supports the organization and amplification of immune responses by interacting with signaling molec</w:t>
            </w:r>
            <w:r>
              <w:rPr>
                <w:rFonts w:ascii="Times New Roman" w:hAnsi="Times New Roman" w:cs="Times New Roman"/>
                <w:color w:val="000000"/>
                <w:sz w:val="18"/>
                <w:szCs w:val="18"/>
              </w:rPr>
              <w:t>ules like SHP2 and GRB2.</w:t>
            </w:r>
          </w:p>
        </w:tc>
      </w:tr>
    </w:tbl>
    <w:p w14:paraId="7D4BD4C6" w14:textId="77777777" w:rsidR="00BE1318" w:rsidRDefault="00BE1318">
      <w:pPr>
        <w:rPr>
          <w:rFonts w:ascii="Times New Roman" w:hAnsi="Times New Roman" w:cs="Times New Roman"/>
          <w:b/>
          <w:bCs/>
        </w:rPr>
      </w:pPr>
    </w:p>
    <w:p w14:paraId="585555BE" w14:textId="77777777" w:rsidR="00BE1318" w:rsidRDefault="00BE1318">
      <w:pPr>
        <w:rPr>
          <w:rFonts w:ascii="Times New Roman" w:hAnsi="Times New Roman" w:cs="Times New Roman"/>
          <w:b/>
          <w:bCs/>
        </w:rPr>
      </w:pPr>
    </w:p>
    <w:p w14:paraId="61890B9F" w14:textId="77777777" w:rsidR="00BE1318" w:rsidRDefault="00BE1318">
      <w:pPr>
        <w:rPr>
          <w:rFonts w:ascii="Times New Roman" w:hAnsi="Times New Roman" w:cs="Times New Roman"/>
          <w:b/>
          <w:bCs/>
        </w:rPr>
      </w:pPr>
    </w:p>
    <w:p w14:paraId="7EC3D139" w14:textId="77777777" w:rsidR="00BE1318" w:rsidRDefault="00BE1318"/>
    <w:sectPr w:rsidR="00BE1318" w:rsidSect="004147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Arial Unicode MS"/>
    <w:charset w:val="86"/>
    <w:family w:val="auto"/>
    <w:pitch w:val="default"/>
    <w:sig w:usb0="00000000" w:usb1="38CF7CFA" w:usb2="00000016" w:usb3="00000000" w:csb0="0004000F" w:csb1="00000000"/>
  </w:font>
  <w:font w:name="DengXian Light">
    <w:altName w:val="SimSun"/>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proofState w:spelling="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U3YWQ1NmUxNGU4Nzg0NzRjM2NmNTQ5YzA0MzcwZjEifQ=="/>
  </w:docVars>
  <w:rsids>
    <w:rsidRoot w:val="00B66A88"/>
    <w:rsid w:val="00097923"/>
    <w:rsid w:val="000B7067"/>
    <w:rsid w:val="000D5CA1"/>
    <w:rsid w:val="000E0D55"/>
    <w:rsid w:val="00106374"/>
    <w:rsid w:val="0012161B"/>
    <w:rsid w:val="001D0A09"/>
    <w:rsid w:val="00223EF9"/>
    <w:rsid w:val="003B1E2C"/>
    <w:rsid w:val="003C3D82"/>
    <w:rsid w:val="0041472C"/>
    <w:rsid w:val="00417E5A"/>
    <w:rsid w:val="004A79F7"/>
    <w:rsid w:val="0054198C"/>
    <w:rsid w:val="005E73CC"/>
    <w:rsid w:val="00626211"/>
    <w:rsid w:val="0067263B"/>
    <w:rsid w:val="00683EA4"/>
    <w:rsid w:val="007169EC"/>
    <w:rsid w:val="007B0CBB"/>
    <w:rsid w:val="008125E0"/>
    <w:rsid w:val="00835B47"/>
    <w:rsid w:val="009159C4"/>
    <w:rsid w:val="00B025DD"/>
    <w:rsid w:val="00B05C0B"/>
    <w:rsid w:val="00B66A88"/>
    <w:rsid w:val="00B75534"/>
    <w:rsid w:val="00BE1318"/>
    <w:rsid w:val="00DA167E"/>
    <w:rsid w:val="00E24F56"/>
    <w:rsid w:val="00E536CF"/>
    <w:rsid w:val="00E879DC"/>
    <w:rsid w:val="00F16E26"/>
    <w:rsid w:val="00F3690C"/>
    <w:rsid w:val="00F60057"/>
    <w:rsid w:val="038B15B5"/>
    <w:rsid w:val="04245B63"/>
    <w:rsid w:val="04351B1E"/>
    <w:rsid w:val="047C599F"/>
    <w:rsid w:val="06E73135"/>
    <w:rsid w:val="07154D23"/>
    <w:rsid w:val="0797489E"/>
    <w:rsid w:val="08534C69"/>
    <w:rsid w:val="08B87AE4"/>
    <w:rsid w:val="097E5D15"/>
    <w:rsid w:val="09A3752A"/>
    <w:rsid w:val="0AA07F0D"/>
    <w:rsid w:val="0BBC0D77"/>
    <w:rsid w:val="0F5616AC"/>
    <w:rsid w:val="103A6CD8"/>
    <w:rsid w:val="125F245C"/>
    <w:rsid w:val="126F6B43"/>
    <w:rsid w:val="12CA1FCB"/>
    <w:rsid w:val="131D034D"/>
    <w:rsid w:val="137030FD"/>
    <w:rsid w:val="137F4B64"/>
    <w:rsid w:val="13C16461"/>
    <w:rsid w:val="14281AE6"/>
    <w:rsid w:val="17967BF3"/>
    <w:rsid w:val="181B2472"/>
    <w:rsid w:val="18DE057F"/>
    <w:rsid w:val="1992178F"/>
    <w:rsid w:val="1A9E5456"/>
    <w:rsid w:val="1C085913"/>
    <w:rsid w:val="1CC17F9B"/>
    <w:rsid w:val="1E7F1506"/>
    <w:rsid w:val="202F346E"/>
    <w:rsid w:val="20384A18"/>
    <w:rsid w:val="20987265"/>
    <w:rsid w:val="21E12E8E"/>
    <w:rsid w:val="21F61807"/>
    <w:rsid w:val="221E7C3E"/>
    <w:rsid w:val="22B57588"/>
    <w:rsid w:val="233813D8"/>
    <w:rsid w:val="25281DE7"/>
    <w:rsid w:val="257302A1"/>
    <w:rsid w:val="277B168E"/>
    <w:rsid w:val="27D43A83"/>
    <w:rsid w:val="2838132E"/>
    <w:rsid w:val="28BF09DE"/>
    <w:rsid w:val="2ABC4498"/>
    <w:rsid w:val="2B7408CF"/>
    <w:rsid w:val="2D1114CA"/>
    <w:rsid w:val="306058C5"/>
    <w:rsid w:val="31584920"/>
    <w:rsid w:val="31DE6AA2"/>
    <w:rsid w:val="3341378C"/>
    <w:rsid w:val="33490893"/>
    <w:rsid w:val="338D69D1"/>
    <w:rsid w:val="34565015"/>
    <w:rsid w:val="34E8485A"/>
    <w:rsid w:val="35586B6B"/>
    <w:rsid w:val="355F614C"/>
    <w:rsid w:val="387E2D8D"/>
    <w:rsid w:val="38961E84"/>
    <w:rsid w:val="397D3044"/>
    <w:rsid w:val="3A112061"/>
    <w:rsid w:val="3B56248A"/>
    <w:rsid w:val="3C123F18"/>
    <w:rsid w:val="3C813B4A"/>
    <w:rsid w:val="3C9E57AB"/>
    <w:rsid w:val="3EF47905"/>
    <w:rsid w:val="401A15ED"/>
    <w:rsid w:val="40721429"/>
    <w:rsid w:val="40B35DB9"/>
    <w:rsid w:val="41764F49"/>
    <w:rsid w:val="42154762"/>
    <w:rsid w:val="42894808"/>
    <w:rsid w:val="42E934F8"/>
    <w:rsid w:val="440700DA"/>
    <w:rsid w:val="442944F4"/>
    <w:rsid w:val="44C63AF1"/>
    <w:rsid w:val="47DB3D58"/>
    <w:rsid w:val="4C96024D"/>
    <w:rsid w:val="4D2409BE"/>
    <w:rsid w:val="4D5123C6"/>
    <w:rsid w:val="4F5D5052"/>
    <w:rsid w:val="51A31701"/>
    <w:rsid w:val="520039D2"/>
    <w:rsid w:val="52F97788"/>
    <w:rsid w:val="56A33574"/>
    <w:rsid w:val="59F9006D"/>
    <w:rsid w:val="5AC24903"/>
    <w:rsid w:val="5BAD7361"/>
    <w:rsid w:val="5C5123E2"/>
    <w:rsid w:val="5E624433"/>
    <w:rsid w:val="5F4C0C3F"/>
    <w:rsid w:val="5F4F0DB7"/>
    <w:rsid w:val="60D40EEC"/>
    <w:rsid w:val="60D536DC"/>
    <w:rsid w:val="61CA2A1B"/>
    <w:rsid w:val="639257BA"/>
    <w:rsid w:val="642F125B"/>
    <w:rsid w:val="64405216"/>
    <w:rsid w:val="64721148"/>
    <w:rsid w:val="662D3578"/>
    <w:rsid w:val="673E4F0E"/>
    <w:rsid w:val="6A0E1913"/>
    <w:rsid w:val="6BBD539F"/>
    <w:rsid w:val="6CF7283B"/>
    <w:rsid w:val="6DD10C8D"/>
    <w:rsid w:val="6FBB1BF5"/>
    <w:rsid w:val="70812E3F"/>
    <w:rsid w:val="71E01DE7"/>
    <w:rsid w:val="71EF3FF7"/>
    <w:rsid w:val="72BF1BF3"/>
    <w:rsid w:val="73267CCD"/>
    <w:rsid w:val="735C36EF"/>
    <w:rsid w:val="73762CE4"/>
    <w:rsid w:val="74CC21AE"/>
    <w:rsid w:val="7791148D"/>
    <w:rsid w:val="78511348"/>
    <w:rsid w:val="7F271055"/>
    <w:rsid w:val="7F881615"/>
    <w:rsid w:val="7FAB3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F18199-7178-4BC8-9BD9-9F5C5E01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rPr>
  </w:style>
  <w:style w:type="paragraph" w:styleId="Heading1">
    <w:name w:val="heading 1"/>
    <w:basedOn w:val="Normal"/>
    <w:next w:val="Normal"/>
    <w:uiPriority w:val="9"/>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4">
    <w:name w:val="heading 4"/>
    <w:basedOn w:val="Normal"/>
    <w:next w:val="Normal"/>
    <w:uiPriority w:val="9"/>
    <w:semiHidden/>
    <w:unhideWhenUsed/>
    <w:qFormat/>
    <w:pPr>
      <w:spacing w:beforeAutospacing="1" w:afterAutospacing="1"/>
      <w:jc w:val="left"/>
      <w:outlineLvl w:val="3"/>
    </w:pPr>
    <w:rPr>
      <w:rFonts w:ascii="SimSun" w:eastAsia="SimSun" w:hAnsi="SimSun" w:cs="Times New Roman" w:hint="eastAsia"/>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NormalWeb">
    <w:name w:val="Normal (Web)"/>
    <w:basedOn w:val="Normal"/>
    <w:uiPriority w:val="99"/>
    <w:semiHidden/>
    <w:unhideWhenUsed/>
    <w:qFormat/>
    <w:pPr>
      <w:spacing w:beforeAutospacing="1" w:afterAutospacing="1"/>
      <w:jc w:val="left"/>
    </w:pPr>
    <w:rPr>
      <w:rFonts w:cs="Times New Roman"/>
      <w:kern w:val="0"/>
      <w:sz w:val="24"/>
    </w:rPr>
  </w:style>
  <w:style w:type="character" w:styleId="Strong">
    <w:name w:val="Strong"/>
    <w:basedOn w:val="DefaultParagraphFont"/>
    <w:uiPriority w:val="22"/>
    <w:qFormat/>
    <w:rPr>
      <w:b/>
    </w:rPr>
  </w:style>
  <w:style w:type="character" w:styleId="Emphasis">
    <w:name w:val="Emphasis"/>
    <w:basedOn w:val="DefaultParagraphFont"/>
    <w:uiPriority w:val="20"/>
    <w:qFormat/>
    <w:rPr>
      <w:i/>
    </w:rPr>
  </w:style>
  <w:style w:type="character" w:styleId="Hyperlink">
    <w:name w:val="Hyperlink"/>
    <w:basedOn w:val="DefaultParagraphFont"/>
    <w:uiPriority w:val="99"/>
    <w:semiHidden/>
    <w:unhideWhenUsed/>
    <w:qFormat/>
    <w:rPr>
      <w:color w:val="0000FF"/>
      <w:u w:val="single"/>
    </w:rPr>
  </w:style>
  <w:style w:type="character" w:customStyle="1" w:styleId="4">
    <w:name w:val="4 字符"/>
    <w:link w:val="40"/>
    <w:semiHidden/>
    <w:qFormat/>
    <w:rPr>
      <w:sz w:val="24"/>
      <w:szCs w:val="32"/>
      <w:shd w:val="clear" w:color="auto" w:fill="FFFFFF"/>
    </w:rPr>
  </w:style>
  <w:style w:type="paragraph" w:customStyle="1" w:styleId="40">
    <w:name w:val="4"/>
    <w:basedOn w:val="Normal"/>
    <w:link w:val="4"/>
    <w:semiHidden/>
    <w:qFormat/>
    <w:pPr>
      <w:shd w:val="clear" w:color="auto" w:fill="FFFFFF"/>
      <w:tabs>
        <w:tab w:val="center" w:pos="4139"/>
        <w:tab w:val="left" w:pos="7545"/>
        <w:tab w:val="right" w:leader="middleDot" w:pos="7740"/>
      </w:tabs>
      <w:spacing w:line="400" w:lineRule="exact"/>
      <w:ind w:firstLineChars="200" w:firstLine="200"/>
    </w:pPr>
    <w:rPr>
      <w:sz w:val="24"/>
      <w:szCs w:val="32"/>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1898</Words>
  <Characters>10820</Characters>
  <Application>Microsoft Office Word</Application>
  <DocSecurity>0</DocSecurity>
  <Lines>90</Lines>
  <Paragraphs>25</Paragraphs>
  <ScaleCrop>false</ScaleCrop>
  <Company/>
  <LinksUpToDate>false</LinksUpToDate>
  <CharactersWithSpaces>12693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祖希 封</dc:creator>
  <cp:lastModifiedBy>Poornima Thiruvudaiselvi</cp:lastModifiedBy>
  <cp:revision>54</cp:revision>
  <dcterms:created xsi:type="dcterms:W3CDTF">2023-08-25T15:20:00Z</dcterms:created>
  <dcterms:modified xsi:type="dcterms:W3CDTF">2024-12-17T10:40:00Z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E026E2B1CBB5426B852AF9649B149AB5_12</vt:lpwstr>
  </property>
</Properties>
</file>