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618" w:rsidRDefault="009B6D3A">
      <w:pPr>
        <w:spacing w:line="480" w:lineRule="auto"/>
      </w:pPr>
      <w:r>
        <w:rPr>
          <w:noProof/>
          <w:lang w:val="en-IN"/>
        </w:rPr>
        <w:drawing>
          <wp:inline distT="0" distB="0" distL="0" distR="0">
            <wp:extent cx="4572000" cy="304800"/>
            <wp:effectExtent l="0" t="0" r="0" b="0"/>
            <wp:docPr id="214148348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618" w:rsidRDefault="009B6D3A">
      <w:pPr>
        <w:pStyle w:val="Title"/>
        <w:jc w:val="left"/>
      </w:pPr>
      <w:bookmarkStart w:id="0" w:name="_heading=h.ehemid4i3po7" w:colFirst="0" w:colLast="0"/>
      <w:bookmarkEnd w:id="0"/>
      <w:proofErr w:type="spellStart"/>
      <w:r>
        <w:rPr>
          <w:sz w:val="44"/>
          <w:szCs w:val="44"/>
        </w:rPr>
        <w:lastRenderedPageBreak/>
        <w:t>CryoSCAPE</w:t>
      </w:r>
      <w:proofErr w:type="spellEnd"/>
      <w:r>
        <w:rPr>
          <w:sz w:val="44"/>
          <w:szCs w:val="44"/>
        </w:rPr>
        <w:t>: Scalable Immune Profiling Using Cryopreserved Whole Blood for Multi-</w:t>
      </w:r>
      <w:proofErr w:type="spellStart"/>
      <w:r>
        <w:rPr>
          <w:sz w:val="44"/>
          <w:szCs w:val="44"/>
        </w:rPr>
        <w:t>omic</w:t>
      </w:r>
      <w:proofErr w:type="spellEnd"/>
      <w:r>
        <w:rPr>
          <w:sz w:val="44"/>
          <w:szCs w:val="44"/>
        </w:rPr>
        <w:t xml:space="preserve"> Single Cell and Functional Assays</w:t>
      </w:r>
    </w:p>
    <w:p w:rsidR="007D4618" w:rsidRDefault="007D4618">
      <w:pPr>
        <w:pStyle w:val="Heading1"/>
        <w:spacing w:before="0" w:after="0"/>
        <w:rPr>
          <w:b/>
          <w:sz w:val="22"/>
          <w:szCs w:val="22"/>
        </w:rPr>
      </w:pPr>
      <w:bookmarkStart w:id="1" w:name="_heading=h.gusk1w1nxfn3" w:colFirst="0" w:colLast="0"/>
      <w:bookmarkEnd w:id="1"/>
    </w:p>
    <w:bookmarkStart w:id="2" w:name="_heading=h.hdknjtvj4nro" w:colFirst="0" w:colLast="0" w:displacedByCustomXml="next"/>
    <w:bookmarkEnd w:id="2" w:displacedByCustomXml="next"/>
    <w:sdt>
      <w:sdtPr>
        <w:tag w:val="goog_rdk_0"/>
        <w:id w:val="-1367202443"/>
      </w:sdtPr>
      <w:sdtEndPr/>
      <w:sdtContent>
        <w:p w:rsidR="007D4618" w:rsidRDefault="009B6D3A">
          <w:pPr>
            <w:pStyle w:val="Heading3"/>
            <w:spacing w:before="0"/>
            <w:rPr>
              <w:color w:val="000000"/>
            </w:rPr>
          </w:pPr>
          <w:r>
            <w:rPr>
              <w:color w:val="000000"/>
            </w:rPr>
            <w:t xml:space="preserve">Alexander T. </w:t>
          </w:r>
          <w:proofErr w:type="spellStart"/>
          <w:r>
            <w:rPr>
              <w:color w:val="000000"/>
            </w:rPr>
            <w:t>Heubeck</w:t>
          </w:r>
          <w:proofErr w:type="spellEnd"/>
          <w:r>
            <w:rPr>
              <w:color w:val="000000"/>
            </w:rPr>
            <w:t xml:space="preserve">*, Cole </w:t>
          </w:r>
          <w:proofErr w:type="spellStart"/>
          <w:r>
            <w:rPr>
              <w:color w:val="000000"/>
            </w:rPr>
            <w:t>Phalen</w:t>
          </w:r>
          <w:proofErr w:type="spellEnd"/>
          <w:r>
            <w:rPr>
              <w:color w:val="000000"/>
            </w:rPr>
            <w:t xml:space="preserve">, Neel </w:t>
          </w:r>
          <w:proofErr w:type="spellStart"/>
          <w:r>
            <w:rPr>
              <w:color w:val="000000"/>
            </w:rPr>
            <w:t>Kaul</w:t>
          </w:r>
          <w:proofErr w:type="spellEnd"/>
          <w:r>
            <w:rPr>
              <w:color w:val="000000"/>
            </w:rPr>
            <w:t xml:space="preserve">, Peter Wittig, Jessica Garber, Morgan Weiss, </w:t>
          </w:r>
          <w:proofErr w:type="spellStart"/>
          <w:r>
            <w:rPr>
              <w:color w:val="000000"/>
            </w:rPr>
            <w:t>Palak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Genge</w:t>
          </w:r>
          <w:proofErr w:type="spellEnd"/>
          <w:r>
            <w:rPr>
              <w:color w:val="000000"/>
            </w:rPr>
            <w:t xml:space="preserve">, Zach Thomson, Claire Gustafson, Julian Reading &amp; Peter J. Skene* </w:t>
          </w:r>
        </w:p>
      </w:sdtContent>
    </w:sdt>
    <w:p w:rsidR="007D4618" w:rsidRDefault="007D4618"/>
    <w:p w:rsidR="007D4618" w:rsidRDefault="009B6D3A">
      <w:r>
        <w:t xml:space="preserve">Correspondence: </w:t>
      </w:r>
    </w:p>
    <w:p w:rsidR="007D4618" w:rsidRDefault="009B6D3A">
      <w:r>
        <w:t>peter.skene@alleninstitute.org</w:t>
      </w:r>
    </w:p>
    <w:p w:rsidR="007D4618" w:rsidRDefault="009B6D3A">
      <w:r>
        <w:t>alex.heubeck@alleninstitute.org</w:t>
      </w:r>
    </w:p>
    <w:p w:rsidR="007D4618" w:rsidRDefault="009B6D3A">
      <w:pPr>
        <w:pStyle w:val="Heading1"/>
      </w:pPr>
      <w:bookmarkStart w:id="3" w:name="_heading=h.49x2ik5" w:colFirst="0" w:colLast="0"/>
      <w:bookmarkEnd w:id="3"/>
      <w:r>
        <w:t>Sup</w:t>
      </w:r>
      <w:r>
        <w:t>plementary Material</w:t>
      </w:r>
      <w:r>
        <w:br w:type="page"/>
      </w:r>
    </w:p>
    <w:p w:rsidR="007D4618" w:rsidRDefault="009B6D3A">
      <w:pPr>
        <w:spacing w:line="480" w:lineRule="auto"/>
        <w:jc w:val="center"/>
        <w:rPr>
          <w:b/>
        </w:rPr>
      </w:pPr>
      <w:r>
        <w:rPr>
          <w:b/>
          <w:noProof/>
          <w:lang w:val="en-IN"/>
        </w:rPr>
        <w:lastRenderedPageBreak/>
        <w:drawing>
          <wp:inline distT="114300" distB="114300" distL="114300" distR="114300">
            <wp:extent cx="4973371" cy="7681916"/>
            <wp:effectExtent l="0" t="0" r="0" b="0"/>
            <wp:docPr id="214148348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4973371" cy="76819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:rsidR="007D4618" w:rsidRDefault="009B6D3A">
      <w:pPr>
        <w:spacing w:line="480" w:lineRule="auto"/>
      </w:pPr>
      <w:r>
        <w:rPr>
          <w:b/>
        </w:rPr>
        <w:lastRenderedPageBreak/>
        <w:t xml:space="preserve">Supplement Figure 1: Comparison of Cell Recovery, Viability, Cell Type Frequencies, and Gene Expression </w:t>
      </w:r>
      <w:proofErr w:type="gramStart"/>
      <w:r>
        <w:rPr>
          <w:b/>
        </w:rPr>
        <w:t>Between</w:t>
      </w:r>
      <w:proofErr w:type="gramEnd"/>
      <w:r>
        <w:rPr>
          <w:b/>
        </w:rPr>
        <w:t xml:space="preserve"> Cryopreserved Whole Blood and Density Gradient Isolated PBMC Methods. a. </w:t>
      </w:r>
      <w:r>
        <w:t xml:space="preserve">Cell counts per mL of whole blood recovered in </w:t>
      </w:r>
      <w:r>
        <w:t xml:space="preserve">cryopreserved whole blood and density gradient isolated PBMC methods. Cells stained with </w:t>
      </w:r>
      <w:proofErr w:type="spellStart"/>
      <w:r>
        <w:t>acridine</w:t>
      </w:r>
      <w:proofErr w:type="spellEnd"/>
      <w:r>
        <w:t xml:space="preserve"> orange and propidium iodide (AOPI) and counted on </w:t>
      </w:r>
      <w:proofErr w:type="spellStart"/>
      <w:r>
        <w:t>Cellaca</w:t>
      </w:r>
      <w:proofErr w:type="spellEnd"/>
      <w:r>
        <w:t xml:space="preserve"> MX cell counter after </w:t>
      </w:r>
      <w:r>
        <w:lastRenderedPageBreak/>
        <w:t xml:space="preserve">thawing and processing. </w:t>
      </w:r>
      <w:r>
        <w:rPr>
          <w:b/>
        </w:rPr>
        <w:t xml:space="preserve"> b. </w:t>
      </w:r>
      <w:r>
        <w:t>Viability of cells recovered in cryopreserved whol</w:t>
      </w:r>
      <w:r>
        <w:t>e blood and density gradient isolated PBMC methods.</w:t>
      </w:r>
      <w:r>
        <w:rPr>
          <w:b/>
        </w:rPr>
        <w:t xml:space="preserve"> c. </w:t>
      </w:r>
      <w:r>
        <w:t>Cell type frequencies for matched cryopreserved whole blood and density gradient isolated PBMC samples.</w:t>
      </w:r>
      <w:r>
        <w:rPr>
          <w:b/>
        </w:rPr>
        <w:t xml:space="preserve"> d. </w:t>
      </w:r>
      <w:r>
        <w:t>Gene expression correlation plots matched cryopreserved whole blood and density gradient isola</w:t>
      </w:r>
      <w:r>
        <w:t>ted PBMC samples.</w:t>
      </w:r>
    </w:p>
    <w:p w:rsidR="007D4618" w:rsidRDefault="009B6D3A">
      <w:pPr>
        <w:spacing w:line="480" w:lineRule="auto"/>
        <w:rPr>
          <w:b/>
        </w:rPr>
      </w:pPr>
      <w:r>
        <w:br w:type="page"/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lastRenderedPageBreak/>
        <w:t>Supplement Table 1: Differentially expressed genes between cryopreserved whole blood and density gradient isolated PBMCs</w:t>
      </w:r>
    </w:p>
    <w:tbl>
      <w:tblPr>
        <w:tblStyle w:val="af4"/>
        <w:tblW w:w="92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69"/>
        <w:gridCol w:w="1423"/>
        <w:gridCol w:w="1777"/>
        <w:gridCol w:w="1498"/>
        <w:gridCol w:w="1952"/>
      </w:tblGrid>
      <w:tr w:rsidR="007D4618">
        <w:trPr>
          <w:trHeight w:val="238"/>
        </w:trPr>
        <w:tc>
          <w:tcPr>
            <w:tcW w:w="2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Upregulated Condition</w:t>
            </w:r>
          </w:p>
        </w:tc>
        <w:tc>
          <w:tcPr>
            <w:tcW w:w="1423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Gene</w:t>
            </w:r>
          </w:p>
        </w:tc>
        <w:tc>
          <w:tcPr>
            <w:tcW w:w="1777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Log2 Fold Change</w:t>
            </w:r>
          </w:p>
        </w:tc>
        <w:tc>
          <w:tcPr>
            <w:tcW w:w="1498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</w:t>
            </w:r>
          </w:p>
        </w:tc>
        <w:tc>
          <w:tcPr>
            <w:tcW w:w="1952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 Adjusted</w:t>
            </w:r>
          </w:p>
        </w:tc>
      </w:tr>
      <w:tr w:rsidR="007D4618">
        <w:trPr>
          <w:trHeight w:val="146"/>
        </w:trPr>
        <w:tc>
          <w:tcPr>
            <w:tcW w:w="25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Upregulated in Cryopreserved Whole Blood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TTC30A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-2.37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1.56E-143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2.37E-139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TTC30B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-2.03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8.71E-74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4.40E-70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CCDC87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-2.36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8.54E-30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1.18E-26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GPX6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-3.23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7.32E-07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2.47E-05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APOBEC4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-2.28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3.49E-05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5.63E-04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MORN5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-2.42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1.84E-04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2.05E-03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CT55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-2.05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3.45E-04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3.34E-03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Upregulated in Density Gradient Isolated PBMC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PRKCG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2.16E-19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1.56E-16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OLR1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3.88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5.29E-18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2.67E-15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FAM71A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3.50E-17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1.47E-14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NR4A3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2.62E-14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6.96E-12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LIF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5.42E-14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1.42E-11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HBB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2.56E-12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4.84E-10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SMIM41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4.78E-12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8.52E-10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HDC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7.10E-12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1.24E-09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IL1A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5.03E-11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7.47E-09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STPG3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1.14E-10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1.49E-08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SLC4A1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6.15E-10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6.54E-08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ALAS2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6.28E-09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4.76E-07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HBD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8.10E-08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4.06E-06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G0S2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1.76E-06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5.07E-05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C6orf223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1.78E-06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5.08E-05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HBA2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1.99E-06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5.57E-05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LTF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4.80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2.00E-06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5.58E-05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1.95E-05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3.51E-04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AHSP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3.87E-05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6.11E-04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HBM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1.02E-04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1.29E-03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PGLYRP1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3.06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1.69E-04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1.92E-03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CXCL14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1.03E-03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7.86E-03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DEFA3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8.26E-03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OLFM4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3.00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2.65E-03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1.63E-02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CXCL6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2.80E-03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1.70E-02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EPB42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3.49E-03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2.01E-02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VGF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3.89E-03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2.18E-02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IFIT1B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4.81E-03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2.56E-02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CHST8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6.35E-03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3.17E-02</w:t>
            </w:r>
          </w:p>
        </w:tc>
      </w:tr>
      <w:tr w:rsidR="007D4618">
        <w:tc>
          <w:tcPr>
            <w:tcW w:w="25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GJB2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9.69E-03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4.35E-02</w:t>
            </w:r>
          </w:p>
        </w:tc>
      </w:tr>
    </w:tbl>
    <w:p w:rsidR="007D4618" w:rsidRDefault="009B6D3A">
      <w:pPr>
        <w:spacing w:line="480" w:lineRule="auto"/>
        <w:rPr>
          <w:b/>
        </w:rPr>
      </w:pPr>
      <w:r>
        <w:rPr>
          <w:b/>
        </w:rPr>
        <w:t xml:space="preserve"> </w:t>
      </w:r>
    </w:p>
    <w:p w:rsidR="007D4618" w:rsidRDefault="009B6D3A">
      <w:pPr>
        <w:spacing w:line="480" w:lineRule="auto"/>
        <w:rPr>
          <w:b/>
        </w:rPr>
      </w:pPr>
      <w:r>
        <w:rPr>
          <w:b/>
          <w:noProof/>
          <w:lang w:val="en-IN"/>
        </w:rPr>
        <w:lastRenderedPageBreak/>
        <w:drawing>
          <wp:inline distT="114300" distB="114300" distL="114300" distR="114300">
            <wp:extent cx="5943600" cy="4368800"/>
            <wp:effectExtent l="0" t="0" r="0" b="0"/>
            <wp:docPr id="214148348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t xml:space="preserve">Supplement Figure 2: Comparison of </w:t>
      </w:r>
      <w:proofErr w:type="spellStart"/>
      <w:r>
        <w:rPr>
          <w:b/>
        </w:rPr>
        <w:t>scRNA-seq</w:t>
      </w:r>
      <w:proofErr w:type="spellEnd"/>
      <w:r>
        <w:rPr>
          <w:b/>
        </w:rPr>
        <w:t xml:space="preserve"> results between fresh isolated PBMCs, cryopreserved whole blood, and cryopreserved PBMCs. a. </w:t>
      </w:r>
      <w:proofErr w:type="spellStart"/>
      <w:r>
        <w:t>scRNA-</w:t>
      </w:r>
      <w:r>
        <w:lastRenderedPageBreak/>
        <w:t>seq</w:t>
      </w:r>
      <w:proofErr w:type="spellEnd"/>
      <w:r>
        <w:t xml:space="preserve"> quality metrics, including genes per cell and unique molecular identifiers (UMIs) per cell, for fresh PBMCs </w:t>
      </w:r>
      <w:r>
        <w:t xml:space="preserve">(green), cryopreserved whole blood (red) and cryopreserved PBMCs (blue) across 5 donors. </w:t>
      </w:r>
      <w:r>
        <w:rPr>
          <w:b/>
        </w:rPr>
        <w:t xml:space="preserve">B. </w:t>
      </w:r>
      <w:r>
        <w:t>(Left) UMAP visualization of gene expression data from fresh PBMCs, cryopreserved whole blood and cryopreserved PBMC samples, annotated with cell type labels. (Righ</w:t>
      </w:r>
      <w:r>
        <w:t xml:space="preserve">t) Correlation of cell type population frequencies between </w:t>
      </w:r>
      <w:r>
        <w:lastRenderedPageBreak/>
        <w:t xml:space="preserve">fresh PMBCs versus cryopreserved whole blood (left), and fresh PBMCS versus cryopreserved PBMCs (right). </w:t>
      </w:r>
      <w:r>
        <w:rPr>
          <w:b/>
        </w:rPr>
        <w:t xml:space="preserve">c. </w:t>
      </w:r>
      <w:r>
        <w:t xml:space="preserve">Gene expression correlation between fresh PMBCs versus cryopreserved whole blood (left), </w:t>
      </w:r>
      <w:r>
        <w:t xml:space="preserve">and fresh PBMCS versus cryopreserved PBMCs (right) for a representative donor (Donor 1). </w:t>
      </w:r>
      <w:r>
        <w:rPr>
          <w:b/>
        </w:rPr>
        <w:t xml:space="preserve">d. </w:t>
      </w:r>
      <w:r>
        <w:t xml:space="preserve">Differentially expressed genes, with genes upregulated in fresh PBMCs versus </w:t>
      </w:r>
      <w:r>
        <w:lastRenderedPageBreak/>
        <w:t>cryopreserved whole blood (left), and fresh PBMCS versus cryopreserved PBMCs (right). G</w:t>
      </w:r>
      <w:r>
        <w:t>enes with adjusted p values less than 0.05 are shown in blue, and genes with adjusted p values less than 0.05 and log fold change greater than 2 are shown in red.</w:t>
      </w:r>
    </w:p>
    <w:p w:rsidR="007D4618" w:rsidRDefault="009B6D3A">
      <w:pPr>
        <w:spacing w:line="480" w:lineRule="auto"/>
        <w:rPr>
          <w:b/>
        </w:rPr>
      </w:pPr>
      <w:r>
        <w:br w:type="page"/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lastRenderedPageBreak/>
        <w:t>Supplement Table 2: Bulk ATAC-</w:t>
      </w:r>
      <w:proofErr w:type="spellStart"/>
      <w:r>
        <w:rPr>
          <w:b/>
        </w:rPr>
        <w:t>Seq</w:t>
      </w:r>
      <w:proofErr w:type="spellEnd"/>
      <w:r>
        <w:rPr>
          <w:b/>
        </w:rPr>
        <w:t xml:space="preserve"> Summary Metrics Table</w:t>
      </w:r>
    </w:p>
    <w:tbl>
      <w:tblPr>
        <w:tblStyle w:val="af5"/>
        <w:tblW w:w="94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74"/>
        <w:gridCol w:w="1261"/>
        <w:gridCol w:w="1260"/>
        <w:gridCol w:w="1572"/>
        <w:gridCol w:w="1325"/>
        <w:gridCol w:w="1728"/>
      </w:tblGrid>
      <w:tr w:rsidR="007D4618">
        <w:trPr>
          <w:trHeight w:val="300"/>
        </w:trPr>
        <w:tc>
          <w:tcPr>
            <w:tcW w:w="22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Donor ID 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Condition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Read Count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 Reads in Peaks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 Reads in TSS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 Mitochondrial Reads</w:t>
            </w:r>
          </w:p>
        </w:tc>
      </w:tr>
      <w:tr w:rsidR="007D4618">
        <w:trPr>
          <w:trHeight w:val="300"/>
        </w:trPr>
        <w:tc>
          <w:tcPr>
            <w:tcW w:w="227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Donor 1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PBMC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18,546,680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1.22</w:t>
            </w:r>
          </w:p>
        </w:tc>
      </w:tr>
      <w:tr w:rsidR="007D4618">
        <w:trPr>
          <w:trHeight w:val="316"/>
        </w:trPr>
        <w:tc>
          <w:tcPr>
            <w:tcW w:w="227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CWB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19,933,577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1.20</w:t>
            </w:r>
          </w:p>
        </w:tc>
      </w:tr>
      <w:tr w:rsidR="007D4618">
        <w:trPr>
          <w:trHeight w:val="300"/>
        </w:trPr>
        <w:tc>
          <w:tcPr>
            <w:tcW w:w="227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Donor 2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PBMC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14,814,264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</w:t>
            </w:r>
          </w:p>
        </w:tc>
      </w:tr>
      <w:tr w:rsidR="007D4618">
        <w:trPr>
          <w:trHeight w:val="300"/>
        </w:trPr>
        <w:tc>
          <w:tcPr>
            <w:tcW w:w="227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CWB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14,031,861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1.35</w:t>
            </w:r>
          </w:p>
        </w:tc>
      </w:tr>
      <w:tr w:rsidR="007D4618">
        <w:trPr>
          <w:trHeight w:val="300"/>
        </w:trPr>
        <w:tc>
          <w:tcPr>
            <w:tcW w:w="227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Donor 3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PBMC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19,258,569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1.59</w:t>
            </w:r>
          </w:p>
        </w:tc>
      </w:tr>
      <w:tr w:rsidR="007D4618">
        <w:trPr>
          <w:trHeight w:val="300"/>
        </w:trPr>
        <w:tc>
          <w:tcPr>
            <w:tcW w:w="227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CWB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17,798,421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1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</w:t>
            </w:r>
          </w:p>
        </w:tc>
        <w:tc>
          <w:tcPr>
            <w:tcW w:w="17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4618" w:rsidRDefault="009B6D3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</w:t>
            </w:r>
          </w:p>
        </w:tc>
      </w:tr>
    </w:tbl>
    <w:p w:rsidR="007D4618" w:rsidRDefault="009B6D3A">
      <w:pPr>
        <w:spacing w:line="480" w:lineRule="auto"/>
        <w:rPr>
          <w:b/>
        </w:rPr>
      </w:pPr>
      <w:r>
        <w:br w:type="page"/>
      </w:r>
      <w:r>
        <w:rPr>
          <w:b/>
        </w:rPr>
        <w:lastRenderedPageBreak/>
        <w:t>Supplement Table 3: Differentially expressed genes between 6 month stored and 1 year stored cryopreserved whole blood samples.</w:t>
      </w:r>
    </w:p>
    <w:tbl>
      <w:tblPr>
        <w:tblStyle w:val="af6"/>
        <w:tblW w:w="92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69"/>
        <w:gridCol w:w="1423"/>
        <w:gridCol w:w="1777"/>
        <w:gridCol w:w="1498"/>
        <w:gridCol w:w="1952"/>
      </w:tblGrid>
      <w:tr w:rsidR="007D4618">
        <w:trPr>
          <w:trHeight w:val="238"/>
        </w:trPr>
        <w:tc>
          <w:tcPr>
            <w:tcW w:w="2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Upregulated Condition</w:t>
            </w:r>
          </w:p>
        </w:tc>
        <w:tc>
          <w:tcPr>
            <w:tcW w:w="1423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Gene</w:t>
            </w:r>
          </w:p>
        </w:tc>
        <w:tc>
          <w:tcPr>
            <w:tcW w:w="1777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Log2 Fold Change</w:t>
            </w:r>
          </w:p>
        </w:tc>
        <w:tc>
          <w:tcPr>
            <w:tcW w:w="1498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</w:t>
            </w:r>
          </w:p>
        </w:tc>
        <w:tc>
          <w:tcPr>
            <w:tcW w:w="1952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 Adjusted</w:t>
            </w:r>
          </w:p>
        </w:tc>
      </w:tr>
      <w:tr w:rsidR="007D4618">
        <w:trPr>
          <w:trHeight w:val="146"/>
        </w:trPr>
        <w:tc>
          <w:tcPr>
            <w:tcW w:w="25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Upregulated in 6 Month Stored Samples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BTF3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-2.70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4.68E-127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6.15E-123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EIF2S2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-2.24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3.07E-31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9.60E-29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IGHG1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-2.62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3.95E-28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7.99E-26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TMEM265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-2.11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2.95E-22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3.15E-20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SKA2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-2.09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3.36E-22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3.56E-20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BRICD5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-2.24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5.42E-21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5.24E-19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ZXDA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-2.16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8.63E-19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6.67E-17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PTGES3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-3.44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1.06E-12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3.31E-11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SHISA8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3.91E-09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6.55E-08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LTB4R2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-2.41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1.93E-08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2.78E-07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ZNF429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-5.76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6.40E-07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6.80E-06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PPIAL4A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-2.14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1.25E-06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1.25E-05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LENEP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-2.33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4.23E-04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2.21E-03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GOLGA8R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-2.16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5.66E-04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2.84E-03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GPRC5D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-2.35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2.44E-03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9.90E-03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GP1BB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-3.35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9.71E-03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3.16E-02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GATA2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-3.27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1.13E-02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3.58E-02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TUBB1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-3.65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1.21E-02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3.79E-02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7" w:space="0" w:color="000000"/>
              <w:left w:val="single" w:sz="7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PF4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-3.09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1.64E-02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4.88E-02</w:t>
            </w:r>
          </w:p>
        </w:tc>
      </w:tr>
      <w:tr w:rsidR="007D4618">
        <w:trPr>
          <w:trHeight w:val="146"/>
        </w:trPr>
        <w:tc>
          <w:tcPr>
            <w:tcW w:w="2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9B6D3A">
            <w:pPr>
              <w:widowControl w:val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Upregulated in 1 Year Stored Samples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CXCL8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6.31E-09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1.02E-07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IL1B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9.69E-09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1.51E-07</w:t>
            </w:r>
          </w:p>
        </w:tc>
      </w:tr>
      <w:tr w:rsidR="007D4618">
        <w:trPr>
          <w:trHeight w:val="146"/>
        </w:trPr>
        <w:tc>
          <w:tcPr>
            <w:tcW w:w="2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D4618" w:rsidRDefault="007D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OLR1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9.81E-05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7D4618" w:rsidRDefault="009B6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6.11E-04</w:t>
            </w:r>
          </w:p>
        </w:tc>
      </w:tr>
    </w:tbl>
    <w:p w:rsidR="007D4618" w:rsidRDefault="009B6D3A">
      <w:pPr>
        <w:spacing w:line="480" w:lineRule="auto"/>
      </w:pPr>
      <w:r>
        <w:br w:type="page"/>
      </w:r>
      <w:r>
        <w:rPr>
          <w:b/>
        </w:rPr>
        <w:lastRenderedPageBreak/>
        <w:t>Supplement Table 4: 10x Flex vs 10x 3’ v3.1 Cost Estimates for 64 Sample Batch Size</w:t>
      </w:r>
    </w:p>
    <w:sdt>
      <w:sdtPr>
        <w:tag w:val="goog_rdk_1"/>
        <w:id w:val="1297262151"/>
        <w:lock w:val="contentLocked"/>
      </w:sdtPr>
      <w:sdtEndPr/>
      <w:sdtContent>
        <w:tbl>
          <w:tblPr>
            <w:tblStyle w:val="af7"/>
            <w:tblW w:w="936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120"/>
            <w:gridCol w:w="3120"/>
            <w:gridCol w:w="3120"/>
          </w:tblGrid>
          <w:tr w:rsidR="007D4618">
            <w:tc>
              <w:tcPr>
                <w:tcW w:w="3120" w:type="dxa"/>
                <w:shd w:val="clear" w:color="auto" w:fill="D9D9D9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Batch Metrics</w:t>
                </w:r>
              </w:p>
            </w:tc>
            <w:tc>
              <w:tcPr>
                <w:tcW w:w="3120" w:type="dxa"/>
                <w:shd w:val="clear" w:color="auto" w:fill="D9D9D9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10x Flex scRNA-seq</w:t>
                </w:r>
              </w:p>
            </w:tc>
            <w:tc>
              <w:tcPr>
                <w:tcW w:w="3120" w:type="dxa"/>
                <w:shd w:val="clear" w:color="auto" w:fill="D9D9D9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10 3’ v3.1 scRNA-seq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Total Samples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64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64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Total Cells Loaded per Well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400,000 (1 well)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11,651 (2 wells)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Estimated Singlets Captured per Well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213,042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6,658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Estimated Singlets Captured per Sample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13,315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13,315 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Sequencing Reads per Cell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10,000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20,000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Total Sequencing Reads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9,696,969,697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17,044,480,000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10x Reagent Cost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$26,588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$216,480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Sequencing Cost, NovaSeqX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$7,100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$14,200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Total Cost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$33,688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$230,680</w:t>
                </w:r>
              </w:p>
            </w:tc>
          </w:tr>
          <w:tr w:rsidR="007D4618"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Cost Per Sample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$526</w:t>
                </w:r>
              </w:p>
            </w:tc>
            <w:tc>
              <w:tcPr>
                <w:tcW w:w="31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$3,604</w:t>
                </w:r>
              </w:p>
            </w:tc>
          </w:tr>
        </w:tbl>
      </w:sdtContent>
    </w:sdt>
    <w:p w:rsidR="007D4618" w:rsidRDefault="007D4618">
      <w:pPr>
        <w:spacing w:line="480" w:lineRule="auto"/>
        <w:rPr>
          <w:sz w:val="15"/>
          <w:szCs w:val="15"/>
        </w:rPr>
      </w:pPr>
    </w:p>
    <w:p w:rsidR="007D4618" w:rsidRDefault="009B6D3A">
      <w:pPr>
        <w:spacing w:line="480" w:lineRule="auto"/>
        <w:jc w:val="center"/>
        <w:rPr>
          <w:b/>
        </w:rPr>
      </w:pPr>
      <w:r>
        <w:br w:type="page"/>
      </w:r>
    </w:p>
    <w:p w:rsidR="007D4618" w:rsidRDefault="009B6D3A">
      <w:pPr>
        <w:spacing w:line="480" w:lineRule="auto"/>
        <w:jc w:val="center"/>
        <w:rPr>
          <w:b/>
        </w:rPr>
      </w:pPr>
      <w:r>
        <w:rPr>
          <w:b/>
          <w:noProof/>
          <w:lang w:val="en-IN"/>
        </w:rPr>
        <w:lastRenderedPageBreak/>
        <w:drawing>
          <wp:inline distT="0" distB="0" distL="0" distR="0">
            <wp:extent cx="4822731" cy="4011213"/>
            <wp:effectExtent l="0" t="0" r="0" b="0"/>
            <wp:docPr id="2141483486" name="image2.png" descr="A diagram of different types of cell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diagram of different types of cells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2731" cy="4011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t xml:space="preserve">Supplement Figure 3: Development 10x Flex </w:t>
      </w:r>
      <w:proofErr w:type="spellStart"/>
      <w:r>
        <w:rPr>
          <w:b/>
        </w:rPr>
        <w:t>scRNA-seq</w:t>
      </w:r>
      <w:proofErr w:type="spellEnd"/>
      <w:r>
        <w:rPr>
          <w:b/>
        </w:rPr>
        <w:t xml:space="preserve"> methodology as a high throughput method for single cell transcriptome analysis of cryopreserved </w:t>
      </w:r>
      <w:r>
        <w:rPr>
          <w:b/>
        </w:rPr>
        <w:lastRenderedPageBreak/>
        <w:t xml:space="preserve">whole blood. a. </w:t>
      </w:r>
      <w:r>
        <w:t>FACS gating schemes for cryopreserved whole blood and density gradient isolated PBMC samples</w:t>
      </w:r>
      <w:r>
        <w:t xml:space="preserve">. </w:t>
      </w:r>
      <w:r>
        <w:rPr>
          <w:b/>
        </w:rPr>
        <w:t xml:space="preserve">b. </w:t>
      </w:r>
      <w:r>
        <w:t xml:space="preserve">Cell type frequencies for cryopreserved whole blood samples measured with the 10x 3’ v3.1 (blue) or the 10x Flex (green) </w:t>
      </w:r>
      <w:proofErr w:type="spellStart"/>
      <w:r>
        <w:t>scRNA-seq</w:t>
      </w:r>
      <w:proofErr w:type="spellEnd"/>
      <w:r>
        <w:t xml:space="preserve"> chemistries, and enriched with either FACS or magnetic bead based enrichment  </w:t>
      </w:r>
      <w:r>
        <w:br w:type="page"/>
      </w:r>
    </w:p>
    <w:p w:rsidR="007D4618" w:rsidRDefault="009B6D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sz w:val="16"/>
          <w:szCs w:val="16"/>
        </w:rPr>
      </w:pPr>
      <w:r>
        <w:rPr>
          <w:noProof/>
          <w:sz w:val="16"/>
          <w:szCs w:val="16"/>
          <w:lang w:val="en-IN"/>
        </w:rPr>
        <w:lastRenderedPageBreak/>
        <w:drawing>
          <wp:inline distT="114300" distB="114300" distL="114300" distR="114300">
            <wp:extent cx="4843463" cy="6294784"/>
            <wp:effectExtent l="0" t="0" r="0" b="0"/>
            <wp:docPr id="214148348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t="89" b="89"/>
                    <a:stretch>
                      <a:fillRect/>
                    </a:stretch>
                  </pic:blipFill>
                  <pic:spPr>
                    <a:xfrm>
                      <a:off x="0" y="0"/>
                      <a:ext cx="4843463" cy="6294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618" w:rsidRDefault="009B6D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rPr>
          <w:b/>
        </w:rPr>
        <w:t>Supplement Figure 4: Verification of h</w:t>
      </w:r>
      <w:r>
        <w:rPr>
          <w:b/>
        </w:rPr>
        <w:t xml:space="preserve">igh throughput </w:t>
      </w:r>
      <w:r>
        <w:rPr>
          <w:b/>
        </w:rPr>
        <w:lastRenderedPageBreak/>
        <w:t xml:space="preserve">workflow with 60 cryopreserved whole blood samples through automated magnetic bead enrichment and </w:t>
      </w:r>
      <w:proofErr w:type="spellStart"/>
      <w:r>
        <w:rPr>
          <w:b/>
        </w:rPr>
        <w:t>scRNA-seq</w:t>
      </w:r>
      <w:proofErr w:type="spellEnd"/>
      <w:r>
        <w:rPr>
          <w:b/>
        </w:rPr>
        <w:t xml:space="preserve"> preparation. a. </w:t>
      </w:r>
      <w:r>
        <w:t>Genes per cell recovered using the 10x Flex chemistry with cryopreserved whole blood and density gradient isolated PB</w:t>
      </w:r>
      <w:r>
        <w:t>MC samples across all donors and replicates.</w:t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t xml:space="preserve">b. </w:t>
      </w:r>
      <w:r>
        <w:t>UMAP visualizations of single cell gene expression across each donor.</w:t>
      </w:r>
      <w:r>
        <w:br w:type="page"/>
      </w:r>
    </w:p>
    <w:p w:rsidR="007D4618" w:rsidRDefault="009B6D3A">
      <w:pPr>
        <w:spacing w:line="480" w:lineRule="auto"/>
        <w:jc w:val="center"/>
        <w:rPr>
          <w:b/>
        </w:rPr>
      </w:pPr>
      <w:r>
        <w:rPr>
          <w:b/>
          <w:noProof/>
          <w:lang w:val="en-IN"/>
        </w:rPr>
        <w:lastRenderedPageBreak/>
        <w:drawing>
          <wp:inline distT="114300" distB="114300" distL="114300" distR="114300">
            <wp:extent cx="4661286" cy="6388629"/>
            <wp:effectExtent l="0" t="0" r="0" b="0"/>
            <wp:docPr id="214148348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l="1039" r="1039"/>
                    <a:stretch>
                      <a:fillRect/>
                    </a:stretch>
                  </pic:blipFill>
                  <pic:spPr>
                    <a:xfrm>
                      <a:off x="0" y="0"/>
                      <a:ext cx="4661286" cy="63886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618" w:rsidRDefault="009B6D3A">
      <w:pPr>
        <w:spacing w:line="480" w:lineRule="auto"/>
      </w:pPr>
      <w:r>
        <w:rPr>
          <w:b/>
        </w:rPr>
        <w:lastRenderedPageBreak/>
        <w:t xml:space="preserve">Supplement Figure 5: Functional assays using cryopreserved whole blood and multiplexed </w:t>
      </w:r>
      <w:proofErr w:type="spellStart"/>
      <w:r>
        <w:rPr>
          <w:b/>
        </w:rPr>
        <w:t>scRNA</w:t>
      </w:r>
      <w:proofErr w:type="spellEnd"/>
      <w:r>
        <w:rPr>
          <w:b/>
        </w:rPr>
        <w:t xml:space="preserve">-seq. a. </w:t>
      </w:r>
      <w:r>
        <w:t>Genes per cell recovered using the</w:t>
      </w:r>
      <w:r>
        <w:t xml:space="preserve"> 10x Flex chemistry with cryopreserved whole blood and density gradient isolated PBMC samples across all donors and stimulation conditions. </w:t>
      </w:r>
      <w:r>
        <w:rPr>
          <w:b/>
        </w:rPr>
        <w:t xml:space="preserve">b. </w:t>
      </w:r>
      <w:r>
        <w:t>UMAP visualizations of single cell gene expression across each stimulation condition.</w:t>
      </w:r>
      <w:r>
        <w:br w:type="page"/>
      </w:r>
      <w:r>
        <w:rPr>
          <w:b/>
        </w:rPr>
        <w:lastRenderedPageBreak/>
        <w:t xml:space="preserve">Supplement Table 5: Sample </w:t>
      </w:r>
      <w:r>
        <w:rPr>
          <w:b/>
        </w:rPr>
        <w:t>Donor Key</w:t>
      </w:r>
    </w:p>
    <w:sdt>
      <w:sdtPr>
        <w:tag w:val="goog_rdk_2"/>
        <w:id w:val="1336886048"/>
        <w:lock w:val="contentLocked"/>
      </w:sdtPr>
      <w:sdtEndPr/>
      <w:sdtContent>
        <w:tbl>
          <w:tblPr>
            <w:tblStyle w:val="af8"/>
            <w:tblW w:w="936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5"/>
            <w:gridCol w:w="1710"/>
            <w:gridCol w:w="1980"/>
            <w:gridCol w:w="1200"/>
            <w:gridCol w:w="960"/>
            <w:gridCol w:w="960"/>
            <w:gridCol w:w="1605"/>
          </w:tblGrid>
          <w:tr w:rsidR="007D4618">
            <w:trPr>
              <w:trHeight w:val="288"/>
            </w:trPr>
            <w:tc>
              <w:tcPr>
                <w:tcW w:w="945" w:type="dxa"/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 xml:space="preserve">Figure </w:t>
                </w:r>
              </w:p>
            </w:tc>
            <w:tc>
              <w:tcPr>
                <w:tcW w:w="1710" w:type="dxa"/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Figure Donor ID</w:t>
                </w:r>
              </w:p>
            </w:tc>
            <w:tc>
              <w:tcPr>
                <w:tcW w:w="1980" w:type="dxa"/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Sample Type</w:t>
                </w:r>
              </w:p>
            </w:tc>
            <w:tc>
              <w:tcPr>
                <w:tcW w:w="1200" w:type="dxa"/>
                <w:tcBorders>
                  <w:bottom w:val="single" w:sz="6" w:space="0" w:color="000000"/>
                </w:tcBorders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AIFI Donor ID</w:t>
                </w:r>
              </w:p>
            </w:tc>
            <w:tc>
              <w:tcPr>
                <w:tcW w:w="960" w:type="dxa"/>
                <w:tcBorders>
                  <w:bottom w:val="single" w:sz="6" w:space="0" w:color="000000"/>
                </w:tcBorders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Sex</w:t>
                </w:r>
              </w:p>
            </w:tc>
            <w:tc>
              <w:tcPr>
                <w:tcW w:w="960" w:type="dxa"/>
                <w:tcBorders>
                  <w:bottom w:val="single" w:sz="6" w:space="0" w:color="000000"/>
                </w:tcBorders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Age</w:t>
                </w:r>
              </w:p>
            </w:tc>
            <w:tc>
              <w:tcPr>
                <w:tcW w:w="1605" w:type="dxa"/>
                <w:shd w:val="clear" w:color="auto" w:fill="D9D9D9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spacing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Source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KT05111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27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2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KT05113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29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3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KT05401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50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4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KT05402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56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5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KT08951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68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6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KT08952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44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7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KT08954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68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8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KT08955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60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9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KT08956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42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10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KT08957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30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11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KT08958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73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12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KT08961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37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13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KT08962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61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14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KT08964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56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15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KT08969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33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16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KT08972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55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17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KT08973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44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18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KT08974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32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19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KT08975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41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56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20</w:t>
                </w:r>
              </w:p>
            </w:tc>
            <w:tc>
              <w:tcPr>
                <w:tcW w:w="1980" w:type="dxa"/>
                <w:tcBorders>
                  <w:righ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KT08976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28</w:t>
                </w:r>
              </w:p>
            </w:tc>
            <w:tc>
              <w:tcPr>
                <w:tcW w:w="1605" w:type="dxa"/>
                <w:tcBorders>
                  <w:left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tcBorders>
                  <w:top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KT05111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tcBorders>
                  <w:top w:val="single" w:sz="6" w:space="0" w:color="000000"/>
                </w:tcBorders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27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29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Matched CWB/PMBC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KT05402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56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3A, 3B, 3C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KT00607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32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Benaroya Research 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KT00609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31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Benaroya Research 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KT00610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36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Benaroya Research 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3D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KT05012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KT05044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KT05045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63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KT04745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55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3E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KT05731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KT04745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55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KT05012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KT05013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KT05044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4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KT05045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63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5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KT05729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72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6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KT05730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64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7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KT05731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KT02183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KT05013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KT05045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63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29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4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KT05759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45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5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KT05760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65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KT02183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 w:val="restart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</w:t>
                </w: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1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KT05012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2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KT05111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27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 Donor 3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CWB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KT05731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Female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  <w:tr w:rsidR="007D4618">
            <w:trPr>
              <w:trHeight w:val="360"/>
            </w:trPr>
            <w:tc>
              <w:tcPr>
                <w:tcW w:w="945" w:type="dxa"/>
                <w:vMerge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7D4618" w:rsidRDefault="007D461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16"/>
                    <w:szCs w:val="16"/>
                  </w:rPr>
                </w:pPr>
              </w:p>
            </w:tc>
            <w:tc>
              <w:tcPr>
                <w:tcW w:w="171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PBMC</w:t>
                </w:r>
              </w:p>
            </w:tc>
            <w:tc>
              <w:tcPr>
                <w:tcW w:w="120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KT02183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Male</w:t>
                </w:r>
              </w:p>
            </w:tc>
            <w:tc>
              <w:tcPr>
                <w:tcW w:w="960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28</w:t>
                </w:r>
              </w:p>
            </w:tc>
            <w:tc>
              <w:tcPr>
                <w:tcW w:w="1605" w:type="dxa"/>
                <w:shd w:val="clear" w:color="auto" w:fill="auto"/>
                <w:tcMar>
                  <w:top w:w="-576" w:type="dxa"/>
                  <w:left w:w="-576" w:type="dxa"/>
                  <w:bottom w:w="-576" w:type="dxa"/>
                  <w:right w:w="-576" w:type="dxa"/>
                </w:tcMar>
                <w:vAlign w:val="center"/>
              </w:tcPr>
              <w:p w:rsidR="007D4618" w:rsidRDefault="009B6D3A">
                <w:pPr>
                  <w:widowControl w:val="0"/>
                  <w:spacing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Bloodworks NW</w:t>
                </w:r>
              </w:p>
            </w:tc>
          </w:tr>
        </w:tbl>
      </w:sdtContent>
    </w:sdt>
    <w:p w:rsidR="007D4618" w:rsidRDefault="007D4618">
      <w:pPr>
        <w:spacing w:line="480" w:lineRule="auto"/>
      </w:pPr>
    </w:p>
    <w:p w:rsidR="007D4618" w:rsidRDefault="009B6D3A">
      <w:pPr>
        <w:spacing w:line="480" w:lineRule="auto"/>
        <w:rPr>
          <w:b/>
        </w:rPr>
      </w:pPr>
      <w:r>
        <w:br w:type="page"/>
      </w:r>
    </w:p>
    <w:p w:rsidR="007D4618" w:rsidRDefault="009B6D3A">
      <w:pPr>
        <w:spacing w:line="480" w:lineRule="auto"/>
        <w:rPr>
          <w:b/>
        </w:rPr>
      </w:pPr>
      <w:r>
        <w:rPr>
          <w:b/>
        </w:rPr>
        <w:lastRenderedPageBreak/>
        <w:t>Technical Information Supplement Note</w:t>
      </w:r>
    </w:p>
    <w:p w:rsidR="007D4618" w:rsidRDefault="007D4618">
      <w:pPr>
        <w:spacing w:line="480" w:lineRule="auto"/>
        <w:rPr>
          <w:b/>
        </w:rPr>
      </w:pPr>
    </w:p>
    <w:p w:rsidR="007D4618" w:rsidRDefault="009B6D3A">
      <w:pPr>
        <w:spacing w:line="480" w:lineRule="auto"/>
        <w:rPr>
          <w:i/>
        </w:rPr>
      </w:pPr>
      <w:r>
        <w:rPr>
          <w:i/>
        </w:rPr>
        <w:t>Flow Cytometry and FACS</w:t>
      </w:r>
    </w:p>
    <w:p w:rsidR="007D4618" w:rsidRDefault="009B6D3A">
      <w:pPr>
        <w:spacing w:line="480" w:lineRule="auto"/>
      </w:pPr>
      <w:r>
        <w:t xml:space="preserve">Flow cytometry analysis was performed using a </w:t>
      </w:r>
      <w:proofErr w:type="spellStart"/>
      <w:r>
        <w:t>Cytek</w:t>
      </w:r>
      <w:proofErr w:type="spellEnd"/>
      <w:r>
        <w:t xml:space="preserve"> Aurora spectral flow cytometer. The analyzer was equipped with 5 lasers (ultra violet - 355 nm, violet - 405 nm, blue - 448 nm, yellow-green - 561 nm, red - 640 nm) </w:t>
      </w:r>
      <w:r>
        <w:lastRenderedPageBreak/>
        <w:t>and 64 fluorescent detectors. Instrumen</w:t>
      </w:r>
      <w:r>
        <w:t xml:space="preserve">t setup and performance tracking was performed daily using </w:t>
      </w:r>
      <w:proofErr w:type="spellStart"/>
      <w:r>
        <w:t>SpectroFlo</w:t>
      </w:r>
      <w:proofErr w:type="spellEnd"/>
      <w:r>
        <w:t xml:space="preserve"> QC beads (</w:t>
      </w:r>
      <w:proofErr w:type="spellStart"/>
      <w:r>
        <w:t>Cytek</w:t>
      </w:r>
      <w:proofErr w:type="spellEnd"/>
      <w:r>
        <w:t xml:space="preserve">) using the Daily QC program. Experimental fluorescence gains were based on </w:t>
      </w:r>
      <w:proofErr w:type="spellStart"/>
      <w:r>
        <w:t>Cytek</w:t>
      </w:r>
      <w:proofErr w:type="spellEnd"/>
      <w:r>
        <w:t xml:space="preserve"> assay settings generated from Daily QC, while forward scatter (FSC-A) and side scatter (S</w:t>
      </w:r>
      <w:r>
        <w:t xml:space="preserve">SC-A) gains were optimized for healthy fixed PBMCs. The Aurora instrument was operated using </w:t>
      </w:r>
      <w:proofErr w:type="spellStart"/>
      <w:r>
        <w:t>Cytek</w:t>
      </w:r>
      <w:proofErr w:type="spellEnd"/>
      <w:r>
        <w:t xml:space="preserve"> </w:t>
      </w:r>
      <w:proofErr w:type="spellStart"/>
      <w:r>
        <w:t>SpectroFlo</w:t>
      </w:r>
      <w:proofErr w:type="spellEnd"/>
      <w:r>
        <w:t xml:space="preserve"> software version 2.2.0.4. </w:t>
      </w:r>
      <w:r>
        <w:lastRenderedPageBreak/>
        <w:t xml:space="preserve">All samples recorded on Medium flow rate (~30 </w:t>
      </w:r>
      <w:proofErr w:type="spellStart"/>
      <w:r>
        <w:t>uL</w:t>
      </w:r>
      <w:proofErr w:type="spellEnd"/>
      <w:r>
        <w:t>/min) and event rate of ~5,000 events per second.</w:t>
      </w:r>
    </w:p>
    <w:p w:rsidR="007D4618" w:rsidRDefault="007D4618">
      <w:pPr>
        <w:spacing w:line="480" w:lineRule="auto"/>
      </w:pPr>
    </w:p>
    <w:p w:rsidR="007D4618" w:rsidRDefault="009B6D3A">
      <w:pPr>
        <w:spacing w:line="480" w:lineRule="auto"/>
      </w:pPr>
      <w:r>
        <w:t>Fluorescent-activated</w:t>
      </w:r>
      <w:r>
        <w:t xml:space="preserve"> cell sorti</w:t>
      </w:r>
      <w:bookmarkStart w:id="4" w:name="_GoBack"/>
      <w:bookmarkEnd w:id="4"/>
      <w:r>
        <w:t xml:space="preserve">ng (FACS) was performed using a BD </w:t>
      </w:r>
      <w:proofErr w:type="spellStart"/>
      <w:r>
        <w:t>FACSAria</w:t>
      </w:r>
      <w:proofErr w:type="spellEnd"/>
      <w:r>
        <w:t xml:space="preserve"> Fusion cell sorter. The sorter was equipped with 4 lasers (violet - 405 nm, blue - 448 nm, yellow-green - 561 nm, </w:t>
      </w:r>
      <w:proofErr w:type="gramStart"/>
      <w:r>
        <w:t>red</w:t>
      </w:r>
      <w:proofErr w:type="gramEnd"/>
      <w:r>
        <w:t xml:space="preserve"> - 640 nm) and 14 fluorescent detectors. Instrument setup and performance tracking </w:t>
      </w:r>
      <w:r>
        <w:lastRenderedPageBreak/>
        <w:t>w</w:t>
      </w:r>
      <w:r>
        <w:t xml:space="preserve">as performed daily using instrument specific Cytometer Setup and Tracking (CS&amp;T) beads (BD) using the CS&amp;T program. Experimental voltages were based on internal voltage optimization experiments with fixed healthy PBMCs. The </w:t>
      </w:r>
      <w:proofErr w:type="spellStart"/>
      <w:r>
        <w:t>FACSAria</w:t>
      </w:r>
      <w:proofErr w:type="spellEnd"/>
      <w:r>
        <w:t xml:space="preserve"> Fusion instrument was o</w:t>
      </w:r>
      <w:r>
        <w:t xml:space="preserve">perated using BD </w:t>
      </w:r>
      <w:proofErr w:type="spellStart"/>
      <w:r>
        <w:t>FACSDiva</w:t>
      </w:r>
      <w:proofErr w:type="spellEnd"/>
      <w:r>
        <w:t xml:space="preserve"> software version 9.1. All samples sorted at a flow rate setting of 1 and event rate of ~5,000 events per second.</w:t>
      </w:r>
    </w:p>
    <w:p w:rsidR="007D4618" w:rsidRDefault="007D4618">
      <w:pPr>
        <w:spacing w:line="480" w:lineRule="auto"/>
      </w:pPr>
    </w:p>
    <w:p w:rsidR="007D4618" w:rsidRDefault="009B6D3A">
      <w:pPr>
        <w:spacing w:line="480" w:lineRule="auto"/>
        <w:rPr>
          <w:i/>
          <w:color w:val="434343"/>
          <w:sz w:val="28"/>
          <w:szCs w:val="28"/>
        </w:rPr>
      </w:pPr>
      <w:r>
        <w:rPr>
          <w:i/>
        </w:rPr>
        <w:t>Cell Counting</w:t>
      </w:r>
    </w:p>
    <w:p w:rsidR="007D4618" w:rsidRDefault="009B6D3A">
      <w:pPr>
        <w:spacing w:line="480" w:lineRule="auto"/>
      </w:pPr>
      <w:r>
        <w:t xml:space="preserve">Cell counting was performed using a </w:t>
      </w:r>
      <w:proofErr w:type="spellStart"/>
      <w:r>
        <w:t>Cellaca</w:t>
      </w:r>
      <w:proofErr w:type="spellEnd"/>
      <w:r>
        <w:t xml:space="preserve"> MX Cell Counter (</w:t>
      </w:r>
      <w:proofErr w:type="spellStart"/>
      <w:r>
        <w:t>Revvity</w:t>
      </w:r>
      <w:proofErr w:type="spellEnd"/>
      <w:r>
        <w:t>) according to manufacturer specif</w:t>
      </w:r>
      <w:r>
        <w:t>ications.</w:t>
      </w:r>
      <w:r>
        <w:rPr>
          <w:color w:val="434343"/>
          <w:sz w:val="28"/>
          <w:szCs w:val="28"/>
        </w:rPr>
        <w:t xml:space="preserve"> </w:t>
      </w:r>
      <w:r>
        <w:t xml:space="preserve">Cells were stained 1:1 with </w:t>
      </w:r>
      <w:proofErr w:type="spellStart"/>
      <w:r>
        <w:t>Viastain</w:t>
      </w:r>
      <w:proofErr w:type="spellEnd"/>
      <w:r>
        <w:t xml:space="preserve"> </w:t>
      </w:r>
      <w:proofErr w:type="spellStart"/>
      <w:r>
        <w:t>Acridine</w:t>
      </w:r>
      <w:proofErr w:type="spellEnd"/>
      <w:r>
        <w:t xml:space="preserve"> Orange Propidium Iodine (AOPI) Staining Solution (</w:t>
      </w:r>
      <w:proofErr w:type="spellStart"/>
      <w:r>
        <w:t>Revvity</w:t>
      </w:r>
      <w:proofErr w:type="spellEnd"/>
      <w:r>
        <w:t>) and 50uL plated into the counting wells of the 24 well counting plate (</w:t>
      </w:r>
      <w:proofErr w:type="spellStart"/>
      <w:r>
        <w:t>Revvity</w:t>
      </w:r>
      <w:proofErr w:type="spellEnd"/>
      <w:r>
        <w:t xml:space="preserve">). The plate was loaded into the </w:t>
      </w:r>
      <w:proofErr w:type="spellStart"/>
      <w:r>
        <w:lastRenderedPageBreak/>
        <w:t>Cellaca</w:t>
      </w:r>
      <w:proofErr w:type="spellEnd"/>
      <w:r>
        <w:t xml:space="preserve"> MX and focus optimized</w:t>
      </w:r>
      <w:r>
        <w:t xml:space="preserve"> per well. Live (AO</w:t>
      </w:r>
      <w:proofErr w:type="gramStart"/>
      <w:r>
        <w:t>)  and</w:t>
      </w:r>
      <w:proofErr w:type="gramEnd"/>
      <w:r>
        <w:t xml:space="preserve"> dead cell (PI) populations were counted for viability and live cell calculations. Ratio of counted live cells to total counted cells was used to calculate viability. </w:t>
      </w:r>
    </w:p>
    <w:p w:rsidR="007D4618" w:rsidRDefault="007D4618">
      <w:pPr>
        <w:spacing w:line="480" w:lineRule="auto"/>
      </w:pPr>
    </w:p>
    <w:p w:rsidR="007D4618" w:rsidRDefault="009B6D3A">
      <w:pPr>
        <w:spacing w:line="480" w:lineRule="auto"/>
        <w:rPr>
          <w:shd w:val="clear" w:color="auto" w:fill="FFF2CC"/>
        </w:rPr>
      </w:pPr>
      <w:r>
        <w:t>For cell counts performed post-fixation, cells were stained wi</w:t>
      </w:r>
      <w:r>
        <w:t xml:space="preserve">th </w:t>
      </w:r>
      <w:proofErr w:type="spellStart"/>
      <w:r>
        <w:t>Viastain</w:t>
      </w:r>
      <w:proofErr w:type="spellEnd"/>
      <w:r>
        <w:t xml:space="preserve"> Propidium Iodine (PI) Staining solution (</w:t>
      </w:r>
      <w:proofErr w:type="spellStart"/>
      <w:r>
        <w:t>Revvity</w:t>
      </w:r>
      <w:proofErr w:type="spellEnd"/>
      <w:r>
        <w:t xml:space="preserve">) 1:5 and 50uL plated into the counting wells </w:t>
      </w:r>
      <w:r>
        <w:lastRenderedPageBreak/>
        <w:t>of the 24 well counting plate (</w:t>
      </w:r>
      <w:proofErr w:type="spellStart"/>
      <w:r>
        <w:t>Revvity</w:t>
      </w:r>
      <w:proofErr w:type="spellEnd"/>
      <w:r>
        <w:t xml:space="preserve">). The plate was loaded into the </w:t>
      </w:r>
      <w:proofErr w:type="spellStart"/>
      <w:r>
        <w:t>Cellaca</w:t>
      </w:r>
      <w:proofErr w:type="spellEnd"/>
      <w:r>
        <w:t xml:space="preserve"> MX and focus optimized per well. Total cell populations were counted to</w:t>
      </w:r>
      <w:r>
        <w:t xml:space="preserve"> determine pooling normalization and GEM loading concentration.</w:t>
      </w:r>
    </w:p>
    <w:p w:rsidR="007D4618" w:rsidRDefault="007D4618">
      <w:pPr>
        <w:spacing w:line="480" w:lineRule="auto"/>
      </w:pPr>
    </w:p>
    <w:p w:rsidR="007D4618" w:rsidRDefault="009B6D3A">
      <w:pPr>
        <w:spacing w:line="480" w:lineRule="auto"/>
        <w:rPr>
          <w:i/>
          <w:color w:val="434343"/>
          <w:sz w:val="28"/>
          <w:szCs w:val="28"/>
        </w:rPr>
      </w:pPr>
      <w:r>
        <w:rPr>
          <w:i/>
        </w:rPr>
        <w:t>Automated Liquid Handling</w:t>
      </w:r>
    </w:p>
    <w:p w:rsidR="007D4618" w:rsidRDefault="009B6D3A">
      <w:pPr>
        <w:spacing w:line="480" w:lineRule="auto"/>
      </w:pPr>
      <w:r>
        <w:lastRenderedPageBreak/>
        <w:t xml:space="preserve">Automated liquid handling steps were completed using a </w:t>
      </w:r>
      <w:proofErr w:type="spellStart"/>
      <w:r>
        <w:t>Tecan</w:t>
      </w:r>
      <w:proofErr w:type="spellEnd"/>
      <w:r>
        <w:t xml:space="preserve"> Fluent 1080. The </w:t>
      </w:r>
      <w:proofErr w:type="spellStart"/>
      <w:r>
        <w:t>Tecan</w:t>
      </w:r>
      <w:proofErr w:type="spellEnd"/>
      <w:r>
        <w:t xml:space="preserve"> Fluent 1080 has a custom deck configuration including three CPAC 96 well plate he</w:t>
      </w:r>
      <w:r>
        <w:t xml:space="preserve">ating/cooling units and 1 heating/cooling </w:t>
      </w:r>
      <w:proofErr w:type="spellStart"/>
      <w:r>
        <w:t>Thermoshake</w:t>
      </w:r>
      <w:proofErr w:type="spellEnd"/>
      <w:r>
        <w:t xml:space="preserve"> unit. A remote gripper arm (RGA) was used for </w:t>
      </w:r>
      <w:proofErr w:type="spellStart"/>
      <w:r>
        <w:t>labware</w:t>
      </w:r>
      <w:proofErr w:type="spellEnd"/>
      <w:r>
        <w:t xml:space="preserve"> transport, and flexible channel arm (FCA) or multiple channel arm (MCA) with extended volume adapter (EVA) attachment used for all liquid handling </w:t>
      </w:r>
      <w:r>
        <w:lastRenderedPageBreak/>
        <w:t>s</w:t>
      </w:r>
      <w:r>
        <w:t xml:space="preserve">teps. Automated liquid handling scripts were developed and run using </w:t>
      </w:r>
      <w:proofErr w:type="spellStart"/>
      <w:r>
        <w:t>Tecan</w:t>
      </w:r>
      <w:proofErr w:type="spellEnd"/>
      <w:r>
        <w:t xml:space="preserve"> Fluent Control Build v2.7.19.54609. Deck layout and liquid handling scripts are available by request from the authors.</w:t>
      </w:r>
    </w:p>
    <w:sectPr w:rsidR="007D4618" w:rsidSect="009B6D3A">
      <w:footerReference w:type="even" r:id="rId13"/>
      <w:footerReference w:type="default" r:id="rId14"/>
      <w:pgSz w:w="12240" w:h="1584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B6D3A">
      <w:pPr>
        <w:spacing w:line="240" w:lineRule="auto"/>
      </w:pPr>
      <w:r>
        <w:separator/>
      </w:r>
    </w:p>
  </w:endnote>
  <w:endnote w:type="continuationSeparator" w:id="0">
    <w:p w:rsidR="00000000" w:rsidRDefault="009B6D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618" w:rsidRDefault="007D46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</w:p>
  <w:p w:rsidR="007D4618" w:rsidRDefault="009B6D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618" w:rsidRDefault="009B6D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16</w:t>
    </w:r>
    <w:r>
      <w:rPr>
        <w:color w:val="000000"/>
        <w:sz w:val="20"/>
        <w:szCs w:val="20"/>
      </w:rPr>
      <w:fldChar w:fldCharType="end"/>
    </w:r>
  </w:p>
  <w:p w:rsidR="007D4618" w:rsidRDefault="009B6D3A">
    <w:pPr>
      <w:pBdr>
        <w:top w:val="single" w:sz="8" w:space="2" w:color="999999"/>
      </w:pBdr>
      <w:ind w:right="360"/>
      <w:jc w:val="right"/>
    </w:pPr>
    <w:r>
      <w:rPr>
        <w:sz w:val="20"/>
        <w:szCs w:val="20"/>
      </w:rPr>
      <w:t>© Allen Institute for Immunology, All Rights Reserved (confidential)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B6D3A">
      <w:pPr>
        <w:spacing w:line="240" w:lineRule="auto"/>
      </w:pPr>
      <w:r>
        <w:separator/>
      </w:r>
    </w:p>
  </w:footnote>
  <w:footnote w:type="continuationSeparator" w:id="0">
    <w:p w:rsidR="00000000" w:rsidRDefault="009B6D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18"/>
    <w:rsid w:val="007D4618"/>
    <w:rsid w:val="009B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9428A6-F2AE-43C1-875B-DF8E57F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jc w:val="center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jc w:val="center"/>
    </w:pPr>
    <w:rPr>
      <w:color w:val="666666"/>
      <w:sz w:val="30"/>
      <w:szCs w:val="30"/>
    </w:r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7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7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57B1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75C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5C3B"/>
  </w:style>
  <w:style w:type="paragraph" w:styleId="Footer">
    <w:name w:val="footer"/>
    <w:basedOn w:val="Normal"/>
    <w:link w:val="FooterChar"/>
    <w:uiPriority w:val="99"/>
    <w:semiHidden/>
    <w:unhideWhenUsed/>
    <w:rsid w:val="00875C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5C3B"/>
  </w:style>
  <w:style w:type="character" w:styleId="Hyperlink">
    <w:name w:val="Hyperlink"/>
    <w:basedOn w:val="DefaultParagraphFont"/>
    <w:uiPriority w:val="99"/>
    <w:unhideWhenUsed/>
    <w:rsid w:val="00BF2DD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2D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60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A726C"/>
  </w:style>
  <w:style w:type="paragraph" w:styleId="BodyText">
    <w:name w:val="Body Text"/>
    <w:basedOn w:val="Normal"/>
    <w:link w:val="BodyTextChar"/>
    <w:uiPriority w:val="99"/>
    <w:semiHidden/>
    <w:unhideWhenUsed/>
    <w:rsid w:val="00C14A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4A80"/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8" w:type="dxa"/>
        <w:left w:w="100" w:type="dxa"/>
        <w:bottom w:w="58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8" w:type="dxa"/>
        <w:left w:w="100" w:type="dxa"/>
        <w:bottom w:w="58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FET8AE+lzy+8BbC/JhPmurbU/g==">CgMxLjAaDQoBMBIICgYIBTICCAEaHwoBMRIaChgICVIUChJ0YWJsZS4zaHVvd3ZsbDdvODcaHgoBMhIZChcICVITChF0YWJsZS40Y3gxZjF3eXJvcDIOaC5laGVtaWQ0aTNwbzcyDmguZ3VzazF3MW54Zm4zMg5oLmhka25qdHZqNG5ybzIJaC40OXgyaWs1OAByITE4MnIwdXFJTXJscG1ieWR5UXFTU0RnZUNmSzQwd2kzcw==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1910</Words>
  <Characters>10887</Characters>
  <Application>Microsoft Office Word</Application>
  <DocSecurity>0</DocSecurity>
  <Lines>90</Lines>
  <Paragraphs>25</Paragraphs>
  <ScaleCrop>false</ScaleCrop>
  <Company>HP Inc.</Company>
  <LinksUpToDate>false</LinksUpToDate>
  <CharactersWithSpaces>12772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Rajalakshmi Thangaraj</cp:lastModifiedBy>
  <cp:revision>2</cp:revision>
  <dcterms:created xsi:type="dcterms:W3CDTF">2024-01-12T18:12:00Z</dcterms:created>
  <dcterms:modified xsi:type="dcterms:W3CDTF">2024-12-26T03:07:00Z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0x010100CA307DEBF9E2404D9D931B8C72EEEF83</vt:lpwstr>
  </property>
  <property fmtid="{D5CDD505-2E9C-101B-9397-08002B2CF9AE}" pid="3" name="MediaServiceImageTags">
    <vt:lpwstr>MediaServiceImageTags</vt:lpwstr>
  </property>
</Properties>
</file>