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4FA2E" w14:textId="77777777" w:rsidR="00DC2523" w:rsidRDefault="00DC2523" w:rsidP="004F083B">
      <w:pPr>
        <w:spacing w:before="120" w:after="0" w:line="480" w:lineRule="auto"/>
        <w:jc w:val="both"/>
        <w:rPr>
          <w:rFonts w:ascii="Arial" w:eastAsia="Arial" w:hAnsi="Arial" w:cs="Arial"/>
          <w:b/>
          <w:sz w:val="28"/>
          <w:szCs w:val="28"/>
        </w:rPr>
      </w:pPr>
      <w:r>
        <w:rPr>
          <w:rFonts w:ascii="Arial" w:eastAsia="Arial" w:hAnsi="Arial" w:cs="Arial"/>
          <w:b/>
          <w:sz w:val="28"/>
          <w:szCs w:val="28"/>
        </w:rPr>
        <w:t>Supplementary Information</w:t>
      </w:r>
    </w:p>
    <w:p w14:paraId="105EB92A" w14:textId="3F5C17B0" w:rsidR="00DC2523" w:rsidRDefault="00E327DC" w:rsidP="004F083B">
      <w:pPr>
        <w:spacing w:before="120" w:after="0" w:line="480" w:lineRule="auto"/>
        <w:jc w:val="both"/>
        <w:rPr>
          <w:rFonts w:ascii="Arial" w:eastAsia="Arial" w:hAnsi="Arial" w:cs="Arial"/>
          <w:b/>
          <w:sz w:val="28"/>
          <w:szCs w:val="28"/>
        </w:rPr>
      </w:pPr>
      <w:r>
        <w:rPr>
          <w:rFonts w:ascii="Arial" w:eastAsia="Arial" w:hAnsi="Arial" w:cs="Arial"/>
          <w:b/>
          <w:sz w:val="28"/>
          <w:szCs w:val="28"/>
        </w:rPr>
        <w:t xml:space="preserve">Supplementary </w:t>
      </w:r>
      <w:r w:rsidR="00DC2523">
        <w:rPr>
          <w:rFonts w:ascii="Arial" w:eastAsia="Arial" w:hAnsi="Arial" w:cs="Arial"/>
          <w:b/>
          <w:sz w:val="28"/>
          <w:szCs w:val="28"/>
        </w:rPr>
        <w:t>Materials and Methods</w:t>
      </w:r>
    </w:p>
    <w:p w14:paraId="1CF23CCD" w14:textId="77777777" w:rsidR="00DC2523" w:rsidRDefault="00DC2523" w:rsidP="004F083B">
      <w:pPr>
        <w:spacing w:line="480" w:lineRule="auto"/>
        <w:rPr>
          <w:rFonts w:ascii="Arial" w:eastAsia="Arial" w:hAnsi="Arial" w:cs="Arial"/>
          <w:sz w:val="24"/>
          <w:szCs w:val="24"/>
        </w:rPr>
      </w:pPr>
      <w:r>
        <w:rPr>
          <w:rFonts w:ascii="Arial" w:eastAsia="Arial" w:hAnsi="Arial" w:cs="Arial"/>
          <w:b/>
          <w:sz w:val="24"/>
          <w:szCs w:val="24"/>
        </w:rPr>
        <w:t>Patient-derived xenograft models</w:t>
      </w:r>
    </w:p>
    <w:p w14:paraId="14135553" w14:textId="1ECAAB24" w:rsidR="00DC2523" w:rsidRDefault="00DC2523" w:rsidP="004F083B">
      <w:pPr>
        <w:spacing w:after="0" w:line="480" w:lineRule="auto"/>
        <w:jc w:val="both"/>
        <w:rPr>
          <w:rFonts w:ascii="Arial" w:eastAsia="Arial" w:hAnsi="Arial" w:cs="Arial"/>
          <w:sz w:val="24"/>
          <w:szCs w:val="24"/>
        </w:rPr>
      </w:pPr>
      <w:r>
        <w:rPr>
          <w:rFonts w:ascii="Arial" w:eastAsia="Arial" w:hAnsi="Arial" w:cs="Arial"/>
          <w:sz w:val="24"/>
          <w:szCs w:val="24"/>
        </w:rPr>
        <w:t>8</w:t>
      </w:r>
      <w:r w:rsidR="006B2D60">
        <w:rPr>
          <w:rFonts w:ascii="Arial" w:eastAsia="Arial" w:hAnsi="Arial" w:cs="Arial"/>
          <w:sz w:val="24"/>
          <w:szCs w:val="24"/>
        </w:rPr>
        <w:t>−</w:t>
      </w:r>
      <w:r>
        <w:rPr>
          <w:rFonts w:ascii="Arial" w:eastAsia="Arial" w:hAnsi="Arial" w:cs="Arial"/>
          <w:sz w:val="24"/>
          <w:szCs w:val="24"/>
        </w:rPr>
        <w:t>30-week-old female BALB/c Rag2</w:t>
      </w:r>
      <w:r w:rsidR="00831FFF">
        <w:rPr>
          <w:rFonts w:ascii="Arial" w:eastAsia="Arial" w:hAnsi="Arial" w:cs="Arial"/>
          <w:sz w:val="24"/>
          <w:szCs w:val="24"/>
        </w:rPr>
        <w:t xml:space="preserve"> </w:t>
      </w:r>
      <w:r w:rsidR="00831FFF" w:rsidRPr="00831FFF">
        <w:rPr>
          <w:rFonts w:ascii="Arial" w:eastAsia="Arial" w:hAnsi="Arial" w:cs="Arial"/>
          <w:sz w:val="24"/>
          <w:szCs w:val="24"/>
          <w:vertAlign w:val="superscript"/>
        </w:rPr>
        <w:t>−/−</w:t>
      </w:r>
      <w:r>
        <w:rPr>
          <w:rFonts w:ascii="Arial" w:eastAsia="Arial" w:hAnsi="Arial" w:cs="Arial"/>
          <w:sz w:val="24"/>
          <w:szCs w:val="24"/>
        </w:rPr>
        <w:t xml:space="preserve">; Il2rg </w:t>
      </w:r>
      <w:r w:rsidR="00831FFF" w:rsidRPr="00831FFF">
        <w:rPr>
          <w:rFonts w:ascii="Arial" w:eastAsia="Arial" w:hAnsi="Arial" w:cs="Arial"/>
          <w:sz w:val="24"/>
          <w:szCs w:val="24"/>
          <w:vertAlign w:val="superscript"/>
        </w:rPr>
        <w:t>−/−</w:t>
      </w:r>
      <w:r w:rsidR="00831FFF" w:rsidRPr="00831FFF">
        <w:rPr>
          <w:rFonts w:ascii="Arial" w:eastAsia="Arial" w:hAnsi="Arial" w:cs="Arial"/>
          <w:sz w:val="24"/>
          <w:szCs w:val="24"/>
        </w:rPr>
        <w:t xml:space="preserve"> </w:t>
      </w:r>
      <w:r>
        <w:rPr>
          <w:rFonts w:ascii="Arial" w:eastAsia="Arial" w:hAnsi="Arial" w:cs="Arial"/>
          <w:sz w:val="24"/>
          <w:szCs w:val="24"/>
        </w:rPr>
        <w:t>(BRG) immunodeficient mice (breeders kindly provided by Drs T. Nomura and M. Ito, Central Institute for Experimental Animals, CIEA, Kawasaki, Japan)</w:t>
      </w:r>
      <w:r w:rsidR="00D5758A">
        <w:rPr>
          <w:rFonts w:ascii="Arial" w:eastAsia="Arial" w:hAnsi="Arial" w:cs="Arial"/>
          <w:sz w:val="24"/>
          <w:szCs w:val="24"/>
        </w:rPr>
        <w:t xml:space="preserve"> </w:t>
      </w:r>
      <w:sdt>
        <w:sdtPr>
          <w:rPr>
            <w:rFonts w:ascii="Arial" w:eastAsia="Arial" w:hAnsi="Arial" w:cs="Arial"/>
            <w:color w:val="000000"/>
            <w:sz w:val="24"/>
            <w:szCs w:val="24"/>
          </w:rPr>
          <w:tag w:val="MENDELEY_CITATION_v3_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"/>
          <w:id w:val="-831680310"/>
          <w:placeholder>
            <w:docPart w:val="DefaultPlaceholder_-1854013440"/>
          </w:placeholder>
        </w:sdtPr>
        <w:sdtEndPr/>
        <w:sdtContent>
          <w:r w:rsidR="00537A99" w:rsidRPr="00537A99">
            <w:rPr>
              <w:rFonts w:ascii="Arial" w:eastAsia="Arial" w:hAnsi="Arial" w:cs="Arial"/>
              <w:color w:val="000000"/>
              <w:sz w:val="24"/>
              <w:szCs w:val="24"/>
            </w:rPr>
            <w:t>(1)</w:t>
          </w:r>
        </w:sdtContent>
      </w:sdt>
      <w:r>
        <w:rPr>
          <w:rFonts w:ascii="Arial" w:eastAsia="Arial" w:hAnsi="Arial" w:cs="Arial"/>
          <w:sz w:val="24"/>
          <w:szCs w:val="24"/>
        </w:rPr>
        <w:t xml:space="preserve"> were bred under sterile condition in our animal facilities and were used for patient-derived xenograft (PDX) establishment. To generate NSCLC-B PDX, the pleural effusion was centrifuged at 250 </w:t>
      </w:r>
      <w:r>
        <w:rPr>
          <w:rFonts w:ascii="Arial" w:eastAsia="Arial" w:hAnsi="Arial" w:cs="Arial"/>
          <w:i/>
          <w:sz w:val="24"/>
          <w:szCs w:val="24"/>
        </w:rPr>
        <w:t>g</w:t>
      </w:r>
      <w:r>
        <w:rPr>
          <w:rFonts w:ascii="Arial" w:eastAsia="Arial" w:hAnsi="Arial" w:cs="Arial"/>
          <w:sz w:val="24"/>
          <w:szCs w:val="24"/>
        </w:rPr>
        <w:t xml:space="preserve"> for 5 minutes to obtain cell sediment. </w:t>
      </w:r>
      <w:r>
        <w:rPr>
          <w:rFonts w:ascii="Arial" w:eastAsia="Arial" w:hAnsi="Arial" w:cs="Arial"/>
          <w:sz w:val="24"/>
          <w:szCs w:val="24"/>
          <w:highlight w:val="white"/>
        </w:rPr>
        <w:t>BRG mice</w:t>
      </w:r>
      <w:r>
        <w:rPr>
          <w:rFonts w:ascii="Arial" w:eastAsia="Arial" w:hAnsi="Arial" w:cs="Arial"/>
          <w:sz w:val="24"/>
          <w:szCs w:val="24"/>
        </w:rPr>
        <w:t xml:space="preserve"> received subcutaneous (</w:t>
      </w:r>
      <w:proofErr w:type="spellStart"/>
      <w:r>
        <w:rPr>
          <w:rFonts w:ascii="Arial" w:eastAsia="Arial" w:hAnsi="Arial" w:cs="Arial"/>
          <w:sz w:val="24"/>
          <w:szCs w:val="24"/>
        </w:rPr>
        <w:t>s.c.</w:t>
      </w:r>
      <w:proofErr w:type="spellEnd"/>
      <w:r>
        <w:rPr>
          <w:rFonts w:ascii="Arial" w:eastAsia="Arial" w:hAnsi="Arial" w:cs="Arial"/>
          <w:sz w:val="24"/>
          <w:szCs w:val="24"/>
        </w:rPr>
        <w:t>) injection of 10</w:t>
      </w:r>
      <w:r>
        <w:rPr>
          <w:rFonts w:ascii="Arial" w:eastAsia="Arial" w:hAnsi="Arial" w:cs="Arial"/>
          <w:sz w:val="24"/>
          <w:szCs w:val="24"/>
          <w:vertAlign w:val="superscript"/>
        </w:rPr>
        <w:t>7</w:t>
      </w:r>
      <w:r>
        <w:rPr>
          <w:rFonts w:ascii="Arial" w:eastAsia="Arial" w:hAnsi="Arial" w:cs="Arial"/>
          <w:sz w:val="24"/>
          <w:szCs w:val="24"/>
        </w:rPr>
        <w:t xml:space="preserve"> cells, in the right hind leg. To generate NSCLC-H PDX, a fragment of tumor biopsy with a diameter of 3-4 mm was implanted in the left flank of a female anesthetized BRG mouse.</w:t>
      </w:r>
      <w:r>
        <w:t xml:space="preserve"> </w:t>
      </w:r>
      <w:r>
        <w:rPr>
          <w:rFonts w:ascii="Arial" w:eastAsia="Arial" w:hAnsi="Arial" w:cs="Arial"/>
          <w:sz w:val="24"/>
          <w:szCs w:val="24"/>
        </w:rPr>
        <w:t xml:space="preserve">NSCLC-B and NSCLC-H PDX tumors were subsequently propagated until the third </w:t>
      </w:r>
      <w:r>
        <w:rPr>
          <w:rFonts w:ascii="Arial" w:eastAsia="Arial" w:hAnsi="Arial" w:cs="Arial"/>
          <w:i/>
          <w:sz w:val="24"/>
          <w:szCs w:val="24"/>
        </w:rPr>
        <w:t>in vivo</w:t>
      </w:r>
      <w:r>
        <w:rPr>
          <w:rFonts w:ascii="Arial" w:eastAsia="Arial" w:hAnsi="Arial" w:cs="Arial"/>
          <w:sz w:val="24"/>
          <w:szCs w:val="24"/>
        </w:rPr>
        <w:t xml:space="preserve"> passage by </w:t>
      </w:r>
      <w:proofErr w:type="spellStart"/>
      <w:r>
        <w:rPr>
          <w:rFonts w:ascii="Arial" w:eastAsia="Arial" w:hAnsi="Arial" w:cs="Arial"/>
          <w:sz w:val="24"/>
          <w:szCs w:val="24"/>
        </w:rPr>
        <w:t>s.c.</w:t>
      </w:r>
      <w:proofErr w:type="spellEnd"/>
      <w:r>
        <w:rPr>
          <w:rFonts w:ascii="Arial" w:eastAsia="Arial" w:hAnsi="Arial" w:cs="Arial"/>
          <w:sz w:val="24"/>
          <w:szCs w:val="24"/>
        </w:rPr>
        <w:t xml:space="preserve"> implantation of tumor fragments in female anesthetized BRG mice</w:t>
      </w:r>
      <w:r w:rsidR="00853084">
        <w:rPr>
          <w:rFonts w:ascii="Arial" w:eastAsia="Arial" w:hAnsi="Arial" w:cs="Arial"/>
          <w:sz w:val="24"/>
          <w:szCs w:val="24"/>
        </w:rPr>
        <w:t xml:space="preserve">, </w:t>
      </w:r>
      <w:r w:rsidR="00853084" w:rsidRPr="00853084">
        <w:rPr>
          <w:rFonts w:ascii="Arial" w:eastAsia="Arial" w:hAnsi="Arial" w:cs="Arial"/>
          <w:sz w:val="24"/>
          <w:szCs w:val="24"/>
        </w:rPr>
        <w:t>as previously described for other PDX cancer models</w:t>
      </w:r>
      <w:r w:rsidR="00853084">
        <w:rPr>
          <w:rFonts w:ascii="Arial" w:eastAsia="Arial" w:hAnsi="Arial" w:cs="Arial"/>
          <w:sz w:val="24"/>
          <w:szCs w:val="24"/>
        </w:rPr>
        <w:t xml:space="preserve"> </w:t>
      </w:r>
      <w:sdt>
        <w:sdtPr>
          <w:rPr>
            <w:rFonts w:ascii="Arial" w:eastAsia="Arial" w:hAnsi="Arial" w:cs="Arial"/>
            <w:color w:val="000000"/>
            <w:sz w:val="24"/>
            <w:szCs w:val="24"/>
          </w:rPr>
          <w:tag w:val="MENDELEY_CITATION_v3_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"/>
          <w:id w:val="-253902743"/>
          <w:placeholder>
            <w:docPart w:val="DefaultPlaceholder_-1854013440"/>
          </w:placeholder>
        </w:sdtPr>
        <w:sdtEndPr/>
        <w:sdtContent>
          <w:r w:rsidR="00537A99" w:rsidRPr="00537A99">
            <w:rPr>
              <w:rFonts w:ascii="Arial" w:eastAsia="Arial" w:hAnsi="Arial" w:cs="Arial"/>
              <w:color w:val="000000"/>
              <w:sz w:val="24"/>
              <w:szCs w:val="24"/>
            </w:rPr>
            <w:t>(2)</w:t>
          </w:r>
        </w:sdtContent>
      </w:sdt>
      <w:r>
        <w:rPr>
          <w:rFonts w:ascii="Arial" w:eastAsia="Arial" w:hAnsi="Arial" w:cs="Arial"/>
          <w:sz w:val="24"/>
          <w:szCs w:val="24"/>
        </w:rPr>
        <w:t>.</w:t>
      </w:r>
      <w:r w:rsidR="00225204" w:rsidRPr="00225204">
        <w:t xml:space="preserve"> </w:t>
      </w:r>
      <w:r w:rsidR="00225204" w:rsidRPr="00225204">
        <w:rPr>
          <w:rFonts w:ascii="Arial" w:eastAsia="Arial" w:hAnsi="Arial" w:cs="Arial"/>
          <w:sz w:val="24"/>
          <w:szCs w:val="24"/>
        </w:rPr>
        <w:t>Tumor diameter was measured weekly with sterile calipers and volume was calculated using the formula π[√(</w:t>
      </w:r>
      <w:proofErr w:type="spellStart"/>
      <w:r w:rsidR="00225204" w:rsidRPr="00225204">
        <w:rPr>
          <w:rFonts w:ascii="Arial" w:eastAsia="Arial" w:hAnsi="Arial" w:cs="Arial"/>
          <w:i/>
          <w:iCs/>
          <w:sz w:val="24"/>
          <w:szCs w:val="24"/>
        </w:rPr>
        <w:t>a</w:t>
      </w:r>
      <w:r w:rsidR="00225204" w:rsidRPr="00225204">
        <w:rPr>
          <w:rFonts w:ascii="Arial" w:eastAsia="Arial" w:hAnsi="Arial" w:cs="Arial"/>
          <w:sz w:val="24"/>
          <w:szCs w:val="24"/>
        </w:rPr>
        <w:t>×</w:t>
      </w:r>
      <w:r w:rsidR="00225204" w:rsidRPr="00225204">
        <w:rPr>
          <w:rFonts w:ascii="Arial" w:eastAsia="Arial" w:hAnsi="Arial" w:cs="Arial"/>
          <w:i/>
          <w:iCs/>
          <w:sz w:val="24"/>
          <w:szCs w:val="24"/>
        </w:rPr>
        <w:t>b</w:t>
      </w:r>
      <w:proofErr w:type="spellEnd"/>
      <w:r w:rsidR="00225204" w:rsidRPr="00225204">
        <w:rPr>
          <w:rFonts w:ascii="Arial" w:eastAsia="Arial" w:hAnsi="Arial" w:cs="Arial"/>
          <w:sz w:val="24"/>
          <w:szCs w:val="24"/>
        </w:rPr>
        <w:t>)3]/6</w:t>
      </w:r>
      <w:r w:rsidR="00225204">
        <w:rPr>
          <w:rFonts w:ascii="Arial" w:eastAsia="Arial" w:hAnsi="Arial" w:cs="Arial"/>
          <w:sz w:val="24"/>
          <w:szCs w:val="24"/>
        </w:rPr>
        <w:t xml:space="preserve">, </w:t>
      </w:r>
      <w:r>
        <w:rPr>
          <w:rFonts w:ascii="Arial" w:eastAsia="Arial" w:hAnsi="Arial" w:cs="Arial"/>
          <w:sz w:val="24"/>
          <w:szCs w:val="24"/>
        </w:rPr>
        <w:t xml:space="preserve">where </w:t>
      </w:r>
      <w:r w:rsidRPr="00793FEE">
        <w:rPr>
          <w:rFonts w:ascii="Arial" w:eastAsia="Arial" w:hAnsi="Arial" w:cs="Arial"/>
          <w:i/>
          <w:iCs/>
          <w:sz w:val="24"/>
          <w:szCs w:val="24"/>
        </w:rPr>
        <w:t>a</w:t>
      </w:r>
      <w:r>
        <w:rPr>
          <w:rFonts w:ascii="Arial" w:eastAsia="Arial" w:hAnsi="Arial" w:cs="Arial"/>
          <w:sz w:val="24"/>
          <w:szCs w:val="24"/>
        </w:rPr>
        <w:t xml:space="preserve">=maximal tumor diameter and </w:t>
      </w:r>
      <w:r w:rsidRPr="00793FEE">
        <w:rPr>
          <w:rFonts w:ascii="Arial" w:eastAsia="Arial" w:hAnsi="Arial" w:cs="Arial"/>
          <w:i/>
          <w:iCs/>
          <w:sz w:val="24"/>
          <w:szCs w:val="24"/>
        </w:rPr>
        <w:t>b</w:t>
      </w:r>
      <w:r>
        <w:rPr>
          <w:rFonts w:ascii="Arial" w:eastAsia="Arial" w:hAnsi="Arial" w:cs="Arial"/>
          <w:sz w:val="24"/>
          <w:szCs w:val="24"/>
        </w:rPr>
        <w:t xml:space="preserve">=major tumor diameter perpendicular to </w:t>
      </w:r>
      <w:r w:rsidRPr="000C3197">
        <w:rPr>
          <w:rFonts w:ascii="Arial" w:eastAsia="Arial" w:hAnsi="Arial" w:cs="Arial"/>
          <w:i/>
          <w:iCs/>
          <w:sz w:val="24"/>
          <w:szCs w:val="24"/>
        </w:rPr>
        <w:t>a</w:t>
      </w:r>
      <w:r>
        <w:rPr>
          <w:rFonts w:ascii="Arial" w:eastAsia="Arial" w:hAnsi="Arial" w:cs="Arial"/>
          <w:sz w:val="24"/>
          <w:szCs w:val="24"/>
        </w:rPr>
        <w:t>.</w:t>
      </w:r>
      <w:r>
        <w:t xml:space="preserve"> </w:t>
      </w:r>
      <w:r>
        <w:rPr>
          <w:rFonts w:ascii="Arial" w:eastAsia="Arial" w:hAnsi="Arial" w:cs="Arial"/>
          <w:sz w:val="24"/>
          <w:szCs w:val="24"/>
        </w:rPr>
        <w:t>When tumors reached a volume of 1.5-1.9 cm</w:t>
      </w:r>
      <w:r>
        <w:rPr>
          <w:rFonts w:ascii="Arial" w:eastAsia="Arial" w:hAnsi="Arial" w:cs="Arial"/>
          <w:sz w:val="24"/>
          <w:szCs w:val="24"/>
          <w:vertAlign w:val="superscript"/>
        </w:rPr>
        <w:t>3</w:t>
      </w:r>
      <w:r>
        <w:rPr>
          <w:rFonts w:ascii="Arial" w:eastAsia="Arial" w:hAnsi="Arial" w:cs="Arial"/>
          <w:sz w:val="24"/>
          <w:szCs w:val="24"/>
        </w:rPr>
        <w:t xml:space="preserve">, animals were euthanized and an accurate necropsy was performed. </w:t>
      </w:r>
    </w:p>
    <w:p w14:paraId="43C80A36" w14:textId="2467E97C" w:rsidR="007838B5" w:rsidRDefault="007838B5" w:rsidP="001F5850">
      <w:pPr>
        <w:spacing w:after="0" w:line="480" w:lineRule="auto"/>
        <w:jc w:val="both"/>
        <w:rPr>
          <w:rFonts w:ascii="Arial" w:eastAsia="Arial" w:hAnsi="Arial" w:cs="Arial"/>
          <w:sz w:val="24"/>
          <w:szCs w:val="24"/>
        </w:rPr>
      </w:pPr>
      <w:r w:rsidRPr="00623160">
        <w:rPr>
          <w:rFonts w:ascii="Arial" w:eastAsia="Arial" w:hAnsi="Arial" w:cs="Arial"/>
          <w:sz w:val="24"/>
          <w:szCs w:val="24"/>
        </w:rPr>
        <w:t>All animal procedures were performed in accordance with European directive 2010/63/UE and Italian Law (No. DL26/2014). Experimental protocols were reviewed and approved by the institutional animal care and use committee of the University of Bologna and by the Italian Ministry of Health with letter 32/2020-PR.</w:t>
      </w:r>
    </w:p>
    <w:p w14:paraId="03852C2B" w14:textId="77777777" w:rsidR="001F5850" w:rsidRPr="001F5850" w:rsidRDefault="001F5850" w:rsidP="001F5850">
      <w:pPr>
        <w:spacing w:after="0" w:line="480" w:lineRule="auto"/>
        <w:jc w:val="both"/>
        <w:rPr>
          <w:rFonts w:ascii="Arial" w:eastAsia="Arial" w:hAnsi="Arial" w:cs="Arial"/>
          <w:sz w:val="24"/>
          <w:szCs w:val="24"/>
        </w:rPr>
      </w:pPr>
    </w:p>
    <w:p w14:paraId="225906CF" w14:textId="21355060" w:rsidR="00DC2523" w:rsidRDefault="00DC2523" w:rsidP="004F083B">
      <w:pPr>
        <w:spacing w:line="480" w:lineRule="auto"/>
        <w:rPr>
          <w:rFonts w:ascii="Arial" w:eastAsia="Arial" w:hAnsi="Arial" w:cs="Arial"/>
          <w:b/>
          <w:sz w:val="24"/>
          <w:szCs w:val="24"/>
        </w:rPr>
      </w:pPr>
      <w:r>
        <w:rPr>
          <w:rFonts w:ascii="Arial" w:eastAsia="Arial" w:hAnsi="Arial" w:cs="Arial"/>
          <w:b/>
          <w:sz w:val="24"/>
          <w:szCs w:val="24"/>
        </w:rPr>
        <w:t>Whole transcriptome sequencing of NSCLC-B and NSCLC-H cell lines</w:t>
      </w:r>
    </w:p>
    <w:p w14:paraId="4C66FAD5" w14:textId="77777777" w:rsidR="00DC2523" w:rsidRPr="00595719" w:rsidRDefault="00DC2523" w:rsidP="004F083B">
      <w:pPr>
        <w:spacing w:line="480" w:lineRule="auto"/>
        <w:jc w:val="both"/>
        <w:rPr>
          <w:rFonts w:ascii="Arial" w:eastAsia="Arial" w:hAnsi="Arial" w:cs="Arial"/>
          <w:sz w:val="24"/>
          <w:szCs w:val="24"/>
        </w:rPr>
      </w:pPr>
      <w:r w:rsidRPr="00042F22">
        <w:rPr>
          <w:rFonts w:ascii="Arial" w:eastAsia="Arial" w:hAnsi="Arial" w:cs="Arial"/>
          <w:sz w:val="24"/>
          <w:szCs w:val="24"/>
        </w:rPr>
        <w:t xml:space="preserve">Quality and size distribution of </w:t>
      </w:r>
      <w:proofErr w:type="spellStart"/>
      <w:r w:rsidRPr="00042F22">
        <w:rPr>
          <w:rFonts w:ascii="Arial" w:eastAsia="Arial" w:hAnsi="Arial" w:cs="Arial"/>
          <w:sz w:val="24"/>
          <w:szCs w:val="24"/>
        </w:rPr>
        <w:t>RNAseq</w:t>
      </w:r>
      <w:proofErr w:type="spellEnd"/>
      <w:r w:rsidRPr="00042F22">
        <w:rPr>
          <w:rFonts w:ascii="Arial" w:eastAsia="Arial" w:hAnsi="Arial" w:cs="Arial"/>
          <w:sz w:val="24"/>
          <w:szCs w:val="24"/>
        </w:rPr>
        <w:t xml:space="preserve"> libraries were assessed by capillary electrophoretic analysis with</w:t>
      </w:r>
      <w:r>
        <w:rPr>
          <w:rFonts w:ascii="Arial" w:eastAsia="Arial" w:hAnsi="Arial" w:cs="Arial"/>
          <w:sz w:val="24"/>
          <w:szCs w:val="24"/>
        </w:rPr>
        <w:t xml:space="preserve"> a</w:t>
      </w:r>
      <w:r>
        <w:rPr>
          <w:rFonts w:ascii="Arial" w:eastAsia="Arial" w:hAnsi="Arial" w:cs="Arial"/>
          <w:sz w:val="24"/>
          <w:szCs w:val="24"/>
          <w:highlight w:val="white"/>
        </w:rPr>
        <w:t xml:space="preserve"> 2100 Bioanalyzer using a High Sensitivity DNA Chip. After </w:t>
      </w:r>
      <w:r>
        <w:rPr>
          <w:rFonts w:ascii="Arial" w:eastAsia="Arial" w:hAnsi="Arial" w:cs="Arial"/>
          <w:sz w:val="24"/>
          <w:szCs w:val="24"/>
          <w:highlight w:val="white"/>
        </w:rPr>
        <w:lastRenderedPageBreak/>
        <w:t xml:space="preserve">measuring individual library concentration with a High Sensitivity (HS) Assay on a Qubit 4 fluorometer, libraries were pooled and then sequenced on a NovaSeq6000 (Illumina Inc.) sequencer in </w:t>
      </w:r>
      <w:r w:rsidRPr="00595719">
        <w:rPr>
          <w:rFonts w:ascii="Arial" w:eastAsia="Arial" w:hAnsi="Arial" w:cs="Arial"/>
          <w:sz w:val="24"/>
          <w:szCs w:val="24"/>
          <w:highlight w:val="white"/>
        </w:rPr>
        <w:t xml:space="preserve">100PE mode </w:t>
      </w:r>
      <w:r w:rsidRPr="00595719">
        <w:rPr>
          <w:rFonts w:ascii="Arial" w:eastAsia="Arial" w:hAnsi="Arial" w:cs="Arial"/>
          <w:sz w:val="24"/>
          <w:szCs w:val="24"/>
        </w:rPr>
        <w:t>generating 68.7 million fragment per sample on average</w:t>
      </w:r>
      <w:r w:rsidRPr="00595719">
        <w:rPr>
          <w:rFonts w:ascii="Arial" w:eastAsia="Arial" w:hAnsi="Arial" w:cs="Arial"/>
          <w:sz w:val="24"/>
          <w:szCs w:val="24"/>
          <w:highlight w:val="white"/>
        </w:rPr>
        <w:t>.</w:t>
      </w:r>
    </w:p>
    <w:p w14:paraId="25B189BC" w14:textId="2F6B00A8" w:rsidR="00DC2523" w:rsidRPr="00595719" w:rsidRDefault="00DC2523" w:rsidP="004F083B">
      <w:pPr>
        <w:spacing w:line="480" w:lineRule="auto"/>
        <w:jc w:val="both"/>
        <w:rPr>
          <w:rFonts w:ascii="Arial" w:eastAsia="Arial" w:hAnsi="Arial" w:cs="Arial"/>
          <w:sz w:val="24"/>
          <w:szCs w:val="24"/>
        </w:rPr>
      </w:pPr>
      <w:r w:rsidRPr="00595719">
        <w:rPr>
          <w:rFonts w:ascii="Arial" w:eastAsia="Arial" w:hAnsi="Arial" w:cs="Arial"/>
          <w:sz w:val="24"/>
          <w:szCs w:val="24"/>
        </w:rPr>
        <w:t xml:space="preserve">Raw reads were trimmed with </w:t>
      </w:r>
      <w:proofErr w:type="spellStart"/>
      <w:r w:rsidRPr="00595719">
        <w:rPr>
          <w:rFonts w:ascii="Arial" w:eastAsia="Arial" w:hAnsi="Arial" w:cs="Arial"/>
          <w:sz w:val="24"/>
          <w:szCs w:val="24"/>
        </w:rPr>
        <w:t>fastp</w:t>
      </w:r>
      <w:proofErr w:type="spellEnd"/>
      <w:r w:rsidRPr="00595719">
        <w:rPr>
          <w:rFonts w:ascii="Arial" w:eastAsia="Arial" w:hAnsi="Arial" w:cs="Arial"/>
          <w:sz w:val="24"/>
          <w:szCs w:val="24"/>
        </w:rPr>
        <w:t xml:space="preserve"> (v.0.21.0)</w:t>
      </w:r>
      <w:r w:rsidR="003B1877">
        <w:rPr>
          <w:rFonts w:ascii="Arial" w:eastAsia="Arial" w:hAnsi="Arial" w:cs="Arial"/>
          <w:sz w:val="24"/>
          <w:szCs w:val="24"/>
        </w:rPr>
        <w:t xml:space="preserve"> </w:t>
      </w:r>
      <w:sdt>
        <w:sdtPr>
          <w:rPr>
            <w:rFonts w:ascii="Arial" w:eastAsia="Arial" w:hAnsi="Arial" w:cs="Arial"/>
            <w:color w:val="000000"/>
            <w:sz w:val="24"/>
            <w:szCs w:val="24"/>
          </w:rPr>
          <w:tag w:val="MENDELEY_CITATION_v3_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"/>
          <w:id w:val="1043558545"/>
          <w:placeholder>
            <w:docPart w:val="DefaultPlaceholder_-1854013440"/>
          </w:placeholder>
        </w:sdtPr>
        <w:sdtEndPr/>
        <w:sdtContent>
          <w:r w:rsidR="00537A99" w:rsidRPr="00537A99">
            <w:rPr>
              <w:rFonts w:ascii="Arial" w:eastAsia="Arial" w:hAnsi="Arial" w:cs="Arial"/>
              <w:color w:val="000000"/>
              <w:sz w:val="24"/>
              <w:szCs w:val="24"/>
            </w:rPr>
            <w:t>(3)</w:t>
          </w:r>
        </w:sdtContent>
      </w:sdt>
      <w:r w:rsidRPr="00595719">
        <w:rPr>
          <w:rFonts w:ascii="Arial" w:eastAsia="Arial" w:hAnsi="Arial" w:cs="Arial"/>
          <w:sz w:val="24"/>
          <w:szCs w:val="24"/>
        </w:rPr>
        <w:t xml:space="preserve"> with --</w:t>
      </w:r>
      <w:proofErr w:type="spellStart"/>
      <w:r w:rsidRPr="00595719">
        <w:rPr>
          <w:rFonts w:ascii="Arial" w:eastAsia="Arial" w:hAnsi="Arial" w:cs="Arial"/>
          <w:sz w:val="24"/>
          <w:szCs w:val="24"/>
        </w:rPr>
        <w:t>trim_poly_x</w:t>
      </w:r>
      <w:proofErr w:type="spellEnd"/>
      <w:r w:rsidRPr="00595719">
        <w:rPr>
          <w:rFonts w:ascii="Arial" w:eastAsia="Arial" w:hAnsi="Arial" w:cs="Arial"/>
          <w:sz w:val="24"/>
          <w:szCs w:val="24"/>
        </w:rPr>
        <w:t xml:space="preserve"> parameter, to remove adapters and low-quality bases with default parameters. Filtered reads were aligned to the Homo sapiens reference genome (</w:t>
      </w:r>
      <w:proofErr w:type="spellStart"/>
      <w:r w:rsidRPr="00595719">
        <w:rPr>
          <w:rFonts w:ascii="Arial" w:eastAsia="Arial" w:hAnsi="Arial" w:cs="Arial"/>
          <w:sz w:val="24"/>
          <w:szCs w:val="24"/>
        </w:rPr>
        <w:t>Ensembl</w:t>
      </w:r>
      <w:proofErr w:type="spellEnd"/>
      <w:r w:rsidRPr="00595719">
        <w:rPr>
          <w:rFonts w:ascii="Arial" w:eastAsia="Arial" w:hAnsi="Arial" w:cs="Arial"/>
          <w:sz w:val="24"/>
          <w:szCs w:val="24"/>
        </w:rPr>
        <w:t xml:space="preserve"> v.110) using STAR aligner (v2.7.9a)</w:t>
      </w:r>
      <w:r w:rsidR="00DC3B08">
        <w:rPr>
          <w:rFonts w:ascii="Arial" w:eastAsia="Arial" w:hAnsi="Arial" w:cs="Arial"/>
          <w:sz w:val="24"/>
          <w:szCs w:val="24"/>
        </w:rPr>
        <w:t xml:space="preserve"> </w:t>
      </w:r>
      <w:sdt>
        <w:sdtPr>
          <w:rPr>
            <w:rFonts w:ascii="Arial" w:eastAsia="Arial" w:hAnsi="Arial" w:cs="Arial"/>
            <w:color w:val="000000"/>
            <w:sz w:val="24"/>
            <w:szCs w:val="24"/>
          </w:rPr>
          <w:tag w:val="MENDELEY_CITATION_v3_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"/>
          <w:id w:val="-1345314272"/>
          <w:placeholder>
            <w:docPart w:val="DefaultPlaceholder_-1854013440"/>
          </w:placeholder>
        </w:sdtPr>
        <w:sdtEndPr/>
        <w:sdtContent>
          <w:r w:rsidR="00537A99" w:rsidRPr="00537A99">
            <w:rPr>
              <w:rFonts w:ascii="Arial" w:eastAsia="Arial" w:hAnsi="Arial" w:cs="Arial"/>
              <w:color w:val="000000"/>
              <w:sz w:val="24"/>
              <w:szCs w:val="24"/>
            </w:rPr>
            <w:t>(4)</w:t>
          </w:r>
        </w:sdtContent>
      </w:sdt>
      <w:r w:rsidRPr="00595719">
        <w:rPr>
          <w:rFonts w:ascii="Arial" w:eastAsia="Arial" w:hAnsi="Arial" w:cs="Arial"/>
          <w:sz w:val="24"/>
          <w:szCs w:val="24"/>
        </w:rPr>
        <w:t xml:space="preserve"> with parameter -- </w:t>
      </w:r>
      <w:proofErr w:type="spellStart"/>
      <w:r w:rsidRPr="00595719">
        <w:rPr>
          <w:rFonts w:ascii="Arial" w:eastAsia="Arial" w:hAnsi="Arial" w:cs="Arial"/>
          <w:sz w:val="24"/>
          <w:szCs w:val="24"/>
        </w:rPr>
        <w:t>peOverlapNbasesMin</w:t>
      </w:r>
      <w:proofErr w:type="spellEnd"/>
      <w:r w:rsidRPr="00595719">
        <w:rPr>
          <w:rFonts w:ascii="Arial" w:eastAsia="Arial" w:hAnsi="Arial" w:cs="Arial"/>
          <w:sz w:val="24"/>
          <w:szCs w:val="24"/>
        </w:rPr>
        <w:t xml:space="preserve"> 5.</w:t>
      </w:r>
    </w:p>
    <w:p w14:paraId="26FDA84C" w14:textId="610117C1" w:rsidR="00DC2523" w:rsidRPr="00595719" w:rsidRDefault="00DC2523" w:rsidP="004F083B">
      <w:pPr>
        <w:spacing w:line="480" w:lineRule="auto"/>
        <w:jc w:val="both"/>
        <w:rPr>
          <w:rFonts w:ascii="Arial" w:eastAsia="Arial" w:hAnsi="Arial" w:cs="Arial"/>
          <w:sz w:val="24"/>
          <w:szCs w:val="24"/>
        </w:rPr>
      </w:pPr>
      <w:r w:rsidRPr="00595719">
        <w:rPr>
          <w:rFonts w:ascii="Arial" w:eastAsia="Arial" w:hAnsi="Arial" w:cs="Arial"/>
          <w:sz w:val="24"/>
          <w:szCs w:val="24"/>
        </w:rPr>
        <w:t xml:space="preserve">STAR aligner, used for </w:t>
      </w:r>
      <w:r w:rsidRPr="00595719">
        <w:rPr>
          <w:rFonts w:ascii="Arial" w:eastAsia="Arial" w:hAnsi="Arial" w:cs="Arial"/>
          <w:sz w:val="24"/>
          <w:szCs w:val="24"/>
          <w:highlight w:val="white"/>
        </w:rPr>
        <w:t>the identification of differentially expressed CD44 isoforms</w:t>
      </w:r>
      <w:r w:rsidRPr="00595719">
        <w:rPr>
          <w:rFonts w:ascii="Arial" w:eastAsia="Arial" w:hAnsi="Arial" w:cs="Arial"/>
          <w:sz w:val="24"/>
          <w:szCs w:val="24"/>
        </w:rPr>
        <w:t xml:space="preserve"> between NSCLC-B and NSCLC-H, was used </w:t>
      </w:r>
      <w:r w:rsidRPr="00595719">
        <w:rPr>
          <w:rFonts w:ascii="Arial" w:eastAsia="Arial" w:hAnsi="Arial" w:cs="Arial"/>
          <w:sz w:val="24"/>
          <w:szCs w:val="24"/>
          <w:highlight w:val="white"/>
        </w:rPr>
        <w:t>with parameter -</w:t>
      </w:r>
      <w:proofErr w:type="spellStart"/>
      <w:r w:rsidRPr="00595719">
        <w:rPr>
          <w:rFonts w:ascii="Arial" w:eastAsia="Arial" w:hAnsi="Arial" w:cs="Arial"/>
          <w:sz w:val="24"/>
          <w:szCs w:val="24"/>
          <w:highlight w:val="white"/>
        </w:rPr>
        <w:t>peOverlapNbasesMin</w:t>
      </w:r>
      <w:proofErr w:type="spellEnd"/>
      <w:r w:rsidRPr="00595719">
        <w:rPr>
          <w:rFonts w:ascii="Arial" w:eastAsia="Arial" w:hAnsi="Arial" w:cs="Arial"/>
          <w:sz w:val="24"/>
          <w:szCs w:val="24"/>
          <w:highlight w:val="white"/>
        </w:rPr>
        <w:t xml:space="preserve"> 5-twopassMode Basic</w:t>
      </w:r>
      <w:r w:rsidRPr="00595719">
        <w:rPr>
          <w:rFonts w:ascii="Arial" w:eastAsia="Arial" w:hAnsi="Arial" w:cs="Arial"/>
          <w:sz w:val="24"/>
          <w:szCs w:val="24"/>
        </w:rPr>
        <w:t xml:space="preserve">. </w:t>
      </w:r>
      <w:r w:rsidRPr="00595719">
        <w:rPr>
          <w:rFonts w:ascii="Arial" w:eastAsia="Arial" w:hAnsi="Arial" w:cs="Arial"/>
          <w:sz w:val="24"/>
          <w:szCs w:val="24"/>
          <w:highlight w:val="white"/>
        </w:rPr>
        <w:t xml:space="preserve">Abundance estimated counts at gene or isoform level, respectively, were summarized into a matrix using the R package </w:t>
      </w:r>
      <w:proofErr w:type="spellStart"/>
      <w:r w:rsidRPr="00595719">
        <w:rPr>
          <w:rFonts w:ascii="Arial" w:eastAsia="Arial" w:hAnsi="Arial" w:cs="Arial"/>
          <w:sz w:val="24"/>
          <w:szCs w:val="24"/>
          <w:highlight w:val="white"/>
        </w:rPr>
        <w:t>tximport</w:t>
      </w:r>
      <w:proofErr w:type="spellEnd"/>
      <w:r w:rsidRPr="00595719">
        <w:rPr>
          <w:rFonts w:ascii="Arial" w:eastAsia="Arial" w:hAnsi="Arial" w:cs="Arial"/>
          <w:sz w:val="24"/>
          <w:szCs w:val="24"/>
          <w:highlight w:val="white"/>
        </w:rPr>
        <w:t xml:space="preserve"> (within DESeq2 package</w:t>
      </w:r>
      <w:r w:rsidR="005B22D1">
        <w:rPr>
          <w:rFonts w:ascii="Arial" w:eastAsia="Arial" w:hAnsi="Arial" w:cs="Arial"/>
          <w:sz w:val="24"/>
          <w:szCs w:val="24"/>
          <w:highlight w:val="white"/>
        </w:rPr>
        <w:t xml:space="preserve"> </w:t>
      </w:r>
      <w:sdt>
        <w:sdtPr>
          <w:rPr>
            <w:rFonts w:ascii="Arial" w:eastAsia="Arial" w:hAnsi="Arial" w:cs="Arial"/>
            <w:color w:val="000000"/>
            <w:sz w:val="24"/>
            <w:szCs w:val="24"/>
            <w:highlight w:val="white"/>
          </w:rPr>
          <w:tag w:val="MENDELEY_CITATION_v3_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"/>
          <w:id w:val="351623433"/>
          <w:placeholder>
            <w:docPart w:val="DefaultPlaceholder_-1854013440"/>
          </w:placeholder>
        </w:sdtPr>
        <w:sdtEndPr/>
        <w:sdtContent>
          <w:r w:rsidR="00537A99" w:rsidRPr="00537A99">
            <w:rPr>
              <w:rFonts w:ascii="Arial" w:eastAsia="Arial" w:hAnsi="Arial" w:cs="Arial"/>
              <w:color w:val="000000"/>
              <w:sz w:val="24"/>
              <w:szCs w:val="24"/>
              <w:highlight w:val="white"/>
            </w:rPr>
            <w:t>(5)</w:t>
          </w:r>
        </w:sdtContent>
      </w:sdt>
      <w:r w:rsidRPr="00595719">
        <w:rPr>
          <w:rFonts w:ascii="Arial" w:eastAsia="Arial" w:hAnsi="Arial" w:cs="Arial"/>
          <w:sz w:val="24"/>
          <w:szCs w:val="24"/>
          <w:highlight w:val="white"/>
        </w:rPr>
        <w:t>) and subsequently the differential expression analysis was performed with DESeq2 (v1.30.1)</w:t>
      </w:r>
      <w:r w:rsidR="005B22D1">
        <w:rPr>
          <w:rFonts w:ascii="Arial" w:eastAsia="Arial" w:hAnsi="Arial" w:cs="Arial"/>
          <w:sz w:val="24"/>
          <w:szCs w:val="24"/>
          <w:highlight w:val="white"/>
        </w:rPr>
        <w:t xml:space="preserve"> </w:t>
      </w:r>
      <w:sdt>
        <w:sdtPr>
          <w:rPr>
            <w:rFonts w:ascii="Arial" w:eastAsia="Arial" w:hAnsi="Arial" w:cs="Arial"/>
            <w:color w:val="000000"/>
            <w:sz w:val="24"/>
            <w:szCs w:val="24"/>
            <w:highlight w:val="white"/>
          </w:rPr>
          <w:tag w:val="MENDELEY_CITATION_v3_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"/>
          <w:id w:val="-1585456192"/>
          <w:placeholder>
            <w:docPart w:val="DefaultPlaceholder_-1854013440"/>
          </w:placeholder>
        </w:sdtPr>
        <w:sdtEndPr/>
        <w:sdtContent>
          <w:r w:rsidR="00537A99" w:rsidRPr="00537A99">
            <w:rPr>
              <w:rFonts w:ascii="Arial" w:eastAsia="Arial" w:hAnsi="Arial" w:cs="Arial"/>
              <w:color w:val="000000"/>
              <w:sz w:val="24"/>
              <w:szCs w:val="24"/>
              <w:highlight w:val="white"/>
            </w:rPr>
            <w:t>(5)</w:t>
          </w:r>
        </w:sdtContent>
      </w:sdt>
      <w:r w:rsidRPr="00595719">
        <w:rPr>
          <w:rFonts w:ascii="Arial" w:eastAsia="Arial" w:hAnsi="Arial" w:cs="Arial"/>
          <w:sz w:val="24"/>
          <w:szCs w:val="24"/>
          <w:highlight w:val="white"/>
        </w:rPr>
        <w:t xml:space="preserve">. To generate more accurate Log2 fold change (Log2FC) estimates for low expressed genes/isoforms, the shrinkage of the Log2FC was performed using the </w:t>
      </w:r>
      <w:proofErr w:type="spellStart"/>
      <w:r w:rsidRPr="00595719">
        <w:rPr>
          <w:rFonts w:ascii="Arial" w:eastAsia="Arial" w:hAnsi="Arial" w:cs="Arial"/>
          <w:sz w:val="24"/>
          <w:szCs w:val="24"/>
          <w:highlight w:val="white"/>
        </w:rPr>
        <w:t>apeglm</w:t>
      </w:r>
      <w:proofErr w:type="spellEnd"/>
      <w:r w:rsidRPr="00595719">
        <w:rPr>
          <w:rFonts w:ascii="Arial" w:eastAsia="Arial" w:hAnsi="Arial" w:cs="Arial"/>
          <w:sz w:val="24"/>
          <w:szCs w:val="24"/>
          <w:highlight w:val="white"/>
        </w:rPr>
        <w:t xml:space="preserve"> method</w:t>
      </w:r>
      <w:r w:rsidR="005B22D1">
        <w:rPr>
          <w:rFonts w:ascii="Arial" w:eastAsia="Arial" w:hAnsi="Arial" w:cs="Arial"/>
          <w:sz w:val="24"/>
          <w:szCs w:val="24"/>
          <w:highlight w:val="white"/>
        </w:rPr>
        <w:t xml:space="preserve"> </w:t>
      </w:r>
      <w:sdt>
        <w:sdtPr>
          <w:rPr>
            <w:rFonts w:ascii="Arial" w:eastAsia="Arial" w:hAnsi="Arial" w:cs="Arial"/>
            <w:color w:val="000000"/>
            <w:sz w:val="24"/>
            <w:szCs w:val="24"/>
            <w:highlight w:val="white"/>
          </w:rPr>
          <w:tag w:val="MENDELEY_CITATION_v3_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"/>
          <w:id w:val="-1970274876"/>
          <w:placeholder>
            <w:docPart w:val="DefaultPlaceholder_-1854013440"/>
          </w:placeholder>
        </w:sdtPr>
        <w:sdtEndPr/>
        <w:sdtContent>
          <w:r w:rsidR="00537A99" w:rsidRPr="00537A99">
            <w:rPr>
              <w:rFonts w:ascii="Arial" w:eastAsia="Arial" w:hAnsi="Arial" w:cs="Arial"/>
              <w:color w:val="000000"/>
              <w:sz w:val="24"/>
              <w:szCs w:val="24"/>
              <w:highlight w:val="white"/>
            </w:rPr>
            <w:t>(6)</w:t>
          </w:r>
        </w:sdtContent>
      </w:sdt>
      <w:r w:rsidRPr="00595719">
        <w:rPr>
          <w:rFonts w:ascii="Arial" w:eastAsia="Arial" w:hAnsi="Arial" w:cs="Arial"/>
          <w:sz w:val="24"/>
          <w:szCs w:val="24"/>
          <w:highlight w:val="white"/>
        </w:rPr>
        <w:t>.</w:t>
      </w:r>
      <w:r w:rsidRPr="00595719">
        <w:rPr>
          <w:rFonts w:ascii="Arial" w:eastAsia="Arial" w:hAnsi="Arial" w:cs="Arial"/>
          <w:sz w:val="24"/>
          <w:szCs w:val="24"/>
        </w:rPr>
        <w:t xml:space="preserve"> To confirm the differential expression of CD44 splicing isoforms</w:t>
      </w:r>
      <w:r w:rsidRPr="00595719">
        <w:rPr>
          <w:rFonts w:ascii="Arial" w:eastAsia="Arial" w:hAnsi="Arial" w:cs="Arial"/>
          <w:sz w:val="24"/>
          <w:szCs w:val="24"/>
          <w:highlight w:val="white"/>
        </w:rPr>
        <w:t xml:space="preserve">, raw reads were processed using the bioinformatics pipeline </w:t>
      </w:r>
      <w:proofErr w:type="spellStart"/>
      <w:r w:rsidRPr="00595719">
        <w:rPr>
          <w:rFonts w:ascii="Arial" w:eastAsia="Arial" w:hAnsi="Arial" w:cs="Arial"/>
          <w:sz w:val="24"/>
          <w:szCs w:val="24"/>
          <w:highlight w:val="white"/>
        </w:rPr>
        <w:t>nf</w:t>
      </w:r>
      <w:proofErr w:type="spellEnd"/>
      <w:r w:rsidRPr="00595719">
        <w:rPr>
          <w:rFonts w:ascii="Arial" w:eastAsia="Arial" w:hAnsi="Arial" w:cs="Arial"/>
          <w:sz w:val="24"/>
          <w:szCs w:val="24"/>
          <w:highlight w:val="white"/>
        </w:rPr>
        <w:t>-core/</w:t>
      </w:r>
      <w:proofErr w:type="spellStart"/>
      <w:r w:rsidRPr="00595719">
        <w:rPr>
          <w:rFonts w:ascii="Arial" w:eastAsia="Arial" w:hAnsi="Arial" w:cs="Arial"/>
          <w:sz w:val="24"/>
          <w:szCs w:val="24"/>
          <w:highlight w:val="white"/>
        </w:rPr>
        <w:t>rnasplice</w:t>
      </w:r>
      <w:proofErr w:type="spellEnd"/>
      <w:r w:rsidRPr="00595719">
        <w:rPr>
          <w:rFonts w:ascii="Arial" w:eastAsia="Arial" w:hAnsi="Arial" w:cs="Arial"/>
          <w:sz w:val="24"/>
          <w:szCs w:val="24"/>
          <w:highlight w:val="white"/>
        </w:rPr>
        <w:t xml:space="preserve"> </w:t>
      </w:r>
      <w:sdt>
        <w:sdtPr>
          <w:rPr>
            <w:rFonts w:ascii="Arial" w:eastAsia="Arial" w:hAnsi="Arial" w:cs="Arial"/>
            <w:color w:val="000000"/>
            <w:sz w:val="24"/>
            <w:szCs w:val="24"/>
            <w:highlight w:val="white"/>
          </w:rPr>
          <w:tag w:val="MENDELEY_CITATION_v3_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"/>
          <w:id w:val="310070838"/>
          <w:placeholder>
            <w:docPart w:val="DefaultPlaceholder_-1854013440"/>
          </w:placeholder>
        </w:sdtPr>
        <w:sdtEndPr/>
        <w:sdtContent>
          <w:r w:rsidR="00537A99" w:rsidRPr="00537A99">
            <w:rPr>
              <w:rFonts w:ascii="Arial" w:eastAsia="Arial" w:hAnsi="Arial" w:cs="Arial"/>
              <w:color w:val="000000"/>
              <w:sz w:val="24"/>
              <w:szCs w:val="24"/>
              <w:highlight w:val="white"/>
            </w:rPr>
            <w:t>(7)</w:t>
          </w:r>
        </w:sdtContent>
      </w:sdt>
      <w:r w:rsidRPr="00595719">
        <w:rPr>
          <w:rFonts w:ascii="Arial" w:eastAsia="Arial" w:hAnsi="Arial" w:cs="Arial"/>
          <w:sz w:val="24"/>
          <w:szCs w:val="24"/>
          <w:highlight w:val="white"/>
        </w:rPr>
        <w:t xml:space="preserve">. </w:t>
      </w:r>
      <w:r w:rsidRPr="00595719">
        <w:rPr>
          <w:rFonts w:ascii="Arial" w:eastAsia="Arial" w:hAnsi="Arial" w:cs="Arial"/>
          <w:sz w:val="24"/>
          <w:szCs w:val="24"/>
        </w:rPr>
        <w:t>Starting from trimmed and aligned reads</w:t>
      </w:r>
      <w:r w:rsidRPr="00595719">
        <w:rPr>
          <w:rFonts w:ascii="Arial" w:eastAsia="Arial" w:hAnsi="Arial" w:cs="Arial"/>
          <w:sz w:val="24"/>
          <w:szCs w:val="24"/>
          <w:highlight w:val="white"/>
        </w:rPr>
        <w:t xml:space="preserve"> as described above, </w:t>
      </w:r>
      <w:r w:rsidRPr="00595719">
        <w:rPr>
          <w:rFonts w:ascii="Arial" w:eastAsia="Arial" w:hAnsi="Arial" w:cs="Arial"/>
          <w:sz w:val="24"/>
          <w:szCs w:val="24"/>
        </w:rPr>
        <w:t>counting has been performed w</w:t>
      </w:r>
      <w:r w:rsidRPr="00595719">
        <w:rPr>
          <w:rFonts w:ascii="Arial" w:eastAsia="Arial" w:hAnsi="Arial" w:cs="Arial"/>
          <w:sz w:val="24"/>
          <w:szCs w:val="24"/>
          <w:highlight w:val="white"/>
        </w:rPr>
        <w:t xml:space="preserve">ith </w:t>
      </w:r>
      <w:proofErr w:type="spellStart"/>
      <w:r w:rsidRPr="00595719">
        <w:rPr>
          <w:rFonts w:ascii="Arial" w:eastAsia="Arial" w:hAnsi="Arial" w:cs="Arial"/>
          <w:sz w:val="24"/>
          <w:szCs w:val="24"/>
          <w:highlight w:val="white"/>
        </w:rPr>
        <w:t>HTSeq</w:t>
      </w:r>
      <w:proofErr w:type="spellEnd"/>
      <w:r w:rsidRPr="00595719">
        <w:rPr>
          <w:rFonts w:ascii="Arial" w:eastAsia="Arial" w:hAnsi="Arial" w:cs="Arial"/>
          <w:sz w:val="24"/>
          <w:szCs w:val="24"/>
        </w:rPr>
        <w:t xml:space="preserve"> (v2.0.2)</w:t>
      </w:r>
      <w:r w:rsidRPr="00595719">
        <w:rPr>
          <w:rFonts w:ascii="Arial" w:eastAsia="Arial" w:hAnsi="Arial" w:cs="Arial"/>
          <w:sz w:val="24"/>
          <w:szCs w:val="24"/>
          <w:highlight w:val="white"/>
        </w:rPr>
        <w:t xml:space="preserve"> and </w:t>
      </w:r>
      <w:r w:rsidRPr="00595719">
        <w:rPr>
          <w:rFonts w:ascii="Arial" w:eastAsia="Arial" w:hAnsi="Arial" w:cs="Arial"/>
          <w:sz w:val="24"/>
          <w:szCs w:val="24"/>
        </w:rPr>
        <w:t xml:space="preserve">differential exon usage analysis has been conducted with </w:t>
      </w:r>
      <w:proofErr w:type="spellStart"/>
      <w:r w:rsidRPr="00595719">
        <w:rPr>
          <w:rFonts w:ascii="Arial" w:eastAsia="Arial" w:hAnsi="Arial" w:cs="Arial"/>
          <w:sz w:val="24"/>
          <w:szCs w:val="24"/>
        </w:rPr>
        <w:t>DEXSeq</w:t>
      </w:r>
      <w:proofErr w:type="spellEnd"/>
      <w:r w:rsidRPr="00595719">
        <w:rPr>
          <w:rFonts w:ascii="Arial" w:eastAsia="Arial" w:hAnsi="Arial" w:cs="Arial"/>
          <w:sz w:val="24"/>
          <w:szCs w:val="24"/>
        </w:rPr>
        <w:t xml:space="preserve"> (v1.36.0)</w:t>
      </w:r>
      <w:r w:rsidRPr="00595719">
        <w:rPr>
          <w:rFonts w:ascii="Arial" w:eastAsia="Arial" w:hAnsi="Arial" w:cs="Arial"/>
          <w:sz w:val="24"/>
          <w:szCs w:val="24"/>
          <w:highlight w:val="white"/>
        </w:rPr>
        <w:t>.</w:t>
      </w:r>
    </w:p>
    <w:p w14:paraId="6C2E2B85" w14:textId="2122747E" w:rsidR="00DC2523" w:rsidRPr="00595719" w:rsidRDefault="00DC2523" w:rsidP="004F083B">
      <w:pPr>
        <w:spacing w:line="480" w:lineRule="auto"/>
        <w:jc w:val="both"/>
        <w:rPr>
          <w:rFonts w:ascii="Arial" w:eastAsia="Arial" w:hAnsi="Arial" w:cs="Arial"/>
          <w:sz w:val="24"/>
          <w:szCs w:val="24"/>
        </w:rPr>
      </w:pPr>
      <w:r w:rsidRPr="00595719">
        <w:rPr>
          <w:rFonts w:ascii="Arial" w:eastAsia="Arial" w:hAnsi="Arial" w:cs="Arial"/>
          <w:sz w:val="24"/>
          <w:szCs w:val="24"/>
          <w:highlight w:val="white"/>
        </w:rPr>
        <w:t xml:space="preserve">Following the Gene Ontology (GO) enrichment analysis of differentially expressed genes (DEGs) between NSCLC-B and NSCLC-H cell lines, the top 20 enriched Biological Processes GO and KEGG categories have been plotted. The function simplifies with similarity cutoff of 0.7 has been applied to remove redundancy of enriched GO terms. </w:t>
      </w:r>
      <w:r w:rsidRPr="00595719">
        <w:rPr>
          <w:rFonts w:ascii="Arial" w:eastAsia="Arial" w:hAnsi="Arial" w:cs="Arial"/>
          <w:sz w:val="24"/>
          <w:szCs w:val="24"/>
        </w:rPr>
        <w:t xml:space="preserve">GSEA analysis was performed with </w:t>
      </w:r>
      <w:proofErr w:type="spellStart"/>
      <w:r w:rsidRPr="00595719">
        <w:rPr>
          <w:rFonts w:ascii="Arial" w:eastAsia="Arial" w:hAnsi="Arial" w:cs="Arial"/>
          <w:sz w:val="24"/>
          <w:szCs w:val="24"/>
        </w:rPr>
        <w:t>ClusterProfiler</w:t>
      </w:r>
      <w:proofErr w:type="spellEnd"/>
      <w:r w:rsidRPr="00595719">
        <w:rPr>
          <w:rFonts w:ascii="Arial" w:eastAsia="Arial" w:hAnsi="Arial" w:cs="Arial"/>
          <w:sz w:val="24"/>
          <w:szCs w:val="24"/>
        </w:rPr>
        <w:t xml:space="preserve"> (v4.6.2) to determine the enrichment of gene sets from the Molecular Signatures Database </w:t>
      </w:r>
      <w:sdt>
        <w:sdtPr>
          <w:rPr>
            <w:rFonts w:ascii="Arial" w:eastAsia="Arial" w:hAnsi="Arial" w:cs="Arial"/>
            <w:color w:val="000000"/>
            <w:sz w:val="24"/>
            <w:szCs w:val="24"/>
          </w:rPr>
          <w:tag w:val="MENDELEY_CITATION_v3_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"/>
          <w:id w:val="-860658999"/>
          <w:placeholder>
            <w:docPart w:val="DefaultPlaceholder_-1854013440"/>
          </w:placeholder>
        </w:sdtPr>
        <w:sdtEndPr/>
        <w:sdtContent>
          <w:r w:rsidR="00537A99" w:rsidRPr="00537A99">
            <w:rPr>
              <w:rFonts w:ascii="Arial" w:eastAsia="Arial" w:hAnsi="Arial" w:cs="Arial"/>
              <w:color w:val="000000"/>
              <w:sz w:val="24"/>
              <w:szCs w:val="24"/>
            </w:rPr>
            <w:t>(8)</w:t>
          </w:r>
        </w:sdtContent>
      </w:sdt>
      <w:r w:rsidRPr="00595719">
        <w:rPr>
          <w:rFonts w:ascii="Arial" w:eastAsia="Arial" w:hAnsi="Arial" w:cs="Arial"/>
          <w:sz w:val="24"/>
          <w:szCs w:val="24"/>
        </w:rPr>
        <w:t>. Unless otherwise stated, the default parameters were utilized when applying the different software.</w:t>
      </w:r>
    </w:p>
    <w:p w14:paraId="42488B32" w14:textId="0699BB36" w:rsidR="00DC2523" w:rsidRPr="00595719" w:rsidRDefault="00DC2523" w:rsidP="004F083B">
      <w:pPr>
        <w:spacing w:after="0" w:line="480" w:lineRule="auto"/>
        <w:jc w:val="both"/>
        <w:rPr>
          <w:rFonts w:ascii="Arial" w:eastAsia="Arial" w:hAnsi="Arial" w:cs="Arial"/>
          <w:sz w:val="24"/>
          <w:szCs w:val="24"/>
        </w:rPr>
      </w:pPr>
      <w:r w:rsidRPr="00595719">
        <w:rPr>
          <w:rFonts w:ascii="Arial" w:eastAsia="Arial" w:hAnsi="Arial" w:cs="Arial"/>
          <w:sz w:val="24"/>
          <w:szCs w:val="24"/>
        </w:rPr>
        <w:lastRenderedPageBreak/>
        <w:t xml:space="preserve">For </w:t>
      </w:r>
      <w:r w:rsidR="00DD20E2">
        <w:rPr>
          <w:rFonts w:ascii="Arial" w:eastAsia="Arial" w:hAnsi="Arial" w:cs="Arial"/>
          <w:sz w:val="24"/>
          <w:szCs w:val="24"/>
        </w:rPr>
        <w:t>single nucleotide variants (</w:t>
      </w:r>
      <w:r w:rsidRPr="00595719">
        <w:rPr>
          <w:rFonts w:ascii="Arial" w:eastAsia="Arial" w:hAnsi="Arial" w:cs="Arial"/>
          <w:sz w:val="24"/>
          <w:szCs w:val="24"/>
        </w:rPr>
        <w:t>SNV</w:t>
      </w:r>
      <w:r w:rsidR="00DD20E2">
        <w:rPr>
          <w:rFonts w:ascii="Arial" w:eastAsia="Arial" w:hAnsi="Arial" w:cs="Arial"/>
          <w:sz w:val="24"/>
          <w:szCs w:val="24"/>
        </w:rPr>
        <w:t>)</w:t>
      </w:r>
      <w:r w:rsidRPr="00595719">
        <w:rPr>
          <w:rFonts w:ascii="Arial" w:eastAsia="Arial" w:hAnsi="Arial" w:cs="Arial"/>
          <w:sz w:val="24"/>
          <w:szCs w:val="24"/>
        </w:rPr>
        <w:t xml:space="preserve"> calling, STAR was used with the option --</w:t>
      </w:r>
      <w:proofErr w:type="spellStart"/>
      <w:r w:rsidRPr="00595719">
        <w:rPr>
          <w:rFonts w:ascii="Arial" w:eastAsia="Arial" w:hAnsi="Arial" w:cs="Arial"/>
          <w:sz w:val="24"/>
          <w:szCs w:val="24"/>
        </w:rPr>
        <w:t>peOverlapNbasesMin</w:t>
      </w:r>
      <w:proofErr w:type="spellEnd"/>
      <w:r w:rsidRPr="00595719">
        <w:rPr>
          <w:rFonts w:ascii="Arial" w:eastAsia="Arial" w:hAnsi="Arial" w:cs="Arial"/>
          <w:sz w:val="24"/>
          <w:szCs w:val="24"/>
        </w:rPr>
        <w:t xml:space="preserve"> 12. Overlapping reads were soft-clipped using </w:t>
      </w:r>
      <w:proofErr w:type="spellStart"/>
      <w:r w:rsidRPr="00595719">
        <w:rPr>
          <w:rFonts w:ascii="Arial" w:eastAsia="Arial" w:hAnsi="Arial" w:cs="Arial"/>
          <w:sz w:val="24"/>
          <w:szCs w:val="24"/>
        </w:rPr>
        <w:t>BamUtil</w:t>
      </w:r>
      <w:proofErr w:type="spellEnd"/>
      <w:r w:rsidRPr="00595719">
        <w:rPr>
          <w:rFonts w:ascii="Arial" w:eastAsia="Arial" w:hAnsi="Arial" w:cs="Arial"/>
          <w:sz w:val="24"/>
          <w:szCs w:val="24"/>
        </w:rPr>
        <w:t xml:space="preserve"> </w:t>
      </w:r>
      <w:proofErr w:type="spellStart"/>
      <w:r w:rsidRPr="00595719">
        <w:rPr>
          <w:rFonts w:ascii="Arial" w:eastAsia="Arial" w:hAnsi="Arial" w:cs="Arial"/>
          <w:sz w:val="24"/>
          <w:szCs w:val="24"/>
        </w:rPr>
        <w:t>clipoverlap</w:t>
      </w:r>
      <w:proofErr w:type="spellEnd"/>
      <w:r w:rsidRPr="00595719">
        <w:rPr>
          <w:rFonts w:ascii="Arial" w:eastAsia="Arial" w:hAnsi="Arial" w:cs="Arial"/>
          <w:sz w:val="24"/>
          <w:szCs w:val="24"/>
        </w:rPr>
        <w:t xml:space="preserve"> v1.0.14. Variants were identified based on the GATK Best Practice workflow using GATK </w:t>
      </w:r>
      <w:proofErr w:type="spellStart"/>
      <w:r w:rsidRPr="00595719">
        <w:rPr>
          <w:rFonts w:ascii="Arial" w:eastAsia="Arial" w:hAnsi="Arial" w:cs="Arial"/>
          <w:sz w:val="24"/>
          <w:szCs w:val="24"/>
        </w:rPr>
        <w:t>HaplotypeCaller</w:t>
      </w:r>
      <w:proofErr w:type="spellEnd"/>
      <w:r w:rsidRPr="00595719">
        <w:rPr>
          <w:rFonts w:ascii="Arial" w:eastAsia="Arial" w:hAnsi="Arial" w:cs="Arial"/>
          <w:sz w:val="24"/>
          <w:szCs w:val="24"/>
        </w:rPr>
        <w:t xml:space="preserve"> v4.1.9.0 with a minimum </w:t>
      </w:r>
      <w:proofErr w:type="spellStart"/>
      <w:r w:rsidRPr="00595719">
        <w:rPr>
          <w:rFonts w:ascii="Arial" w:eastAsia="Arial" w:hAnsi="Arial" w:cs="Arial"/>
          <w:sz w:val="24"/>
          <w:szCs w:val="24"/>
        </w:rPr>
        <w:t>phred</w:t>
      </w:r>
      <w:proofErr w:type="spellEnd"/>
      <w:r w:rsidRPr="00595719">
        <w:rPr>
          <w:rFonts w:ascii="Arial" w:eastAsia="Arial" w:hAnsi="Arial" w:cs="Arial"/>
          <w:sz w:val="24"/>
          <w:szCs w:val="24"/>
        </w:rPr>
        <w:t xml:space="preserve">-scaled confidence threshold of 20 --standard-min-confidence-threshold-for-calling. Subsequently, variants were annotated and ranked by putative pathogenicity using the CTAT-mutation pipeline (v4.0.0). Variants within human leukocyte antigen (HLA) and immunoglobulin genes, RNA-editing sites, repetitive and </w:t>
      </w:r>
      <w:proofErr w:type="spellStart"/>
      <w:r w:rsidRPr="00595719">
        <w:rPr>
          <w:rFonts w:ascii="Arial" w:eastAsia="Arial" w:hAnsi="Arial" w:cs="Arial"/>
          <w:sz w:val="24"/>
          <w:szCs w:val="24"/>
        </w:rPr>
        <w:t>homopolymeric</w:t>
      </w:r>
      <w:proofErr w:type="spellEnd"/>
      <w:r w:rsidRPr="00595719">
        <w:rPr>
          <w:rFonts w:ascii="Arial" w:eastAsia="Arial" w:hAnsi="Arial" w:cs="Arial"/>
          <w:sz w:val="24"/>
          <w:szCs w:val="24"/>
        </w:rPr>
        <w:t xml:space="preserve"> regions, and with a variant allele depth &lt;20% were excluded.  Finally, we retained only SNV shared by all NSCLC-B and NSCLC-H replicates, showing low population frequency (</w:t>
      </w:r>
      <w:proofErr w:type="spellStart"/>
      <w:r w:rsidRPr="00595719">
        <w:rPr>
          <w:rFonts w:ascii="Arial" w:eastAsia="Arial" w:hAnsi="Arial" w:cs="Arial"/>
          <w:sz w:val="24"/>
          <w:szCs w:val="24"/>
        </w:rPr>
        <w:t>gnomad</w:t>
      </w:r>
      <w:proofErr w:type="spellEnd"/>
      <w:r w:rsidRPr="00595719">
        <w:rPr>
          <w:rFonts w:ascii="Arial" w:eastAsia="Arial" w:hAnsi="Arial" w:cs="Arial"/>
          <w:sz w:val="24"/>
          <w:szCs w:val="24"/>
        </w:rPr>
        <w:t xml:space="preserve"> AF &lt;0.01) and predicted pathogenic, namely CHASM (</w:t>
      </w:r>
      <w:proofErr w:type="spellStart"/>
      <w:r w:rsidRPr="00595719">
        <w:rPr>
          <w:rFonts w:ascii="Arial" w:eastAsia="Arial" w:hAnsi="Arial" w:cs="Arial"/>
          <w:sz w:val="24"/>
          <w:szCs w:val="24"/>
        </w:rPr>
        <w:t>pval</w:t>
      </w:r>
      <w:proofErr w:type="spellEnd"/>
      <w:r w:rsidRPr="00595719">
        <w:rPr>
          <w:rFonts w:ascii="Arial" w:eastAsia="Arial" w:hAnsi="Arial" w:cs="Arial"/>
          <w:sz w:val="24"/>
          <w:szCs w:val="24"/>
        </w:rPr>
        <w:t xml:space="preserve"> &lt;0.05) or VEST (</w:t>
      </w:r>
      <w:proofErr w:type="spellStart"/>
      <w:r w:rsidRPr="00595719">
        <w:rPr>
          <w:rFonts w:ascii="Arial" w:eastAsia="Arial" w:hAnsi="Arial" w:cs="Arial"/>
          <w:sz w:val="24"/>
          <w:szCs w:val="24"/>
        </w:rPr>
        <w:t>pval</w:t>
      </w:r>
      <w:proofErr w:type="spellEnd"/>
      <w:r w:rsidRPr="00595719">
        <w:rPr>
          <w:rFonts w:ascii="Arial" w:eastAsia="Arial" w:hAnsi="Arial" w:cs="Arial"/>
          <w:sz w:val="24"/>
          <w:szCs w:val="24"/>
        </w:rPr>
        <w:t xml:space="preserve"> &lt;0.05), or pathogenic in COSMIC or in </w:t>
      </w:r>
      <w:proofErr w:type="spellStart"/>
      <w:r w:rsidRPr="00595719">
        <w:rPr>
          <w:rFonts w:ascii="Arial" w:eastAsia="Arial" w:hAnsi="Arial" w:cs="Arial"/>
          <w:sz w:val="24"/>
          <w:szCs w:val="24"/>
        </w:rPr>
        <w:t>ClinVar</w:t>
      </w:r>
      <w:proofErr w:type="spellEnd"/>
      <w:r w:rsidRPr="00595719">
        <w:rPr>
          <w:rFonts w:ascii="Arial" w:eastAsia="Arial" w:hAnsi="Arial" w:cs="Arial"/>
          <w:sz w:val="24"/>
          <w:szCs w:val="24"/>
        </w:rPr>
        <w:t>.</w:t>
      </w:r>
    </w:p>
    <w:p w14:paraId="7410DCFF" w14:textId="77777777" w:rsidR="00DC2523" w:rsidRDefault="00DC2523" w:rsidP="004F083B">
      <w:pPr>
        <w:spacing w:after="0" w:line="480" w:lineRule="auto"/>
        <w:jc w:val="both"/>
        <w:rPr>
          <w:rFonts w:ascii="Arial" w:eastAsia="Arial" w:hAnsi="Arial" w:cs="Arial"/>
          <w:sz w:val="24"/>
          <w:szCs w:val="24"/>
        </w:rPr>
      </w:pPr>
    </w:p>
    <w:p w14:paraId="45FB08B0" w14:textId="77777777" w:rsidR="00DC2523" w:rsidRPr="00127045" w:rsidRDefault="00DC2523" w:rsidP="004F083B">
      <w:pPr>
        <w:spacing w:after="0" w:line="480" w:lineRule="auto"/>
        <w:jc w:val="both"/>
        <w:rPr>
          <w:rFonts w:ascii="Arial" w:eastAsia="Arial" w:hAnsi="Arial" w:cs="Arial"/>
          <w:b/>
          <w:bCs/>
          <w:sz w:val="24"/>
          <w:szCs w:val="24"/>
        </w:rPr>
      </w:pPr>
      <w:r w:rsidRPr="00127045">
        <w:rPr>
          <w:rFonts w:ascii="Arial" w:eastAsia="Arial" w:hAnsi="Arial" w:cs="Arial"/>
          <w:b/>
          <w:bCs/>
          <w:sz w:val="24"/>
          <w:szCs w:val="24"/>
        </w:rPr>
        <w:t>Establishment of organoids (tumoroids)</w:t>
      </w:r>
    </w:p>
    <w:p w14:paraId="4A893110" w14:textId="0DF1C1E6" w:rsidR="00DC2523" w:rsidRDefault="00DC2523" w:rsidP="004F083B">
      <w:pPr>
        <w:spacing w:after="0" w:line="480" w:lineRule="auto"/>
        <w:jc w:val="both"/>
        <w:rPr>
          <w:rFonts w:ascii="Arial" w:eastAsia="Arial" w:hAnsi="Arial" w:cs="Arial"/>
          <w:sz w:val="24"/>
          <w:szCs w:val="24"/>
        </w:rPr>
      </w:pPr>
      <w:r>
        <w:rPr>
          <w:rFonts w:ascii="Arial" w:eastAsia="Arial" w:hAnsi="Arial" w:cs="Arial"/>
          <w:sz w:val="24"/>
          <w:szCs w:val="24"/>
        </w:rPr>
        <w:t>The organoid expansion medium was composed of Advanced DMEM/F-12 (</w:t>
      </w:r>
      <w:proofErr w:type="spellStart"/>
      <w:r>
        <w:rPr>
          <w:rFonts w:ascii="Arial" w:eastAsia="Arial" w:hAnsi="Arial" w:cs="Arial"/>
          <w:sz w:val="24"/>
          <w:szCs w:val="24"/>
        </w:rPr>
        <w:t>Thermo</w:t>
      </w:r>
      <w:proofErr w:type="spellEnd"/>
      <w:r>
        <w:rPr>
          <w:rFonts w:ascii="Arial" w:eastAsia="Arial" w:hAnsi="Arial" w:cs="Arial"/>
          <w:sz w:val="24"/>
          <w:szCs w:val="24"/>
        </w:rPr>
        <w:t xml:space="preserve"> Fisher Scientific</w:t>
      </w:r>
      <w:r w:rsidR="00187CA1">
        <w:rPr>
          <w:rFonts w:ascii="Arial" w:eastAsia="Arial" w:hAnsi="Arial" w:cs="Arial"/>
          <w:sz w:val="24"/>
          <w:szCs w:val="24"/>
        </w:rPr>
        <w:t xml:space="preserve">, </w:t>
      </w:r>
      <w:r w:rsidR="00187CA1" w:rsidRPr="00187CA1">
        <w:rPr>
          <w:rFonts w:ascii="Arial" w:eastAsia="Arial" w:hAnsi="Arial" w:cs="Arial"/>
          <w:sz w:val="24"/>
          <w:szCs w:val="24"/>
        </w:rPr>
        <w:t>Monza, Italy</w:t>
      </w:r>
      <w:r>
        <w:rPr>
          <w:rFonts w:ascii="Arial" w:eastAsia="Arial" w:hAnsi="Arial" w:cs="Arial"/>
          <w:sz w:val="24"/>
          <w:szCs w:val="24"/>
        </w:rPr>
        <w:t xml:space="preserve">) with 1% penicillin/streptomycin, 1% </w:t>
      </w:r>
      <w:proofErr w:type="spellStart"/>
      <w:r>
        <w:rPr>
          <w:rFonts w:ascii="Arial" w:eastAsia="Arial" w:hAnsi="Arial" w:cs="Arial"/>
          <w:sz w:val="24"/>
          <w:szCs w:val="24"/>
        </w:rPr>
        <w:t>Glutamax</w:t>
      </w:r>
      <w:proofErr w:type="spellEnd"/>
      <w:r>
        <w:rPr>
          <w:rFonts w:ascii="Arial" w:eastAsia="Arial" w:hAnsi="Arial" w:cs="Arial"/>
          <w:sz w:val="24"/>
          <w:szCs w:val="24"/>
        </w:rPr>
        <w:t xml:space="preserve"> (</w:t>
      </w:r>
      <w:proofErr w:type="spellStart"/>
      <w:r>
        <w:rPr>
          <w:rFonts w:ascii="Arial" w:eastAsia="Arial" w:hAnsi="Arial" w:cs="Arial"/>
          <w:sz w:val="24"/>
          <w:szCs w:val="24"/>
        </w:rPr>
        <w:t>Thermo</w:t>
      </w:r>
      <w:proofErr w:type="spellEnd"/>
      <w:r>
        <w:rPr>
          <w:rFonts w:ascii="Arial" w:eastAsia="Arial" w:hAnsi="Arial" w:cs="Arial"/>
          <w:sz w:val="24"/>
          <w:szCs w:val="24"/>
        </w:rPr>
        <w:t xml:space="preserve"> Fisher Scientific), 10 mM HEPES (</w:t>
      </w:r>
      <w:proofErr w:type="spellStart"/>
      <w:r>
        <w:rPr>
          <w:rFonts w:ascii="Arial" w:eastAsia="Arial" w:hAnsi="Arial" w:cs="Arial"/>
          <w:sz w:val="24"/>
          <w:szCs w:val="24"/>
        </w:rPr>
        <w:t>Thermo</w:t>
      </w:r>
      <w:proofErr w:type="spellEnd"/>
      <w:r>
        <w:rPr>
          <w:rFonts w:ascii="Arial" w:eastAsia="Arial" w:hAnsi="Arial" w:cs="Arial"/>
          <w:sz w:val="24"/>
          <w:szCs w:val="24"/>
        </w:rPr>
        <w:t xml:space="preserve"> Fisher Scientific) with the addition of 25 ng/mL fibroblast growth factor 7 (FGF7) (</w:t>
      </w:r>
      <w:proofErr w:type="spellStart"/>
      <w:r>
        <w:rPr>
          <w:rFonts w:ascii="Arial" w:eastAsia="Arial" w:hAnsi="Arial" w:cs="Arial"/>
          <w:sz w:val="24"/>
          <w:szCs w:val="24"/>
        </w:rPr>
        <w:t>Proteintech</w:t>
      </w:r>
      <w:proofErr w:type="spellEnd"/>
      <w:r w:rsidR="009419DC">
        <w:rPr>
          <w:rFonts w:ascii="Arial" w:eastAsia="Arial" w:hAnsi="Arial" w:cs="Arial"/>
          <w:sz w:val="24"/>
          <w:szCs w:val="24"/>
        </w:rPr>
        <w:t xml:space="preserve">, </w:t>
      </w:r>
      <w:r w:rsidR="009419DC" w:rsidRPr="009419DC">
        <w:rPr>
          <w:rFonts w:ascii="Arial" w:eastAsia="Arial" w:hAnsi="Arial" w:cs="Arial"/>
          <w:sz w:val="24"/>
          <w:szCs w:val="24"/>
        </w:rPr>
        <w:t>Rosemont, IL, USA</w:t>
      </w:r>
      <w:r>
        <w:rPr>
          <w:rFonts w:ascii="Arial" w:eastAsia="Arial" w:hAnsi="Arial" w:cs="Arial"/>
          <w:sz w:val="24"/>
          <w:szCs w:val="24"/>
        </w:rPr>
        <w:t>), 100 ng/mL FGF10 (</w:t>
      </w:r>
      <w:proofErr w:type="spellStart"/>
      <w:r>
        <w:rPr>
          <w:rFonts w:ascii="Arial" w:eastAsia="Arial" w:hAnsi="Arial" w:cs="Arial"/>
          <w:sz w:val="24"/>
          <w:szCs w:val="24"/>
        </w:rPr>
        <w:t>QKine</w:t>
      </w:r>
      <w:proofErr w:type="spellEnd"/>
      <w:r w:rsidR="009C6167">
        <w:rPr>
          <w:rFonts w:ascii="Arial" w:eastAsia="Arial" w:hAnsi="Arial" w:cs="Arial"/>
          <w:sz w:val="24"/>
          <w:szCs w:val="24"/>
        </w:rPr>
        <w:t>, Cambridge, UK</w:t>
      </w:r>
      <w:r>
        <w:rPr>
          <w:rFonts w:ascii="Arial" w:eastAsia="Arial" w:hAnsi="Arial" w:cs="Arial"/>
          <w:sz w:val="24"/>
          <w:szCs w:val="24"/>
        </w:rPr>
        <w:t>), 100 ng/mL Noggin (</w:t>
      </w:r>
      <w:proofErr w:type="spellStart"/>
      <w:r>
        <w:rPr>
          <w:rFonts w:ascii="Arial" w:eastAsia="Arial" w:hAnsi="Arial" w:cs="Arial"/>
          <w:sz w:val="24"/>
          <w:szCs w:val="24"/>
        </w:rPr>
        <w:t>Proteintech</w:t>
      </w:r>
      <w:proofErr w:type="spellEnd"/>
      <w:r>
        <w:rPr>
          <w:rFonts w:ascii="Arial" w:eastAsia="Arial" w:hAnsi="Arial" w:cs="Arial"/>
          <w:sz w:val="24"/>
          <w:szCs w:val="24"/>
        </w:rPr>
        <w:t xml:space="preserve">), 500 </w:t>
      </w:r>
      <w:proofErr w:type="spellStart"/>
      <w:r>
        <w:rPr>
          <w:rFonts w:ascii="Arial" w:eastAsia="Arial" w:hAnsi="Arial" w:cs="Arial"/>
          <w:sz w:val="24"/>
          <w:szCs w:val="24"/>
        </w:rPr>
        <w:t>nM</w:t>
      </w:r>
      <w:proofErr w:type="spellEnd"/>
      <w:r>
        <w:rPr>
          <w:rFonts w:ascii="Arial" w:eastAsia="Arial" w:hAnsi="Arial" w:cs="Arial"/>
          <w:sz w:val="24"/>
          <w:szCs w:val="24"/>
        </w:rPr>
        <w:t xml:space="preserve"> A83-01 (</w:t>
      </w:r>
      <w:proofErr w:type="spellStart"/>
      <w:r>
        <w:rPr>
          <w:rFonts w:ascii="Arial" w:eastAsia="Arial" w:hAnsi="Arial" w:cs="Arial"/>
          <w:sz w:val="24"/>
          <w:szCs w:val="24"/>
        </w:rPr>
        <w:t>Tocris</w:t>
      </w:r>
      <w:proofErr w:type="spellEnd"/>
      <w:r w:rsidR="009C6167">
        <w:rPr>
          <w:rFonts w:ascii="Arial" w:eastAsia="Arial" w:hAnsi="Arial" w:cs="Arial"/>
          <w:sz w:val="24"/>
          <w:szCs w:val="24"/>
        </w:rPr>
        <w:t>, Bristol, UK</w:t>
      </w:r>
      <w:r>
        <w:rPr>
          <w:rFonts w:ascii="Arial" w:eastAsia="Arial" w:hAnsi="Arial" w:cs="Arial"/>
          <w:sz w:val="24"/>
          <w:szCs w:val="24"/>
        </w:rPr>
        <w:t>), 10 µM ROCK inhibitor (Y-27632) (</w:t>
      </w:r>
      <w:proofErr w:type="spellStart"/>
      <w:r>
        <w:rPr>
          <w:rFonts w:ascii="Arial" w:eastAsia="Arial" w:hAnsi="Arial" w:cs="Arial"/>
          <w:sz w:val="24"/>
          <w:szCs w:val="24"/>
        </w:rPr>
        <w:t>Tocris</w:t>
      </w:r>
      <w:proofErr w:type="spellEnd"/>
      <w:r>
        <w:rPr>
          <w:rFonts w:ascii="Arial" w:eastAsia="Arial" w:hAnsi="Arial" w:cs="Arial"/>
          <w:sz w:val="24"/>
          <w:szCs w:val="24"/>
        </w:rPr>
        <w:t xml:space="preserve">), 0.5 </w:t>
      </w:r>
      <w:proofErr w:type="spellStart"/>
      <w:r>
        <w:rPr>
          <w:rFonts w:ascii="Arial" w:eastAsia="Arial" w:hAnsi="Arial" w:cs="Arial"/>
          <w:sz w:val="24"/>
          <w:szCs w:val="24"/>
        </w:rPr>
        <w:t>μM</w:t>
      </w:r>
      <w:proofErr w:type="spellEnd"/>
      <w:r>
        <w:rPr>
          <w:rFonts w:ascii="Arial" w:eastAsia="Arial" w:hAnsi="Arial" w:cs="Arial"/>
          <w:sz w:val="24"/>
          <w:szCs w:val="24"/>
        </w:rPr>
        <w:t xml:space="preserve"> SB202190 (Merck</w:t>
      </w:r>
      <w:r w:rsidR="009C6167">
        <w:rPr>
          <w:rFonts w:ascii="Arial" w:eastAsia="Arial" w:hAnsi="Arial" w:cs="Arial"/>
          <w:sz w:val="24"/>
          <w:szCs w:val="24"/>
        </w:rPr>
        <w:t xml:space="preserve">, </w:t>
      </w:r>
      <w:r w:rsidR="009C6167" w:rsidRPr="009C6167">
        <w:rPr>
          <w:rFonts w:ascii="Arial" w:eastAsia="Arial" w:hAnsi="Arial" w:cs="Arial"/>
          <w:sz w:val="24"/>
          <w:szCs w:val="24"/>
        </w:rPr>
        <w:t>Milan, Italy</w:t>
      </w:r>
      <w:r>
        <w:rPr>
          <w:rFonts w:ascii="Arial" w:eastAsia="Arial" w:hAnsi="Arial" w:cs="Arial"/>
          <w:sz w:val="24"/>
          <w:szCs w:val="24"/>
        </w:rPr>
        <w:t>), 1.25 mM N-acetyl-L-cysteine (Merck), 10 mM nicotinamide (Merck), 10% R-Spondin1 conditioned medium (Merck), 50 ng/mL epidermal growth factor (EGF) (</w:t>
      </w:r>
      <w:proofErr w:type="spellStart"/>
      <w:r>
        <w:rPr>
          <w:rFonts w:ascii="Arial" w:eastAsia="Arial" w:hAnsi="Arial" w:cs="Arial"/>
          <w:sz w:val="24"/>
          <w:szCs w:val="24"/>
        </w:rPr>
        <w:t>Proteintech</w:t>
      </w:r>
      <w:proofErr w:type="spellEnd"/>
      <w:r>
        <w:rPr>
          <w:rFonts w:ascii="Arial" w:eastAsia="Arial" w:hAnsi="Arial" w:cs="Arial"/>
          <w:sz w:val="24"/>
          <w:szCs w:val="24"/>
        </w:rPr>
        <w:t>) and B-27 (1:50) (</w:t>
      </w:r>
      <w:proofErr w:type="spellStart"/>
      <w:r>
        <w:rPr>
          <w:rFonts w:ascii="Arial" w:eastAsia="Arial" w:hAnsi="Arial" w:cs="Arial"/>
          <w:sz w:val="24"/>
          <w:szCs w:val="24"/>
        </w:rPr>
        <w:t>Thermo</w:t>
      </w:r>
      <w:proofErr w:type="spellEnd"/>
      <w:r>
        <w:rPr>
          <w:rFonts w:ascii="Arial" w:eastAsia="Arial" w:hAnsi="Arial" w:cs="Arial"/>
          <w:sz w:val="24"/>
          <w:szCs w:val="24"/>
        </w:rPr>
        <w:t xml:space="preserve"> Fisher Scientific).</w:t>
      </w:r>
    </w:p>
    <w:p w14:paraId="0C2C0696" w14:textId="77777777" w:rsidR="00DC2523" w:rsidRDefault="00DC2523" w:rsidP="004F083B">
      <w:pPr>
        <w:spacing w:after="0" w:line="480" w:lineRule="auto"/>
        <w:jc w:val="both"/>
        <w:rPr>
          <w:rFonts w:ascii="Arial" w:eastAsia="Arial" w:hAnsi="Arial" w:cs="Arial"/>
          <w:sz w:val="24"/>
          <w:szCs w:val="24"/>
        </w:rPr>
      </w:pPr>
    </w:p>
    <w:p w14:paraId="10055ED2" w14:textId="77777777" w:rsidR="00DC2523" w:rsidRDefault="00DC2523" w:rsidP="004F083B">
      <w:pPr>
        <w:spacing w:after="0" w:line="480" w:lineRule="auto"/>
        <w:jc w:val="both"/>
        <w:rPr>
          <w:rFonts w:ascii="Arial" w:eastAsia="Arial" w:hAnsi="Arial" w:cs="Arial"/>
          <w:b/>
          <w:sz w:val="24"/>
          <w:szCs w:val="24"/>
        </w:rPr>
      </w:pPr>
      <w:r>
        <w:rPr>
          <w:rFonts w:ascii="Arial" w:eastAsia="Arial" w:hAnsi="Arial" w:cs="Arial"/>
          <w:b/>
          <w:sz w:val="24"/>
          <w:szCs w:val="24"/>
        </w:rPr>
        <w:t>Immunofluorescence of adherent cells</w:t>
      </w:r>
    </w:p>
    <w:p w14:paraId="072301A1" w14:textId="64786019" w:rsidR="0022438D" w:rsidRDefault="00DC2523" w:rsidP="004F083B">
      <w:pPr>
        <w:spacing w:line="480" w:lineRule="auto"/>
        <w:jc w:val="both"/>
        <w:rPr>
          <w:rFonts w:ascii="Arial" w:eastAsia="Arial" w:hAnsi="Arial" w:cs="Arial"/>
          <w:sz w:val="24"/>
          <w:szCs w:val="24"/>
        </w:rPr>
      </w:pPr>
      <w:r>
        <w:rPr>
          <w:rFonts w:ascii="Arial" w:eastAsia="Arial" w:hAnsi="Arial" w:cs="Arial"/>
          <w:sz w:val="24"/>
          <w:szCs w:val="24"/>
        </w:rPr>
        <w:t xml:space="preserve">NSCLC-B and NSCLC-H adherent cultures were stained for CD44 or PD-L1. For CD44 staining, cells were fixed with 4% paraformaldehyde (PFA) (Merck) for 10 minutes at 4°C. </w:t>
      </w:r>
      <w:r>
        <w:rPr>
          <w:rFonts w:ascii="Arial" w:eastAsia="Arial" w:hAnsi="Arial" w:cs="Arial"/>
          <w:sz w:val="24"/>
          <w:szCs w:val="24"/>
        </w:rPr>
        <w:lastRenderedPageBreak/>
        <w:t>After washing with PBS, cells were permeabilized with PBS containing 0.1% Triton X-100 (Sigma-Aldrich</w:t>
      </w:r>
      <w:r w:rsidR="0076238B">
        <w:rPr>
          <w:rFonts w:ascii="Arial" w:eastAsia="Arial" w:hAnsi="Arial" w:cs="Arial"/>
          <w:sz w:val="24"/>
          <w:szCs w:val="24"/>
        </w:rPr>
        <w:t xml:space="preserve">, </w:t>
      </w:r>
      <w:r w:rsidR="0076238B" w:rsidRPr="0076238B">
        <w:rPr>
          <w:rFonts w:ascii="Arial" w:eastAsia="Arial" w:hAnsi="Arial" w:cs="Arial"/>
          <w:sz w:val="24"/>
          <w:szCs w:val="24"/>
        </w:rPr>
        <w:t>St. Louis, MO, USA</w:t>
      </w:r>
      <w:r>
        <w:rPr>
          <w:rFonts w:ascii="Arial" w:eastAsia="Arial" w:hAnsi="Arial" w:cs="Arial"/>
          <w:sz w:val="24"/>
          <w:szCs w:val="24"/>
        </w:rPr>
        <w:t>) and then the blocking was performed with 1% bovine serum albumin (BSA) (Pan Biotech</w:t>
      </w:r>
      <w:r w:rsidR="00F963CB">
        <w:rPr>
          <w:rFonts w:ascii="Arial" w:eastAsia="Arial" w:hAnsi="Arial" w:cs="Arial"/>
          <w:sz w:val="24"/>
          <w:szCs w:val="24"/>
        </w:rPr>
        <w:t xml:space="preserve">, </w:t>
      </w:r>
      <w:proofErr w:type="spellStart"/>
      <w:r w:rsidR="00F963CB" w:rsidRPr="00F963CB">
        <w:rPr>
          <w:rFonts w:ascii="Arial" w:eastAsia="Arial" w:hAnsi="Arial" w:cs="Arial"/>
          <w:sz w:val="24"/>
          <w:szCs w:val="24"/>
        </w:rPr>
        <w:t>Aidenbach</w:t>
      </w:r>
      <w:proofErr w:type="spellEnd"/>
      <w:r w:rsidR="00F963CB" w:rsidRPr="00F963CB">
        <w:rPr>
          <w:rFonts w:ascii="Arial" w:eastAsia="Arial" w:hAnsi="Arial" w:cs="Arial"/>
          <w:sz w:val="24"/>
          <w:szCs w:val="24"/>
        </w:rPr>
        <w:t>, DE, Germany</w:t>
      </w:r>
      <w:r>
        <w:rPr>
          <w:rFonts w:ascii="Arial" w:eastAsia="Arial" w:hAnsi="Arial" w:cs="Arial"/>
          <w:sz w:val="24"/>
          <w:szCs w:val="24"/>
        </w:rPr>
        <w:t xml:space="preserve">) + 0.1% Triton X-100 diluted in PBS. The primary antibody CD44 (clone IM7, 1:600, </w:t>
      </w:r>
      <w:proofErr w:type="spellStart"/>
      <w:r>
        <w:rPr>
          <w:rFonts w:ascii="Arial" w:eastAsia="Arial" w:hAnsi="Arial" w:cs="Arial"/>
          <w:sz w:val="24"/>
          <w:szCs w:val="24"/>
        </w:rPr>
        <w:t>BioLegend</w:t>
      </w:r>
      <w:proofErr w:type="spellEnd"/>
      <w:r w:rsidR="005D0155">
        <w:rPr>
          <w:rFonts w:ascii="Arial" w:eastAsia="Arial" w:hAnsi="Arial" w:cs="Arial"/>
          <w:sz w:val="24"/>
          <w:szCs w:val="24"/>
        </w:rPr>
        <w:t xml:space="preserve">, </w:t>
      </w:r>
      <w:r w:rsidR="005D0155" w:rsidRPr="005D0155">
        <w:rPr>
          <w:rFonts w:ascii="Arial" w:eastAsia="Arial" w:hAnsi="Arial" w:cs="Arial"/>
          <w:sz w:val="24"/>
          <w:szCs w:val="24"/>
        </w:rPr>
        <w:t>San Diego, CA, USA</w:t>
      </w:r>
      <w:r>
        <w:rPr>
          <w:rFonts w:ascii="Arial" w:eastAsia="Arial" w:hAnsi="Arial" w:cs="Arial"/>
          <w:sz w:val="24"/>
          <w:szCs w:val="24"/>
        </w:rPr>
        <w:t xml:space="preserve">) and the secondary antibody goat anti-rat IgGAF555 (1:500, </w:t>
      </w:r>
      <w:proofErr w:type="spellStart"/>
      <w:r>
        <w:rPr>
          <w:rFonts w:ascii="Arial" w:eastAsia="Arial" w:hAnsi="Arial" w:cs="Arial"/>
          <w:sz w:val="24"/>
          <w:szCs w:val="24"/>
        </w:rPr>
        <w:t>Thermo</w:t>
      </w:r>
      <w:proofErr w:type="spellEnd"/>
      <w:r>
        <w:rPr>
          <w:rFonts w:ascii="Arial" w:eastAsia="Arial" w:hAnsi="Arial" w:cs="Arial"/>
          <w:sz w:val="24"/>
          <w:szCs w:val="24"/>
        </w:rPr>
        <w:t xml:space="preserve"> Fisher Scientific) were used for staining. DAPI (</w:t>
      </w:r>
      <w:proofErr w:type="spellStart"/>
      <w:r>
        <w:rPr>
          <w:rFonts w:ascii="Arial" w:eastAsia="Arial" w:hAnsi="Arial" w:cs="Arial"/>
          <w:sz w:val="24"/>
          <w:szCs w:val="24"/>
        </w:rPr>
        <w:t>BioLegend</w:t>
      </w:r>
      <w:proofErr w:type="spellEnd"/>
      <w:r>
        <w:rPr>
          <w:rFonts w:ascii="Arial" w:eastAsia="Arial" w:hAnsi="Arial" w:cs="Arial"/>
          <w:sz w:val="24"/>
          <w:szCs w:val="24"/>
        </w:rPr>
        <w:t xml:space="preserve">), which was incubated for 30 minutes at room temperature, was used to counterstain nuclei. Images were captured on a Leica widefield system, equipped with an inverted Leica DMi8 microscope (Leica Microsystem, Germany). PD-L1 evaluation was performed on live cells stained with anti-human PD-L1 (5 </w:t>
      </w:r>
      <w:proofErr w:type="spellStart"/>
      <w:r>
        <w:rPr>
          <w:rFonts w:ascii="Arial" w:eastAsia="Arial" w:hAnsi="Arial" w:cs="Arial"/>
          <w:sz w:val="24"/>
          <w:szCs w:val="24"/>
        </w:rPr>
        <w:t>μg</w:t>
      </w:r>
      <w:proofErr w:type="spellEnd"/>
      <w:r>
        <w:rPr>
          <w:rFonts w:ascii="Arial" w:eastAsia="Arial" w:hAnsi="Arial" w:cs="Arial"/>
          <w:sz w:val="24"/>
          <w:szCs w:val="24"/>
        </w:rPr>
        <w:t xml:space="preserve">/mL, atezolizumab, Selleck Chemicals, Houston, Texas, USA) and with goat anti-human IgG AF674 (1:1000, </w:t>
      </w:r>
      <w:proofErr w:type="spellStart"/>
      <w:r>
        <w:rPr>
          <w:rFonts w:ascii="Arial" w:eastAsia="Arial" w:hAnsi="Arial" w:cs="Arial"/>
          <w:sz w:val="24"/>
          <w:szCs w:val="24"/>
        </w:rPr>
        <w:t>Thermo</w:t>
      </w:r>
      <w:proofErr w:type="spellEnd"/>
      <w:r>
        <w:rPr>
          <w:rFonts w:ascii="Arial" w:eastAsia="Arial" w:hAnsi="Arial" w:cs="Arial"/>
          <w:sz w:val="24"/>
          <w:szCs w:val="24"/>
        </w:rPr>
        <w:t xml:space="preserve"> Fisher Scientific). Nuclei counterstaining was performed by incubating cells for 10 minutes with DAPI. Images were captured on Leica TCS SP8 confocal microscope equipped with a Leica DMi8 inverted microscope (Leica Microsystem).</w:t>
      </w:r>
    </w:p>
    <w:p w14:paraId="2026DE3B" w14:textId="77777777" w:rsidR="00873A26" w:rsidRDefault="00873A26" w:rsidP="00DC2523">
      <w:pPr>
        <w:spacing w:line="360" w:lineRule="auto"/>
        <w:jc w:val="both"/>
        <w:rPr>
          <w:rFonts w:ascii="Arial" w:eastAsia="Arial" w:hAnsi="Arial" w:cs="Arial"/>
          <w:sz w:val="24"/>
          <w:szCs w:val="24"/>
        </w:rPr>
      </w:pPr>
    </w:p>
    <w:p w14:paraId="5501D882" w14:textId="77777777" w:rsidR="00006DAC" w:rsidRDefault="00006DAC" w:rsidP="00CC3655">
      <w:pPr>
        <w:spacing w:line="480" w:lineRule="auto"/>
        <w:jc w:val="both"/>
        <w:rPr>
          <w:rFonts w:ascii="Arial" w:eastAsia="Arial" w:hAnsi="Arial" w:cs="Arial"/>
          <w:b/>
          <w:bCs/>
          <w:sz w:val="24"/>
          <w:szCs w:val="24"/>
        </w:rPr>
      </w:pPr>
    </w:p>
    <w:p w14:paraId="401021DE" w14:textId="77777777" w:rsidR="00E3193E" w:rsidRDefault="00E3193E" w:rsidP="00CC3655">
      <w:pPr>
        <w:spacing w:line="480" w:lineRule="auto"/>
        <w:jc w:val="both"/>
        <w:rPr>
          <w:rFonts w:ascii="Arial" w:eastAsia="Arial" w:hAnsi="Arial" w:cs="Arial"/>
          <w:b/>
          <w:bCs/>
          <w:sz w:val="24"/>
          <w:szCs w:val="24"/>
        </w:rPr>
      </w:pPr>
    </w:p>
    <w:p w14:paraId="3AA9DAAE" w14:textId="77777777" w:rsidR="00731F55" w:rsidRDefault="00731F55" w:rsidP="00CC3655">
      <w:pPr>
        <w:spacing w:line="480" w:lineRule="auto"/>
        <w:jc w:val="both"/>
        <w:rPr>
          <w:rFonts w:ascii="Arial" w:eastAsia="Arial" w:hAnsi="Arial" w:cs="Arial"/>
          <w:b/>
          <w:bCs/>
          <w:sz w:val="24"/>
          <w:szCs w:val="24"/>
        </w:rPr>
      </w:pPr>
    </w:p>
    <w:p w14:paraId="581CC502" w14:textId="77777777" w:rsidR="00731F55" w:rsidRDefault="00731F55" w:rsidP="00CC3655">
      <w:pPr>
        <w:spacing w:line="480" w:lineRule="auto"/>
        <w:jc w:val="both"/>
        <w:rPr>
          <w:rFonts w:ascii="Arial" w:eastAsia="Arial" w:hAnsi="Arial" w:cs="Arial"/>
          <w:b/>
          <w:bCs/>
          <w:sz w:val="24"/>
          <w:szCs w:val="24"/>
        </w:rPr>
      </w:pPr>
    </w:p>
    <w:p w14:paraId="4CF6406C" w14:textId="77777777" w:rsidR="00731F55" w:rsidRDefault="00731F55" w:rsidP="00CC3655">
      <w:pPr>
        <w:spacing w:line="480" w:lineRule="auto"/>
        <w:jc w:val="both"/>
        <w:rPr>
          <w:rFonts w:ascii="Arial" w:eastAsia="Arial" w:hAnsi="Arial" w:cs="Arial"/>
          <w:b/>
          <w:bCs/>
          <w:sz w:val="24"/>
          <w:szCs w:val="24"/>
        </w:rPr>
      </w:pPr>
    </w:p>
    <w:p w14:paraId="3C8D6677" w14:textId="77777777" w:rsidR="00731F55" w:rsidRDefault="00731F55" w:rsidP="00CC3655">
      <w:pPr>
        <w:spacing w:line="480" w:lineRule="auto"/>
        <w:jc w:val="both"/>
        <w:rPr>
          <w:rFonts w:ascii="Arial" w:eastAsia="Arial" w:hAnsi="Arial" w:cs="Arial"/>
          <w:b/>
          <w:bCs/>
          <w:sz w:val="24"/>
          <w:szCs w:val="24"/>
        </w:rPr>
      </w:pPr>
    </w:p>
    <w:p w14:paraId="0C850D16" w14:textId="77777777" w:rsidR="00731F55" w:rsidRDefault="00731F55" w:rsidP="00CC3655">
      <w:pPr>
        <w:spacing w:line="480" w:lineRule="auto"/>
        <w:jc w:val="both"/>
        <w:rPr>
          <w:rFonts w:ascii="Arial" w:eastAsia="Arial" w:hAnsi="Arial" w:cs="Arial"/>
          <w:b/>
          <w:bCs/>
          <w:sz w:val="24"/>
          <w:szCs w:val="24"/>
        </w:rPr>
      </w:pPr>
    </w:p>
    <w:p w14:paraId="24B70A47" w14:textId="77777777" w:rsidR="003C1ED6" w:rsidRDefault="003C1ED6" w:rsidP="00CC3655">
      <w:pPr>
        <w:spacing w:line="480" w:lineRule="auto"/>
        <w:jc w:val="both"/>
        <w:rPr>
          <w:rFonts w:ascii="Arial" w:eastAsia="Arial" w:hAnsi="Arial" w:cs="Arial"/>
          <w:b/>
          <w:bCs/>
          <w:sz w:val="24"/>
          <w:szCs w:val="24"/>
        </w:rPr>
      </w:pPr>
    </w:p>
    <w:p w14:paraId="39B7CBFC" w14:textId="014F29C3" w:rsidR="00873A26" w:rsidRPr="00873A26" w:rsidRDefault="00873A26" w:rsidP="00CC3655">
      <w:pPr>
        <w:spacing w:line="480" w:lineRule="auto"/>
        <w:jc w:val="both"/>
        <w:rPr>
          <w:rFonts w:ascii="Arial" w:eastAsia="Arial" w:hAnsi="Arial" w:cs="Arial"/>
          <w:b/>
          <w:bCs/>
          <w:sz w:val="24"/>
          <w:szCs w:val="24"/>
        </w:rPr>
      </w:pPr>
      <w:r w:rsidRPr="00873A26">
        <w:rPr>
          <w:rFonts w:ascii="Arial" w:eastAsia="Arial" w:hAnsi="Arial" w:cs="Arial"/>
          <w:b/>
          <w:bCs/>
          <w:sz w:val="24"/>
          <w:szCs w:val="24"/>
        </w:rPr>
        <w:lastRenderedPageBreak/>
        <w:t>Supplementary References</w:t>
      </w:r>
    </w:p>
    <w:sdt>
      <w:sdtPr>
        <w:rPr>
          <w:rFonts w:ascii="Arial" w:hAnsi="Arial" w:cs="Arial"/>
        </w:rPr>
        <w:tag w:val="MENDELEY_BIBLIOGRAPHY"/>
        <w:id w:val="303514274"/>
        <w:placeholder>
          <w:docPart w:val="DefaultPlaceholder_-1854013440"/>
        </w:placeholder>
      </w:sdtPr>
      <w:sdtEndPr/>
      <w:sdtContent>
        <w:p w14:paraId="431F64FA" w14:textId="73FB3EA0" w:rsidR="00537A99" w:rsidRPr="00310FDD" w:rsidRDefault="00537A99" w:rsidP="00310FDD">
          <w:pPr>
            <w:autoSpaceDE w:val="0"/>
            <w:autoSpaceDN w:val="0"/>
            <w:ind w:hanging="640"/>
            <w:jc w:val="both"/>
            <w:divId w:val="1033579088"/>
            <w:rPr>
              <w:rFonts w:ascii="Arial" w:eastAsia="Times New Roman" w:hAnsi="Arial" w:cs="Arial"/>
              <w:lang w:val="it-IT"/>
              <w14:ligatures w14:val="none"/>
            </w:rPr>
          </w:pPr>
          <w:r w:rsidRPr="00310FDD">
            <w:rPr>
              <w:rFonts w:ascii="Arial" w:eastAsia="Times New Roman" w:hAnsi="Arial" w:cs="Arial"/>
            </w:rPr>
            <w:t>1.</w:t>
          </w:r>
          <w:r w:rsidRPr="00310FDD">
            <w:rPr>
              <w:rFonts w:ascii="Arial" w:eastAsia="Times New Roman" w:hAnsi="Arial" w:cs="Arial"/>
            </w:rPr>
            <w:tab/>
            <w:t xml:space="preserve">Nomura T, </w:t>
          </w:r>
          <w:proofErr w:type="spellStart"/>
          <w:r w:rsidRPr="00310FDD">
            <w:rPr>
              <w:rFonts w:ascii="Arial" w:eastAsia="Times New Roman" w:hAnsi="Arial" w:cs="Arial"/>
            </w:rPr>
            <w:t>Tamaoki</w:t>
          </w:r>
          <w:proofErr w:type="spellEnd"/>
          <w:r w:rsidRPr="00310FDD">
            <w:rPr>
              <w:rFonts w:ascii="Arial" w:eastAsia="Times New Roman" w:hAnsi="Arial" w:cs="Arial"/>
            </w:rPr>
            <w:t xml:space="preserve"> N, Takakura A, </w:t>
          </w:r>
          <w:proofErr w:type="spellStart"/>
          <w:r w:rsidRPr="00310FDD">
            <w:rPr>
              <w:rFonts w:ascii="Arial" w:eastAsia="Times New Roman" w:hAnsi="Arial" w:cs="Arial"/>
            </w:rPr>
            <w:t>Suemizu</w:t>
          </w:r>
          <w:proofErr w:type="spellEnd"/>
          <w:r w:rsidRPr="00310FDD">
            <w:rPr>
              <w:rFonts w:ascii="Arial" w:eastAsia="Times New Roman" w:hAnsi="Arial" w:cs="Arial"/>
            </w:rPr>
            <w:t xml:space="preserve"> H. Basic Concept of Development and Practical Application of Animal Models for Human Diseases. </w:t>
          </w:r>
          <w:r w:rsidRPr="00310FDD">
            <w:rPr>
              <w:rFonts w:ascii="Arial" w:eastAsia="Times New Roman" w:hAnsi="Arial" w:cs="Arial"/>
              <w:lang w:val="it-IT"/>
            </w:rPr>
            <w:t xml:space="preserve">In: </w:t>
          </w:r>
          <w:proofErr w:type="spellStart"/>
          <w:r w:rsidRPr="00310FDD">
            <w:rPr>
              <w:rFonts w:ascii="Arial" w:eastAsia="Times New Roman" w:hAnsi="Arial" w:cs="Arial"/>
              <w:lang w:val="it-IT"/>
            </w:rPr>
            <w:t>Humanized</w:t>
          </w:r>
          <w:proofErr w:type="spellEnd"/>
          <w:r w:rsidRPr="00310FDD">
            <w:rPr>
              <w:rFonts w:ascii="Arial" w:eastAsia="Times New Roman" w:hAnsi="Arial" w:cs="Arial"/>
              <w:lang w:val="it-IT"/>
            </w:rPr>
            <w:t xml:space="preserve"> Mice. 2008</w:t>
          </w:r>
          <w:r w:rsidR="00731F55">
            <w:rPr>
              <w:rFonts w:ascii="Arial" w:eastAsia="Times New Roman" w:hAnsi="Arial" w:cs="Arial"/>
              <w:lang w:val="it-IT"/>
            </w:rPr>
            <w:t>;</w:t>
          </w:r>
          <w:r w:rsidRPr="00310FDD">
            <w:rPr>
              <w:rFonts w:ascii="Arial" w:eastAsia="Times New Roman" w:hAnsi="Arial" w:cs="Arial"/>
              <w:lang w:val="it-IT"/>
            </w:rPr>
            <w:t xml:space="preserve">1–24. </w:t>
          </w:r>
        </w:p>
        <w:p w14:paraId="267198E6" w14:textId="438CC6F9" w:rsidR="00537A99" w:rsidRPr="00310FDD" w:rsidRDefault="00537A99" w:rsidP="00310FDD">
          <w:pPr>
            <w:autoSpaceDE w:val="0"/>
            <w:autoSpaceDN w:val="0"/>
            <w:ind w:hanging="640"/>
            <w:jc w:val="both"/>
            <w:divId w:val="336734947"/>
            <w:rPr>
              <w:rFonts w:ascii="Arial" w:eastAsia="Times New Roman" w:hAnsi="Arial" w:cs="Arial"/>
            </w:rPr>
          </w:pPr>
          <w:r w:rsidRPr="00310FDD">
            <w:rPr>
              <w:rFonts w:ascii="Arial" w:eastAsia="Times New Roman" w:hAnsi="Arial" w:cs="Arial"/>
              <w:lang w:val="it-IT"/>
            </w:rPr>
            <w:t>2.</w:t>
          </w:r>
          <w:r w:rsidRPr="00310FDD">
            <w:rPr>
              <w:rFonts w:ascii="Arial" w:eastAsia="Times New Roman" w:hAnsi="Arial" w:cs="Arial"/>
              <w:lang w:val="it-IT"/>
            </w:rPr>
            <w:tab/>
          </w:r>
          <w:proofErr w:type="spellStart"/>
          <w:r w:rsidRPr="00310FDD">
            <w:rPr>
              <w:rFonts w:ascii="Arial" w:eastAsia="Times New Roman" w:hAnsi="Arial" w:cs="Arial"/>
              <w:lang w:val="it-IT"/>
            </w:rPr>
            <w:t>Landuzzi</w:t>
          </w:r>
          <w:proofErr w:type="spellEnd"/>
          <w:r w:rsidRPr="00310FDD">
            <w:rPr>
              <w:rFonts w:ascii="Arial" w:eastAsia="Times New Roman" w:hAnsi="Arial" w:cs="Arial"/>
              <w:lang w:val="it-IT"/>
            </w:rPr>
            <w:t xml:space="preserve"> L, Palladini A, Ceccarelli C, Asioli S, Nicoletti G, Giusti V, et al. </w:t>
          </w:r>
          <w:r w:rsidRPr="00310FDD">
            <w:rPr>
              <w:rFonts w:ascii="Arial" w:eastAsia="Times New Roman" w:hAnsi="Arial" w:cs="Arial"/>
            </w:rPr>
            <w:t xml:space="preserve">Early stability and late random tumor progression of a HER2-positive primary breast cancer patient-derived xenograft. Sci Rep. 2021;11:1563. </w:t>
          </w:r>
        </w:p>
        <w:p w14:paraId="6F036D5E" w14:textId="3B0D5FD6" w:rsidR="00537A99" w:rsidRPr="00310FDD" w:rsidRDefault="00537A99" w:rsidP="00310FDD">
          <w:pPr>
            <w:autoSpaceDE w:val="0"/>
            <w:autoSpaceDN w:val="0"/>
            <w:ind w:hanging="640"/>
            <w:jc w:val="both"/>
            <w:divId w:val="1914972333"/>
            <w:rPr>
              <w:rFonts w:ascii="Arial" w:eastAsia="Times New Roman" w:hAnsi="Arial" w:cs="Arial"/>
            </w:rPr>
          </w:pPr>
          <w:r w:rsidRPr="00310FDD">
            <w:rPr>
              <w:rFonts w:ascii="Arial" w:eastAsia="Times New Roman" w:hAnsi="Arial" w:cs="Arial"/>
            </w:rPr>
            <w:t>3.</w:t>
          </w:r>
          <w:r w:rsidRPr="00310FDD">
            <w:rPr>
              <w:rFonts w:ascii="Arial" w:eastAsia="Times New Roman" w:hAnsi="Arial" w:cs="Arial"/>
            </w:rPr>
            <w:tab/>
            <w:t xml:space="preserve">Chen S, Zhou Y, Chen Y, Gu J. </w:t>
          </w:r>
          <w:proofErr w:type="spellStart"/>
          <w:r w:rsidRPr="00310FDD">
            <w:rPr>
              <w:rFonts w:ascii="Arial" w:eastAsia="Times New Roman" w:hAnsi="Arial" w:cs="Arial"/>
            </w:rPr>
            <w:t>Fastp</w:t>
          </w:r>
          <w:proofErr w:type="spellEnd"/>
          <w:r w:rsidRPr="00310FDD">
            <w:rPr>
              <w:rFonts w:ascii="Arial" w:eastAsia="Times New Roman" w:hAnsi="Arial" w:cs="Arial"/>
            </w:rPr>
            <w:t xml:space="preserve">: An ultra-fast all-in-one FASTQ preprocessor. Bioinformatics. 2018;34:i884-i890. </w:t>
          </w:r>
        </w:p>
        <w:p w14:paraId="7187A9BA" w14:textId="4C938EC2" w:rsidR="00537A99" w:rsidRPr="00310FDD" w:rsidRDefault="00537A99" w:rsidP="00310FDD">
          <w:pPr>
            <w:autoSpaceDE w:val="0"/>
            <w:autoSpaceDN w:val="0"/>
            <w:ind w:hanging="640"/>
            <w:jc w:val="both"/>
            <w:divId w:val="637490823"/>
            <w:rPr>
              <w:rFonts w:ascii="Arial" w:eastAsia="Times New Roman" w:hAnsi="Arial" w:cs="Arial"/>
            </w:rPr>
          </w:pPr>
          <w:r w:rsidRPr="00310FDD">
            <w:rPr>
              <w:rFonts w:ascii="Arial" w:eastAsia="Times New Roman" w:hAnsi="Arial" w:cs="Arial"/>
            </w:rPr>
            <w:t>4.</w:t>
          </w:r>
          <w:r w:rsidRPr="00310FDD">
            <w:rPr>
              <w:rFonts w:ascii="Arial" w:eastAsia="Times New Roman" w:hAnsi="Arial" w:cs="Arial"/>
            </w:rPr>
            <w:tab/>
            <w:t xml:space="preserve">Dobin A, Davis CA, Schlesinger F, </w:t>
          </w:r>
          <w:proofErr w:type="spellStart"/>
          <w:r w:rsidRPr="00310FDD">
            <w:rPr>
              <w:rFonts w:ascii="Arial" w:eastAsia="Times New Roman" w:hAnsi="Arial" w:cs="Arial"/>
            </w:rPr>
            <w:t>Drenkow</w:t>
          </w:r>
          <w:proofErr w:type="spellEnd"/>
          <w:r w:rsidRPr="00310FDD">
            <w:rPr>
              <w:rFonts w:ascii="Arial" w:eastAsia="Times New Roman" w:hAnsi="Arial" w:cs="Arial"/>
            </w:rPr>
            <w:t xml:space="preserve"> J, Zaleski C, Jha S, et al. STAR: Ultrafast universal RNA-seq aligner. Bioinformatics. 2013;29:15–21. </w:t>
          </w:r>
        </w:p>
        <w:p w14:paraId="7C874B10" w14:textId="44707999" w:rsidR="00537A99" w:rsidRPr="00310FDD" w:rsidRDefault="00537A99" w:rsidP="00310FDD">
          <w:pPr>
            <w:autoSpaceDE w:val="0"/>
            <w:autoSpaceDN w:val="0"/>
            <w:ind w:hanging="640"/>
            <w:jc w:val="both"/>
            <w:divId w:val="783429541"/>
            <w:rPr>
              <w:rFonts w:ascii="Arial" w:eastAsia="Times New Roman" w:hAnsi="Arial" w:cs="Arial"/>
            </w:rPr>
          </w:pPr>
          <w:r w:rsidRPr="00310FDD">
            <w:rPr>
              <w:rFonts w:ascii="Arial" w:eastAsia="Times New Roman" w:hAnsi="Arial" w:cs="Arial"/>
            </w:rPr>
            <w:t>5.</w:t>
          </w:r>
          <w:r w:rsidRPr="00310FDD">
            <w:rPr>
              <w:rFonts w:ascii="Arial" w:eastAsia="Times New Roman" w:hAnsi="Arial" w:cs="Arial"/>
            </w:rPr>
            <w:tab/>
            <w:t>Love MI, Huber W, Anders S. Moderated estimation of fold change and dispersion for RNA-seq data with DESeq2. Genome Biol. 2014;15</w:t>
          </w:r>
          <w:r w:rsidR="007F131B" w:rsidRPr="00310FDD">
            <w:rPr>
              <w:rFonts w:ascii="Arial" w:eastAsia="Times New Roman" w:hAnsi="Arial" w:cs="Arial"/>
            </w:rPr>
            <w:t>:550</w:t>
          </w:r>
          <w:r w:rsidRPr="00310FDD">
            <w:rPr>
              <w:rFonts w:ascii="Arial" w:eastAsia="Times New Roman" w:hAnsi="Arial" w:cs="Arial"/>
            </w:rPr>
            <w:t xml:space="preserve">. </w:t>
          </w:r>
        </w:p>
        <w:p w14:paraId="6D57A6D0" w14:textId="2FCA0B33" w:rsidR="00537A99" w:rsidRPr="00310FDD" w:rsidRDefault="00537A99" w:rsidP="00310FDD">
          <w:pPr>
            <w:autoSpaceDE w:val="0"/>
            <w:autoSpaceDN w:val="0"/>
            <w:ind w:hanging="640"/>
            <w:jc w:val="both"/>
            <w:divId w:val="460348642"/>
            <w:rPr>
              <w:rFonts w:ascii="Arial" w:eastAsia="Times New Roman" w:hAnsi="Arial" w:cs="Arial"/>
            </w:rPr>
          </w:pPr>
          <w:r w:rsidRPr="00310FDD">
            <w:rPr>
              <w:rFonts w:ascii="Arial" w:eastAsia="Times New Roman" w:hAnsi="Arial" w:cs="Arial"/>
            </w:rPr>
            <w:t>6.</w:t>
          </w:r>
          <w:r w:rsidRPr="00310FDD">
            <w:rPr>
              <w:rFonts w:ascii="Arial" w:eastAsia="Times New Roman" w:hAnsi="Arial" w:cs="Arial"/>
            </w:rPr>
            <w:tab/>
            <w:t xml:space="preserve">Zhu A, Ibrahim JG, Love MI. Heavy-Tailed prior distributions for sequence count data: Removing the noise and preserving large differences. Bioinformatics. 2019;35:2084–92. </w:t>
          </w:r>
        </w:p>
        <w:p w14:paraId="56A75918" w14:textId="22A8F220" w:rsidR="00537A99" w:rsidRPr="00310FDD" w:rsidRDefault="00537A99" w:rsidP="00310FDD">
          <w:pPr>
            <w:autoSpaceDE w:val="0"/>
            <w:autoSpaceDN w:val="0"/>
            <w:ind w:hanging="640"/>
            <w:jc w:val="both"/>
            <w:divId w:val="452868710"/>
            <w:rPr>
              <w:rFonts w:ascii="Arial" w:eastAsia="Times New Roman" w:hAnsi="Arial" w:cs="Arial"/>
            </w:rPr>
          </w:pPr>
          <w:r w:rsidRPr="00310FDD">
            <w:rPr>
              <w:rFonts w:ascii="Arial" w:eastAsia="Times New Roman" w:hAnsi="Arial" w:cs="Arial"/>
            </w:rPr>
            <w:t>7.</w:t>
          </w:r>
          <w:r w:rsidRPr="00310FDD">
            <w:rPr>
              <w:rFonts w:ascii="Arial" w:eastAsia="Times New Roman" w:hAnsi="Arial" w:cs="Arial"/>
            </w:rPr>
            <w:tab/>
          </w:r>
          <w:proofErr w:type="spellStart"/>
          <w:r w:rsidRPr="00310FDD">
            <w:rPr>
              <w:rFonts w:ascii="Arial" w:eastAsia="Times New Roman" w:hAnsi="Arial" w:cs="Arial"/>
            </w:rPr>
            <w:t>Ewels</w:t>
          </w:r>
          <w:proofErr w:type="spellEnd"/>
          <w:r w:rsidRPr="00310FDD">
            <w:rPr>
              <w:rFonts w:ascii="Arial" w:eastAsia="Times New Roman" w:hAnsi="Arial" w:cs="Arial"/>
            </w:rPr>
            <w:t xml:space="preserve"> P, Peltzer A, Fillinger S, Patel H, </w:t>
          </w:r>
          <w:proofErr w:type="spellStart"/>
          <w:r w:rsidRPr="00310FDD">
            <w:rPr>
              <w:rFonts w:ascii="Arial" w:eastAsia="Times New Roman" w:hAnsi="Arial" w:cs="Arial"/>
            </w:rPr>
            <w:t>Alneberg</w:t>
          </w:r>
          <w:proofErr w:type="spellEnd"/>
          <w:r w:rsidRPr="00310FDD">
            <w:rPr>
              <w:rFonts w:ascii="Arial" w:eastAsia="Times New Roman" w:hAnsi="Arial" w:cs="Arial"/>
            </w:rPr>
            <w:t xml:space="preserve"> J, Wilm A, et al. </w:t>
          </w:r>
          <w:r w:rsidR="000242F3" w:rsidRPr="00310FDD">
            <w:rPr>
              <w:rFonts w:ascii="Arial" w:eastAsia="Times New Roman" w:hAnsi="Arial" w:cs="Arial"/>
            </w:rPr>
            <w:t xml:space="preserve">The </w:t>
          </w:r>
          <w:proofErr w:type="spellStart"/>
          <w:r w:rsidR="000242F3" w:rsidRPr="00310FDD">
            <w:rPr>
              <w:rFonts w:ascii="Arial" w:eastAsia="Times New Roman" w:hAnsi="Arial" w:cs="Arial"/>
            </w:rPr>
            <w:t>nf</w:t>
          </w:r>
          <w:proofErr w:type="spellEnd"/>
          <w:r w:rsidR="000242F3" w:rsidRPr="00310FDD">
            <w:rPr>
              <w:rFonts w:ascii="Arial" w:eastAsia="Times New Roman" w:hAnsi="Arial" w:cs="Arial"/>
            </w:rPr>
            <w:t xml:space="preserve">-core framework for community-curated bioinformatics pipelines. </w:t>
          </w:r>
          <w:r w:rsidRPr="00310FDD">
            <w:rPr>
              <w:rFonts w:ascii="Arial" w:eastAsia="Times New Roman" w:hAnsi="Arial" w:cs="Arial"/>
            </w:rPr>
            <w:t xml:space="preserve">Nat </w:t>
          </w:r>
          <w:proofErr w:type="spellStart"/>
          <w:r w:rsidRPr="00310FDD">
            <w:rPr>
              <w:rFonts w:ascii="Arial" w:eastAsia="Times New Roman" w:hAnsi="Arial" w:cs="Arial"/>
            </w:rPr>
            <w:t>Biotechnol</w:t>
          </w:r>
          <w:proofErr w:type="spellEnd"/>
          <w:r w:rsidRPr="00310FDD">
            <w:rPr>
              <w:rFonts w:ascii="Arial" w:eastAsia="Times New Roman" w:hAnsi="Arial" w:cs="Arial"/>
            </w:rPr>
            <w:t>. 2020</w:t>
          </w:r>
          <w:r w:rsidR="000242F3" w:rsidRPr="00310FDD">
            <w:rPr>
              <w:rFonts w:ascii="Arial" w:eastAsia="Times New Roman" w:hAnsi="Arial" w:cs="Arial"/>
            </w:rPr>
            <w:t>;38:276-278</w:t>
          </w:r>
          <w:r w:rsidRPr="00310FDD">
            <w:rPr>
              <w:rFonts w:ascii="Arial" w:eastAsia="Times New Roman" w:hAnsi="Arial" w:cs="Arial"/>
            </w:rPr>
            <w:t xml:space="preserve">. </w:t>
          </w:r>
        </w:p>
        <w:p w14:paraId="6D11DE55" w14:textId="5E83AA33" w:rsidR="00537A99" w:rsidRPr="00310FDD" w:rsidRDefault="00537A99" w:rsidP="00310FDD">
          <w:pPr>
            <w:autoSpaceDE w:val="0"/>
            <w:autoSpaceDN w:val="0"/>
            <w:ind w:hanging="640"/>
            <w:jc w:val="both"/>
            <w:divId w:val="1252547588"/>
            <w:rPr>
              <w:rFonts w:ascii="Arial" w:eastAsia="Times New Roman" w:hAnsi="Arial" w:cs="Arial"/>
            </w:rPr>
          </w:pPr>
          <w:r w:rsidRPr="00310FDD">
            <w:rPr>
              <w:rFonts w:ascii="Arial" w:eastAsia="Times New Roman" w:hAnsi="Arial" w:cs="Arial"/>
            </w:rPr>
            <w:t>8.</w:t>
          </w:r>
          <w:r w:rsidRPr="00310FDD">
            <w:rPr>
              <w:rFonts w:ascii="Arial" w:eastAsia="Times New Roman" w:hAnsi="Arial" w:cs="Arial"/>
            </w:rPr>
            <w:tab/>
            <w:t>Human Molecular Signatures Database (</w:t>
          </w:r>
          <w:proofErr w:type="spellStart"/>
          <w:r w:rsidRPr="00310FDD">
            <w:rPr>
              <w:rFonts w:ascii="Arial" w:eastAsia="Times New Roman" w:hAnsi="Arial" w:cs="Arial"/>
            </w:rPr>
            <w:t>MSigDB</w:t>
          </w:r>
          <w:proofErr w:type="spellEnd"/>
          <w:r w:rsidRPr="00310FDD">
            <w:rPr>
              <w:rFonts w:ascii="Arial" w:eastAsia="Times New Roman" w:hAnsi="Arial" w:cs="Arial"/>
            </w:rPr>
            <w:t xml:space="preserve">). </w:t>
          </w:r>
          <w:hyperlink r:id="rId5" w:anchor="C8" w:history="1">
            <w:r w:rsidR="000242F3" w:rsidRPr="00310FDD">
              <w:rPr>
                <w:rStyle w:val="Collegamentoipertestuale"/>
                <w:rFonts w:ascii="Arial" w:eastAsia="Times New Roman" w:hAnsi="Arial" w:cs="Arial"/>
              </w:rPr>
              <w:t>https://www.gsea-msigdb.org/gsea/msigdb/collections.jsp#C8</w:t>
            </w:r>
          </w:hyperlink>
          <w:r w:rsidR="000242F3" w:rsidRPr="00310FDD">
            <w:rPr>
              <w:rFonts w:ascii="Arial" w:eastAsia="Times New Roman" w:hAnsi="Arial" w:cs="Arial"/>
            </w:rPr>
            <w:t>. Accessed 5 March 2024.</w:t>
          </w:r>
        </w:p>
        <w:p w14:paraId="235ED6C0" w14:textId="618B634E" w:rsidR="00873A26" w:rsidRDefault="00537A99" w:rsidP="00310FDD">
          <w:pPr>
            <w:spacing w:line="480" w:lineRule="auto"/>
            <w:jc w:val="both"/>
          </w:pPr>
          <w:r w:rsidRPr="00310FDD">
            <w:rPr>
              <w:rFonts w:ascii="Arial" w:eastAsia="Times New Roman" w:hAnsi="Arial" w:cs="Arial"/>
            </w:rPr>
            <w:t> </w:t>
          </w:r>
        </w:p>
      </w:sdtContent>
    </w:sdt>
    <w:sectPr w:rsidR="00873A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0121F7"/>
    <w:rsid w:val="00006DAC"/>
    <w:rsid w:val="000121F7"/>
    <w:rsid w:val="000242F3"/>
    <w:rsid w:val="000D5DF3"/>
    <w:rsid w:val="00137C9C"/>
    <w:rsid w:val="00187CA1"/>
    <w:rsid w:val="001974CB"/>
    <w:rsid w:val="001A7B24"/>
    <w:rsid w:val="001F5850"/>
    <w:rsid w:val="0022438D"/>
    <w:rsid w:val="00225204"/>
    <w:rsid w:val="00237C20"/>
    <w:rsid w:val="00245FD8"/>
    <w:rsid w:val="00256D7C"/>
    <w:rsid w:val="00281DD6"/>
    <w:rsid w:val="002F376B"/>
    <w:rsid w:val="00310FDD"/>
    <w:rsid w:val="0033417C"/>
    <w:rsid w:val="00366ABF"/>
    <w:rsid w:val="003B1877"/>
    <w:rsid w:val="003C1ED6"/>
    <w:rsid w:val="003C5063"/>
    <w:rsid w:val="003E3F21"/>
    <w:rsid w:val="004169B7"/>
    <w:rsid w:val="00497D2C"/>
    <w:rsid w:val="004F083B"/>
    <w:rsid w:val="00537A99"/>
    <w:rsid w:val="005B22D1"/>
    <w:rsid w:val="005D0155"/>
    <w:rsid w:val="005D6EB7"/>
    <w:rsid w:val="005F023A"/>
    <w:rsid w:val="00633979"/>
    <w:rsid w:val="006602C4"/>
    <w:rsid w:val="006907C7"/>
    <w:rsid w:val="00690FCA"/>
    <w:rsid w:val="006A66E5"/>
    <w:rsid w:val="006B2D60"/>
    <w:rsid w:val="006C57FC"/>
    <w:rsid w:val="006E1EEE"/>
    <w:rsid w:val="006E7F10"/>
    <w:rsid w:val="00707B33"/>
    <w:rsid w:val="00710A4C"/>
    <w:rsid w:val="00731F55"/>
    <w:rsid w:val="0076238B"/>
    <w:rsid w:val="007838B5"/>
    <w:rsid w:val="007D24A7"/>
    <w:rsid w:val="007E03CC"/>
    <w:rsid w:val="007F131B"/>
    <w:rsid w:val="00831FFF"/>
    <w:rsid w:val="00853084"/>
    <w:rsid w:val="008602EF"/>
    <w:rsid w:val="00873A26"/>
    <w:rsid w:val="008B23EB"/>
    <w:rsid w:val="008B5839"/>
    <w:rsid w:val="008F4007"/>
    <w:rsid w:val="00904784"/>
    <w:rsid w:val="009419DC"/>
    <w:rsid w:val="009648DD"/>
    <w:rsid w:val="00995AFC"/>
    <w:rsid w:val="009C6167"/>
    <w:rsid w:val="009D1EE0"/>
    <w:rsid w:val="009F7347"/>
    <w:rsid w:val="00A73DE5"/>
    <w:rsid w:val="00A74CB0"/>
    <w:rsid w:val="00A90980"/>
    <w:rsid w:val="00AD6569"/>
    <w:rsid w:val="00AF0788"/>
    <w:rsid w:val="00AF3836"/>
    <w:rsid w:val="00C83542"/>
    <w:rsid w:val="00C86623"/>
    <w:rsid w:val="00CC3655"/>
    <w:rsid w:val="00D45D7E"/>
    <w:rsid w:val="00D5758A"/>
    <w:rsid w:val="00D841C3"/>
    <w:rsid w:val="00D93EB4"/>
    <w:rsid w:val="00DC2523"/>
    <w:rsid w:val="00DC3B08"/>
    <w:rsid w:val="00DD20E2"/>
    <w:rsid w:val="00E13812"/>
    <w:rsid w:val="00E232E5"/>
    <w:rsid w:val="00E31058"/>
    <w:rsid w:val="00E3193E"/>
    <w:rsid w:val="00E327DC"/>
    <w:rsid w:val="00E37275"/>
    <w:rsid w:val="00E926F3"/>
    <w:rsid w:val="00EB48BF"/>
    <w:rsid w:val="00F54DFF"/>
    <w:rsid w:val="00F963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6C48"/>
  <w15:chartTrackingRefBased/>
  <w15:docId w15:val="{D615FDFC-3DC5-4C8F-8662-21B83ABB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2523"/>
    <w:rPr>
      <w:rFonts w:ascii="Calibri" w:eastAsia="Calibri" w:hAnsi="Calibri" w:cs="Calibri"/>
      <w:kern w:val="0"/>
      <w:lang w:val="en-US" w:eastAsia="it-IT"/>
    </w:rPr>
  </w:style>
  <w:style w:type="paragraph" w:styleId="Titolo1">
    <w:name w:val="heading 1"/>
    <w:basedOn w:val="Normale"/>
    <w:next w:val="Normale"/>
    <w:link w:val="Titolo1Carattere"/>
    <w:uiPriority w:val="9"/>
    <w:qFormat/>
    <w:rsid w:val="00012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12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121F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121F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121F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121F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121F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121F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121F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21F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121F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121F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121F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121F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121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121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121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121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012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121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121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121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121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121F7"/>
    <w:rPr>
      <w:i/>
      <w:iCs/>
      <w:color w:val="404040" w:themeColor="text1" w:themeTint="BF"/>
    </w:rPr>
  </w:style>
  <w:style w:type="paragraph" w:styleId="Paragrafoelenco">
    <w:name w:val="List Paragraph"/>
    <w:basedOn w:val="Normale"/>
    <w:uiPriority w:val="34"/>
    <w:qFormat/>
    <w:rsid w:val="000121F7"/>
    <w:pPr>
      <w:ind w:left="720"/>
      <w:contextualSpacing/>
    </w:pPr>
  </w:style>
  <w:style w:type="character" w:styleId="Enfasiintensa">
    <w:name w:val="Intense Emphasis"/>
    <w:basedOn w:val="Carpredefinitoparagrafo"/>
    <w:uiPriority w:val="21"/>
    <w:qFormat/>
    <w:rsid w:val="000121F7"/>
    <w:rPr>
      <w:i/>
      <w:iCs/>
      <w:color w:val="0F4761" w:themeColor="accent1" w:themeShade="BF"/>
    </w:rPr>
  </w:style>
  <w:style w:type="paragraph" w:styleId="Citazioneintensa">
    <w:name w:val="Intense Quote"/>
    <w:basedOn w:val="Normale"/>
    <w:next w:val="Normale"/>
    <w:link w:val="CitazioneintensaCarattere"/>
    <w:uiPriority w:val="30"/>
    <w:qFormat/>
    <w:rsid w:val="00012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121F7"/>
    <w:rPr>
      <w:i/>
      <w:iCs/>
      <w:color w:val="0F4761" w:themeColor="accent1" w:themeShade="BF"/>
    </w:rPr>
  </w:style>
  <w:style w:type="character" w:styleId="Riferimentointenso">
    <w:name w:val="Intense Reference"/>
    <w:basedOn w:val="Carpredefinitoparagrafo"/>
    <w:uiPriority w:val="32"/>
    <w:qFormat/>
    <w:rsid w:val="000121F7"/>
    <w:rPr>
      <w:b/>
      <w:bCs/>
      <w:smallCaps/>
      <w:color w:val="0F4761" w:themeColor="accent1" w:themeShade="BF"/>
      <w:spacing w:val="5"/>
    </w:rPr>
  </w:style>
  <w:style w:type="character" w:styleId="Collegamentoipertestuale">
    <w:name w:val="Hyperlink"/>
    <w:basedOn w:val="Carpredefinitoparagrafo"/>
    <w:uiPriority w:val="99"/>
    <w:unhideWhenUsed/>
    <w:rsid w:val="00DC2523"/>
    <w:rPr>
      <w:color w:val="467886" w:themeColor="hyperlink"/>
      <w:u w:val="single"/>
    </w:rPr>
  </w:style>
  <w:style w:type="character" w:styleId="Testosegnaposto">
    <w:name w:val="Placeholder Text"/>
    <w:basedOn w:val="Carpredefinitoparagrafo"/>
    <w:uiPriority w:val="99"/>
    <w:semiHidden/>
    <w:rsid w:val="00D5758A"/>
    <w:rPr>
      <w:color w:val="666666"/>
    </w:rPr>
  </w:style>
  <w:style w:type="character" w:styleId="Menzionenonrisolta">
    <w:name w:val="Unresolved Mention"/>
    <w:basedOn w:val="Carpredefinitoparagrafo"/>
    <w:uiPriority w:val="99"/>
    <w:semiHidden/>
    <w:unhideWhenUsed/>
    <w:rsid w:val="000D5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86212">
      <w:bodyDiv w:val="1"/>
      <w:marLeft w:val="0"/>
      <w:marRight w:val="0"/>
      <w:marTop w:val="0"/>
      <w:marBottom w:val="0"/>
      <w:divBdr>
        <w:top w:val="none" w:sz="0" w:space="0" w:color="auto"/>
        <w:left w:val="none" w:sz="0" w:space="0" w:color="auto"/>
        <w:bottom w:val="none" w:sz="0" w:space="0" w:color="auto"/>
        <w:right w:val="none" w:sz="0" w:space="0" w:color="auto"/>
      </w:divBdr>
      <w:divsChild>
        <w:div w:id="113327858">
          <w:marLeft w:val="640"/>
          <w:marRight w:val="0"/>
          <w:marTop w:val="0"/>
          <w:marBottom w:val="0"/>
          <w:divBdr>
            <w:top w:val="none" w:sz="0" w:space="0" w:color="auto"/>
            <w:left w:val="none" w:sz="0" w:space="0" w:color="auto"/>
            <w:bottom w:val="none" w:sz="0" w:space="0" w:color="auto"/>
            <w:right w:val="none" w:sz="0" w:space="0" w:color="auto"/>
          </w:divBdr>
          <w:divsChild>
            <w:div w:id="863984556">
              <w:marLeft w:val="0"/>
              <w:marRight w:val="0"/>
              <w:marTop w:val="0"/>
              <w:marBottom w:val="0"/>
              <w:divBdr>
                <w:top w:val="none" w:sz="0" w:space="0" w:color="auto"/>
                <w:left w:val="none" w:sz="0" w:space="0" w:color="auto"/>
                <w:bottom w:val="none" w:sz="0" w:space="0" w:color="auto"/>
                <w:right w:val="none" w:sz="0" w:space="0" w:color="auto"/>
              </w:divBdr>
              <w:divsChild>
                <w:div w:id="1380011859">
                  <w:marLeft w:val="0"/>
                  <w:marRight w:val="0"/>
                  <w:marTop w:val="0"/>
                  <w:marBottom w:val="0"/>
                  <w:divBdr>
                    <w:top w:val="none" w:sz="0" w:space="0" w:color="auto"/>
                    <w:left w:val="none" w:sz="0" w:space="0" w:color="auto"/>
                    <w:bottom w:val="none" w:sz="0" w:space="0" w:color="auto"/>
                    <w:right w:val="none" w:sz="0" w:space="0" w:color="auto"/>
                  </w:divBdr>
                  <w:divsChild>
                    <w:div w:id="113602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120198">
          <w:marLeft w:val="640"/>
          <w:marRight w:val="0"/>
          <w:marTop w:val="0"/>
          <w:marBottom w:val="0"/>
          <w:divBdr>
            <w:top w:val="none" w:sz="0" w:space="0" w:color="auto"/>
            <w:left w:val="none" w:sz="0" w:space="0" w:color="auto"/>
            <w:bottom w:val="none" w:sz="0" w:space="0" w:color="auto"/>
            <w:right w:val="none" w:sz="0" w:space="0" w:color="auto"/>
          </w:divBdr>
        </w:div>
        <w:div w:id="164591815">
          <w:marLeft w:val="640"/>
          <w:marRight w:val="0"/>
          <w:marTop w:val="0"/>
          <w:marBottom w:val="0"/>
          <w:divBdr>
            <w:top w:val="none" w:sz="0" w:space="0" w:color="auto"/>
            <w:left w:val="none" w:sz="0" w:space="0" w:color="auto"/>
            <w:bottom w:val="none" w:sz="0" w:space="0" w:color="auto"/>
            <w:right w:val="none" w:sz="0" w:space="0" w:color="auto"/>
          </w:divBdr>
        </w:div>
        <w:div w:id="1924101140">
          <w:marLeft w:val="640"/>
          <w:marRight w:val="0"/>
          <w:marTop w:val="0"/>
          <w:marBottom w:val="0"/>
          <w:divBdr>
            <w:top w:val="none" w:sz="0" w:space="0" w:color="auto"/>
            <w:left w:val="none" w:sz="0" w:space="0" w:color="auto"/>
            <w:bottom w:val="none" w:sz="0" w:space="0" w:color="auto"/>
            <w:right w:val="none" w:sz="0" w:space="0" w:color="auto"/>
          </w:divBdr>
        </w:div>
        <w:div w:id="116339309">
          <w:marLeft w:val="640"/>
          <w:marRight w:val="0"/>
          <w:marTop w:val="0"/>
          <w:marBottom w:val="0"/>
          <w:divBdr>
            <w:top w:val="none" w:sz="0" w:space="0" w:color="auto"/>
            <w:left w:val="none" w:sz="0" w:space="0" w:color="auto"/>
            <w:bottom w:val="none" w:sz="0" w:space="0" w:color="auto"/>
            <w:right w:val="none" w:sz="0" w:space="0" w:color="auto"/>
          </w:divBdr>
        </w:div>
        <w:div w:id="1142041174">
          <w:marLeft w:val="640"/>
          <w:marRight w:val="0"/>
          <w:marTop w:val="0"/>
          <w:marBottom w:val="0"/>
          <w:divBdr>
            <w:top w:val="none" w:sz="0" w:space="0" w:color="auto"/>
            <w:left w:val="none" w:sz="0" w:space="0" w:color="auto"/>
            <w:bottom w:val="none" w:sz="0" w:space="0" w:color="auto"/>
            <w:right w:val="none" w:sz="0" w:space="0" w:color="auto"/>
          </w:divBdr>
        </w:div>
        <w:div w:id="1150828847">
          <w:marLeft w:val="640"/>
          <w:marRight w:val="0"/>
          <w:marTop w:val="0"/>
          <w:marBottom w:val="0"/>
          <w:divBdr>
            <w:top w:val="none" w:sz="0" w:space="0" w:color="auto"/>
            <w:left w:val="none" w:sz="0" w:space="0" w:color="auto"/>
            <w:bottom w:val="none" w:sz="0" w:space="0" w:color="auto"/>
            <w:right w:val="none" w:sz="0" w:space="0" w:color="auto"/>
          </w:divBdr>
        </w:div>
        <w:div w:id="2018462074">
          <w:marLeft w:val="640"/>
          <w:marRight w:val="0"/>
          <w:marTop w:val="0"/>
          <w:marBottom w:val="0"/>
          <w:divBdr>
            <w:top w:val="none" w:sz="0" w:space="0" w:color="auto"/>
            <w:left w:val="none" w:sz="0" w:space="0" w:color="auto"/>
            <w:bottom w:val="none" w:sz="0" w:space="0" w:color="auto"/>
            <w:right w:val="none" w:sz="0" w:space="0" w:color="auto"/>
          </w:divBdr>
        </w:div>
      </w:divsChild>
    </w:div>
    <w:div w:id="337925837">
      <w:bodyDiv w:val="1"/>
      <w:marLeft w:val="0"/>
      <w:marRight w:val="0"/>
      <w:marTop w:val="0"/>
      <w:marBottom w:val="0"/>
      <w:divBdr>
        <w:top w:val="none" w:sz="0" w:space="0" w:color="auto"/>
        <w:left w:val="none" w:sz="0" w:space="0" w:color="auto"/>
        <w:bottom w:val="none" w:sz="0" w:space="0" w:color="auto"/>
        <w:right w:val="none" w:sz="0" w:space="0" w:color="auto"/>
      </w:divBdr>
      <w:divsChild>
        <w:div w:id="1183319533">
          <w:marLeft w:val="640"/>
          <w:marRight w:val="0"/>
          <w:marTop w:val="0"/>
          <w:marBottom w:val="0"/>
          <w:divBdr>
            <w:top w:val="none" w:sz="0" w:space="0" w:color="auto"/>
            <w:left w:val="none" w:sz="0" w:space="0" w:color="auto"/>
            <w:bottom w:val="none" w:sz="0" w:space="0" w:color="auto"/>
            <w:right w:val="none" w:sz="0" w:space="0" w:color="auto"/>
          </w:divBdr>
        </w:div>
        <w:div w:id="1430470687">
          <w:marLeft w:val="640"/>
          <w:marRight w:val="0"/>
          <w:marTop w:val="0"/>
          <w:marBottom w:val="0"/>
          <w:divBdr>
            <w:top w:val="none" w:sz="0" w:space="0" w:color="auto"/>
            <w:left w:val="none" w:sz="0" w:space="0" w:color="auto"/>
            <w:bottom w:val="none" w:sz="0" w:space="0" w:color="auto"/>
            <w:right w:val="none" w:sz="0" w:space="0" w:color="auto"/>
          </w:divBdr>
        </w:div>
        <w:div w:id="1578595704">
          <w:marLeft w:val="640"/>
          <w:marRight w:val="0"/>
          <w:marTop w:val="0"/>
          <w:marBottom w:val="0"/>
          <w:divBdr>
            <w:top w:val="none" w:sz="0" w:space="0" w:color="auto"/>
            <w:left w:val="none" w:sz="0" w:space="0" w:color="auto"/>
            <w:bottom w:val="none" w:sz="0" w:space="0" w:color="auto"/>
            <w:right w:val="none" w:sz="0" w:space="0" w:color="auto"/>
          </w:divBdr>
        </w:div>
        <w:div w:id="1471753869">
          <w:marLeft w:val="640"/>
          <w:marRight w:val="0"/>
          <w:marTop w:val="0"/>
          <w:marBottom w:val="0"/>
          <w:divBdr>
            <w:top w:val="none" w:sz="0" w:space="0" w:color="auto"/>
            <w:left w:val="none" w:sz="0" w:space="0" w:color="auto"/>
            <w:bottom w:val="none" w:sz="0" w:space="0" w:color="auto"/>
            <w:right w:val="none" w:sz="0" w:space="0" w:color="auto"/>
          </w:divBdr>
        </w:div>
        <w:div w:id="524438850">
          <w:marLeft w:val="640"/>
          <w:marRight w:val="0"/>
          <w:marTop w:val="0"/>
          <w:marBottom w:val="0"/>
          <w:divBdr>
            <w:top w:val="none" w:sz="0" w:space="0" w:color="auto"/>
            <w:left w:val="none" w:sz="0" w:space="0" w:color="auto"/>
            <w:bottom w:val="none" w:sz="0" w:space="0" w:color="auto"/>
            <w:right w:val="none" w:sz="0" w:space="0" w:color="auto"/>
          </w:divBdr>
        </w:div>
        <w:div w:id="1045790372">
          <w:marLeft w:val="640"/>
          <w:marRight w:val="0"/>
          <w:marTop w:val="0"/>
          <w:marBottom w:val="0"/>
          <w:divBdr>
            <w:top w:val="none" w:sz="0" w:space="0" w:color="auto"/>
            <w:left w:val="none" w:sz="0" w:space="0" w:color="auto"/>
            <w:bottom w:val="none" w:sz="0" w:space="0" w:color="auto"/>
            <w:right w:val="none" w:sz="0" w:space="0" w:color="auto"/>
          </w:divBdr>
        </w:div>
      </w:divsChild>
    </w:div>
    <w:div w:id="392045600">
      <w:bodyDiv w:val="1"/>
      <w:marLeft w:val="0"/>
      <w:marRight w:val="0"/>
      <w:marTop w:val="0"/>
      <w:marBottom w:val="0"/>
      <w:divBdr>
        <w:top w:val="none" w:sz="0" w:space="0" w:color="auto"/>
        <w:left w:val="none" w:sz="0" w:space="0" w:color="auto"/>
        <w:bottom w:val="none" w:sz="0" w:space="0" w:color="auto"/>
        <w:right w:val="none" w:sz="0" w:space="0" w:color="auto"/>
      </w:divBdr>
      <w:divsChild>
        <w:div w:id="1176117929">
          <w:marLeft w:val="640"/>
          <w:marRight w:val="0"/>
          <w:marTop w:val="0"/>
          <w:marBottom w:val="0"/>
          <w:divBdr>
            <w:top w:val="none" w:sz="0" w:space="0" w:color="auto"/>
            <w:left w:val="none" w:sz="0" w:space="0" w:color="auto"/>
            <w:bottom w:val="none" w:sz="0" w:space="0" w:color="auto"/>
            <w:right w:val="none" w:sz="0" w:space="0" w:color="auto"/>
          </w:divBdr>
        </w:div>
        <w:div w:id="1336153688">
          <w:marLeft w:val="640"/>
          <w:marRight w:val="0"/>
          <w:marTop w:val="0"/>
          <w:marBottom w:val="0"/>
          <w:divBdr>
            <w:top w:val="none" w:sz="0" w:space="0" w:color="auto"/>
            <w:left w:val="none" w:sz="0" w:space="0" w:color="auto"/>
            <w:bottom w:val="none" w:sz="0" w:space="0" w:color="auto"/>
            <w:right w:val="none" w:sz="0" w:space="0" w:color="auto"/>
          </w:divBdr>
        </w:div>
        <w:div w:id="1682050222">
          <w:marLeft w:val="640"/>
          <w:marRight w:val="0"/>
          <w:marTop w:val="0"/>
          <w:marBottom w:val="0"/>
          <w:divBdr>
            <w:top w:val="none" w:sz="0" w:space="0" w:color="auto"/>
            <w:left w:val="none" w:sz="0" w:space="0" w:color="auto"/>
            <w:bottom w:val="none" w:sz="0" w:space="0" w:color="auto"/>
            <w:right w:val="none" w:sz="0" w:space="0" w:color="auto"/>
          </w:divBdr>
        </w:div>
        <w:div w:id="1412698593">
          <w:marLeft w:val="640"/>
          <w:marRight w:val="0"/>
          <w:marTop w:val="0"/>
          <w:marBottom w:val="0"/>
          <w:divBdr>
            <w:top w:val="none" w:sz="0" w:space="0" w:color="auto"/>
            <w:left w:val="none" w:sz="0" w:space="0" w:color="auto"/>
            <w:bottom w:val="none" w:sz="0" w:space="0" w:color="auto"/>
            <w:right w:val="none" w:sz="0" w:space="0" w:color="auto"/>
          </w:divBdr>
        </w:div>
        <w:div w:id="1840919718">
          <w:marLeft w:val="640"/>
          <w:marRight w:val="0"/>
          <w:marTop w:val="0"/>
          <w:marBottom w:val="0"/>
          <w:divBdr>
            <w:top w:val="none" w:sz="0" w:space="0" w:color="auto"/>
            <w:left w:val="none" w:sz="0" w:space="0" w:color="auto"/>
            <w:bottom w:val="none" w:sz="0" w:space="0" w:color="auto"/>
            <w:right w:val="none" w:sz="0" w:space="0" w:color="auto"/>
          </w:divBdr>
        </w:div>
        <w:div w:id="518281992">
          <w:marLeft w:val="640"/>
          <w:marRight w:val="0"/>
          <w:marTop w:val="0"/>
          <w:marBottom w:val="0"/>
          <w:divBdr>
            <w:top w:val="none" w:sz="0" w:space="0" w:color="auto"/>
            <w:left w:val="none" w:sz="0" w:space="0" w:color="auto"/>
            <w:bottom w:val="none" w:sz="0" w:space="0" w:color="auto"/>
            <w:right w:val="none" w:sz="0" w:space="0" w:color="auto"/>
          </w:divBdr>
        </w:div>
        <w:div w:id="1788353338">
          <w:marLeft w:val="640"/>
          <w:marRight w:val="0"/>
          <w:marTop w:val="0"/>
          <w:marBottom w:val="0"/>
          <w:divBdr>
            <w:top w:val="none" w:sz="0" w:space="0" w:color="auto"/>
            <w:left w:val="none" w:sz="0" w:space="0" w:color="auto"/>
            <w:bottom w:val="none" w:sz="0" w:space="0" w:color="auto"/>
            <w:right w:val="none" w:sz="0" w:space="0" w:color="auto"/>
          </w:divBdr>
        </w:div>
        <w:div w:id="750470452">
          <w:marLeft w:val="640"/>
          <w:marRight w:val="0"/>
          <w:marTop w:val="0"/>
          <w:marBottom w:val="0"/>
          <w:divBdr>
            <w:top w:val="none" w:sz="0" w:space="0" w:color="auto"/>
            <w:left w:val="none" w:sz="0" w:space="0" w:color="auto"/>
            <w:bottom w:val="none" w:sz="0" w:space="0" w:color="auto"/>
            <w:right w:val="none" w:sz="0" w:space="0" w:color="auto"/>
          </w:divBdr>
        </w:div>
      </w:divsChild>
    </w:div>
    <w:div w:id="922378443">
      <w:bodyDiv w:val="1"/>
      <w:marLeft w:val="0"/>
      <w:marRight w:val="0"/>
      <w:marTop w:val="0"/>
      <w:marBottom w:val="0"/>
      <w:divBdr>
        <w:top w:val="none" w:sz="0" w:space="0" w:color="auto"/>
        <w:left w:val="none" w:sz="0" w:space="0" w:color="auto"/>
        <w:bottom w:val="none" w:sz="0" w:space="0" w:color="auto"/>
        <w:right w:val="none" w:sz="0" w:space="0" w:color="auto"/>
      </w:divBdr>
      <w:divsChild>
        <w:div w:id="1422098096">
          <w:marLeft w:val="640"/>
          <w:marRight w:val="0"/>
          <w:marTop w:val="0"/>
          <w:marBottom w:val="0"/>
          <w:divBdr>
            <w:top w:val="none" w:sz="0" w:space="0" w:color="auto"/>
            <w:left w:val="none" w:sz="0" w:space="0" w:color="auto"/>
            <w:bottom w:val="none" w:sz="0" w:space="0" w:color="auto"/>
            <w:right w:val="none" w:sz="0" w:space="0" w:color="auto"/>
          </w:divBdr>
        </w:div>
        <w:div w:id="2102945583">
          <w:marLeft w:val="640"/>
          <w:marRight w:val="0"/>
          <w:marTop w:val="0"/>
          <w:marBottom w:val="0"/>
          <w:divBdr>
            <w:top w:val="none" w:sz="0" w:space="0" w:color="auto"/>
            <w:left w:val="none" w:sz="0" w:space="0" w:color="auto"/>
            <w:bottom w:val="none" w:sz="0" w:space="0" w:color="auto"/>
            <w:right w:val="none" w:sz="0" w:space="0" w:color="auto"/>
          </w:divBdr>
        </w:div>
        <w:div w:id="1986659496">
          <w:marLeft w:val="640"/>
          <w:marRight w:val="0"/>
          <w:marTop w:val="0"/>
          <w:marBottom w:val="0"/>
          <w:divBdr>
            <w:top w:val="none" w:sz="0" w:space="0" w:color="auto"/>
            <w:left w:val="none" w:sz="0" w:space="0" w:color="auto"/>
            <w:bottom w:val="none" w:sz="0" w:space="0" w:color="auto"/>
            <w:right w:val="none" w:sz="0" w:space="0" w:color="auto"/>
          </w:divBdr>
        </w:div>
        <w:div w:id="1436705126">
          <w:marLeft w:val="640"/>
          <w:marRight w:val="0"/>
          <w:marTop w:val="0"/>
          <w:marBottom w:val="0"/>
          <w:divBdr>
            <w:top w:val="none" w:sz="0" w:space="0" w:color="auto"/>
            <w:left w:val="none" w:sz="0" w:space="0" w:color="auto"/>
            <w:bottom w:val="none" w:sz="0" w:space="0" w:color="auto"/>
            <w:right w:val="none" w:sz="0" w:space="0" w:color="auto"/>
          </w:divBdr>
        </w:div>
        <w:div w:id="300576124">
          <w:marLeft w:val="640"/>
          <w:marRight w:val="0"/>
          <w:marTop w:val="0"/>
          <w:marBottom w:val="0"/>
          <w:divBdr>
            <w:top w:val="none" w:sz="0" w:space="0" w:color="auto"/>
            <w:left w:val="none" w:sz="0" w:space="0" w:color="auto"/>
            <w:bottom w:val="none" w:sz="0" w:space="0" w:color="auto"/>
            <w:right w:val="none" w:sz="0" w:space="0" w:color="auto"/>
          </w:divBdr>
        </w:div>
        <w:div w:id="1682775857">
          <w:marLeft w:val="640"/>
          <w:marRight w:val="0"/>
          <w:marTop w:val="0"/>
          <w:marBottom w:val="0"/>
          <w:divBdr>
            <w:top w:val="none" w:sz="0" w:space="0" w:color="auto"/>
            <w:left w:val="none" w:sz="0" w:space="0" w:color="auto"/>
            <w:bottom w:val="none" w:sz="0" w:space="0" w:color="auto"/>
            <w:right w:val="none" w:sz="0" w:space="0" w:color="auto"/>
          </w:divBdr>
        </w:div>
      </w:divsChild>
    </w:div>
    <w:div w:id="956713234">
      <w:bodyDiv w:val="1"/>
      <w:marLeft w:val="0"/>
      <w:marRight w:val="0"/>
      <w:marTop w:val="0"/>
      <w:marBottom w:val="0"/>
      <w:divBdr>
        <w:top w:val="none" w:sz="0" w:space="0" w:color="auto"/>
        <w:left w:val="none" w:sz="0" w:space="0" w:color="auto"/>
        <w:bottom w:val="none" w:sz="0" w:space="0" w:color="auto"/>
        <w:right w:val="none" w:sz="0" w:space="0" w:color="auto"/>
      </w:divBdr>
      <w:divsChild>
        <w:div w:id="1697655437">
          <w:marLeft w:val="640"/>
          <w:marRight w:val="0"/>
          <w:marTop w:val="0"/>
          <w:marBottom w:val="0"/>
          <w:divBdr>
            <w:top w:val="none" w:sz="0" w:space="0" w:color="auto"/>
            <w:left w:val="none" w:sz="0" w:space="0" w:color="auto"/>
            <w:bottom w:val="none" w:sz="0" w:space="0" w:color="auto"/>
            <w:right w:val="none" w:sz="0" w:space="0" w:color="auto"/>
          </w:divBdr>
        </w:div>
        <w:div w:id="764375312">
          <w:marLeft w:val="640"/>
          <w:marRight w:val="0"/>
          <w:marTop w:val="0"/>
          <w:marBottom w:val="0"/>
          <w:divBdr>
            <w:top w:val="none" w:sz="0" w:space="0" w:color="auto"/>
            <w:left w:val="none" w:sz="0" w:space="0" w:color="auto"/>
            <w:bottom w:val="none" w:sz="0" w:space="0" w:color="auto"/>
            <w:right w:val="none" w:sz="0" w:space="0" w:color="auto"/>
          </w:divBdr>
        </w:div>
        <w:div w:id="768428826">
          <w:marLeft w:val="640"/>
          <w:marRight w:val="0"/>
          <w:marTop w:val="0"/>
          <w:marBottom w:val="0"/>
          <w:divBdr>
            <w:top w:val="none" w:sz="0" w:space="0" w:color="auto"/>
            <w:left w:val="none" w:sz="0" w:space="0" w:color="auto"/>
            <w:bottom w:val="none" w:sz="0" w:space="0" w:color="auto"/>
            <w:right w:val="none" w:sz="0" w:space="0" w:color="auto"/>
          </w:divBdr>
        </w:div>
        <w:div w:id="78411399">
          <w:marLeft w:val="640"/>
          <w:marRight w:val="0"/>
          <w:marTop w:val="0"/>
          <w:marBottom w:val="0"/>
          <w:divBdr>
            <w:top w:val="none" w:sz="0" w:space="0" w:color="auto"/>
            <w:left w:val="none" w:sz="0" w:space="0" w:color="auto"/>
            <w:bottom w:val="none" w:sz="0" w:space="0" w:color="auto"/>
            <w:right w:val="none" w:sz="0" w:space="0" w:color="auto"/>
          </w:divBdr>
        </w:div>
        <w:div w:id="1879581544">
          <w:marLeft w:val="640"/>
          <w:marRight w:val="0"/>
          <w:marTop w:val="0"/>
          <w:marBottom w:val="0"/>
          <w:divBdr>
            <w:top w:val="none" w:sz="0" w:space="0" w:color="auto"/>
            <w:left w:val="none" w:sz="0" w:space="0" w:color="auto"/>
            <w:bottom w:val="none" w:sz="0" w:space="0" w:color="auto"/>
            <w:right w:val="none" w:sz="0" w:space="0" w:color="auto"/>
          </w:divBdr>
        </w:div>
        <w:div w:id="1156074761">
          <w:marLeft w:val="640"/>
          <w:marRight w:val="0"/>
          <w:marTop w:val="0"/>
          <w:marBottom w:val="0"/>
          <w:divBdr>
            <w:top w:val="none" w:sz="0" w:space="0" w:color="auto"/>
            <w:left w:val="none" w:sz="0" w:space="0" w:color="auto"/>
            <w:bottom w:val="none" w:sz="0" w:space="0" w:color="auto"/>
            <w:right w:val="none" w:sz="0" w:space="0" w:color="auto"/>
          </w:divBdr>
        </w:div>
        <w:div w:id="331179862">
          <w:marLeft w:val="640"/>
          <w:marRight w:val="0"/>
          <w:marTop w:val="0"/>
          <w:marBottom w:val="0"/>
          <w:divBdr>
            <w:top w:val="none" w:sz="0" w:space="0" w:color="auto"/>
            <w:left w:val="none" w:sz="0" w:space="0" w:color="auto"/>
            <w:bottom w:val="none" w:sz="0" w:space="0" w:color="auto"/>
            <w:right w:val="none" w:sz="0" w:space="0" w:color="auto"/>
          </w:divBdr>
        </w:div>
        <w:div w:id="1077557949">
          <w:marLeft w:val="640"/>
          <w:marRight w:val="0"/>
          <w:marTop w:val="0"/>
          <w:marBottom w:val="0"/>
          <w:divBdr>
            <w:top w:val="none" w:sz="0" w:space="0" w:color="auto"/>
            <w:left w:val="none" w:sz="0" w:space="0" w:color="auto"/>
            <w:bottom w:val="none" w:sz="0" w:space="0" w:color="auto"/>
            <w:right w:val="none" w:sz="0" w:space="0" w:color="auto"/>
          </w:divBdr>
        </w:div>
      </w:divsChild>
    </w:div>
    <w:div w:id="1044672620">
      <w:bodyDiv w:val="1"/>
      <w:marLeft w:val="0"/>
      <w:marRight w:val="0"/>
      <w:marTop w:val="0"/>
      <w:marBottom w:val="0"/>
      <w:divBdr>
        <w:top w:val="none" w:sz="0" w:space="0" w:color="auto"/>
        <w:left w:val="none" w:sz="0" w:space="0" w:color="auto"/>
        <w:bottom w:val="none" w:sz="0" w:space="0" w:color="auto"/>
        <w:right w:val="none" w:sz="0" w:space="0" w:color="auto"/>
      </w:divBdr>
      <w:divsChild>
        <w:div w:id="1280524890">
          <w:marLeft w:val="640"/>
          <w:marRight w:val="0"/>
          <w:marTop w:val="0"/>
          <w:marBottom w:val="0"/>
          <w:divBdr>
            <w:top w:val="none" w:sz="0" w:space="0" w:color="auto"/>
            <w:left w:val="none" w:sz="0" w:space="0" w:color="auto"/>
            <w:bottom w:val="none" w:sz="0" w:space="0" w:color="auto"/>
            <w:right w:val="none" w:sz="0" w:space="0" w:color="auto"/>
          </w:divBdr>
        </w:div>
        <w:div w:id="1770928727">
          <w:marLeft w:val="640"/>
          <w:marRight w:val="0"/>
          <w:marTop w:val="0"/>
          <w:marBottom w:val="0"/>
          <w:divBdr>
            <w:top w:val="none" w:sz="0" w:space="0" w:color="auto"/>
            <w:left w:val="none" w:sz="0" w:space="0" w:color="auto"/>
            <w:bottom w:val="none" w:sz="0" w:space="0" w:color="auto"/>
            <w:right w:val="none" w:sz="0" w:space="0" w:color="auto"/>
          </w:divBdr>
        </w:div>
        <w:div w:id="1867865749">
          <w:marLeft w:val="640"/>
          <w:marRight w:val="0"/>
          <w:marTop w:val="0"/>
          <w:marBottom w:val="0"/>
          <w:divBdr>
            <w:top w:val="none" w:sz="0" w:space="0" w:color="auto"/>
            <w:left w:val="none" w:sz="0" w:space="0" w:color="auto"/>
            <w:bottom w:val="none" w:sz="0" w:space="0" w:color="auto"/>
            <w:right w:val="none" w:sz="0" w:space="0" w:color="auto"/>
          </w:divBdr>
        </w:div>
        <w:div w:id="366880480">
          <w:marLeft w:val="640"/>
          <w:marRight w:val="0"/>
          <w:marTop w:val="0"/>
          <w:marBottom w:val="0"/>
          <w:divBdr>
            <w:top w:val="none" w:sz="0" w:space="0" w:color="auto"/>
            <w:left w:val="none" w:sz="0" w:space="0" w:color="auto"/>
            <w:bottom w:val="none" w:sz="0" w:space="0" w:color="auto"/>
            <w:right w:val="none" w:sz="0" w:space="0" w:color="auto"/>
          </w:divBdr>
        </w:div>
        <w:div w:id="532303685">
          <w:marLeft w:val="640"/>
          <w:marRight w:val="0"/>
          <w:marTop w:val="0"/>
          <w:marBottom w:val="0"/>
          <w:divBdr>
            <w:top w:val="none" w:sz="0" w:space="0" w:color="auto"/>
            <w:left w:val="none" w:sz="0" w:space="0" w:color="auto"/>
            <w:bottom w:val="none" w:sz="0" w:space="0" w:color="auto"/>
            <w:right w:val="none" w:sz="0" w:space="0" w:color="auto"/>
          </w:divBdr>
        </w:div>
        <w:div w:id="1295253909">
          <w:marLeft w:val="640"/>
          <w:marRight w:val="0"/>
          <w:marTop w:val="0"/>
          <w:marBottom w:val="0"/>
          <w:divBdr>
            <w:top w:val="none" w:sz="0" w:space="0" w:color="auto"/>
            <w:left w:val="none" w:sz="0" w:space="0" w:color="auto"/>
            <w:bottom w:val="none" w:sz="0" w:space="0" w:color="auto"/>
            <w:right w:val="none" w:sz="0" w:space="0" w:color="auto"/>
          </w:divBdr>
        </w:div>
        <w:div w:id="804931321">
          <w:marLeft w:val="640"/>
          <w:marRight w:val="0"/>
          <w:marTop w:val="0"/>
          <w:marBottom w:val="0"/>
          <w:divBdr>
            <w:top w:val="none" w:sz="0" w:space="0" w:color="auto"/>
            <w:left w:val="none" w:sz="0" w:space="0" w:color="auto"/>
            <w:bottom w:val="none" w:sz="0" w:space="0" w:color="auto"/>
            <w:right w:val="none" w:sz="0" w:space="0" w:color="auto"/>
          </w:divBdr>
        </w:div>
        <w:div w:id="1052272909">
          <w:marLeft w:val="640"/>
          <w:marRight w:val="0"/>
          <w:marTop w:val="0"/>
          <w:marBottom w:val="0"/>
          <w:divBdr>
            <w:top w:val="none" w:sz="0" w:space="0" w:color="auto"/>
            <w:left w:val="none" w:sz="0" w:space="0" w:color="auto"/>
            <w:bottom w:val="none" w:sz="0" w:space="0" w:color="auto"/>
            <w:right w:val="none" w:sz="0" w:space="0" w:color="auto"/>
          </w:divBdr>
        </w:div>
      </w:divsChild>
    </w:div>
    <w:div w:id="1567572982">
      <w:bodyDiv w:val="1"/>
      <w:marLeft w:val="0"/>
      <w:marRight w:val="0"/>
      <w:marTop w:val="0"/>
      <w:marBottom w:val="0"/>
      <w:divBdr>
        <w:top w:val="none" w:sz="0" w:space="0" w:color="auto"/>
        <w:left w:val="none" w:sz="0" w:space="0" w:color="auto"/>
        <w:bottom w:val="none" w:sz="0" w:space="0" w:color="auto"/>
        <w:right w:val="none" w:sz="0" w:space="0" w:color="auto"/>
      </w:divBdr>
      <w:divsChild>
        <w:div w:id="1400443327">
          <w:marLeft w:val="640"/>
          <w:marRight w:val="0"/>
          <w:marTop w:val="0"/>
          <w:marBottom w:val="0"/>
          <w:divBdr>
            <w:top w:val="none" w:sz="0" w:space="0" w:color="auto"/>
            <w:left w:val="none" w:sz="0" w:space="0" w:color="auto"/>
            <w:bottom w:val="none" w:sz="0" w:space="0" w:color="auto"/>
            <w:right w:val="none" w:sz="0" w:space="0" w:color="auto"/>
          </w:divBdr>
        </w:div>
        <w:div w:id="1063674283">
          <w:marLeft w:val="640"/>
          <w:marRight w:val="0"/>
          <w:marTop w:val="0"/>
          <w:marBottom w:val="0"/>
          <w:divBdr>
            <w:top w:val="none" w:sz="0" w:space="0" w:color="auto"/>
            <w:left w:val="none" w:sz="0" w:space="0" w:color="auto"/>
            <w:bottom w:val="none" w:sz="0" w:space="0" w:color="auto"/>
            <w:right w:val="none" w:sz="0" w:space="0" w:color="auto"/>
          </w:divBdr>
        </w:div>
        <w:div w:id="1064177335">
          <w:marLeft w:val="640"/>
          <w:marRight w:val="0"/>
          <w:marTop w:val="0"/>
          <w:marBottom w:val="0"/>
          <w:divBdr>
            <w:top w:val="none" w:sz="0" w:space="0" w:color="auto"/>
            <w:left w:val="none" w:sz="0" w:space="0" w:color="auto"/>
            <w:bottom w:val="none" w:sz="0" w:space="0" w:color="auto"/>
            <w:right w:val="none" w:sz="0" w:space="0" w:color="auto"/>
          </w:divBdr>
        </w:div>
        <w:div w:id="148333402">
          <w:marLeft w:val="640"/>
          <w:marRight w:val="0"/>
          <w:marTop w:val="0"/>
          <w:marBottom w:val="0"/>
          <w:divBdr>
            <w:top w:val="none" w:sz="0" w:space="0" w:color="auto"/>
            <w:left w:val="none" w:sz="0" w:space="0" w:color="auto"/>
            <w:bottom w:val="none" w:sz="0" w:space="0" w:color="auto"/>
            <w:right w:val="none" w:sz="0" w:space="0" w:color="auto"/>
          </w:divBdr>
        </w:div>
        <w:div w:id="908198148">
          <w:marLeft w:val="640"/>
          <w:marRight w:val="0"/>
          <w:marTop w:val="0"/>
          <w:marBottom w:val="0"/>
          <w:divBdr>
            <w:top w:val="none" w:sz="0" w:space="0" w:color="auto"/>
            <w:left w:val="none" w:sz="0" w:space="0" w:color="auto"/>
            <w:bottom w:val="none" w:sz="0" w:space="0" w:color="auto"/>
            <w:right w:val="none" w:sz="0" w:space="0" w:color="auto"/>
          </w:divBdr>
        </w:div>
        <w:div w:id="820922422">
          <w:marLeft w:val="640"/>
          <w:marRight w:val="0"/>
          <w:marTop w:val="0"/>
          <w:marBottom w:val="0"/>
          <w:divBdr>
            <w:top w:val="none" w:sz="0" w:space="0" w:color="auto"/>
            <w:left w:val="none" w:sz="0" w:space="0" w:color="auto"/>
            <w:bottom w:val="none" w:sz="0" w:space="0" w:color="auto"/>
            <w:right w:val="none" w:sz="0" w:space="0" w:color="auto"/>
          </w:divBdr>
        </w:div>
      </w:divsChild>
    </w:div>
    <w:div w:id="1728458721">
      <w:bodyDiv w:val="1"/>
      <w:marLeft w:val="0"/>
      <w:marRight w:val="0"/>
      <w:marTop w:val="0"/>
      <w:marBottom w:val="0"/>
      <w:divBdr>
        <w:top w:val="none" w:sz="0" w:space="0" w:color="auto"/>
        <w:left w:val="none" w:sz="0" w:space="0" w:color="auto"/>
        <w:bottom w:val="none" w:sz="0" w:space="0" w:color="auto"/>
        <w:right w:val="none" w:sz="0" w:space="0" w:color="auto"/>
      </w:divBdr>
      <w:divsChild>
        <w:div w:id="1257397614">
          <w:marLeft w:val="640"/>
          <w:marRight w:val="0"/>
          <w:marTop w:val="0"/>
          <w:marBottom w:val="0"/>
          <w:divBdr>
            <w:top w:val="none" w:sz="0" w:space="0" w:color="auto"/>
            <w:left w:val="none" w:sz="0" w:space="0" w:color="auto"/>
            <w:bottom w:val="none" w:sz="0" w:space="0" w:color="auto"/>
            <w:right w:val="none" w:sz="0" w:space="0" w:color="auto"/>
          </w:divBdr>
        </w:div>
        <w:div w:id="1246450056">
          <w:marLeft w:val="640"/>
          <w:marRight w:val="0"/>
          <w:marTop w:val="0"/>
          <w:marBottom w:val="0"/>
          <w:divBdr>
            <w:top w:val="none" w:sz="0" w:space="0" w:color="auto"/>
            <w:left w:val="none" w:sz="0" w:space="0" w:color="auto"/>
            <w:bottom w:val="none" w:sz="0" w:space="0" w:color="auto"/>
            <w:right w:val="none" w:sz="0" w:space="0" w:color="auto"/>
          </w:divBdr>
        </w:div>
        <w:div w:id="1522083379">
          <w:marLeft w:val="640"/>
          <w:marRight w:val="0"/>
          <w:marTop w:val="0"/>
          <w:marBottom w:val="0"/>
          <w:divBdr>
            <w:top w:val="none" w:sz="0" w:space="0" w:color="auto"/>
            <w:left w:val="none" w:sz="0" w:space="0" w:color="auto"/>
            <w:bottom w:val="none" w:sz="0" w:space="0" w:color="auto"/>
            <w:right w:val="none" w:sz="0" w:space="0" w:color="auto"/>
          </w:divBdr>
        </w:div>
        <w:div w:id="1260485651">
          <w:marLeft w:val="640"/>
          <w:marRight w:val="0"/>
          <w:marTop w:val="0"/>
          <w:marBottom w:val="0"/>
          <w:divBdr>
            <w:top w:val="none" w:sz="0" w:space="0" w:color="auto"/>
            <w:left w:val="none" w:sz="0" w:space="0" w:color="auto"/>
            <w:bottom w:val="none" w:sz="0" w:space="0" w:color="auto"/>
            <w:right w:val="none" w:sz="0" w:space="0" w:color="auto"/>
          </w:divBdr>
        </w:div>
        <w:div w:id="198904293">
          <w:marLeft w:val="640"/>
          <w:marRight w:val="0"/>
          <w:marTop w:val="0"/>
          <w:marBottom w:val="0"/>
          <w:divBdr>
            <w:top w:val="none" w:sz="0" w:space="0" w:color="auto"/>
            <w:left w:val="none" w:sz="0" w:space="0" w:color="auto"/>
            <w:bottom w:val="none" w:sz="0" w:space="0" w:color="auto"/>
            <w:right w:val="none" w:sz="0" w:space="0" w:color="auto"/>
          </w:divBdr>
        </w:div>
        <w:div w:id="1808235748">
          <w:marLeft w:val="640"/>
          <w:marRight w:val="0"/>
          <w:marTop w:val="0"/>
          <w:marBottom w:val="0"/>
          <w:divBdr>
            <w:top w:val="none" w:sz="0" w:space="0" w:color="auto"/>
            <w:left w:val="none" w:sz="0" w:space="0" w:color="auto"/>
            <w:bottom w:val="none" w:sz="0" w:space="0" w:color="auto"/>
            <w:right w:val="none" w:sz="0" w:space="0" w:color="auto"/>
          </w:divBdr>
        </w:div>
        <w:div w:id="1740665518">
          <w:marLeft w:val="640"/>
          <w:marRight w:val="0"/>
          <w:marTop w:val="0"/>
          <w:marBottom w:val="0"/>
          <w:divBdr>
            <w:top w:val="none" w:sz="0" w:space="0" w:color="auto"/>
            <w:left w:val="none" w:sz="0" w:space="0" w:color="auto"/>
            <w:bottom w:val="none" w:sz="0" w:space="0" w:color="auto"/>
            <w:right w:val="none" w:sz="0" w:space="0" w:color="auto"/>
          </w:divBdr>
        </w:div>
      </w:divsChild>
    </w:div>
    <w:div w:id="1973754874">
      <w:bodyDiv w:val="1"/>
      <w:marLeft w:val="0"/>
      <w:marRight w:val="0"/>
      <w:marTop w:val="0"/>
      <w:marBottom w:val="0"/>
      <w:divBdr>
        <w:top w:val="none" w:sz="0" w:space="0" w:color="auto"/>
        <w:left w:val="none" w:sz="0" w:space="0" w:color="auto"/>
        <w:bottom w:val="none" w:sz="0" w:space="0" w:color="auto"/>
        <w:right w:val="none" w:sz="0" w:space="0" w:color="auto"/>
      </w:divBdr>
      <w:divsChild>
        <w:div w:id="1033579088">
          <w:marLeft w:val="640"/>
          <w:marRight w:val="0"/>
          <w:marTop w:val="0"/>
          <w:marBottom w:val="0"/>
          <w:divBdr>
            <w:top w:val="none" w:sz="0" w:space="0" w:color="auto"/>
            <w:left w:val="none" w:sz="0" w:space="0" w:color="auto"/>
            <w:bottom w:val="none" w:sz="0" w:space="0" w:color="auto"/>
            <w:right w:val="none" w:sz="0" w:space="0" w:color="auto"/>
          </w:divBdr>
        </w:div>
        <w:div w:id="336734947">
          <w:marLeft w:val="640"/>
          <w:marRight w:val="0"/>
          <w:marTop w:val="0"/>
          <w:marBottom w:val="0"/>
          <w:divBdr>
            <w:top w:val="none" w:sz="0" w:space="0" w:color="auto"/>
            <w:left w:val="none" w:sz="0" w:space="0" w:color="auto"/>
            <w:bottom w:val="none" w:sz="0" w:space="0" w:color="auto"/>
            <w:right w:val="none" w:sz="0" w:space="0" w:color="auto"/>
          </w:divBdr>
        </w:div>
        <w:div w:id="1914972333">
          <w:marLeft w:val="640"/>
          <w:marRight w:val="0"/>
          <w:marTop w:val="0"/>
          <w:marBottom w:val="0"/>
          <w:divBdr>
            <w:top w:val="none" w:sz="0" w:space="0" w:color="auto"/>
            <w:left w:val="none" w:sz="0" w:space="0" w:color="auto"/>
            <w:bottom w:val="none" w:sz="0" w:space="0" w:color="auto"/>
            <w:right w:val="none" w:sz="0" w:space="0" w:color="auto"/>
          </w:divBdr>
        </w:div>
        <w:div w:id="637490823">
          <w:marLeft w:val="640"/>
          <w:marRight w:val="0"/>
          <w:marTop w:val="0"/>
          <w:marBottom w:val="0"/>
          <w:divBdr>
            <w:top w:val="none" w:sz="0" w:space="0" w:color="auto"/>
            <w:left w:val="none" w:sz="0" w:space="0" w:color="auto"/>
            <w:bottom w:val="none" w:sz="0" w:space="0" w:color="auto"/>
            <w:right w:val="none" w:sz="0" w:space="0" w:color="auto"/>
          </w:divBdr>
        </w:div>
        <w:div w:id="783429541">
          <w:marLeft w:val="640"/>
          <w:marRight w:val="0"/>
          <w:marTop w:val="0"/>
          <w:marBottom w:val="0"/>
          <w:divBdr>
            <w:top w:val="none" w:sz="0" w:space="0" w:color="auto"/>
            <w:left w:val="none" w:sz="0" w:space="0" w:color="auto"/>
            <w:bottom w:val="none" w:sz="0" w:space="0" w:color="auto"/>
            <w:right w:val="none" w:sz="0" w:space="0" w:color="auto"/>
          </w:divBdr>
        </w:div>
        <w:div w:id="460348642">
          <w:marLeft w:val="640"/>
          <w:marRight w:val="0"/>
          <w:marTop w:val="0"/>
          <w:marBottom w:val="0"/>
          <w:divBdr>
            <w:top w:val="none" w:sz="0" w:space="0" w:color="auto"/>
            <w:left w:val="none" w:sz="0" w:space="0" w:color="auto"/>
            <w:bottom w:val="none" w:sz="0" w:space="0" w:color="auto"/>
            <w:right w:val="none" w:sz="0" w:space="0" w:color="auto"/>
          </w:divBdr>
        </w:div>
        <w:div w:id="452868710">
          <w:marLeft w:val="640"/>
          <w:marRight w:val="0"/>
          <w:marTop w:val="0"/>
          <w:marBottom w:val="0"/>
          <w:divBdr>
            <w:top w:val="none" w:sz="0" w:space="0" w:color="auto"/>
            <w:left w:val="none" w:sz="0" w:space="0" w:color="auto"/>
            <w:bottom w:val="none" w:sz="0" w:space="0" w:color="auto"/>
            <w:right w:val="none" w:sz="0" w:space="0" w:color="auto"/>
          </w:divBdr>
        </w:div>
        <w:div w:id="1252547588">
          <w:marLeft w:val="640"/>
          <w:marRight w:val="0"/>
          <w:marTop w:val="0"/>
          <w:marBottom w:val="0"/>
          <w:divBdr>
            <w:top w:val="none" w:sz="0" w:space="0" w:color="auto"/>
            <w:left w:val="none" w:sz="0" w:space="0" w:color="auto"/>
            <w:bottom w:val="none" w:sz="0" w:space="0" w:color="auto"/>
            <w:right w:val="none" w:sz="0" w:space="0" w:color="auto"/>
          </w:divBdr>
        </w:div>
      </w:divsChild>
    </w:div>
    <w:div w:id="1998146375">
      <w:bodyDiv w:val="1"/>
      <w:marLeft w:val="0"/>
      <w:marRight w:val="0"/>
      <w:marTop w:val="0"/>
      <w:marBottom w:val="0"/>
      <w:divBdr>
        <w:top w:val="none" w:sz="0" w:space="0" w:color="auto"/>
        <w:left w:val="none" w:sz="0" w:space="0" w:color="auto"/>
        <w:bottom w:val="none" w:sz="0" w:space="0" w:color="auto"/>
        <w:right w:val="none" w:sz="0" w:space="0" w:color="auto"/>
      </w:divBdr>
      <w:divsChild>
        <w:div w:id="1005282504">
          <w:marLeft w:val="640"/>
          <w:marRight w:val="0"/>
          <w:marTop w:val="0"/>
          <w:marBottom w:val="0"/>
          <w:divBdr>
            <w:top w:val="none" w:sz="0" w:space="0" w:color="auto"/>
            <w:left w:val="none" w:sz="0" w:space="0" w:color="auto"/>
            <w:bottom w:val="none" w:sz="0" w:space="0" w:color="auto"/>
            <w:right w:val="none" w:sz="0" w:space="0" w:color="auto"/>
          </w:divBdr>
        </w:div>
        <w:div w:id="845249196">
          <w:marLeft w:val="640"/>
          <w:marRight w:val="0"/>
          <w:marTop w:val="0"/>
          <w:marBottom w:val="0"/>
          <w:divBdr>
            <w:top w:val="none" w:sz="0" w:space="0" w:color="auto"/>
            <w:left w:val="none" w:sz="0" w:space="0" w:color="auto"/>
            <w:bottom w:val="none" w:sz="0" w:space="0" w:color="auto"/>
            <w:right w:val="none" w:sz="0" w:space="0" w:color="auto"/>
          </w:divBdr>
        </w:div>
        <w:div w:id="15616702">
          <w:marLeft w:val="640"/>
          <w:marRight w:val="0"/>
          <w:marTop w:val="0"/>
          <w:marBottom w:val="0"/>
          <w:divBdr>
            <w:top w:val="none" w:sz="0" w:space="0" w:color="auto"/>
            <w:left w:val="none" w:sz="0" w:space="0" w:color="auto"/>
            <w:bottom w:val="none" w:sz="0" w:space="0" w:color="auto"/>
            <w:right w:val="none" w:sz="0" w:space="0" w:color="auto"/>
          </w:divBdr>
        </w:div>
        <w:div w:id="1354959567">
          <w:marLeft w:val="640"/>
          <w:marRight w:val="0"/>
          <w:marTop w:val="0"/>
          <w:marBottom w:val="0"/>
          <w:divBdr>
            <w:top w:val="none" w:sz="0" w:space="0" w:color="auto"/>
            <w:left w:val="none" w:sz="0" w:space="0" w:color="auto"/>
            <w:bottom w:val="none" w:sz="0" w:space="0" w:color="auto"/>
            <w:right w:val="none" w:sz="0" w:space="0" w:color="auto"/>
          </w:divBdr>
        </w:div>
        <w:div w:id="1861551348">
          <w:marLeft w:val="640"/>
          <w:marRight w:val="0"/>
          <w:marTop w:val="0"/>
          <w:marBottom w:val="0"/>
          <w:divBdr>
            <w:top w:val="none" w:sz="0" w:space="0" w:color="auto"/>
            <w:left w:val="none" w:sz="0" w:space="0" w:color="auto"/>
            <w:bottom w:val="none" w:sz="0" w:space="0" w:color="auto"/>
            <w:right w:val="none" w:sz="0" w:space="0" w:color="auto"/>
          </w:divBdr>
        </w:div>
        <w:div w:id="2142461042">
          <w:marLeft w:val="640"/>
          <w:marRight w:val="0"/>
          <w:marTop w:val="0"/>
          <w:marBottom w:val="0"/>
          <w:divBdr>
            <w:top w:val="none" w:sz="0" w:space="0" w:color="auto"/>
            <w:left w:val="none" w:sz="0" w:space="0" w:color="auto"/>
            <w:bottom w:val="none" w:sz="0" w:space="0" w:color="auto"/>
            <w:right w:val="none" w:sz="0" w:space="0" w:color="auto"/>
          </w:divBdr>
        </w:div>
      </w:divsChild>
    </w:div>
    <w:div w:id="2005160866">
      <w:bodyDiv w:val="1"/>
      <w:marLeft w:val="0"/>
      <w:marRight w:val="0"/>
      <w:marTop w:val="0"/>
      <w:marBottom w:val="0"/>
      <w:divBdr>
        <w:top w:val="none" w:sz="0" w:space="0" w:color="auto"/>
        <w:left w:val="none" w:sz="0" w:space="0" w:color="auto"/>
        <w:bottom w:val="none" w:sz="0" w:space="0" w:color="auto"/>
        <w:right w:val="none" w:sz="0" w:space="0" w:color="auto"/>
      </w:divBdr>
      <w:divsChild>
        <w:div w:id="650334878">
          <w:marLeft w:val="640"/>
          <w:marRight w:val="0"/>
          <w:marTop w:val="0"/>
          <w:marBottom w:val="0"/>
          <w:divBdr>
            <w:top w:val="none" w:sz="0" w:space="0" w:color="auto"/>
            <w:left w:val="none" w:sz="0" w:space="0" w:color="auto"/>
            <w:bottom w:val="none" w:sz="0" w:space="0" w:color="auto"/>
            <w:right w:val="none" w:sz="0" w:space="0" w:color="auto"/>
          </w:divBdr>
        </w:div>
        <w:div w:id="1541090205">
          <w:marLeft w:val="640"/>
          <w:marRight w:val="0"/>
          <w:marTop w:val="0"/>
          <w:marBottom w:val="0"/>
          <w:divBdr>
            <w:top w:val="none" w:sz="0" w:space="0" w:color="auto"/>
            <w:left w:val="none" w:sz="0" w:space="0" w:color="auto"/>
            <w:bottom w:val="none" w:sz="0" w:space="0" w:color="auto"/>
            <w:right w:val="none" w:sz="0" w:space="0" w:color="auto"/>
          </w:divBdr>
        </w:div>
        <w:div w:id="1188786714">
          <w:marLeft w:val="640"/>
          <w:marRight w:val="0"/>
          <w:marTop w:val="0"/>
          <w:marBottom w:val="0"/>
          <w:divBdr>
            <w:top w:val="none" w:sz="0" w:space="0" w:color="auto"/>
            <w:left w:val="none" w:sz="0" w:space="0" w:color="auto"/>
            <w:bottom w:val="none" w:sz="0" w:space="0" w:color="auto"/>
            <w:right w:val="none" w:sz="0" w:space="0" w:color="auto"/>
          </w:divBdr>
        </w:div>
        <w:div w:id="2043896426">
          <w:marLeft w:val="640"/>
          <w:marRight w:val="0"/>
          <w:marTop w:val="0"/>
          <w:marBottom w:val="0"/>
          <w:divBdr>
            <w:top w:val="none" w:sz="0" w:space="0" w:color="auto"/>
            <w:left w:val="none" w:sz="0" w:space="0" w:color="auto"/>
            <w:bottom w:val="none" w:sz="0" w:space="0" w:color="auto"/>
            <w:right w:val="none" w:sz="0" w:space="0" w:color="auto"/>
          </w:divBdr>
        </w:div>
        <w:div w:id="770857493">
          <w:marLeft w:val="640"/>
          <w:marRight w:val="0"/>
          <w:marTop w:val="0"/>
          <w:marBottom w:val="0"/>
          <w:divBdr>
            <w:top w:val="none" w:sz="0" w:space="0" w:color="auto"/>
            <w:left w:val="none" w:sz="0" w:space="0" w:color="auto"/>
            <w:bottom w:val="none" w:sz="0" w:space="0" w:color="auto"/>
            <w:right w:val="none" w:sz="0" w:space="0" w:color="auto"/>
          </w:divBdr>
        </w:div>
        <w:div w:id="43759923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gsea-msigdb.org/gsea/msigdb/collections.jsp"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6C7D9376-A8EA-4E23-AA1A-937555CB2C87}"/>
      </w:docPartPr>
      <w:docPartBody>
        <w:p w:rsidR="00A75325" w:rsidRDefault="00A75325">
          <w:r w:rsidRPr="00812602">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25"/>
    <w:rsid w:val="00137C9C"/>
    <w:rsid w:val="001974CB"/>
    <w:rsid w:val="002F376B"/>
    <w:rsid w:val="0033417C"/>
    <w:rsid w:val="004169B7"/>
    <w:rsid w:val="00497D2C"/>
    <w:rsid w:val="007E03CC"/>
    <w:rsid w:val="008F4007"/>
    <w:rsid w:val="00904784"/>
    <w:rsid w:val="00A753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7532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C42A3D-0BD9-4DB0-A04F-74956616D993}">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cbf0122a-3b48-4b5f-bddc-990e1f9f963f&quot;,&quot;properties&quot;:{&quot;noteIndex&quot;:0},&quot;isEdited&quot;:false,&quot;manualOverride&quot;:{&quot;isManuallyOverridden&quot;:false,&quot;citeprocText&quot;:&quot;(1)&quot;,&quot;manualOverrideText&quot;:&quot;&quot;},&quot;citationTag&quot;:&quot;MENDELEY_CITATION_v3_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&quot;,&quot;citationItems&quot;:[{&quot;id&quot;:&quot;746e6f3c-9909-3f2a-8a26-e3100f5de729&quot;,&quot;itemData&quot;:{&quot;type&quot;:&quot;chapter&quot;,&quot;id&quot;:&quot;746e6f3c-9909-3f2a-8a26-e3100f5de729&quot;,&quot;title&quot;:&quot;Basic Concept of Development and Practical Application of Animal Models for Human Diseases.&quot;,&quot;author&quot;:[{&quot;family&quot;:&quot;Nomura&quot;,&quot;given&quot;:&quot;Tatsuji&quot;,&quot;parse-names&quot;:false,&quot;dropping-particle&quot;:&quot;&quot;,&quot;non-dropping-particle&quot;:&quot;&quot;},{&quot;family&quot;:&quot;Tamaoki&quot;,&quot;given&quot;:&quot;N.&quot;,&quot;parse-names&quot;:false,&quot;dropping-particle&quot;:&quot;&quot;,&quot;non-dropping-particle&quot;:&quot;&quot;},{&quot;family&quot;:&quot;Takakura&quot;,&quot;given&quot;:&quot;A.&quot;,&quot;parse-names&quot;:false,&quot;dropping-particle&quot;:&quot;&quot;,&quot;non-dropping-particle&quot;:&quot;&quot;},{&quot;family&quot;:&quot;Suemizu&quot;,&quot;given&quot;:&quot;H.&quot;,&quot;parse-names&quot;:false,&quot;dropping-particle&quot;:&quot;&quot;,&quot;non-dropping-particle&quot;:&quot;&quot;}],&quot;container-title&quot;:&quot;Humanized Mice&quot;,&quot;issued&quot;:{&quot;date-parts&quot;:[[2008]]},&quot;page&quot;:&quot;1-24&quot;,&quot;volume&quot;:&quot;324&quot;,&quot;container-title-short&quot;:&quot;&quot;},&quot;isTemporary&quot;:false}]},{&quot;citationID&quot;:&quot;MENDELEY_CITATION_4fe0deaa-b329-4fac-9364-c37960cf2e2e&quot;,&quot;properties&quot;:{&quot;noteIndex&quot;:0},&quot;isEdited&quot;:false,&quot;manualOverride&quot;:{&quot;isManuallyOverridden&quot;:false,&quot;citeprocText&quot;:&quot;(2)&quot;,&quot;manualOverrideText&quot;:&quot;&quot;},&quot;citationTag&quot;:&quot;MENDELEY_CITATION_v3_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&quot;,&quot;citationItems&quot;:[{&quot;id&quot;:&quot;3ddf2815-7b72-37b8-a20c-cc4833eed076&quot;,&quot;itemData&quot;:{&quot;type&quot;:&quot;article-journal&quot;,&quot;id&quot;:&quot;3ddf2815-7b72-37b8-a20c-cc4833eed076&quot;,&quot;title&quot;:&quot;Early stability and late random tumor progression of a HER2-positive primary breast cancer patient-derived xenograft&quot;,&quot;author&quot;:[{&quot;family&quot;:&quot;Landuzzi&quot;,&quot;given&quot;:&quot;Lorena&quot;,&quot;parse-names&quot;:false,&quot;dropping-particle&quot;:&quot;&quot;,&quot;non-dropping-particle&quot;:&quot;&quot;},{&quot;family&quot;:&quot;Palladini&quot;,&quot;given&quot;:&quot;Arianna&quot;,&quot;parse-names&quot;:false,&quot;dropping-particle&quot;:&quot;&quot;,&quot;non-dropping-particle&quot;:&quot;&quot;},{&quot;family&quot;:&quot;Ceccarelli&quot;,&quot;given&quot;:&quot;Claudio&quot;,&quot;parse-names&quot;:false,&quot;dropping-particle&quot;:&quot;&quot;,&quot;non-dropping-particle&quot;:&quot;&quot;},{&quot;family&quot;:&quot;Asioli&quot;,&quot;given&quot;:&quot;Sofia&quot;,&quot;parse-names&quot;:false,&quot;dropping-particle&quot;:&quot;&quot;,&quot;non-dropping-particle&quot;:&quot;&quot;},{&quot;family&quot;:&quot;Nicoletti&quot;,&quot;given&quot;:&quot;Giordano&quot;,&quot;parse-names&quot;:false,&quot;dropping-particle&quot;:&quot;&quot;,&quot;non-dropping-particle&quot;:&quot;&quot;},{&quot;family&quot;:&quot;Giusti&quot;,&quot;given&quot;:&quot;Veronica&quot;,&quot;parse-names&quot;:false,&quot;dropping-particle&quot;:&quot;&quot;,&quot;non-dropping-particle&quot;:&quot;&quot;},{&quot;family&quot;:&quot;Ruzzi&quot;,&quot;given&quot;:&quot;Francesca&quot;,&quot;parse-names&quot;:false,&quot;dropping-particle&quot;:&quot;&quot;,&quot;non-dropping-particle&quot;:&quot;&quot;},{&quot;family&quot;:&quot;Ianzano&quot;,&quot;given&quot;:&quot;Marianna L.&quot;,&quot;parse-names&quot;:false,&quot;dropping-particle&quot;:&quot;&quot;,&quot;non-dropping-particle&quot;:&quot;&quot;},{&quot;family&quot;:&quot;Scalambra&quot;,&quot;given&quot;:&quot;Laura&quot;,&quot;parse-names&quot;:false,&quot;dropping-particle&quot;:&quot;&quot;,&quot;non-dropping-particle&quot;:&quot;&quot;},{&quot;family&quot;:&quot;Laranga&quot;,&quot;given&quot;:&quot;Roberta&quot;,&quot;parse-names&quot;:false,&quot;dropping-particle&quot;:&quot;&quot;,&quot;non-dropping-particle&quot;:&quot;&quot;},{&quot;family&quot;:&quot;Balboni&quot;,&quot;given&quot;:&quot;Tania&quot;,&quot;parse-names&quot;:false,&quot;dropping-particle&quot;:&quot;&quot;,&quot;non-dropping-particle&quot;:&quot;&quot;},{&quot;family&quot;:&quot;Arigoni&quot;,&quot;given&quot;:&quot;Maddalena&quot;,&quot;parse-names&quot;:false,&quot;dropping-particle&quot;:&quot;&quot;,&quot;non-dropping-particle&quot;:&quot;&quot;},{&quot;family&quot;:&quot;Olivero&quot;,&quot;given&quot;:&quot;Martina&quot;,&quot;parse-names&quot;:false,&quot;dropping-particle&quot;:&quot;&quot;,&quot;non-dropping-particle&quot;:&quot;&quot;},{&quot;family&quot;:&quot;Calogero&quot;,&quot;given&quot;:&quot;Raffaele A.&quot;,&quot;parse-names&quot;:false,&quot;dropping-particle&quot;:&quot;&quot;,&quot;non-dropping-particle&quot;:&quot;&quot;},{&quot;family&quot;:&quot;Giovanni&quot;,&quot;given&quot;:&quot;Carla&quot;,&quot;parse-names&quot;:false,&quot;dropping-particle&quot;:&quot;&quot;,&quot;non-dropping-particle&quot;:&quot;De&quot;},{&quot;family&quot;:&quot;Dall’Ora&quot;,&quot;given&quot;:&quot;Massimiliano&quot;,&quot;parse-names&quot;:false,&quot;dropping-particle&quot;:&quot;&quot;,&quot;non-dropping-particle&quot;:&quot;&quot;},{&quot;family&quot;:&quot;Oto&quot;,&quot;given&quot;:&quot;Enrico&quot;,&quot;parse-names&quot;:false,&quot;dropping-particle&quot;:&quot;&quot;,&quot;non-dropping-particle&quot;:&quot;Di&quot;},{&quot;family&quot;:&quot;Santini&quot;,&quot;given&quot;:&quot;Donatella&quot;,&quot;parse-names&quot;:false,&quot;dropping-particle&quot;:&quot;&quot;,&quot;non-dropping-particle&quot;:&quot;&quot;},{&quot;family&quot;:&quot;Foschini&quot;,&quot;given&quot;:&quot;Maria Pia&quot;,&quot;parse-names&quot;:false,&quot;dropping-particle&quot;:&quot;&quot;,&quot;non-dropping-particle&quot;:&quot;&quot;},{&quot;family&quot;:&quot;Cucchi&quot;,&quot;given&quot;:&quot;Maria Cristina&quot;,&quot;parse-names&quot;:false,&quot;dropping-particle&quot;:&quot;&quot;,&quot;non-dropping-particle&quot;:&quot;&quot;},{&quot;family&quot;:&quot;Zanotti&quot;,&quot;given&quot;:&quot;Simone&quot;,&quot;parse-names&quot;:false,&quot;dropping-particle&quot;:&quot;&quot;,&quot;non-dropping-particle&quot;:&quot;&quot;},{&quot;family&quot;:&quot;Taffurelli&quot;,&quot;given&quot;:&quot;Mario&quot;,&quot;parse-names&quot;:false,&quot;dropping-particle&quot;:&quot;&quot;,&quot;non-dropping-particle&quot;:&quot;&quot;},{&quot;family&quot;:&quot;Nanni&quot;,&quot;given&quot;:&quot;Patrizia&quot;,&quot;parse-names&quot;:false,&quot;dropping-particle&quot;:&quot;&quot;,&quot;non-dropping-particle&quot;:&quot;&quot;},{&quot;family&quot;:&quot;Lollini&quot;,&quot;given&quot;:&quot;Pier Luigi&quot;,&quot;parse-names&quot;:false,&quot;dropping-particle&quot;:&quot;&quot;,&quot;non-dropping-particle&quot;:&quot;&quot;}],&quot;container-title&quot;:&quot;Scientific Reports&quot;,&quot;container-title-short&quot;:&quot;Sci Rep&quot;,&quot;DOI&quot;:&quot;10.1038/s41598-021-81085-y&quot;,&quot;ISSN&quot;:&quot;20452322&quot;,&quot;PMID&quot;:&quot;33452364&quot;,&quot;issued&quot;:{&quot;date-parts&quot;:[[2021,12,1]]},&quot;abstract&quot;:&quot;We established patient-derived xenografts (PDX) from human primary breast cancers and studied whether stability or progressive events occurred during long-term in vivo passages (up to 4 years) in severely immunodeficient mice. While most PDX showed stable biomarker expression and growth phenotype, a HER2-positive PDX (PDX-BRB4) originated a subline (out of 6 studied in parallel) that progressively acquired a significantly increased tumor growth rate, resistance to cell senescence of in vitro cultures, increased stem cell marker expression and high lung metastatic ability, along with a strong decrease of BCL2 expression. RNAseq analysis of the progressed subline showed that BCL2 was connected to three main hub genes also down-regulated (CDKN2A, STAT5A and WT1). Gene expression of progressed subline suggested a partial epithelial-to-mesenchymal transition. PDX-BRB4 with its progressed subline is a preclinical model mirroring the clinical paradox of high level-BCL2 as a good prognostic factor in breast cancer. Sequential in vivo passages of PDX-BRB4 chronically treated with trastuzumab developed progressive loss of sensitivity to trastuzumab while HER2 expression and sensitivity to the pan-HER tyrosine kinase inhibitor neratinib were maintained. Long-term PDX studies, even though demanding, can originate new preclinical models, suitable to investigate the mechanisms of breast cancer progression and new therapeutic approaches.&quot;,&quot;publisher&quot;:&quot;Nature Research&quot;,&quot;issue&quot;:&quot;1&quot;,&quot;volume&quot;:&quot;11&quot;},&quot;isTemporary&quot;:false}]},{&quot;citationID&quot;:&quot;MENDELEY_CITATION_c03bad94-8fe2-4faa-933a-4806bc5f8ee2&quot;,&quot;properties&quot;:{&quot;noteIndex&quot;:0},&quot;isEdited&quot;:false,&quot;manualOverride&quot;:{&quot;isManuallyOverridden&quot;:false,&quot;citeprocText&quot;:&quot;(3)&quot;,&quot;manualOverrideText&quot;:&quot;&quot;},&quot;citationTag&quot;:&quot;MENDELEY_CITATION_v3_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&quot;,&quot;citationItems&quot;:[{&quot;id&quot;:&quot;e9bd3e74-6891-3391-9be5-131c88db0cea&quot;,&quot;itemData&quot;:{&quot;type&quot;:&quot;paper-conference&quot;,&quot;id&quot;:&quot;e9bd3e74-6891-3391-9be5-131c88db0cea&quot;,&quot;title&quot;:&quot;Fastp: An ultra-fast all-in-one FASTQ preprocessor&quot;,&quot;author&quot;:[{&quot;family&quot;:&quot;Chen&quot;,&quot;given&quot;:&quot;Shifu&quot;,&quot;parse-names&quot;:false,&quot;dropping-particle&quot;:&quot;&quot;,&quot;non-dropping-particle&quot;:&quot;&quot;},{&quot;family&quot;:&quot;Zhou&quot;,&quot;given&quot;:&quot;Yanqing&quot;,&quot;parse-names&quot;:false,&quot;dropping-particle&quot;:&quot;&quot;,&quot;non-dropping-particle&quot;:&quot;&quot;},{&quot;family&quot;:&quot;Chen&quot;,&quot;given&quot;:&quot;Yaru&quot;,&quot;parse-names&quot;:false,&quot;dropping-particle&quot;:&quot;&quot;,&quot;non-dropping-particle&quot;:&quot;&quot;},{&quot;family&quot;:&quot;Gu&quot;,&quot;given&quot;:&quot;Jia&quot;,&quot;parse-names&quot;:false,&quot;dropping-particle&quot;:&quot;&quot;,&quot;non-dropping-particle&quot;:&quot;&quot;}],&quot;container-title&quot;:&quot;Bioinformatics&quot;,&quot;DOI&quot;:&quot;10.1093/bioinformatics/bty560&quot;,&quot;ISSN&quot;:&quot;14602059&quot;,&quot;PMID&quot;:&quot;30423086&quot;,&quot;issued&quot;:{&quot;date-parts&quot;:[[2018,9,1]]},&quot;page&quot;:&quot;i884-i890&quot;,&quot;abstract&quot;:&quot;Motivation Quality control and preprocessing of FASTQ files are essential to providing clean data for downstream analysis. Traditionally, a different tool is used for each operation, such as quality control, adapter trimming and quality filtering. These tools are often insufficiently fast as most are developed using high-level programming languages (e.g. Python and Java) and provide limited multi-threading support. Reading and loading data multiple times also renders preprocessing slow and I/O inefficient. Results We developed fastp as an ultra-fast FASTQ preprocessor with useful quality control and data-filtering features. It can perform quality control, adapter trimming, quality filtering, per-read quality pruning and many other operations with a single scan of the FASTQ data. This tool is developed in C++ and has multi-threading support. Based on our evaluation, fastp is 2-5 times faster than other FASTQ preprocessing tools such as Trimmomatic or Cutadapt despite performing far more operations than similar tools. Availability and implementation The open-source code and corresponding instructions are available at https://github.com/OpenGene/fastp.&quot;,&quot;publisher&quot;:&quot;Oxford University Press&quot;,&quot;issue&quot;:&quot;17&quot;,&quot;volume&quot;:&quot;34&quot;,&quot;container-title-short&quot;:&quot;&quot;},&quot;isTemporary&quot;:false}]},{&quot;citationID&quot;:&quot;MENDELEY_CITATION_267d6642-f664-4f0d-aec6-7c96d9dc50fe&quot;,&quot;properties&quot;:{&quot;noteIndex&quot;:0},&quot;isEdited&quot;:false,&quot;manualOverride&quot;:{&quot;isManuallyOverridden&quot;:false,&quot;citeprocText&quot;:&quot;(4)&quot;,&quot;manualOverrideText&quot;:&quot;&quot;},&quot;citationTag&quot;:&quot;MENDELEY_CITATION_v3_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&quot;,&quot;citationItems&quot;:[{&quot;id&quot;:&quot;a990cd5a-5906-3fb5-a3f3-cb0e603be71f&quot;,&quot;itemData&quot;:{&quot;type&quot;:&quot;article-journal&quot;,&quot;id&quot;:&quot;a990cd5a-5906-3fb5-a3f3-cb0e603be71f&quot;,&quot;title&quot;:&quot;STAR: Ultrafast universal RNA-seq aligner&quot;,&quot;author&quot;:[{&quot;family&quot;:&quot;Dobin&quot;,&quot;given&quot;:&quot;Alexander&quot;,&quot;parse-names&quot;:false,&quot;dropping-particle&quot;:&quot;&quot;,&quot;non-dropping-particle&quot;:&quot;&quot;},{&quot;family&quot;:&quot;Davis&quot;,&quot;given&quot;:&quot;Carrie A.&quot;,&quot;parse-names&quot;:false,&quot;dropping-particle&quot;:&quot;&quot;,&quot;non-dropping-particle&quot;:&quot;&quot;},{&quot;family&quot;:&quot;Schlesinger&quot;,&quot;given&quot;:&quot;Felix&quot;,&quot;parse-names&quot;:false,&quot;dropping-particle&quot;:&quot;&quot;,&quot;non-dropping-particle&quot;:&quot;&quot;},{&quot;family&quot;:&quot;Drenkow&quot;,&quot;given&quot;:&quot;Jorg&quot;,&quot;parse-names&quot;:false,&quot;dropping-particle&quot;:&quot;&quot;,&quot;non-dropping-particle&quot;:&quot;&quot;},{&quot;family&quot;:&quot;Zaleski&quot;,&quot;given&quot;:&quot;Chris&quot;,&quot;parse-names&quot;:false,&quot;dropping-particle&quot;:&quot;&quot;,&quot;non-dropping-particle&quot;:&quot;&quot;},{&quot;family&quot;:&quot;Jha&quot;,&quot;given&quot;:&quot;Sonali&quot;,&quot;parse-names&quot;:false,&quot;dropping-particle&quot;:&quot;&quot;,&quot;non-dropping-particle&quot;:&quot;&quot;},{&quot;family&quot;:&quot;Batut&quot;,&quot;given&quot;:&quot;Philippe&quot;,&quot;parse-names&quot;:false,&quot;dropping-particle&quot;:&quot;&quot;,&quot;non-dropping-particle&quot;:&quot;&quot;},{&quot;family&quot;:&quot;Chaisson&quot;,&quot;given&quot;:&quot;Mark&quot;,&quot;parse-names&quot;:false,&quot;dropping-particle&quot;:&quot;&quot;,&quot;non-dropping-particle&quot;:&quot;&quot;},{&quot;family&quot;:&quot;Gingeras&quot;,&quot;given&quot;:&quot;Thomas R.&quot;,&quot;parse-names&quot;:false,&quot;dropping-particle&quot;:&quot;&quot;,&quot;non-dropping-particle&quot;:&quot;&quot;}],&quot;container-title&quot;:&quot;Bioinformatics&quot;,&quot;DOI&quot;:&quot;10.1093/bioinformatics/bts635&quot;,&quot;ISSN&quot;:&quot;13674803&quot;,&quot;PMID&quot;:&quot;23104886&quot;,&quot;issued&quot;:{&quot;date-parts&quot;:[[2013,1]]},&quot;page&quot;:&quot;15-21&quot;,&quot;abstract&quot;:&quo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 The Author(s) 2012. Published by Oxford University Press.&quot;,&quot;issue&quot;:&quot;1&quot;,&quot;volume&quot;:&quot;29&quot;,&quot;container-title-short&quot;:&quot;&quot;},&quot;isTemporary&quot;:false}]},{&quot;citationID&quot;:&quot;MENDELEY_CITATION_98ad60ff-5519-49dc-aa88-5b3bc1bf848e&quot;,&quot;properties&quot;:{&quot;noteIndex&quot;:0},&quot;isEdited&quot;:false,&quot;manualOverride&quot;:{&quot;isManuallyOverridden&quot;:false,&quot;citeprocText&quot;:&quot;(5)&quot;,&quot;manualOverrideText&quot;:&quot;&quot;},&quot;citationTag&quot;:&quot;MENDELEY_CITATION_v3_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&quot;,&quot;citationItems&quot;:[{&quot;id&quot;:&quot;a2fcb1b5-034d-387e-acb9-9f951d32ab94&quot;,&quot;itemData&quot;:{&quot;type&quot;:&quot;article-journal&quot;,&quot;id&quot;:&quot;a2fcb1b5-034d-387e-acb9-9f951d32ab94&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PMID&quot;:&quot;25516281&quot;,&quot;issued&quot;:{&quot;date-parts&quot;:[[2014,12,5]]},&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quot;,&quot;publisher&quot;:&quot;BioMed Central Ltd.&quot;,&quot;issue&quot;:&quot;12&quot;,&quot;volume&quot;:&quot;15&quot;},&quot;isTemporary&quot;:false}]},{&quot;citationID&quot;:&quot;MENDELEY_CITATION_36f8afad-f03d-4263-9e05-3098647e97c1&quot;,&quot;properties&quot;:{&quot;noteIndex&quot;:0},&quot;isEdited&quot;:false,&quot;manualOverride&quot;:{&quot;isManuallyOverridden&quot;:false,&quot;citeprocText&quot;:&quot;(5)&quot;,&quot;manualOverrideText&quot;:&quot;&quot;},&quot;citationTag&quot;:&quot;MENDELEY_CITATION_v3_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&quot;,&quot;citationItems&quot;:[{&quot;id&quot;:&quot;a2fcb1b5-034d-387e-acb9-9f951d32ab94&quot;,&quot;itemData&quot;:{&quot;type&quot;:&quot;article-journal&quot;,&quot;id&quot;:&quot;a2fcb1b5-034d-387e-acb9-9f951d32ab94&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PMID&quot;:&quot;25516281&quot;,&quot;issued&quot;:{&quot;date-parts&quot;:[[2014,12,5]]},&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quot;,&quot;publisher&quot;:&quot;BioMed Central Ltd.&quot;,&quot;issue&quot;:&quot;12&quot;,&quot;volume&quot;:&quot;15&quot;},&quot;isTemporary&quot;:false}]},{&quot;citationID&quot;:&quot;MENDELEY_CITATION_f06c5304-5c47-4ad1-82dc-aba59f1783c2&quot;,&quot;properties&quot;:{&quot;noteIndex&quot;:0},&quot;isEdited&quot;:false,&quot;manualOverride&quot;:{&quot;isManuallyOverridden&quot;:false,&quot;citeprocText&quot;:&quot;(6)&quot;,&quot;manualOverrideText&quot;:&quot;&quot;},&quot;citationTag&quot;:&quot;MENDELEY_CITATION_v3_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&quot;,&quot;citationItems&quot;:[{&quot;id&quot;:&quot;0c7ebba7-828c-366e-b8a6-ee6956f29356&quot;,&quot;itemData&quot;:{&quot;type&quot;:&quot;article-journal&quot;,&quot;id&quot;:&quot;0c7ebba7-828c-366e-b8a6-ee6956f29356&quot;,&quot;title&quot;:&quot;Heavy-Tailed prior distributions for sequence count data: Removing the noise and preserving large differences&quot;,&quot;author&quot;:[{&quot;family&quot;:&quot;Zhu&quot;,&quot;given&quot;:&quot;Anqi&quot;,&quot;parse-names&quot;:false,&quot;dropping-particle&quot;:&quot;&quot;,&quot;non-dropping-particle&quot;:&quot;&quot;},{&quot;family&quot;:&quot;Ibrahim&quot;,&quot;given&quot;:&quot;Joseph G.&quot;,&quot;parse-names&quot;:false,&quot;dropping-particle&quot;:&quot;&quot;,&quot;non-dropping-particle&quot;:&quot;&quot;},{&quot;family&quot;:&quot;Love&quot;,&quot;given&quot;:&quot;Michael I.&quot;,&quot;parse-names&quot;:false,&quot;dropping-particle&quot;:&quot;&quot;,&quot;non-dropping-particle&quot;:&quot;&quot;}],&quot;container-title&quot;:&quot;Bioinformatics&quot;,&quot;DOI&quot;:&quot;10.1093/bioinformatics/bty895&quot;,&quot;ISSN&quot;:&quot;14602059&quot;,&quot;PMID&quot;:&quot;30395178&quot;,&quot;issued&quot;:{&quot;date-parts&quot;:[[2019,6,1]]},&quot;page&quot;:&quot;2084-2092&quot;,&quot;abstract&quot;:&quot;Motivation: In RNA-seq differential expression analysis, investigators aim to detect those genes with changes in expression level across conditions, despite technical and biological variability in the observations. A common task is to accurately estimate the effect size, often in terms of a logarithmic fold change (LFC). Results: When the read counts are low or highly variable, the maximum likelihood estimates for the LFCs has high variance, leading to large estimates not representative of true differences, and poor ranking of genes by effect size. One approach is to introduce filtering thresholds and pseudocounts to exclude or moderate estimated LFCs. Filtering may result in a loss of genes from the analysis with true differences in expression, while pseudocounts provide a limited solution that must be adapted per dataset. Here, we propose the use of a heavy-Tailed Cauchy prior distribution for effect sizes, which avoids the use of filter thresholds or pseudocounts. The proposed method, Approximate Posterior Estimation for generalized linear model, apeglm, has lower bias than previously proposed shrinkage estimators, while still reducing variance for those genes with little information for statistical inference.&quot;,&quot;publisher&quot;:&quot;Oxford University Press&quot;,&quot;issue&quot;:&quot;12&quot;,&quot;volume&quot;:&quot;35&quot;,&quot;container-title-short&quot;:&quot;&quot;},&quot;isTemporary&quot;:false}]},{&quot;citationID&quot;:&quot;MENDELEY_CITATION_7e7a9d23-6a69-4278-aded-36c9867d2fff&quot;,&quot;properties&quot;:{&quot;noteIndex&quot;:0},&quot;isEdited&quot;:false,&quot;manualOverride&quot;:{&quot;isManuallyOverridden&quot;:false,&quot;citeprocText&quot;:&quot;(7)&quot;,&quot;manualOverrideText&quot;:&quot;&quot;},&quot;citationTag&quot;:&quot;MENDELEY_CITATION_v3_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&quot;,&quot;citationItems&quot;:[{&quot;id&quot;:&quot;8ee1a5d0-2592-331e-862c-66b9802d8c77&quot;,&quot;itemData&quot;:{&quot;type&quot;:&quot;webpage&quot;,&quot;id&quot;:&quot;8ee1a5d0-2592-331e-862c-66b9802d8c77&quot;,&quot;title&quot;:&quot;The nf-core framework for community-curated bioinformatics pipelines.&quot;,&quot;author&quot;:[{&quot;family&quot;:&quot;Ewels&quot;,&quot;given&quot;:&quot;Philip&quot;,&quot;parse-names&quot;:false,&quot;dropping-particle&quot;:&quot;&quot;,&quot;non-dropping-particle&quot;:&quot;&quot;},{&quot;family&quot;:&quot;Peltzer&quot;,&quot;given&quot;:&quot;Alexander&quot;,&quot;parse-names&quot;:false,&quot;dropping-particle&quot;:&quot;&quot;,&quot;non-dropping-particle&quot;:&quot;&quot;},{&quot;family&quot;:&quot;Fillinger&quot;,&quot;given&quot;:&quot;Sven&quot;,&quot;parse-names&quot;:false,&quot;dropping-particle&quot;:&quot;&quot;,&quot;non-dropping-particle&quot;:&quot;&quot;},{&quot;family&quot;:&quot;Patel&quot;,&quot;given&quot;:&quot;Harshil&quot;,&quot;parse-names&quot;:false,&quot;dropping-particle&quot;:&quot;&quot;,&quot;non-dropping-particle&quot;:&quot;&quot;},{&quot;family&quot;:&quot;Alneberg&quot;,&quot;given&quot;:&quot;Johannes&quot;,&quot;parse-names&quot;:false,&quot;dropping-particle&quot;:&quot;&quot;,&quot;non-dropping-particle&quot;:&quot;&quot;},{&quot;family&quot;:&quot;Wilm&quot;,&quot;given&quot;:&quot;Andreas&quot;,&quot;parse-names&quot;:false,&quot;dropping-particle&quot;:&quot;&quot;,&quot;non-dropping-particle&quot;:&quot;&quot;},{&quot;family&quot;:&quot;Garcia&quot;,&quot;given&quot;:&quot;Maxime Ulysse&quot;,&quot;parse-names&quot;:false,&quot;dropping-particle&quot;:&quot;&quot;,&quot;non-dropping-particle&quot;:&quot;&quot;},{&quot;family&quot;:&quot;Tommaso&quot;,&quot;given&quot;:&quot;Paolo&quot;,&quot;parse-names&quot;:false,&quot;dropping-particle&quot;:&quot;&quot;,&quot;non-dropping-particle&quot;:&quot;Di&quot;},{&quot;family&quot;:&quot;Nahnsen&quot;,&quot;given&quot;:&quot;Sven&quot;,&quot;parse-names&quot;:false,&quot;dropping-particle&quot;:&quot;&quot;,&quot;non-dropping-particle&quot;:&quot;&quot;}],&quot;container-title&quot;:&quot;Nat Biotechnol.&quot;,&quot;URL&quot;:&quot;https://nf-co.re/rnasplice/dev&quot;,&quot;issued&quot;:{&quot;date-parts&quot;:[[2020]]},&quot;container-title-short&quot;:&quot;&quot;},&quot;isTemporary&quot;:false}]},{&quot;citationID&quot;:&quot;MENDELEY_CITATION_3c1b0f40-e6fd-4da8-9bf4-9fbfa1fd521d&quot;,&quot;properties&quot;:{&quot;noteIndex&quot;:0},&quot;isEdited&quot;:false,&quot;manualOverride&quot;:{&quot;isManuallyOverridden&quot;:false,&quot;citeprocText&quot;:&quot;(8)&quot;,&quot;manualOverrideText&quot;:&quot;&quot;},&quot;citationTag&quot;:&quot;MENDELEY_CITATION_v3_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&quot;,&quot;citationItems&quot;:[{&quot;id&quot;:&quot;be7fde71-2647-33c6-91ab-bb1720b70f4b&quot;,&quot;itemData&quot;:{&quot;type&quot;:&quot;webpage&quot;,&quot;id&quot;:&quot;be7fde71-2647-33c6-91ab-bb1720b70f4b&quot;,&quot;title&quot;:&quot;Human Molecular Signatures Database (MSigDB)&quot;,&quot;URL&quot;:&quot;https://www.gsea-msigdb.org/gsea/msigdb/collections.jsp#C8&quot;,&quot;container-title-short&quot;:&quot;&quot;},&quot;isTemporary&quot;:false}]}]"/>
    <we:property name="MENDELEY_CITATIONS_LOCALE_CODE" value="&quot;en-G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975FA-7B3D-47A9-8300-ECA1741C3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1237</Words>
  <Characters>7055</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Angelicola</dc:creator>
  <cp:keywords/>
  <dc:description/>
  <cp:lastModifiedBy>Stefania Angelicola</cp:lastModifiedBy>
  <cp:revision>75</cp:revision>
  <dcterms:created xsi:type="dcterms:W3CDTF">2024-05-06T16:53:00Z</dcterms:created>
  <dcterms:modified xsi:type="dcterms:W3CDTF">2024-11-12T15:15:00Z</dcterms:modified>
</cp:coreProperties>
</file>