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3D92F" w14:textId="77777777" w:rsidR="001923BA" w:rsidRPr="000151CC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4F46">
        <w:rPr>
          <w:rFonts w:ascii="Times New Roman" w:hAnsi="Times New Roman" w:cs="Times New Roman" w:hint="eastAsia"/>
          <w:b/>
          <w:bCs/>
          <w:sz w:val="24"/>
          <w:szCs w:val="24"/>
        </w:rPr>
        <w:t>Supplementary Fig. S1</w:t>
      </w:r>
      <w:r>
        <w:rPr>
          <w:rFonts w:ascii="Times New Roman" w:hAnsi="Times New Roman" w:cs="Times New Roman" w:hint="eastAsia"/>
          <w:sz w:val="24"/>
          <w:szCs w:val="24"/>
        </w:rPr>
        <w:t xml:space="preserve"> The map of 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pGL3 </w:t>
      </w:r>
      <w:r>
        <w:rPr>
          <w:rFonts w:ascii="Times New Roman" w:hAnsi="Times New Roman" w:cs="Times New Roman"/>
          <w:bCs/>
          <w:sz w:val="24"/>
          <w:szCs w:val="24"/>
        </w:rPr>
        <w:t xml:space="preserve">plasmid containing </w:t>
      </w:r>
      <w:r w:rsidRPr="00C81B41">
        <w:rPr>
          <w:rFonts w:ascii="Times New Roman" w:hAnsi="Times New Roman" w:cs="Times New Roman"/>
          <w:bCs/>
          <w:i/>
          <w:iCs/>
          <w:sz w:val="24"/>
          <w:szCs w:val="24"/>
        </w:rPr>
        <w:t>ACE2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promoter</w:t>
      </w:r>
      <w:r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p w14:paraId="6C9FE658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54AAFD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4F46">
        <w:rPr>
          <w:rFonts w:ascii="Times New Roman" w:hAnsi="Times New Roman" w:cs="Times New Roman" w:hint="eastAsia"/>
          <w:b/>
          <w:bCs/>
          <w:sz w:val="24"/>
          <w:szCs w:val="24"/>
        </w:rPr>
        <w:t>Supplementary Fig.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2 Negative control for </w:t>
      </w:r>
      <w:r w:rsidRPr="007C362F">
        <w:rPr>
          <w:rFonts w:ascii="Times New Roman" w:hAnsi="Times New Roman" w:cs="Times New Roman" w:hint="eastAsia"/>
          <w:b/>
          <w:bCs/>
          <w:sz w:val="24"/>
          <w:szCs w:val="24"/>
        </w:rPr>
        <w:t>RNA decay experiment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 level of 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GAPDH</w:t>
      </w:r>
      <w:r>
        <w:rPr>
          <w:rFonts w:ascii="Times New Roman" w:hAnsi="Times New Roman" w:cs="Times New Roman"/>
          <w:sz w:val="24"/>
          <w:szCs w:val="24"/>
        </w:rPr>
        <w:t xml:space="preserve"> mRNA in </w:t>
      </w:r>
      <w:r>
        <w:rPr>
          <w:rFonts w:ascii="Times New Roman" w:hAnsi="Times New Roman" w:cs="Times New Roman" w:hint="eastAsia"/>
          <w:sz w:val="24"/>
          <w:szCs w:val="24"/>
        </w:rPr>
        <w:t xml:space="preserve">control, NEAT1 shRNA-infected (A), </w:t>
      </w:r>
      <w:r w:rsidRPr="00C23656">
        <w:rPr>
          <w:rFonts w:ascii="Times New Roman" w:hAnsi="Times New Roman" w:cs="Times New Roman"/>
          <w:sz w:val="24"/>
          <w:szCs w:val="24"/>
        </w:rPr>
        <w:t>hnRNPA2B1</w:t>
      </w:r>
      <w:r>
        <w:rPr>
          <w:rFonts w:ascii="Times New Roman" w:hAnsi="Times New Roman" w:cs="Times New Roman" w:hint="eastAsia"/>
          <w:sz w:val="24"/>
          <w:szCs w:val="24"/>
        </w:rPr>
        <w:t xml:space="preserve">siRNA-transfected (B), METTL3 siRNA-transfected (C), METTL14 siRNA-transfected (C), LIN28A siRNA-transfected (D), IGF2BP3 expression vector-transfected (E) </w:t>
      </w:r>
      <w:r>
        <w:rPr>
          <w:rFonts w:ascii="Times New Roman" w:hAnsi="Times New Roman" w:cs="Times New Roman"/>
          <w:sz w:val="24"/>
          <w:szCs w:val="24"/>
        </w:rPr>
        <w:t xml:space="preserve">AT-II cells </w:t>
      </w:r>
      <w:r w:rsidRPr="003E20BF">
        <w:rPr>
          <w:rFonts w:ascii="Times New Roman" w:hAnsi="Times New Roman" w:cs="Times New Roman"/>
          <w:sz w:val="24"/>
          <w:szCs w:val="24"/>
        </w:rPr>
        <w:t>at 0h, 1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3E20BF">
        <w:rPr>
          <w:rFonts w:ascii="Times New Roman" w:hAnsi="Times New Roman" w:cs="Times New Roman"/>
          <w:sz w:val="24"/>
          <w:szCs w:val="24"/>
        </w:rPr>
        <w:t>, 2h, 3h, 4</w:t>
      </w:r>
      <w:r>
        <w:rPr>
          <w:rFonts w:ascii="Times New Roman" w:hAnsi="Times New Roman" w:cs="Times New Roman"/>
          <w:sz w:val="24"/>
          <w:szCs w:val="24"/>
        </w:rPr>
        <w:t>h,</w:t>
      </w:r>
      <w:r w:rsidRPr="003E20BF">
        <w:rPr>
          <w:rFonts w:ascii="Times New Roman" w:hAnsi="Times New Roman" w:cs="Times New Roman"/>
          <w:sz w:val="24"/>
          <w:szCs w:val="24"/>
        </w:rPr>
        <w:t xml:space="preserve"> and 5h after actinomycin D treatment</w:t>
      </w:r>
      <w:r>
        <w:rPr>
          <w:rFonts w:ascii="Times New Roman" w:hAnsi="Times New Roman" w:cs="Times New Roman"/>
          <w:sz w:val="24"/>
          <w:szCs w:val="24"/>
        </w:rPr>
        <w:t xml:space="preserve"> identified by </w:t>
      </w:r>
      <w:proofErr w:type="spellStart"/>
      <w:r>
        <w:rPr>
          <w:rFonts w:ascii="Times New Roman" w:hAnsi="Times New Roman" w:cs="Times New Roman"/>
          <w:sz w:val="24"/>
          <w:szCs w:val="24"/>
        </w:rPr>
        <w:t>qRT</w:t>
      </w:r>
      <w:proofErr w:type="spellEnd"/>
      <w:r>
        <w:rPr>
          <w:rFonts w:ascii="Times New Roman" w:hAnsi="Times New Roman" w:cs="Times New Roman"/>
          <w:sz w:val="24"/>
          <w:szCs w:val="24"/>
        </w:rPr>
        <w:t>-PCR.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NC, negative control; Vector, expression vector</w:t>
      </w:r>
      <w:r>
        <w:rPr>
          <w:rFonts w:ascii="Times New Roman" w:hAnsi="Times New Roman" w:cs="Times New Roman" w:hint="eastAsia"/>
          <w:sz w:val="24"/>
          <w:szCs w:val="24"/>
        </w:rPr>
        <w:t>; OE</w:t>
      </w:r>
      <w:r>
        <w:rPr>
          <w:rFonts w:ascii="Times New Roman" w:hAnsi="Times New Roman" w:cs="Times New Roman"/>
          <w:sz w:val="24"/>
          <w:szCs w:val="24"/>
        </w:rPr>
        <w:t>, overexpression.</w:t>
      </w:r>
      <w:r>
        <w:rPr>
          <w:rFonts w:ascii="Times New Roman" w:hAnsi="Times New Roman" w:cs="Times New Roman" w:hint="eastAsia"/>
          <w:sz w:val="24"/>
          <w:szCs w:val="24"/>
        </w:rPr>
        <w:t xml:space="preserve"> N=3. </w:t>
      </w:r>
      <w:r w:rsidRPr="00CB5471">
        <w:rPr>
          <w:rFonts w:ascii="Times New Roman" w:hAnsi="Times New Roman" w:cs="Times New Roman" w:hint="eastAsia"/>
          <w:sz w:val="24"/>
          <w:szCs w:val="24"/>
        </w:rPr>
        <w:t>Quantitative data were presented as mean±SD.</w:t>
      </w:r>
    </w:p>
    <w:p w14:paraId="443090D7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315549" w14:textId="77777777" w:rsidR="001923BA" w:rsidRPr="00CB5471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4F46">
        <w:rPr>
          <w:rFonts w:ascii="Times New Roman" w:hAnsi="Times New Roman" w:cs="Times New Roman" w:hint="eastAsia"/>
          <w:b/>
          <w:bCs/>
          <w:sz w:val="24"/>
          <w:szCs w:val="24"/>
        </w:rPr>
        <w:t>Supplementary Fig.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3 </w:t>
      </w:r>
      <w:r w:rsidRPr="00CB5471">
        <w:rPr>
          <w:rFonts w:ascii="Times New Roman" w:hAnsi="Times New Roman" w:cs="Times New Roman" w:hint="eastAsia"/>
          <w:b/>
          <w:bCs/>
          <w:sz w:val="24"/>
          <w:szCs w:val="24"/>
        </w:rPr>
        <w:t>The level of methylated ACE2 mRNA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level of methylated </w:t>
      </w:r>
      <w:r w:rsidRPr="00CB5471">
        <w:rPr>
          <w:rFonts w:ascii="Times New Roman" w:hAnsi="Times New Roman" w:cs="Times New Roman" w:hint="eastAsia"/>
          <w:i/>
          <w:iCs/>
          <w:sz w:val="24"/>
          <w:szCs w:val="24"/>
        </w:rPr>
        <w:t>ACE2</w:t>
      </w:r>
      <w:r>
        <w:rPr>
          <w:rFonts w:ascii="Times New Roman" w:hAnsi="Times New Roman" w:cs="Times New Roman" w:hint="eastAsia"/>
          <w:sz w:val="24"/>
          <w:szCs w:val="24"/>
        </w:rPr>
        <w:t xml:space="preserve"> mRNA</w:t>
      </w:r>
      <w:r>
        <w:rPr>
          <w:rFonts w:ascii="Times New Roman" w:hAnsi="Times New Roman" w:cs="Times New Roman"/>
          <w:sz w:val="24"/>
          <w:szCs w:val="24"/>
        </w:rPr>
        <w:t xml:space="preserve"> in AT-II cells treated with or without METTL3 and METTL14 siRNAs under LPS condition detected by </w:t>
      </w:r>
      <w:proofErr w:type="spellStart"/>
      <w:r>
        <w:rPr>
          <w:rFonts w:ascii="Times New Roman" w:hAnsi="Times New Roman" w:cs="Times New Roman"/>
          <w:sz w:val="24"/>
          <w:szCs w:val="24"/>
        </w:rPr>
        <w:t>MeRIP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B5471">
        <w:rPr>
          <w:rFonts w:ascii="Times New Roman" w:hAnsi="Times New Roman" w:cs="Times New Roman" w:hint="eastAsia"/>
          <w:sz w:val="24"/>
          <w:szCs w:val="24"/>
        </w:rPr>
        <w:t>NC, negative control; siMETTL3, METTL3 siRNA; siMETTL14, METTL14 siRNA. N=3.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B5471">
        <w:rPr>
          <w:rFonts w:ascii="Times New Roman" w:hAnsi="Times New Roman" w:cs="Times New Roman" w:hint="eastAsia"/>
          <w:sz w:val="24"/>
          <w:szCs w:val="24"/>
        </w:rPr>
        <w:t>Quantitative data were presented as mean±SD.</w:t>
      </w:r>
    </w:p>
    <w:p w14:paraId="7DA18870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8FC365C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4F46">
        <w:rPr>
          <w:rFonts w:ascii="Times New Roman" w:hAnsi="Times New Roman" w:cs="Times New Roman" w:hint="eastAsia"/>
          <w:b/>
          <w:bCs/>
          <w:sz w:val="24"/>
          <w:szCs w:val="24"/>
        </w:rPr>
        <w:t>Supplementary Fig.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4 Positive control for </w:t>
      </w:r>
      <w:r w:rsidRPr="007C362F">
        <w:rPr>
          <w:rFonts w:ascii="Times New Roman" w:hAnsi="Times New Roman" w:cs="Times New Roman" w:hint="eastAsia"/>
          <w:b/>
          <w:bCs/>
          <w:sz w:val="24"/>
          <w:szCs w:val="24"/>
        </w:rPr>
        <w:t>RNA decay experiment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 level of </w:t>
      </w:r>
      <w:r w:rsidRPr="00CB5471">
        <w:rPr>
          <w:rFonts w:ascii="Times New Roman" w:hAnsi="Times New Roman" w:cs="Times New Roman" w:hint="eastAsia"/>
          <w:sz w:val="24"/>
          <w:szCs w:val="24"/>
        </w:rPr>
        <w:t>MALAT1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 w:hint="eastAsia"/>
          <w:sz w:val="24"/>
          <w:szCs w:val="24"/>
        </w:rPr>
        <w:t xml:space="preserve">control and LIN28A siRNA-transfected </w:t>
      </w:r>
      <w:r>
        <w:rPr>
          <w:rFonts w:ascii="Times New Roman" w:hAnsi="Times New Roman" w:cs="Times New Roman"/>
          <w:sz w:val="24"/>
          <w:szCs w:val="24"/>
        </w:rPr>
        <w:t xml:space="preserve">AT-II cells </w:t>
      </w:r>
      <w:r w:rsidRPr="003E20BF">
        <w:rPr>
          <w:rFonts w:ascii="Times New Roman" w:hAnsi="Times New Roman" w:cs="Times New Roman"/>
          <w:sz w:val="24"/>
          <w:szCs w:val="24"/>
        </w:rPr>
        <w:t>at 0h, 1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3E20BF">
        <w:rPr>
          <w:rFonts w:ascii="Times New Roman" w:hAnsi="Times New Roman" w:cs="Times New Roman"/>
          <w:sz w:val="24"/>
          <w:szCs w:val="24"/>
        </w:rPr>
        <w:t>, 2h, 3h, 4</w:t>
      </w:r>
      <w:r>
        <w:rPr>
          <w:rFonts w:ascii="Times New Roman" w:hAnsi="Times New Roman" w:cs="Times New Roman"/>
          <w:sz w:val="24"/>
          <w:szCs w:val="24"/>
        </w:rPr>
        <w:t>h,</w:t>
      </w:r>
      <w:r w:rsidRPr="003E20BF">
        <w:rPr>
          <w:rFonts w:ascii="Times New Roman" w:hAnsi="Times New Roman" w:cs="Times New Roman"/>
          <w:sz w:val="24"/>
          <w:szCs w:val="24"/>
        </w:rPr>
        <w:t xml:space="preserve"> and 5h after actinomycin D treatment</w:t>
      </w:r>
      <w:r>
        <w:rPr>
          <w:rFonts w:ascii="Times New Roman" w:hAnsi="Times New Roman" w:cs="Times New Roman"/>
          <w:sz w:val="24"/>
          <w:szCs w:val="24"/>
        </w:rPr>
        <w:t xml:space="preserve"> identified by </w:t>
      </w:r>
      <w:proofErr w:type="spellStart"/>
      <w:r>
        <w:rPr>
          <w:rFonts w:ascii="Times New Roman" w:hAnsi="Times New Roman" w:cs="Times New Roman"/>
          <w:sz w:val="24"/>
          <w:szCs w:val="24"/>
        </w:rPr>
        <w:t>qRT</w:t>
      </w:r>
      <w:proofErr w:type="spellEnd"/>
      <w:r>
        <w:rPr>
          <w:rFonts w:ascii="Times New Roman" w:hAnsi="Times New Roman" w:cs="Times New Roman"/>
          <w:sz w:val="24"/>
          <w:szCs w:val="24"/>
        </w:rPr>
        <w:t>-PCR</w:t>
      </w:r>
      <w:r>
        <w:rPr>
          <w:rFonts w:ascii="Times New Roman" w:hAnsi="Times New Roman" w:cs="Times New Roman" w:hint="eastAsia"/>
          <w:sz w:val="24"/>
          <w:szCs w:val="24"/>
        </w:rPr>
        <w:t xml:space="preserve"> under LPS condition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NC, negative control</w:t>
      </w:r>
      <w:r>
        <w:rPr>
          <w:rFonts w:ascii="Times New Roman" w:hAnsi="Times New Roman" w:cs="Times New Roman" w:hint="eastAsia"/>
          <w:sz w:val="24"/>
          <w:szCs w:val="24"/>
        </w:rPr>
        <w:t xml:space="preserve">. N=3. </w:t>
      </w:r>
      <w:r w:rsidRPr="00CB5471">
        <w:rPr>
          <w:rFonts w:ascii="Times New Roman" w:hAnsi="Times New Roman" w:cs="Times New Roman" w:hint="eastAsia"/>
          <w:sz w:val="24"/>
          <w:szCs w:val="24"/>
        </w:rPr>
        <w:t>Quantitative data were presented as mean±SD.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*P&lt;0.0</w:t>
      </w:r>
      <w:r>
        <w:rPr>
          <w:rFonts w:ascii="Times New Roman" w:hAnsi="Times New Roman" w:cs="Times New Roman" w:hint="eastAsia"/>
          <w:sz w:val="24"/>
          <w:szCs w:val="24"/>
        </w:rPr>
        <w:t>5.</w:t>
      </w:r>
    </w:p>
    <w:p w14:paraId="0072EEF4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Supplementary Fig. S1</w:t>
      </w:r>
    </w:p>
    <w:p w14:paraId="5445B5B2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4F46">
        <w:rPr>
          <w:noProof/>
        </w:rPr>
        <w:drawing>
          <wp:inline distT="0" distB="0" distL="0" distR="0" wp14:anchorId="45F1CA35" wp14:editId="67E71F01">
            <wp:extent cx="5274310" cy="1205230"/>
            <wp:effectExtent l="0" t="0" r="2540" b="0"/>
            <wp:docPr id="5376818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68185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0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84A34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237859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CC9E71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EE6F9B1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E05E551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33B4DE2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527C1E0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4581FE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298E264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E31C636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8DBBB8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673ADE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14A12E4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C3902A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67E8534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EC91619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361A0D0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3631C69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45C19C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B2152DE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874D648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54D5481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AFDC97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FAE4CEC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C9B8D2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Supplementary Fig. S2</w:t>
      </w:r>
    </w:p>
    <w:p w14:paraId="61C44E3E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839BB">
        <w:rPr>
          <w:noProof/>
        </w:rPr>
        <w:drawing>
          <wp:inline distT="0" distB="0" distL="0" distR="0" wp14:anchorId="289D5BB5" wp14:editId="37D3E946">
            <wp:extent cx="5274310" cy="3415665"/>
            <wp:effectExtent l="0" t="0" r="2540" b="0"/>
            <wp:docPr id="1899035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0352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1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A8766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293CF5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91441DE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92FCAB3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98001D4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D302D3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0202635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6672A8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4961BC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3746CF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EA4410C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E605EFF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293D38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1E6C5A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2F9ED2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ECCE4E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B37574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Supplementary Fig. S3</w:t>
      </w:r>
    </w:p>
    <w:p w14:paraId="74ADCB4A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7A8F6F3" wp14:editId="08169DED">
            <wp:extent cx="4781550" cy="3365500"/>
            <wp:effectExtent l="0" t="0" r="0" b="0"/>
            <wp:docPr id="12351178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36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CC24E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96FDE1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968EE2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F44E64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B702773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A62770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43EA85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88F3AB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9F8AAA2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B6D594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2C689A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AB5D3FB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C921DBA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8B1E5E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018E605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3D40E8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EFDE1E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Supplementary Fig. S4</w:t>
      </w:r>
    </w:p>
    <w:p w14:paraId="1B291CF0" w14:textId="77777777" w:rsidR="001923BA" w:rsidRDefault="001923BA" w:rsidP="001923B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6B531CF" wp14:editId="5044D28D">
            <wp:extent cx="3905250" cy="3498850"/>
            <wp:effectExtent l="0" t="0" r="0" b="0"/>
            <wp:docPr id="195321140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49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7D637" w14:textId="77777777" w:rsidR="001923BA" w:rsidRDefault="001923BA" w:rsidP="001923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35F585" w14:textId="77777777" w:rsidR="008179D9" w:rsidRDefault="008179D9"/>
    <w:sectPr w:rsidR="008179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3BA"/>
    <w:rsid w:val="001923BA"/>
    <w:rsid w:val="00302484"/>
    <w:rsid w:val="007F5D00"/>
    <w:rsid w:val="0081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19703"/>
  <w15:chartTrackingRefBased/>
  <w15:docId w15:val="{BB314D7B-7D4D-488C-A5F5-35210D760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3BA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Dhansen Veerappan (integra)</dc:creator>
  <cp:keywords/>
  <dc:description/>
  <cp:lastModifiedBy>Dhansen Veerappan (integra)</cp:lastModifiedBy>
  <cp:revision>1</cp:revision>
  <dcterms:created xsi:type="dcterms:W3CDTF">2024-12-29T05:21:00Z</dcterms:created>
  <dcterms:modified xsi:type="dcterms:W3CDTF">2024-12-29T05:22:00Z</dcterms:modified>
</cp:coreProperties>
</file>