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B4C" w:rsidRPr="009D4819" w:rsidRDefault="00CE7014" w:rsidP="009D4819">
      <w:pPr>
        <w:spacing w:line="360" w:lineRule="auto"/>
        <w:jc w:val="left"/>
        <w:rPr>
          <w:rFonts w:ascii="Times New Roman" w:eastAsia="SimSun" w:hAnsi="Times New Roman" w:cs="Times New Roman"/>
          <w:b/>
          <w:bCs/>
          <w:sz w:val="24"/>
          <w:szCs w:val="24"/>
        </w:rPr>
      </w:pPr>
      <w:r w:rsidRPr="009D4819">
        <w:rPr>
          <w:rFonts w:ascii="Times New Roman" w:eastAsia="SimSun" w:hAnsi="Times New Roman" w:cs="Times New Roman"/>
          <w:b/>
          <w:bCs/>
          <w:sz w:val="24"/>
          <w:szCs w:val="24"/>
        </w:rPr>
        <w:t>Supplementary Figures &amp; Tables</w:t>
      </w:r>
    </w:p>
    <w:p w:rsidR="00752B4C" w:rsidRPr="009D4819" w:rsidRDefault="00CE7014" w:rsidP="009D4819">
      <w:pPr>
        <w:spacing w:line="360" w:lineRule="auto"/>
        <w:jc w:val="left"/>
        <w:rPr>
          <w:rFonts w:ascii="Times New Roman" w:eastAsia="SimSun" w:hAnsi="Times New Roman" w:cs="Times New Roman"/>
          <w:b/>
          <w:sz w:val="24"/>
          <w:szCs w:val="24"/>
        </w:rPr>
      </w:pPr>
      <w:r w:rsidRPr="009D4819">
        <w:rPr>
          <w:rFonts w:ascii="Times New Roman" w:eastAsia="SimSun" w:hAnsi="Times New Roman" w:cs="Times New Roman"/>
          <w:b/>
          <w:sz w:val="24"/>
          <w:szCs w:val="24"/>
        </w:rPr>
        <w:t>Supplementary Figure 1</w:t>
      </w:r>
      <w:r w:rsidRPr="009D4819">
        <w:rPr>
          <w:rFonts w:ascii="Times New Roman" w:eastAsia="SimSun" w:hAnsi="Times New Roman" w:cs="Times New Roman"/>
          <w:b/>
          <w:sz w:val="24"/>
          <w:szCs w:val="24"/>
        </w:rPr>
        <w:t xml:space="preserve">. </w:t>
      </w:r>
    </w:p>
    <w:p w:rsidR="00752B4C" w:rsidRPr="009D4819" w:rsidRDefault="00CE7014" w:rsidP="009D4819">
      <w:pPr>
        <w:spacing w:line="360" w:lineRule="auto"/>
        <w:jc w:val="left"/>
        <w:rPr>
          <w:rFonts w:ascii="Times New Roman" w:eastAsia="SimSun" w:hAnsi="Times New Roman" w:cs="Times New Roman"/>
          <w:b/>
          <w:sz w:val="24"/>
          <w:szCs w:val="24"/>
        </w:rPr>
      </w:pPr>
      <w:r w:rsidRPr="009D4819">
        <w:rPr>
          <w:rFonts w:ascii="Times New Roman" w:eastAsia="SimSun" w:hAnsi="Times New Roman" w:cs="Times New Roman"/>
          <w:b/>
          <w:noProof/>
          <w:sz w:val="24"/>
          <w:szCs w:val="24"/>
          <w:lang w:val="en-IN" w:eastAsia="en-IN"/>
        </w:rPr>
        <w:drawing>
          <wp:inline distT="0" distB="0" distL="114300" distR="114300">
            <wp:extent cx="5934710" cy="2692400"/>
            <wp:effectExtent l="0" t="0" r="0" b="0"/>
            <wp:docPr id="3" name="图片 3" descr="Supple fig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Supple figure 1"/>
                    <pic:cNvPicPr>
                      <a:picLocks noChangeAspect="1"/>
                    </pic:cNvPicPr>
                  </pic:nvPicPr>
                  <pic:blipFill>
                    <a:blip r:embed="rId8"/>
                    <a:srcRect t="11850" r="107"/>
                    <a:stretch>
                      <a:fillRect/>
                    </a:stretch>
                  </pic:blipFill>
                  <pic:spPr>
                    <a:xfrm>
                      <a:off x="0" y="0"/>
                      <a:ext cx="5934710" cy="2692400"/>
                    </a:xfrm>
                    <a:prstGeom prst="rect">
                      <a:avLst/>
                    </a:prstGeom>
                  </pic:spPr>
                </pic:pic>
              </a:graphicData>
            </a:graphic>
          </wp:inline>
        </w:drawing>
      </w: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 xml:space="preserve">The EPOR (EC domain, Ig Fc fusion) was immobilized on Biacore chips at 300 RU density. Ligands were then introduced and for the time courses shown, binding was assayed. </w:t>
      </w:r>
    </w:p>
    <w:p w:rsidR="00752B4C" w:rsidRPr="009D4819" w:rsidRDefault="00752B4C" w:rsidP="009D4819">
      <w:pPr>
        <w:spacing w:line="360" w:lineRule="auto"/>
        <w:jc w:val="left"/>
        <w:rPr>
          <w:rFonts w:ascii="Times New Roman" w:eastAsia="SimSun" w:hAnsi="Times New Roman" w:cs="Times New Roman"/>
          <w:b/>
          <w:sz w:val="24"/>
          <w:szCs w:val="24"/>
        </w:rPr>
      </w:pPr>
    </w:p>
    <w:p w:rsidR="00752B4C" w:rsidRPr="009D4819" w:rsidRDefault="00CE7014" w:rsidP="009D4819">
      <w:pPr>
        <w:spacing w:line="360" w:lineRule="auto"/>
        <w:jc w:val="left"/>
        <w:rPr>
          <w:rFonts w:ascii="Times New Roman" w:eastAsia="SimSun" w:hAnsi="Times New Roman" w:cs="Times New Roman"/>
          <w:b/>
          <w:sz w:val="24"/>
          <w:szCs w:val="24"/>
        </w:rPr>
      </w:pPr>
      <w:r w:rsidRPr="009D4819">
        <w:rPr>
          <w:rFonts w:ascii="Times New Roman" w:eastAsia="SimSun" w:hAnsi="Times New Roman" w:cs="Times New Roman"/>
          <w:b/>
          <w:sz w:val="24"/>
          <w:szCs w:val="24"/>
        </w:rPr>
        <w:t xml:space="preserve">Supplementary Table 1. </w:t>
      </w:r>
    </w:p>
    <w:tbl>
      <w:tblPr>
        <w:tblW w:w="0" w:type="auto"/>
        <w:tblCellMar>
          <w:left w:w="0" w:type="dxa"/>
          <w:right w:w="0" w:type="dxa"/>
        </w:tblCellMar>
        <w:tblLook w:val="04A0" w:firstRow="1" w:lastRow="0" w:firstColumn="1" w:lastColumn="0" w:noHBand="0" w:noVBand="1"/>
      </w:tblPr>
      <w:tblGrid>
        <w:gridCol w:w="2017"/>
        <w:gridCol w:w="2590"/>
        <w:gridCol w:w="2432"/>
        <w:gridCol w:w="726"/>
        <w:gridCol w:w="1595"/>
      </w:tblGrid>
      <w:tr w:rsidR="00752B4C">
        <w:trPr>
          <w:trHeight w:val="18"/>
        </w:trPr>
        <w:tc>
          <w:tcPr>
            <w:tcW w:w="0" w:type="auto"/>
            <w:tcBorders>
              <w:top w:val="single" w:sz="12" w:space="0" w:color="000000"/>
              <w:left w:val="nil"/>
              <w:bottom w:val="single" w:sz="12" w:space="0" w:color="000000"/>
              <w:right w:val="single" w:sz="8" w:space="0" w:color="FFFFFF"/>
            </w:tcBorders>
            <w:shd w:val="clear" w:color="auto" w:fill="auto"/>
            <w:tcMar>
              <w:top w:w="72" w:type="dxa"/>
              <w:left w:w="144" w:type="dxa"/>
              <w:bottom w:w="72" w:type="dxa"/>
              <w:right w:w="144" w:type="dxa"/>
            </w:tcMar>
            <w:vAlign w:val="center"/>
          </w:tcPr>
          <w:p w:rsidR="00752B4C" w:rsidRDefault="00CE7014" w:rsidP="009D4819">
            <w:pPr>
              <w:widowControl/>
              <w:spacing w:line="360" w:lineRule="auto"/>
              <w:jc w:val="center"/>
              <w:rPr>
                <w:rFonts w:ascii="Times New Roman" w:eastAsia="SimSun" w:hAnsi="Times New Roman" w:cs="Times New Roman"/>
                <w:kern w:val="0"/>
                <w:szCs w:val="21"/>
              </w:rPr>
            </w:pPr>
            <w:r>
              <w:rPr>
                <w:rFonts w:ascii="Times New Roman" w:eastAsia="DengXian" w:hAnsi="Times New Roman" w:cs="Times New Roman"/>
                <w:color w:val="000000"/>
                <w:kern w:val="24"/>
                <w:szCs w:val="21"/>
              </w:rPr>
              <w:t>ESA</w:t>
            </w:r>
          </w:p>
        </w:tc>
        <w:tc>
          <w:tcPr>
            <w:tcW w:w="0" w:type="auto"/>
            <w:tcBorders>
              <w:top w:val="single" w:sz="12" w:space="0" w:color="000000"/>
              <w:left w:val="single" w:sz="8" w:space="0" w:color="FFFFFF"/>
              <w:bottom w:val="single" w:sz="12" w:space="0" w:color="000000"/>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sidRPr="009D4819">
              <w:rPr>
                <w:rFonts w:ascii="Times New Roman" w:eastAsia="DengXian" w:hAnsi="Times New Roman" w:cs="Times New Roman"/>
                <w:color w:val="000000"/>
                <w:kern w:val="24"/>
                <w:szCs w:val="21"/>
              </w:rPr>
              <w:t xml:space="preserve">Association rate constant </w:t>
            </w:r>
            <w:r w:rsidRPr="009D4819">
              <w:rPr>
                <w:rFonts w:ascii="Times New Roman" w:eastAsia="DengXian" w:hAnsi="Times New Roman" w:cs="Times New Roman"/>
                <w:color w:val="000000"/>
                <w:kern w:val="24"/>
                <w:szCs w:val="21"/>
              </w:rPr>
              <w:t>K</w:t>
            </w:r>
            <w:r w:rsidRPr="009D4819">
              <w:rPr>
                <w:rFonts w:ascii="Times New Roman" w:eastAsia="DengXian" w:hAnsi="Times New Roman" w:cs="Times New Roman"/>
                <w:color w:val="000000"/>
                <w:kern w:val="24"/>
                <w:szCs w:val="21"/>
              </w:rPr>
              <w:t>a (M</w:t>
            </w:r>
            <w:r w:rsidRPr="009D4819">
              <w:rPr>
                <w:rFonts w:ascii="Times New Roman" w:eastAsia="DengXian" w:hAnsi="Times New Roman" w:cs="Times New Roman"/>
                <w:color w:val="000000"/>
                <w:kern w:val="24"/>
                <w:szCs w:val="21"/>
                <w:vertAlign w:val="superscript"/>
              </w:rPr>
              <w:t>-1</w:t>
            </w:r>
            <w:r w:rsidRPr="009D4819">
              <w:rPr>
                <w:rFonts w:ascii="Times New Roman" w:eastAsia="DengXian" w:hAnsi="Times New Roman" w:cs="Times New Roman"/>
                <w:color w:val="000000"/>
                <w:kern w:val="24"/>
                <w:szCs w:val="21"/>
              </w:rPr>
              <w:t>s</w:t>
            </w:r>
            <w:r w:rsidRPr="009D4819">
              <w:rPr>
                <w:rFonts w:ascii="Times New Roman" w:eastAsia="DengXian" w:hAnsi="Times New Roman" w:cs="Times New Roman"/>
                <w:color w:val="000000"/>
                <w:kern w:val="24"/>
                <w:szCs w:val="21"/>
                <w:vertAlign w:val="superscript"/>
              </w:rPr>
              <w:t>-1</w:t>
            </w:r>
            <w:r w:rsidRPr="009D4819">
              <w:rPr>
                <w:rFonts w:ascii="Times New Roman" w:eastAsia="DengXian" w:hAnsi="Times New Roman" w:cs="Times New Roman"/>
                <w:color w:val="000000"/>
                <w:kern w:val="24"/>
                <w:szCs w:val="21"/>
              </w:rPr>
              <w:t>)</w:t>
            </w:r>
          </w:p>
        </w:tc>
        <w:tc>
          <w:tcPr>
            <w:tcW w:w="0" w:type="auto"/>
            <w:tcBorders>
              <w:top w:val="single" w:sz="12" w:space="0" w:color="000000"/>
              <w:left w:val="single" w:sz="8" w:space="0" w:color="FFFFFF"/>
              <w:bottom w:val="single" w:sz="12" w:space="0" w:color="000000"/>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sidRPr="009D4819">
              <w:rPr>
                <w:rFonts w:ascii="Times New Roman" w:eastAsia="DengXian" w:hAnsi="Times New Roman" w:cs="Times New Roman"/>
                <w:color w:val="000000"/>
                <w:kern w:val="24"/>
                <w:szCs w:val="21"/>
              </w:rPr>
              <w:t xml:space="preserve">Dissociation rate constant </w:t>
            </w:r>
            <w:r w:rsidRPr="009D4819">
              <w:rPr>
                <w:rFonts w:ascii="Times New Roman" w:eastAsia="DengXian" w:hAnsi="Times New Roman" w:cs="Times New Roman"/>
                <w:color w:val="000000"/>
                <w:kern w:val="24"/>
                <w:szCs w:val="21"/>
              </w:rPr>
              <w:t>K</w:t>
            </w:r>
            <w:r w:rsidRPr="009D4819">
              <w:rPr>
                <w:rFonts w:ascii="Times New Roman" w:eastAsia="DengXian" w:hAnsi="Times New Roman" w:cs="Times New Roman"/>
                <w:color w:val="000000"/>
                <w:kern w:val="24"/>
                <w:szCs w:val="21"/>
              </w:rPr>
              <w:t>d (s</w:t>
            </w:r>
            <w:r w:rsidRPr="009D4819">
              <w:rPr>
                <w:rFonts w:ascii="Times New Roman" w:eastAsia="DengXian" w:hAnsi="Times New Roman" w:cs="Times New Roman"/>
                <w:color w:val="000000"/>
                <w:kern w:val="24"/>
                <w:szCs w:val="21"/>
                <w:vertAlign w:val="superscript"/>
              </w:rPr>
              <w:t>-1</w:t>
            </w:r>
            <w:r w:rsidRPr="009D4819">
              <w:rPr>
                <w:rFonts w:ascii="Times New Roman" w:eastAsia="DengXian" w:hAnsi="Times New Roman" w:cs="Times New Roman"/>
                <w:color w:val="000000"/>
                <w:kern w:val="24"/>
                <w:szCs w:val="21"/>
              </w:rPr>
              <w:t>)</w:t>
            </w:r>
          </w:p>
        </w:tc>
        <w:tc>
          <w:tcPr>
            <w:tcW w:w="0" w:type="auto"/>
            <w:tcBorders>
              <w:top w:val="single" w:sz="12" w:space="0" w:color="000000"/>
              <w:left w:val="single" w:sz="8" w:space="0" w:color="FFFFFF"/>
              <w:bottom w:val="single" w:sz="12" w:space="0" w:color="000000"/>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KD (pM)</w:t>
            </w:r>
          </w:p>
        </w:tc>
        <w:tc>
          <w:tcPr>
            <w:tcW w:w="0" w:type="auto"/>
            <w:tcBorders>
              <w:top w:val="single" w:sz="12" w:space="0" w:color="000000"/>
              <w:left w:val="single" w:sz="8" w:space="0" w:color="FFFFFF"/>
              <w:bottom w:val="single" w:sz="12" w:space="0" w:color="000000"/>
              <w:right w:val="nil"/>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Residence time (min)</w:t>
            </w:r>
          </w:p>
        </w:tc>
      </w:tr>
      <w:tr w:rsidR="00752B4C">
        <w:trPr>
          <w:trHeight w:val="18"/>
        </w:trPr>
        <w:tc>
          <w:tcPr>
            <w:tcW w:w="0" w:type="auto"/>
            <w:tcBorders>
              <w:top w:val="single" w:sz="12" w:space="0" w:color="000000"/>
              <w:left w:val="nil"/>
              <w:bottom w:val="single" w:sz="8" w:space="0" w:color="FFFFFF"/>
              <w:right w:val="single" w:sz="8" w:space="0" w:color="FFFFFF"/>
            </w:tcBorders>
            <w:shd w:val="clear" w:color="auto" w:fill="auto"/>
            <w:tcMar>
              <w:top w:w="72" w:type="dxa"/>
              <w:left w:w="144" w:type="dxa"/>
              <w:bottom w:w="72" w:type="dxa"/>
              <w:right w:w="144"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EPO</w:t>
            </w:r>
          </w:p>
        </w:tc>
        <w:tc>
          <w:tcPr>
            <w:tcW w:w="0" w:type="auto"/>
            <w:tcBorders>
              <w:top w:val="single" w:sz="12"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6</w:t>
            </w:r>
            <w:r>
              <w:rPr>
                <w:rFonts w:ascii="Times New Roman" w:eastAsia="DengXian" w:hAnsi="Times New Roman" w:cs="Times New Roman" w:hint="eastAsia"/>
                <w:color w:val="000000"/>
                <w:kern w:val="24"/>
                <w:szCs w:val="21"/>
              </w:rPr>
              <w:t>.00</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6</w:t>
            </w:r>
          </w:p>
        </w:tc>
        <w:tc>
          <w:tcPr>
            <w:tcW w:w="0" w:type="auto"/>
            <w:tcBorders>
              <w:top w:val="single" w:sz="12" w:space="0" w:color="000000"/>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hint="eastAsia"/>
                <w:color w:val="000000"/>
                <w:kern w:val="24"/>
                <w:szCs w:val="21"/>
              </w:rPr>
              <w:t>3.19</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-4</w:t>
            </w:r>
          </w:p>
        </w:tc>
        <w:tc>
          <w:tcPr>
            <w:tcW w:w="0" w:type="auto"/>
            <w:tcBorders>
              <w:top w:val="single" w:sz="12" w:space="0" w:color="000000"/>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tcPr>
          <w:p w:rsidR="00752B4C" w:rsidRDefault="00CE7014" w:rsidP="009D4819">
            <w:pPr>
              <w:widowControl/>
              <w:spacing w:line="360" w:lineRule="auto"/>
              <w:jc w:val="center"/>
              <w:textAlignment w:val="center"/>
              <w:rPr>
                <w:rFonts w:ascii="Times New Roman" w:eastAsia="SimSun" w:hAnsi="Times New Roman" w:cs="Times New Roman"/>
                <w:kern w:val="0"/>
                <w:szCs w:val="21"/>
              </w:rPr>
            </w:pPr>
            <w:r>
              <w:rPr>
                <w:rFonts w:ascii="Times New Roman" w:eastAsia="DengXian" w:hAnsi="Times New Roman" w:cs="Times New Roman"/>
                <w:color w:val="000000"/>
                <w:kern w:val="24"/>
                <w:szCs w:val="21"/>
              </w:rPr>
              <w:t>53.2</w:t>
            </w:r>
          </w:p>
        </w:tc>
        <w:tc>
          <w:tcPr>
            <w:tcW w:w="0" w:type="auto"/>
            <w:tcBorders>
              <w:top w:val="single" w:sz="12" w:space="0" w:color="000000"/>
              <w:left w:val="single" w:sz="8" w:space="0" w:color="FFFFFF"/>
              <w:bottom w:val="single" w:sz="8" w:space="0" w:color="FFFFFF"/>
              <w:right w:val="nil"/>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36</w:t>
            </w:r>
          </w:p>
        </w:tc>
      </w:tr>
      <w:tr w:rsidR="00752B4C">
        <w:trPr>
          <w:trHeight w:val="271"/>
        </w:trPr>
        <w:tc>
          <w:tcPr>
            <w:tcW w:w="0" w:type="auto"/>
            <w:tcBorders>
              <w:top w:val="single" w:sz="8" w:space="0" w:color="FFFFFF"/>
              <w:left w:val="nil"/>
              <w:bottom w:val="single" w:sz="8" w:space="0" w:color="FFFFFF"/>
              <w:right w:val="single" w:sz="8" w:space="0" w:color="FFFFFF"/>
            </w:tcBorders>
            <w:shd w:val="clear" w:color="auto" w:fill="auto"/>
            <w:tcMar>
              <w:top w:w="72" w:type="dxa"/>
              <w:left w:w="144" w:type="dxa"/>
              <w:bottom w:w="72" w:type="dxa"/>
              <w:right w:w="144"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Pegmolesatide</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hint="eastAsia"/>
                <w:color w:val="000000"/>
                <w:kern w:val="24"/>
                <w:szCs w:val="21"/>
              </w:rPr>
              <w:t>1.29</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5</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hint="eastAsia"/>
                <w:color w:val="000000"/>
                <w:kern w:val="24"/>
                <w:szCs w:val="21"/>
              </w:rPr>
              <w:t>7.13</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-5</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tcPr>
          <w:p w:rsidR="00752B4C" w:rsidRDefault="00CE7014" w:rsidP="009D4819">
            <w:pPr>
              <w:widowControl/>
              <w:spacing w:line="360" w:lineRule="auto"/>
              <w:jc w:val="center"/>
              <w:textAlignment w:val="center"/>
              <w:rPr>
                <w:rFonts w:ascii="Times New Roman" w:eastAsia="DengXian" w:hAnsi="Times New Roman" w:cs="Times New Roman"/>
                <w:kern w:val="0"/>
                <w:szCs w:val="21"/>
              </w:rPr>
            </w:pPr>
            <w:r>
              <w:rPr>
                <w:rFonts w:ascii="Times New Roman" w:eastAsia="DengXian" w:hAnsi="Times New Roman" w:cs="Times New Roman"/>
                <w:color w:val="000000"/>
                <w:kern w:val="24"/>
                <w:szCs w:val="21"/>
              </w:rPr>
              <w:t>55</w:t>
            </w:r>
            <w:r>
              <w:rPr>
                <w:rFonts w:ascii="Times New Roman" w:eastAsia="DengXian" w:hAnsi="Times New Roman" w:cs="Times New Roman" w:hint="eastAsia"/>
                <w:color w:val="000000"/>
                <w:kern w:val="24"/>
                <w:szCs w:val="21"/>
              </w:rPr>
              <w:t>5</w:t>
            </w:r>
          </w:p>
        </w:tc>
        <w:tc>
          <w:tcPr>
            <w:tcW w:w="0" w:type="auto"/>
            <w:tcBorders>
              <w:top w:val="single" w:sz="8" w:space="0" w:color="FFFFFF"/>
              <w:left w:val="single" w:sz="8" w:space="0" w:color="FFFFFF"/>
              <w:bottom w:val="single" w:sz="8" w:space="0" w:color="FFFFFF"/>
              <w:right w:val="nil"/>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162</w:t>
            </w:r>
          </w:p>
        </w:tc>
      </w:tr>
      <w:tr w:rsidR="00752B4C">
        <w:trPr>
          <w:trHeight w:val="19"/>
        </w:trPr>
        <w:tc>
          <w:tcPr>
            <w:tcW w:w="0" w:type="auto"/>
            <w:tcBorders>
              <w:top w:val="single" w:sz="8" w:space="0" w:color="FFFFFF"/>
              <w:left w:val="nil"/>
              <w:bottom w:val="single" w:sz="8" w:space="0" w:color="FFFFFF"/>
              <w:right w:val="single" w:sz="8" w:space="0" w:color="FFFFFF"/>
            </w:tcBorders>
            <w:shd w:val="clear" w:color="auto" w:fill="auto"/>
            <w:tcMar>
              <w:top w:w="72" w:type="dxa"/>
              <w:left w:w="144" w:type="dxa"/>
              <w:bottom w:w="72" w:type="dxa"/>
              <w:right w:w="144"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Peptide dimer</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6</w:t>
            </w:r>
            <w:r>
              <w:rPr>
                <w:rFonts w:ascii="Times New Roman" w:eastAsia="DengXian" w:hAnsi="Times New Roman" w:cs="Times New Roman" w:hint="eastAsia"/>
                <w:color w:val="000000"/>
                <w:kern w:val="24"/>
                <w:szCs w:val="21"/>
              </w:rPr>
              <w:t>.77</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6</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hint="eastAsia"/>
                <w:color w:val="000000"/>
                <w:kern w:val="24"/>
                <w:szCs w:val="21"/>
              </w:rPr>
              <w:t>3.67</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-4</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tcPr>
          <w:p w:rsidR="00752B4C" w:rsidRDefault="00CE7014" w:rsidP="009D4819">
            <w:pPr>
              <w:widowControl/>
              <w:spacing w:line="360" w:lineRule="auto"/>
              <w:jc w:val="center"/>
              <w:textAlignment w:val="center"/>
              <w:rPr>
                <w:rFonts w:ascii="Times New Roman" w:eastAsia="SimSun" w:hAnsi="Times New Roman" w:cs="Times New Roman"/>
                <w:kern w:val="0"/>
                <w:szCs w:val="21"/>
              </w:rPr>
            </w:pPr>
            <w:r>
              <w:rPr>
                <w:rFonts w:ascii="Times New Roman" w:eastAsia="DengXian" w:hAnsi="Times New Roman" w:cs="Times New Roman"/>
                <w:color w:val="000000"/>
                <w:kern w:val="24"/>
                <w:szCs w:val="21"/>
              </w:rPr>
              <w:t>54.2</w:t>
            </w:r>
          </w:p>
        </w:tc>
        <w:tc>
          <w:tcPr>
            <w:tcW w:w="0" w:type="auto"/>
            <w:tcBorders>
              <w:top w:val="single" w:sz="8" w:space="0" w:color="FFFFFF"/>
              <w:left w:val="single" w:sz="8" w:space="0" w:color="FFFFFF"/>
              <w:bottom w:val="single" w:sz="8" w:space="0" w:color="FFFFFF"/>
              <w:right w:val="nil"/>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31</w:t>
            </w:r>
          </w:p>
        </w:tc>
      </w:tr>
      <w:tr w:rsidR="00752B4C">
        <w:trPr>
          <w:trHeight w:val="19"/>
        </w:trPr>
        <w:tc>
          <w:tcPr>
            <w:tcW w:w="0" w:type="auto"/>
            <w:tcBorders>
              <w:top w:val="single" w:sz="8" w:space="0" w:color="FFFFFF"/>
              <w:left w:val="nil"/>
              <w:bottom w:val="single" w:sz="8" w:space="0" w:color="FFFFFF"/>
              <w:right w:val="single" w:sz="8" w:space="0" w:color="FFFFFF"/>
            </w:tcBorders>
            <w:shd w:val="clear" w:color="auto" w:fill="auto"/>
            <w:tcMar>
              <w:top w:w="72" w:type="dxa"/>
              <w:left w:w="144" w:type="dxa"/>
              <w:bottom w:w="72" w:type="dxa"/>
              <w:right w:w="144"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rHuEPO (ESPO 3000)</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hint="eastAsia"/>
                <w:color w:val="000000"/>
                <w:kern w:val="24"/>
                <w:szCs w:val="21"/>
              </w:rPr>
              <w:t>3.51</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6</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hint="eastAsia"/>
                <w:color w:val="000000"/>
                <w:kern w:val="24"/>
                <w:szCs w:val="21"/>
              </w:rPr>
              <w:t>4.3</w:t>
            </w:r>
            <w:r>
              <w:rPr>
                <w:rFonts w:ascii="Times New Roman" w:eastAsia="DengXian" w:hAnsi="Times New Roman" w:cs="Times New Roman" w:hint="eastAsia"/>
                <w:color w:val="000000"/>
                <w:kern w:val="24"/>
                <w:szCs w:val="21"/>
              </w:rPr>
              <w:t>6</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-4</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tcPr>
          <w:p w:rsidR="00752B4C" w:rsidRDefault="00CE7014" w:rsidP="009D4819">
            <w:pPr>
              <w:widowControl/>
              <w:spacing w:line="360" w:lineRule="auto"/>
              <w:jc w:val="center"/>
              <w:textAlignment w:val="center"/>
              <w:rPr>
                <w:rFonts w:ascii="Times New Roman" w:eastAsia="DengXian" w:hAnsi="Times New Roman" w:cs="Times New Roman"/>
                <w:kern w:val="0"/>
                <w:szCs w:val="21"/>
              </w:rPr>
            </w:pPr>
            <w:r>
              <w:rPr>
                <w:rFonts w:ascii="Times New Roman" w:eastAsia="DengXian" w:hAnsi="Times New Roman" w:cs="Times New Roman"/>
                <w:color w:val="000000"/>
                <w:kern w:val="24"/>
                <w:szCs w:val="21"/>
              </w:rPr>
              <w:t>1</w:t>
            </w:r>
            <w:r>
              <w:rPr>
                <w:rFonts w:ascii="Times New Roman" w:eastAsia="DengXian" w:hAnsi="Times New Roman" w:cs="Times New Roman" w:hint="eastAsia"/>
                <w:color w:val="000000"/>
                <w:kern w:val="24"/>
                <w:szCs w:val="21"/>
              </w:rPr>
              <w:t>24</w:t>
            </w:r>
          </w:p>
        </w:tc>
        <w:tc>
          <w:tcPr>
            <w:tcW w:w="0" w:type="auto"/>
            <w:tcBorders>
              <w:top w:val="single" w:sz="8" w:space="0" w:color="FFFFFF"/>
              <w:left w:val="single" w:sz="8" w:space="0" w:color="FFFFFF"/>
              <w:bottom w:val="single" w:sz="8" w:space="0" w:color="FFFFFF"/>
              <w:right w:val="nil"/>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26</w:t>
            </w:r>
          </w:p>
        </w:tc>
      </w:tr>
      <w:tr w:rsidR="00752B4C">
        <w:trPr>
          <w:trHeight w:val="19"/>
        </w:trPr>
        <w:tc>
          <w:tcPr>
            <w:tcW w:w="0" w:type="auto"/>
            <w:tcBorders>
              <w:top w:val="single" w:sz="8" w:space="0" w:color="FFFFFF"/>
              <w:left w:val="nil"/>
              <w:bottom w:val="single" w:sz="8" w:space="0" w:color="FFFFFF"/>
              <w:right w:val="single" w:sz="8" w:space="0" w:color="FFFFFF"/>
            </w:tcBorders>
            <w:shd w:val="clear" w:color="auto" w:fill="auto"/>
            <w:tcMar>
              <w:top w:w="72" w:type="dxa"/>
              <w:left w:w="144" w:type="dxa"/>
              <w:bottom w:w="72" w:type="dxa"/>
              <w:right w:w="144"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rHuEPO (YIBIAO)</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1</w:t>
            </w:r>
            <w:r>
              <w:rPr>
                <w:rFonts w:ascii="Times New Roman" w:eastAsia="DengXian" w:hAnsi="Times New Roman" w:cs="Times New Roman" w:hint="eastAsia"/>
                <w:color w:val="000000"/>
                <w:kern w:val="24"/>
                <w:szCs w:val="21"/>
              </w:rPr>
              <w:t>.66</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6</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hint="eastAsia"/>
                <w:color w:val="000000"/>
                <w:kern w:val="24"/>
                <w:szCs w:val="21"/>
              </w:rPr>
              <w:t>4.54</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-4</w:t>
            </w:r>
          </w:p>
        </w:tc>
        <w:tc>
          <w:tcPr>
            <w:tcW w:w="0" w:type="auto"/>
            <w:tcBorders>
              <w:top w:val="single" w:sz="8" w:space="0" w:color="FFFFFF"/>
              <w:left w:val="single" w:sz="8" w:space="0" w:color="FFFFFF"/>
              <w:bottom w:val="single" w:sz="8" w:space="0" w:color="FFFFFF"/>
              <w:right w:val="single" w:sz="8" w:space="0" w:color="FFFFFF"/>
            </w:tcBorders>
            <w:shd w:val="clear" w:color="auto" w:fill="auto"/>
            <w:tcMar>
              <w:top w:w="10" w:type="dxa"/>
              <w:left w:w="10" w:type="dxa"/>
              <w:bottom w:w="0" w:type="dxa"/>
              <w:right w:w="10" w:type="dxa"/>
            </w:tcMar>
            <w:vAlign w:val="center"/>
          </w:tcPr>
          <w:p w:rsidR="00752B4C" w:rsidRDefault="00CE7014" w:rsidP="009D4819">
            <w:pPr>
              <w:widowControl/>
              <w:spacing w:line="360" w:lineRule="auto"/>
              <w:jc w:val="center"/>
              <w:textAlignment w:val="center"/>
              <w:rPr>
                <w:rFonts w:ascii="Times New Roman" w:eastAsia="SimSun" w:hAnsi="Times New Roman" w:cs="Times New Roman"/>
                <w:kern w:val="0"/>
                <w:szCs w:val="21"/>
              </w:rPr>
            </w:pPr>
            <w:r>
              <w:rPr>
                <w:rFonts w:ascii="Times New Roman" w:eastAsia="DengXian" w:hAnsi="Times New Roman" w:cs="Times New Roman"/>
                <w:color w:val="000000"/>
                <w:kern w:val="24"/>
                <w:szCs w:val="21"/>
              </w:rPr>
              <w:t>273</w:t>
            </w:r>
          </w:p>
        </w:tc>
        <w:tc>
          <w:tcPr>
            <w:tcW w:w="0" w:type="auto"/>
            <w:tcBorders>
              <w:top w:val="single" w:sz="8" w:space="0" w:color="FFFFFF"/>
              <w:left w:val="single" w:sz="8" w:space="0" w:color="FFFFFF"/>
              <w:bottom w:val="single" w:sz="8" w:space="0" w:color="FFFFFF"/>
              <w:right w:val="nil"/>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25</w:t>
            </w:r>
          </w:p>
        </w:tc>
      </w:tr>
      <w:tr w:rsidR="00752B4C">
        <w:trPr>
          <w:trHeight w:val="19"/>
        </w:trPr>
        <w:tc>
          <w:tcPr>
            <w:tcW w:w="0" w:type="auto"/>
            <w:tcBorders>
              <w:top w:val="single" w:sz="8" w:space="0" w:color="FFFFFF"/>
              <w:left w:val="nil"/>
              <w:bottom w:val="single" w:sz="12" w:space="0" w:color="000000"/>
              <w:right w:val="single" w:sz="8" w:space="0" w:color="FFFFFF"/>
            </w:tcBorders>
            <w:shd w:val="clear" w:color="auto" w:fill="auto"/>
            <w:tcMar>
              <w:top w:w="72" w:type="dxa"/>
              <w:left w:w="144" w:type="dxa"/>
              <w:bottom w:w="72" w:type="dxa"/>
              <w:right w:w="144"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Darbepoetin</w:t>
            </w:r>
          </w:p>
        </w:tc>
        <w:tc>
          <w:tcPr>
            <w:tcW w:w="0" w:type="auto"/>
            <w:tcBorders>
              <w:top w:val="single" w:sz="8" w:space="0" w:color="FFFFFF"/>
              <w:left w:val="single" w:sz="8" w:space="0" w:color="FFFFFF"/>
              <w:bottom w:val="single" w:sz="12" w:space="0" w:color="000000"/>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color w:val="000000"/>
                <w:kern w:val="24"/>
                <w:szCs w:val="21"/>
              </w:rPr>
              <w:t>1</w:t>
            </w:r>
            <w:r>
              <w:rPr>
                <w:rFonts w:ascii="Times New Roman" w:eastAsia="DengXian" w:hAnsi="Times New Roman" w:cs="Times New Roman" w:hint="eastAsia"/>
                <w:color w:val="000000"/>
                <w:kern w:val="24"/>
                <w:szCs w:val="21"/>
              </w:rPr>
              <w:t>.41</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6</w:t>
            </w:r>
          </w:p>
        </w:tc>
        <w:tc>
          <w:tcPr>
            <w:tcW w:w="0" w:type="auto"/>
            <w:tcBorders>
              <w:top w:val="single" w:sz="8" w:space="0" w:color="FFFFFF"/>
              <w:left w:val="single" w:sz="8" w:space="0" w:color="FFFFFF"/>
              <w:bottom w:val="single" w:sz="12" w:space="0" w:color="000000"/>
              <w:right w:val="single" w:sz="8" w:space="0" w:color="FFFFFF"/>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SimSun" w:hAnsi="Times New Roman" w:cs="Times New Roman"/>
                <w:kern w:val="0"/>
                <w:szCs w:val="21"/>
              </w:rPr>
            </w:pPr>
            <w:r>
              <w:rPr>
                <w:rFonts w:ascii="Times New Roman" w:eastAsia="DengXian" w:hAnsi="Times New Roman" w:cs="Times New Roman" w:hint="eastAsia"/>
                <w:color w:val="000000"/>
                <w:kern w:val="24"/>
                <w:szCs w:val="21"/>
              </w:rPr>
              <w:t>5.62</w:t>
            </w:r>
            <w:r>
              <w:rPr>
                <w:rFonts w:ascii="Times New Roman" w:eastAsia="DengXian" w:hAnsi="Times New Roman" w:cs="Times New Roman"/>
                <w:color w:val="000000"/>
                <w:kern w:val="24"/>
                <w:szCs w:val="21"/>
              </w:rPr>
              <w:t>×</w:t>
            </w:r>
            <w:r>
              <w:rPr>
                <w:rFonts w:ascii="Times New Roman" w:eastAsia="DengXian" w:hAnsi="Times New Roman" w:cs="Times New Roman" w:hint="eastAsia"/>
                <w:color w:val="000000"/>
                <w:kern w:val="24"/>
                <w:szCs w:val="21"/>
              </w:rPr>
              <w:t>10</w:t>
            </w:r>
            <w:r>
              <w:rPr>
                <w:rFonts w:ascii="Times New Roman" w:eastAsia="DengXian" w:hAnsi="Times New Roman" w:cs="Times New Roman"/>
                <w:color w:val="000000"/>
                <w:kern w:val="24"/>
                <w:szCs w:val="21"/>
                <w:vertAlign w:val="superscript"/>
              </w:rPr>
              <w:t>-4</w:t>
            </w:r>
          </w:p>
        </w:tc>
        <w:tc>
          <w:tcPr>
            <w:tcW w:w="0" w:type="auto"/>
            <w:tcBorders>
              <w:top w:val="single" w:sz="8" w:space="0" w:color="FFFFFF"/>
              <w:left w:val="single" w:sz="8" w:space="0" w:color="FFFFFF"/>
              <w:bottom w:val="single" w:sz="12" w:space="0" w:color="000000"/>
              <w:right w:val="single" w:sz="8" w:space="0" w:color="FFFFFF"/>
            </w:tcBorders>
            <w:shd w:val="clear" w:color="auto" w:fill="auto"/>
            <w:tcMar>
              <w:top w:w="10" w:type="dxa"/>
              <w:left w:w="10" w:type="dxa"/>
              <w:bottom w:w="0" w:type="dxa"/>
              <w:right w:w="10" w:type="dxa"/>
            </w:tcMar>
            <w:vAlign w:val="center"/>
          </w:tcPr>
          <w:p w:rsidR="00752B4C" w:rsidRDefault="00CE7014" w:rsidP="009D4819">
            <w:pPr>
              <w:widowControl/>
              <w:spacing w:line="360" w:lineRule="auto"/>
              <w:jc w:val="center"/>
              <w:textAlignment w:val="center"/>
              <w:rPr>
                <w:rFonts w:ascii="Times New Roman" w:eastAsia="DengXian" w:hAnsi="Times New Roman" w:cs="Times New Roman"/>
                <w:kern w:val="0"/>
                <w:szCs w:val="21"/>
              </w:rPr>
            </w:pPr>
            <w:r>
              <w:rPr>
                <w:rFonts w:ascii="Times New Roman" w:eastAsia="DengXian" w:hAnsi="Times New Roman" w:cs="Times New Roman"/>
                <w:color w:val="000000"/>
                <w:kern w:val="24"/>
                <w:szCs w:val="21"/>
              </w:rPr>
              <w:t>39</w:t>
            </w:r>
            <w:r>
              <w:rPr>
                <w:rFonts w:ascii="Times New Roman" w:eastAsia="DengXian" w:hAnsi="Times New Roman" w:cs="Times New Roman" w:hint="eastAsia"/>
                <w:color w:val="000000"/>
                <w:kern w:val="24"/>
                <w:szCs w:val="21"/>
              </w:rPr>
              <w:t>8</w:t>
            </w:r>
          </w:p>
        </w:tc>
        <w:tc>
          <w:tcPr>
            <w:tcW w:w="0" w:type="auto"/>
            <w:tcBorders>
              <w:top w:val="single" w:sz="8" w:space="0" w:color="FFFFFF"/>
              <w:left w:val="single" w:sz="8" w:space="0" w:color="FFFFFF"/>
              <w:bottom w:val="single" w:sz="12" w:space="0" w:color="000000"/>
              <w:right w:val="nil"/>
            </w:tcBorders>
            <w:shd w:val="clear" w:color="auto" w:fill="auto"/>
            <w:tcMar>
              <w:top w:w="15" w:type="dxa"/>
              <w:left w:w="15" w:type="dxa"/>
              <w:bottom w:w="0" w:type="dxa"/>
              <w:right w:w="15" w:type="dxa"/>
            </w:tcMar>
            <w:vAlign w:val="center"/>
          </w:tcPr>
          <w:p w:rsidR="00752B4C" w:rsidRDefault="00CE7014" w:rsidP="009D4819">
            <w:pPr>
              <w:widowControl/>
              <w:spacing w:line="360" w:lineRule="auto"/>
              <w:jc w:val="center"/>
              <w:textAlignment w:val="bottom"/>
              <w:rPr>
                <w:rFonts w:ascii="Times New Roman" w:eastAsia="DengXian" w:hAnsi="Times New Roman" w:cs="Times New Roman"/>
                <w:kern w:val="0"/>
                <w:szCs w:val="21"/>
              </w:rPr>
            </w:pPr>
            <w:r>
              <w:rPr>
                <w:rFonts w:ascii="Times New Roman" w:eastAsia="DengXian" w:hAnsi="Times New Roman" w:cs="Times New Roman"/>
                <w:color w:val="000000"/>
                <w:kern w:val="24"/>
                <w:szCs w:val="21"/>
              </w:rPr>
              <w:t>2</w:t>
            </w:r>
            <w:r>
              <w:rPr>
                <w:rFonts w:ascii="Times New Roman" w:eastAsia="DengXian" w:hAnsi="Times New Roman" w:cs="Times New Roman" w:hint="eastAsia"/>
                <w:color w:val="000000"/>
                <w:kern w:val="24"/>
                <w:szCs w:val="21"/>
              </w:rPr>
              <w:t>1</w:t>
            </w:r>
          </w:p>
        </w:tc>
      </w:tr>
    </w:tbl>
    <w:p w:rsidR="00752B4C" w:rsidRPr="009D4819" w:rsidRDefault="00CE7014" w:rsidP="009D4819">
      <w:pPr>
        <w:spacing w:line="360" w:lineRule="auto"/>
        <w:jc w:val="left"/>
        <w:rPr>
          <w:rFonts w:ascii="Times New Roman" w:eastAsia="SimSun" w:hAnsi="Times New Roman" w:cs="Times New Roman"/>
          <w:b/>
          <w:sz w:val="24"/>
          <w:szCs w:val="24"/>
        </w:rPr>
      </w:pPr>
      <w:r w:rsidRPr="009D4819">
        <w:rPr>
          <w:rFonts w:ascii="Times New Roman" w:eastAsia="SimSun" w:hAnsi="Times New Roman" w:cs="Times New Roman"/>
          <w:sz w:val="24"/>
          <w:szCs w:val="24"/>
        </w:rPr>
        <w:t xml:space="preserve">Summary ligand-EPOR binding properties including data for association rate constants, dissociation rate constants, equilibrium </w:t>
      </w:r>
      <w:r w:rsidRPr="009D4819">
        <w:rPr>
          <w:rFonts w:ascii="Times New Roman" w:eastAsia="SimSun" w:hAnsi="Times New Roman" w:cs="Times New Roman"/>
          <w:sz w:val="24"/>
          <w:szCs w:val="24"/>
        </w:rPr>
        <w:t>dissociation constant and EPOR residence time.</w:t>
      </w:r>
    </w:p>
    <w:p w:rsidR="00752B4C" w:rsidRDefault="00752B4C" w:rsidP="009D4819">
      <w:pPr>
        <w:spacing w:line="360" w:lineRule="auto"/>
        <w:jc w:val="left"/>
        <w:rPr>
          <w:rFonts w:ascii="Times New Roman" w:eastAsia="SimSun" w:hAnsi="Times New Roman" w:cs="Times New Roman"/>
          <w:b/>
          <w:sz w:val="24"/>
          <w:szCs w:val="24"/>
        </w:rPr>
      </w:pPr>
    </w:p>
    <w:p w:rsidR="00752B4C" w:rsidRDefault="00752B4C" w:rsidP="009D4819">
      <w:pPr>
        <w:spacing w:line="360" w:lineRule="auto"/>
        <w:jc w:val="left"/>
        <w:rPr>
          <w:rFonts w:ascii="Times New Roman" w:eastAsia="SimSun" w:hAnsi="Times New Roman" w:cs="Times New Roman"/>
          <w:b/>
          <w:sz w:val="24"/>
          <w:szCs w:val="24"/>
        </w:rPr>
      </w:pPr>
    </w:p>
    <w:p w:rsidR="00752B4C" w:rsidRDefault="00CE7014" w:rsidP="009D4819">
      <w:pPr>
        <w:spacing w:line="360" w:lineRule="auto"/>
        <w:jc w:val="left"/>
        <w:rPr>
          <w:rFonts w:ascii="Times New Roman" w:eastAsia="SimSun" w:hAnsi="Times New Roman" w:cs="Times New Roman"/>
          <w:b/>
          <w:sz w:val="24"/>
          <w:szCs w:val="24"/>
        </w:rPr>
      </w:pPr>
      <w:r>
        <w:rPr>
          <w:rFonts w:ascii="Times New Roman" w:eastAsia="SimSun" w:hAnsi="Times New Roman" w:cs="Times New Roman"/>
          <w:b/>
          <w:sz w:val="24"/>
          <w:szCs w:val="24"/>
        </w:rPr>
        <w:lastRenderedPageBreak/>
        <w:t xml:space="preserve">Supplementary Figure </w:t>
      </w:r>
      <w:r>
        <w:rPr>
          <w:rFonts w:ascii="Times New Roman" w:eastAsia="SimSun" w:hAnsi="Times New Roman" w:cs="Times New Roman" w:hint="eastAsia"/>
          <w:b/>
          <w:sz w:val="24"/>
          <w:szCs w:val="24"/>
        </w:rPr>
        <w:t>2</w:t>
      </w:r>
      <w:r>
        <w:rPr>
          <w:rFonts w:ascii="Times New Roman" w:eastAsia="SimSun" w:hAnsi="Times New Roman" w:cs="Times New Roman"/>
          <w:b/>
          <w:sz w:val="24"/>
          <w:szCs w:val="24"/>
        </w:rPr>
        <w:t xml:space="preserve">. </w:t>
      </w:r>
    </w:p>
    <w:p w:rsidR="00752B4C" w:rsidRDefault="00CE7014" w:rsidP="009D4819">
      <w:pPr>
        <w:spacing w:line="360" w:lineRule="auto"/>
        <w:jc w:val="left"/>
        <w:rPr>
          <w:rFonts w:ascii="Times New Roman" w:eastAsia="SimSun" w:hAnsi="Times New Roman" w:cs="Times New Roman"/>
          <w:b/>
          <w:sz w:val="24"/>
          <w:szCs w:val="24"/>
        </w:rPr>
      </w:pPr>
      <w:r>
        <w:rPr>
          <w:rFonts w:ascii="Times New Roman" w:eastAsia="SimSun" w:hAnsi="Times New Roman" w:cs="Times New Roman" w:hint="eastAsia"/>
          <w:b/>
          <w:noProof/>
          <w:sz w:val="24"/>
          <w:szCs w:val="24"/>
          <w:lang w:val="en-IN" w:eastAsia="en-IN"/>
        </w:rPr>
        <w:drawing>
          <wp:inline distT="0" distB="0" distL="114300" distR="114300">
            <wp:extent cx="5927725" cy="5511165"/>
            <wp:effectExtent l="0" t="0" r="0" b="0"/>
            <wp:docPr id="7" name="图片 7" descr="Supple fig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Supple figure 2"/>
                    <pic:cNvPicPr>
                      <a:picLocks noChangeAspect="1"/>
                    </pic:cNvPicPr>
                  </pic:nvPicPr>
                  <pic:blipFill>
                    <a:blip r:embed="rId9"/>
                    <a:srcRect t="6295" r="214"/>
                    <a:stretch>
                      <a:fillRect/>
                    </a:stretch>
                  </pic:blipFill>
                  <pic:spPr>
                    <a:xfrm>
                      <a:off x="0" y="0"/>
                      <a:ext cx="5927725" cy="5511165"/>
                    </a:xfrm>
                    <a:prstGeom prst="rect">
                      <a:avLst/>
                    </a:prstGeom>
                  </pic:spPr>
                </pic:pic>
              </a:graphicData>
            </a:graphic>
          </wp:inline>
        </w:drawing>
      </w:r>
    </w:p>
    <w:p w:rsidR="00752B4C" w:rsidRPr="009D4819" w:rsidRDefault="00CE7014" w:rsidP="009D4819">
      <w:pPr>
        <w:spacing w:line="300" w:lineRule="auto"/>
        <w:jc w:val="left"/>
        <w:rPr>
          <w:rFonts w:ascii="Times New Roman" w:eastAsia="SimSun" w:hAnsi="Times New Roman" w:cs="Times New Roman"/>
          <w:b/>
          <w:sz w:val="24"/>
          <w:szCs w:val="24"/>
        </w:rPr>
        <w:sectPr w:rsidR="00752B4C" w:rsidRPr="009D4819">
          <w:footerReference w:type="default" r:id="rId10"/>
          <w:pgSz w:w="12240" w:h="15840"/>
          <w:pgMar w:top="1440" w:right="1440" w:bottom="1440" w:left="1440" w:header="720" w:footer="720" w:gutter="0"/>
          <w:cols w:space="720"/>
          <w:docGrid w:linePitch="360"/>
        </w:sectPr>
      </w:pPr>
      <w:r>
        <w:rPr>
          <w:rFonts w:ascii="Times New Roman" w:eastAsia="SimSun" w:hAnsi="Times New Roman" w:cs="Times New Roman"/>
          <w:sz w:val="24"/>
          <w:szCs w:val="24"/>
        </w:rPr>
        <w:t xml:space="preserve">A and B. Effect of drugs on the proliferation of </w:t>
      </w:r>
      <w:r>
        <w:rPr>
          <w:rFonts w:ascii="Times New Roman" w:eastAsia="SimSun" w:hAnsi="Times New Roman" w:cs="Times New Roman" w:hint="eastAsia"/>
          <w:sz w:val="24"/>
          <w:szCs w:val="24"/>
        </w:rPr>
        <w:t>BaF3-hEPOR</w:t>
      </w:r>
      <w:r>
        <w:rPr>
          <w:rFonts w:ascii="Times New Roman" w:eastAsia="SimSun" w:hAnsi="Times New Roman" w:cs="Times New Roman"/>
          <w:sz w:val="24"/>
          <w:szCs w:val="24"/>
        </w:rPr>
        <w:t xml:space="preserve"> cells. </w:t>
      </w:r>
      <w:r>
        <w:rPr>
          <w:rFonts w:ascii="Times New Roman" w:eastAsia="SimSun" w:hAnsi="Times New Roman" w:cs="Times New Roman" w:hint="eastAsia"/>
          <w:sz w:val="24"/>
          <w:szCs w:val="24"/>
        </w:rPr>
        <w:t>C</w:t>
      </w:r>
      <w:r w:rsidRPr="009D4819">
        <w:rPr>
          <w:rFonts w:ascii="Times New Roman" w:hAnsi="Times New Roman" w:cs="Times New Roman"/>
          <w:sz w:val="24"/>
          <w:szCs w:val="24"/>
        </w:rPr>
        <w:t>ells in</w:t>
      </w:r>
      <w:r w:rsidRPr="009D4819">
        <w:rPr>
          <w:rFonts w:ascii="Times New Roman" w:hAnsi="Times New Roman" w:cs="Times New Roman"/>
          <w:sz w:val="24"/>
          <w:szCs w:val="24"/>
        </w:rPr>
        <w:t xml:space="preserve"> logarithmic growth phase were adjusted to 1.2×10</w:t>
      </w:r>
      <w:r w:rsidRPr="009D4819">
        <w:rPr>
          <w:rFonts w:ascii="Times New Roman" w:hAnsi="Times New Roman" w:cs="Times New Roman"/>
          <w:sz w:val="24"/>
          <w:szCs w:val="24"/>
          <w:vertAlign w:val="superscript"/>
        </w:rPr>
        <w:t>4</w:t>
      </w:r>
      <w:r w:rsidRPr="009D4819">
        <w:rPr>
          <w:rFonts w:ascii="Times New Roman" w:hAnsi="Times New Roman" w:cs="Times New Roman"/>
          <w:sz w:val="24"/>
          <w:szCs w:val="24"/>
        </w:rPr>
        <w:t>cells/mL with complete medium without EPO. Cells were treated with drugs for 0, 1, 2, 3, 4, 5, 6, and 7 days.</w:t>
      </w:r>
    </w:p>
    <w:p w:rsidR="00752B4C" w:rsidRDefault="00CE7014" w:rsidP="009D4819">
      <w:pPr>
        <w:spacing w:line="360" w:lineRule="auto"/>
        <w:jc w:val="left"/>
        <w:rPr>
          <w:rFonts w:ascii="Times New Roman" w:eastAsia="SimSun" w:hAnsi="Times New Roman" w:cs="Times New Roman"/>
          <w:b/>
          <w:sz w:val="24"/>
          <w:szCs w:val="24"/>
        </w:rPr>
      </w:pPr>
      <w:r w:rsidRPr="009D4819">
        <w:rPr>
          <w:rFonts w:ascii="Times New Roman" w:eastAsia="SimSun" w:hAnsi="Times New Roman" w:cs="Times New Roman"/>
          <w:b/>
          <w:sz w:val="24"/>
          <w:szCs w:val="24"/>
        </w:rPr>
        <w:lastRenderedPageBreak/>
        <w:t xml:space="preserve">Supplementary Figure </w:t>
      </w:r>
      <w:r w:rsidRPr="009D4819">
        <w:rPr>
          <w:rFonts w:ascii="Times New Roman" w:eastAsia="SimSun" w:hAnsi="Times New Roman" w:cs="Times New Roman"/>
          <w:b/>
          <w:sz w:val="24"/>
          <w:szCs w:val="24"/>
        </w:rPr>
        <w:t>3</w:t>
      </w:r>
      <w:r w:rsidRPr="009D4819">
        <w:rPr>
          <w:rFonts w:ascii="Times New Roman" w:eastAsia="SimSun" w:hAnsi="Times New Roman" w:cs="Times New Roman"/>
          <w:b/>
          <w:sz w:val="24"/>
          <w:szCs w:val="24"/>
        </w:rPr>
        <w:t xml:space="preserve">. </w:t>
      </w:r>
    </w:p>
    <w:p w:rsidR="00752B4C" w:rsidRPr="009D4819" w:rsidRDefault="00CE7014" w:rsidP="009D4819">
      <w:pPr>
        <w:spacing w:line="360" w:lineRule="auto"/>
        <w:jc w:val="left"/>
        <w:rPr>
          <w:rFonts w:ascii="Times New Roman" w:eastAsia="SimSun" w:hAnsi="Times New Roman" w:cs="Times New Roman"/>
          <w:b/>
          <w:sz w:val="24"/>
          <w:szCs w:val="24"/>
        </w:rPr>
      </w:pPr>
      <w:r w:rsidRPr="009D4819">
        <w:rPr>
          <w:rFonts w:ascii="Times New Roman" w:eastAsia="SimSun" w:hAnsi="Times New Roman" w:cs="Times New Roman"/>
          <w:b/>
          <w:noProof/>
          <w:sz w:val="24"/>
          <w:szCs w:val="24"/>
          <w:lang w:val="en-IN" w:eastAsia="en-IN"/>
        </w:rPr>
        <w:drawing>
          <wp:inline distT="0" distB="0" distL="114300" distR="114300">
            <wp:extent cx="5858510" cy="5113655"/>
            <wp:effectExtent l="0" t="0" r="0" b="0"/>
            <wp:docPr id="5" name="图片 5" descr="Supple fig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upple figure 3"/>
                    <pic:cNvPicPr>
                      <a:picLocks noChangeAspect="1"/>
                    </pic:cNvPicPr>
                  </pic:nvPicPr>
                  <pic:blipFill>
                    <a:blip r:embed="rId11"/>
                    <a:srcRect t="6371" r="1400"/>
                    <a:stretch>
                      <a:fillRect/>
                    </a:stretch>
                  </pic:blipFill>
                  <pic:spPr>
                    <a:xfrm>
                      <a:off x="0" y="0"/>
                      <a:ext cx="5858510" cy="5113655"/>
                    </a:xfrm>
                    <a:prstGeom prst="rect">
                      <a:avLst/>
                    </a:prstGeom>
                  </pic:spPr>
                </pic:pic>
              </a:graphicData>
            </a:graphic>
          </wp:inline>
        </w:drawing>
      </w:r>
    </w:p>
    <w:p w:rsidR="00752B4C" w:rsidRPr="009D4819" w:rsidRDefault="00CE7014" w:rsidP="009D4819">
      <w:pPr>
        <w:numPr>
          <w:ilvl w:val="0"/>
          <w:numId w:val="1"/>
        </w:num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 xml:space="preserve">The activation effect of drugs on the downstream signaling of </w:t>
      </w:r>
      <w:r w:rsidRPr="009D4819">
        <w:rPr>
          <w:rFonts w:ascii="Times New Roman" w:eastAsia="SimSun" w:hAnsi="Times New Roman" w:cs="Times New Roman"/>
          <w:sz w:val="24"/>
          <w:szCs w:val="24"/>
        </w:rPr>
        <w:t>EPOR in Ba/F3-</w:t>
      </w:r>
      <w:r>
        <w:rPr>
          <w:rFonts w:ascii="Times New Roman" w:eastAsia="SimSun" w:hAnsi="Times New Roman" w:cs="Times New Roman"/>
          <w:sz w:val="24"/>
          <w:szCs w:val="24"/>
        </w:rPr>
        <w:t>h</w:t>
      </w:r>
      <w:r w:rsidRPr="009D4819">
        <w:rPr>
          <w:rFonts w:ascii="Times New Roman" w:eastAsia="SimSun" w:hAnsi="Times New Roman" w:cs="Times New Roman"/>
          <w:sz w:val="24"/>
          <w:szCs w:val="24"/>
        </w:rPr>
        <w:t>EPOR cells. Ba/F3-</w:t>
      </w:r>
      <w:r>
        <w:rPr>
          <w:rFonts w:ascii="Times New Roman" w:eastAsia="SimSun" w:hAnsi="Times New Roman" w:cs="Times New Roman"/>
          <w:sz w:val="24"/>
          <w:szCs w:val="24"/>
        </w:rPr>
        <w:t>h</w:t>
      </w:r>
      <w:r w:rsidRPr="009D4819">
        <w:rPr>
          <w:rFonts w:ascii="Times New Roman" w:eastAsia="SimSun" w:hAnsi="Times New Roman" w:cs="Times New Roman"/>
          <w:sz w:val="24"/>
          <w:szCs w:val="24"/>
        </w:rPr>
        <w:t>EPOR cells in logarithmic growth phase were cultured for 24 hours without EPO addition. The cell density was adjusted to 5.0×10</w:t>
      </w:r>
      <w:r w:rsidRPr="009D4819">
        <w:rPr>
          <w:rFonts w:ascii="Times New Roman" w:eastAsia="SimSun" w:hAnsi="Times New Roman" w:cs="Times New Roman"/>
          <w:sz w:val="24"/>
          <w:szCs w:val="24"/>
          <w:vertAlign w:val="superscript"/>
        </w:rPr>
        <w:t>5</w:t>
      </w:r>
      <w:r w:rsidRPr="009D4819">
        <w:rPr>
          <w:rFonts w:ascii="Times New Roman" w:eastAsia="SimSun" w:hAnsi="Times New Roman" w:cs="Times New Roman"/>
          <w:sz w:val="24"/>
          <w:szCs w:val="24"/>
        </w:rPr>
        <w:t xml:space="preserve">cells/mL using complete culture medium without EPO. The cells were treated with drugs for 10 </w:t>
      </w:r>
      <w:r w:rsidRPr="009D4819">
        <w:rPr>
          <w:rFonts w:ascii="Times New Roman" w:eastAsia="SimSun" w:hAnsi="Times New Roman" w:cs="Times New Roman"/>
          <w:sz w:val="24"/>
          <w:szCs w:val="24"/>
        </w:rPr>
        <w:t>minutes, centrifuged, and the supernatant was discarded. The cells were resuspended in RPMI1640+10%FBS+1%P/S. The cells were cultured for 0 min, 30 min, 1 h, 4 h, 1 d, 2 d, 3 d, and 4 d. Total protein was extracted at each time point. The phosphorylation l</w:t>
      </w:r>
      <w:r w:rsidRPr="009D4819">
        <w:rPr>
          <w:rFonts w:ascii="Times New Roman" w:eastAsia="SimSun" w:hAnsi="Times New Roman" w:cs="Times New Roman"/>
          <w:sz w:val="24"/>
          <w:szCs w:val="24"/>
        </w:rPr>
        <w:t>evel of ERK1/2 was assayed via Western blot.</w:t>
      </w: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 xml:space="preserve">B. </w:t>
      </w:r>
      <w:r w:rsidRPr="009D4819">
        <w:rPr>
          <w:rFonts w:ascii="Times New Roman" w:eastAsia="SimSun" w:hAnsi="Times New Roman" w:cs="Times New Roman"/>
          <w:sz w:val="24"/>
          <w:szCs w:val="24"/>
        </w:rPr>
        <w:t xml:space="preserve">The activation effect of drugs on the downstream signaling of EPOR in UT-7 cells. UT-7 cells in logarithmic growth phase were cultured for 24 hours without EPO addition. The cell </w:t>
      </w:r>
      <w:r w:rsidRPr="009D4819">
        <w:rPr>
          <w:rFonts w:ascii="Times New Roman" w:eastAsia="SimSun" w:hAnsi="Times New Roman" w:cs="Times New Roman"/>
          <w:sz w:val="24"/>
          <w:szCs w:val="24"/>
        </w:rPr>
        <w:t>density was adjusted to 5.0×10</w:t>
      </w:r>
      <w:r w:rsidRPr="009D4819">
        <w:rPr>
          <w:rFonts w:ascii="Times New Roman" w:eastAsia="SimSun" w:hAnsi="Times New Roman" w:cs="Times New Roman"/>
          <w:sz w:val="24"/>
          <w:szCs w:val="24"/>
          <w:vertAlign w:val="superscript"/>
        </w:rPr>
        <w:t>5</w:t>
      </w:r>
      <w:r w:rsidRPr="009D4819">
        <w:rPr>
          <w:rFonts w:ascii="Times New Roman" w:eastAsia="SimSun" w:hAnsi="Times New Roman" w:cs="Times New Roman"/>
          <w:sz w:val="24"/>
          <w:szCs w:val="24"/>
        </w:rPr>
        <w:t>cells/mL with complete medium without EPO. The cells were treated with drugs for 10 minutes, centrifuged, and the supernatant was discarded. The cell density was adjusted to 5.55×10</w:t>
      </w:r>
      <w:r w:rsidRPr="009D4819">
        <w:rPr>
          <w:rFonts w:ascii="Times New Roman" w:eastAsia="SimSun" w:hAnsi="Times New Roman" w:cs="Times New Roman"/>
          <w:sz w:val="24"/>
          <w:szCs w:val="24"/>
          <w:vertAlign w:val="superscript"/>
        </w:rPr>
        <w:t>5</w:t>
      </w:r>
      <w:r w:rsidRPr="009D4819">
        <w:rPr>
          <w:rFonts w:ascii="Times New Roman" w:eastAsia="SimSun" w:hAnsi="Times New Roman" w:cs="Times New Roman"/>
          <w:sz w:val="24"/>
          <w:szCs w:val="24"/>
        </w:rPr>
        <w:t xml:space="preserve">cells/mL with complete medium without EPO. </w:t>
      </w:r>
      <w:r w:rsidRPr="009D4819">
        <w:rPr>
          <w:rFonts w:ascii="Times New Roman" w:eastAsia="SimSun" w:hAnsi="Times New Roman" w:cs="Times New Roman"/>
          <w:sz w:val="24"/>
          <w:szCs w:val="24"/>
        </w:rPr>
        <w:t>The cells were cultured for 0 min, 30 min, 1 h, 4 h, 1 d, 2 d, and 3 d. Total protein was extracted. The phosphorylation levels of ERK1/2 and STAT5 were assayed via Western blot.</w:t>
      </w:r>
    </w:p>
    <w:p w:rsidR="00752B4C" w:rsidRPr="009D4819" w:rsidRDefault="00752B4C" w:rsidP="009D4819">
      <w:pPr>
        <w:spacing w:line="360" w:lineRule="auto"/>
        <w:jc w:val="left"/>
        <w:rPr>
          <w:rFonts w:ascii="Times New Roman" w:eastAsia="SimSun" w:hAnsi="Times New Roman" w:cs="Times New Roman"/>
          <w:sz w:val="24"/>
          <w:szCs w:val="24"/>
        </w:rPr>
      </w:pPr>
    </w:p>
    <w:p w:rsidR="00752B4C" w:rsidRPr="009D4819" w:rsidRDefault="00752B4C" w:rsidP="009D4819">
      <w:pPr>
        <w:spacing w:line="360" w:lineRule="auto"/>
        <w:jc w:val="left"/>
        <w:rPr>
          <w:rFonts w:ascii="Times New Roman" w:eastAsia="SimSun" w:hAnsi="Times New Roman" w:cs="Times New Roman"/>
          <w:sz w:val="24"/>
          <w:szCs w:val="24"/>
        </w:rPr>
      </w:pPr>
    </w:p>
    <w:p w:rsidR="00752B4C" w:rsidRPr="009D4819" w:rsidRDefault="00752B4C" w:rsidP="009D4819">
      <w:pPr>
        <w:spacing w:after="240" w:line="360" w:lineRule="auto"/>
        <w:jc w:val="left"/>
        <w:rPr>
          <w:rFonts w:ascii="Times New Roman" w:eastAsia="SimSun" w:hAnsi="Times New Roman" w:cs="Times New Roman"/>
          <w:b/>
          <w:sz w:val="24"/>
          <w:szCs w:val="24"/>
        </w:rPr>
        <w:sectPr w:rsidR="00752B4C" w:rsidRPr="009D4819">
          <w:pgSz w:w="12240" w:h="15840"/>
          <w:pgMar w:top="1440" w:right="1440" w:bottom="1440" w:left="1440" w:header="720" w:footer="720" w:gutter="0"/>
          <w:cols w:space="720"/>
          <w:docGrid w:linePitch="360"/>
        </w:sectPr>
      </w:pPr>
    </w:p>
    <w:p w:rsidR="00752B4C" w:rsidRPr="009D4819" w:rsidRDefault="00CE7014" w:rsidP="009D4819">
      <w:pPr>
        <w:spacing w:after="240" w:line="360" w:lineRule="auto"/>
        <w:jc w:val="left"/>
        <w:rPr>
          <w:rFonts w:ascii="Times New Roman" w:eastAsia="SimSun" w:hAnsi="Times New Roman" w:cs="Times New Roman"/>
          <w:b/>
          <w:sz w:val="24"/>
          <w:szCs w:val="24"/>
        </w:rPr>
      </w:pPr>
      <w:r w:rsidRPr="009D4819">
        <w:rPr>
          <w:rFonts w:ascii="Times New Roman" w:eastAsia="SimSun" w:hAnsi="Times New Roman" w:cs="Times New Roman"/>
          <w:b/>
          <w:sz w:val="24"/>
          <w:szCs w:val="24"/>
        </w:rPr>
        <w:t xml:space="preserve">Supplementary Table </w:t>
      </w:r>
      <w:r w:rsidRPr="009D4819">
        <w:rPr>
          <w:rFonts w:ascii="Times New Roman" w:eastAsia="SimSun" w:hAnsi="Times New Roman" w:cs="Times New Roman"/>
          <w:b/>
          <w:sz w:val="24"/>
          <w:szCs w:val="24"/>
        </w:rPr>
        <w:t>2</w:t>
      </w:r>
      <w:r w:rsidRPr="009D4819">
        <w:rPr>
          <w:rFonts w:ascii="Times New Roman" w:eastAsia="SimSun" w:hAnsi="Times New Roman" w:cs="Times New Roman"/>
          <w:b/>
          <w:sz w:val="24"/>
          <w:szCs w:val="24"/>
        </w:rPr>
        <w:t xml:space="preserve">. </w:t>
      </w:r>
    </w:p>
    <w:tbl>
      <w:tblPr>
        <w:tblW w:w="5000" w:type="pct"/>
        <w:tblLayout w:type="fixed"/>
        <w:tblLook w:val="04A0" w:firstRow="1" w:lastRow="0" w:firstColumn="1" w:lastColumn="0" w:noHBand="0" w:noVBand="1"/>
      </w:tblPr>
      <w:tblGrid>
        <w:gridCol w:w="1272"/>
        <w:gridCol w:w="720"/>
        <w:gridCol w:w="1410"/>
        <w:gridCol w:w="1453"/>
        <w:gridCol w:w="1067"/>
        <w:gridCol w:w="970"/>
        <w:gridCol w:w="1324"/>
        <w:gridCol w:w="1144"/>
      </w:tblGrid>
      <w:tr w:rsidR="00752B4C">
        <w:trPr>
          <w:trHeight w:val="366"/>
        </w:trPr>
        <w:tc>
          <w:tcPr>
            <w:tcW w:w="680" w:type="pct"/>
            <w:tcBorders>
              <w:top w:val="single" w:sz="4" w:space="0" w:color="auto"/>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Group</w:t>
            </w:r>
          </w:p>
        </w:tc>
        <w:tc>
          <w:tcPr>
            <w:tcW w:w="385" w:type="pct"/>
            <w:tcBorders>
              <w:top w:val="single" w:sz="4" w:space="0" w:color="auto"/>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Days</w:t>
            </w:r>
          </w:p>
        </w:tc>
        <w:tc>
          <w:tcPr>
            <w:tcW w:w="753" w:type="pct"/>
            <w:tcBorders>
              <w:top w:val="single" w:sz="4" w:space="0" w:color="auto"/>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WBC(10^9/L)</w:t>
            </w:r>
          </w:p>
        </w:tc>
        <w:tc>
          <w:tcPr>
            <w:tcW w:w="776" w:type="pct"/>
            <w:tcBorders>
              <w:top w:val="single" w:sz="4" w:space="0" w:color="auto"/>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RBC(10^12/L)</w:t>
            </w:r>
          </w:p>
        </w:tc>
        <w:tc>
          <w:tcPr>
            <w:tcW w:w="570" w:type="pct"/>
            <w:tcBorders>
              <w:top w:val="single" w:sz="4" w:space="0" w:color="auto"/>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HGB(g/L)</w:t>
            </w:r>
          </w:p>
        </w:tc>
        <w:tc>
          <w:tcPr>
            <w:tcW w:w="518" w:type="pct"/>
            <w:tcBorders>
              <w:top w:val="single" w:sz="4" w:space="0" w:color="auto"/>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HCT(%)</w:t>
            </w:r>
          </w:p>
        </w:tc>
        <w:tc>
          <w:tcPr>
            <w:tcW w:w="707" w:type="pct"/>
            <w:tcBorders>
              <w:top w:val="single" w:sz="4" w:space="0" w:color="auto"/>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PLT(10^9/L)</w:t>
            </w:r>
          </w:p>
        </w:tc>
        <w:tc>
          <w:tcPr>
            <w:tcW w:w="611" w:type="pct"/>
            <w:tcBorders>
              <w:top w:val="single" w:sz="4" w:space="0" w:color="auto"/>
              <w:left w:val="nil"/>
              <w:bottom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RET%(%)</w:t>
            </w:r>
          </w:p>
        </w:tc>
      </w:tr>
      <w:tr w:rsidR="00752B4C">
        <w:trPr>
          <w:trHeight w:val="288"/>
        </w:trPr>
        <w:tc>
          <w:tcPr>
            <w:tcW w:w="680" w:type="pct"/>
            <w:vMerge w:val="restart"/>
            <w:tcBorders>
              <w:top w:val="single" w:sz="4" w:space="0" w:color="auto"/>
              <w:bottom w:val="single" w:sz="4" w:space="0" w:color="000000"/>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Vehicle sc.</w:t>
            </w:r>
          </w:p>
        </w:tc>
        <w:tc>
          <w:tcPr>
            <w:tcW w:w="385" w:type="pct"/>
            <w:tcBorders>
              <w:top w:val="single" w:sz="4" w:space="0" w:color="auto"/>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w:t>
            </w:r>
          </w:p>
        </w:tc>
        <w:tc>
          <w:tcPr>
            <w:tcW w:w="753" w:type="pct"/>
            <w:tcBorders>
              <w:top w:val="single" w:sz="4" w:space="0" w:color="auto"/>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6.5</w:t>
            </w:r>
          </w:p>
        </w:tc>
        <w:tc>
          <w:tcPr>
            <w:tcW w:w="776" w:type="pct"/>
            <w:tcBorders>
              <w:top w:val="single" w:sz="4" w:space="0" w:color="auto"/>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10.1</w:t>
            </w:r>
          </w:p>
        </w:tc>
        <w:tc>
          <w:tcPr>
            <w:tcW w:w="570" w:type="pct"/>
            <w:tcBorders>
              <w:top w:val="single" w:sz="4" w:space="0" w:color="auto"/>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158.5</w:t>
            </w:r>
          </w:p>
        </w:tc>
        <w:tc>
          <w:tcPr>
            <w:tcW w:w="518" w:type="pct"/>
            <w:tcBorders>
              <w:top w:val="single" w:sz="4" w:space="0" w:color="auto"/>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45.6</w:t>
            </w:r>
          </w:p>
        </w:tc>
        <w:tc>
          <w:tcPr>
            <w:tcW w:w="707" w:type="pct"/>
            <w:tcBorders>
              <w:top w:val="single" w:sz="4" w:space="0" w:color="auto"/>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1 481.7</w:t>
            </w:r>
          </w:p>
        </w:tc>
        <w:tc>
          <w:tcPr>
            <w:tcW w:w="611" w:type="pct"/>
            <w:tcBorders>
              <w:top w:val="single" w:sz="4" w:space="0" w:color="auto"/>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4.9</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8.9</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10.3</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163.7</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47.9</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1 579.0</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4.6</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9.5</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9.5</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150.0</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43.1</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1 027.0</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5.9</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14</w:t>
            </w:r>
          </w:p>
        </w:tc>
        <w:tc>
          <w:tcPr>
            <w:tcW w:w="753"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8.4</w:t>
            </w:r>
          </w:p>
        </w:tc>
        <w:tc>
          <w:tcPr>
            <w:tcW w:w="776"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9.9</w:t>
            </w:r>
          </w:p>
        </w:tc>
        <w:tc>
          <w:tcPr>
            <w:tcW w:w="570"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155.7</w:t>
            </w:r>
          </w:p>
        </w:tc>
        <w:tc>
          <w:tcPr>
            <w:tcW w:w="518"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43.4</w:t>
            </w:r>
          </w:p>
        </w:tc>
        <w:tc>
          <w:tcPr>
            <w:tcW w:w="707"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1 104.8</w:t>
            </w:r>
          </w:p>
        </w:tc>
        <w:tc>
          <w:tcPr>
            <w:tcW w:w="611" w:type="pct"/>
            <w:tcBorders>
              <w:top w:val="nil"/>
              <w:left w:val="nil"/>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4.8</w:t>
            </w:r>
          </w:p>
        </w:tc>
      </w:tr>
      <w:tr w:rsidR="00752B4C">
        <w:trPr>
          <w:trHeight w:val="288"/>
        </w:trPr>
        <w:tc>
          <w:tcPr>
            <w:tcW w:w="680" w:type="pct"/>
            <w:vMerge w:val="restart"/>
            <w:tcBorders>
              <w:top w:val="nil"/>
              <w:bottom w:val="single" w:sz="4" w:space="0" w:color="000000"/>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Pegmolesatide 0.08mpk sc.</w:t>
            </w: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6.9</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11.2</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177.0</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53.7</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2 221.0</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19.4</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10.7</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12.6</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196.7</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59.9</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2 003.2</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19.8</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9.0</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10.3</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162.7</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47.3</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991.7</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2.6</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14</w:t>
            </w:r>
          </w:p>
        </w:tc>
        <w:tc>
          <w:tcPr>
            <w:tcW w:w="753"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8.0</w:t>
            </w:r>
          </w:p>
        </w:tc>
        <w:tc>
          <w:tcPr>
            <w:tcW w:w="776"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10.8</w:t>
            </w:r>
          </w:p>
        </w:tc>
        <w:tc>
          <w:tcPr>
            <w:tcW w:w="570"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164.5</w:t>
            </w:r>
          </w:p>
        </w:tc>
        <w:tc>
          <w:tcPr>
            <w:tcW w:w="518"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47.2</w:t>
            </w:r>
          </w:p>
        </w:tc>
        <w:tc>
          <w:tcPr>
            <w:tcW w:w="707"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1 236.3</w:t>
            </w:r>
          </w:p>
        </w:tc>
        <w:tc>
          <w:tcPr>
            <w:tcW w:w="611" w:type="pct"/>
            <w:tcBorders>
              <w:top w:val="nil"/>
              <w:left w:val="nil"/>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1.2</w:t>
            </w:r>
          </w:p>
        </w:tc>
      </w:tr>
      <w:tr w:rsidR="00752B4C">
        <w:trPr>
          <w:trHeight w:val="288"/>
        </w:trPr>
        <w:tc>
          <w:tcPr>
            <w:tcW w:w="680" w:type="pct"/>
            <w:vMerge w:val="restart"/>
            <w:tcBorders>
              <w:top w:val="nil"/>
              <w:bottom w:val="single" w:sz="4" w:space="0" w:color="000000"/>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Pegmolesatide 0.16mpk sc.</w:t>
            </w: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6.9</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11.0</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175.2</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52.7</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1 794.0</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18.1</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10.1</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12.3</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190.5</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61.3</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2 532.8</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26.2</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8.5</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11.2</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174.5</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51.3</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973.2</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3.8</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14</w:t>
            </w:r>
          </w:p>
        </w:tc>
        <w:tc>
          <w:tcPr>
            <w:tcW w:w="753"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6.8</w:t>
            </w:r>
          </w:p>
        </w:tc>
        <w:tc>
          <w:tcPr>
            <w:tcW w:w="776"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11.0</w:t>
            </w:r>
          </w:p>
        </w:tc>
        <w:tc>
          <w:tcPr>
            <w:tcW w:w="570"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166.3</w:t>
            </w:r>
          </w:p>
        </w:tc>
        <w:tc>
          <w:tcPr>
            <w:tcW w:w="518"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47.4</w:t>
            </w:r>
          </w:p>
        </w:tc>
        <w:tc>
          <w:tcPr>
            <w:tcW w:w="707"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w:t>
            </w:r>
            <w:r w:rsidRPr="009D4819">
              <w:rPr>
                <w:rFonts w:ascii="Times New Roman" w:eastAsia="Times New Roman" w:hAnsi="Times New Roman" w:cs="Times New Roman"/>
                <w:kern w:val="0"/>
                <w:szCs w:val="21"/>
              </w:rPr>
              <w:t xml:space="preserve"> 193.8</w:t>
            </w:r>
          </w:p>
        </w:tc>
        <w:tc>
          <w:tcPr>
            <w:tcW w:w="611" w:type="pct"/>
            <w:tcBorders>
              <w:top w:val="nil"/>
              <w:left w:val="nil"/>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0.7</w:t>
            </w:r>
          </w:p>
        </w:tc>
      </w:tr>
      <w:tr w:rsidR="00752B4C">
        <w:trPr>
          <w:trHeight w:val="288"/>
        </w:trPr>
        <w:tc>
          <w:tcPr>
            <w:tcW w:w="680" w:type="pct"/>
            <w:vMerge w:val="restart"/>
            <w:tcBorders>
              <w:top w:val="nil"/>
              <w:bottom w:val="single" w:sz="4" w:space="0" w:color="000000"/>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Peptide dimer 0.08mpk sc.</w:t>
            </w: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5.9</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10.5</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166.0</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48.5</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1 599.0</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6.4</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9.0</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10.6</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166.3</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49.6</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1 606.5</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6.7</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8.8</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9.3</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150.8</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42.7</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1 084.7</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5.5</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14</w:t>
            </w:r>
          </w:p>
        </w:tc>
        <w:tc>
          <w:tcPr>
            <w:tcW w:w="753"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9.4</w:t>
            </w:r>
          </w:p>
        </w:tc>
        <w:tc>
          <w:tcPr>
            <w:tcW w:w="776"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10.7</w:t>
            </w:r>
          </w:p>
        </w:tc>
        <w:tc>
          <w:tcPr>
            <w:tcW w:w="570"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165.7</w:t>
            </w:r>
          </w:p>
        </w:tc>
        <w:tc>
          <w:tcPr>
            <w:tcW w:w="518"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47.1</w:t>
            </w:r>
          </w:p>
        </w:tc>
        <w:tc>
          <w:tcPr>
            <w:tcW w:w="707"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1 176.2</w:t>
            </w:r>
          </w:p>
        </w:tc>
        <w:tc>
          <w:tcPr>
            <w:tcW w:w="611" w:type="pct"/>
            <w:tcBorders>
              <w:top w:val="nil"/>
              <w:left w:val="nil"/>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4.6</w:t>
            </w:r>
          </w:p>
        </w:tc>
      </w:tr>
      <w:tr w:rsidR="00752B4C">
        <w:trPr>
          <w:trHeight w:val="288"/>
        </w:trPr>
        <w:tc>
          <w:tcPr>
            <w:tcW w:w="680" w:type="pct"/>
            <w:vMerge w:val="restart"/>
            <w:tcBorders>
              <w:top w:val="nil"/>
              <w:bottom w:val="single" w:sz="4" w:space="0" w:color="000000"/>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Peptide dimer 0.16mpk sc.</w:t>
            </w: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5.6</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10.0</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158.0</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47.1</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1 733.0</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5.8</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10.2</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10.4</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164.3</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49.8</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1 836.2</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4.5</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9.3</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9.0</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143.5</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40.8</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1 104.2</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5.8</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14</w:t>
            </w:r>
          </w:p>
        </w:tc>
        <w:tc>
          <w:tcPr>
            <w:tcW w:w="753"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8.6</w:t>
            </w:r>
          </w:p>
        </w:tc>
        <w:tc>
          <w:tcPr>
            <w:tcW w:w="776"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10.6</w:t>
            </w:r>
          </w:p>
        </w:tc>
        <w:tc>
          <w:tcPr>
            <w:tcW w:w="570"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167.2</w:t>
            </w:r>
          </w:p>
        </w:tc>
        <w:tc>
          <w:tcPr>
            <w:tcW w:w="518"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46.9</w:t>
            </w:r>
          </w:p>
        </w:tc>
        <w:tc>
          <w:tcPr>
            <w:tcW w:w="707"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1 099.3</w:t>
            </w:r>
          </w:p>
        </w:tc>
        <w:tc>
          <w:tcPr>
            <w:tcW w:w="611" w:type="pct"/>
            <w:tcBorders>
              <w:top w:val="nil"/>
              <w:left w:val="nil"/>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4.0</w:t>
            </w:r>
          </w:p>
        </w:tc>
      </w:tr>
      <w:tr w:rsidR="00752B4C">
        <w:trPr>
          <w:trHeight w:val="288"/>
        </w:trPr>
        <w:tc>
          <w:tcPr>
            <w:tcW w:w="680" w:type="pct"/>
            <w:vMerge w:val="restart"/>
            <w:tcBorders>
              <w:top w:val="nil"/>
              <w:bottom w:val="single" w:sz="4" w:space="0" w:color="000000"/>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ESPO 3000 500IU/kg iv.</w:t>
            </w: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5.4</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10.4</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166.0</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48.0</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1 644.3</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8.0</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6</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10.8</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10.4</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163.7</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49.1</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1639.7</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3.7</w:t>
            </w:r>
          </w:p>
        </w:tc>
      </w:tr>
      <w:tr w:rsidR="00752B4C">
        <w:trPr>
          <w:trHeight w:val="288"/>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nil"/>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w:t>
            </w:r>
          </w:p>
        </w:tc>
        <w:tc>
          <w:tcPr>
            <w:tcW w:w="753"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8.5</w:t>
            </w:r>
          </w:p>
        </w:tc>
        <w:tc>
          <w:tcPr>
            <w:tcW w:w="776"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9.4</w:t>
            </w:r>
          </w:p>
        </w:tc>
        <w:tc>
          <w:tcPr>
            <w:tcW w:w="570"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152.3</w:t>
            </w:r>
          </w:p>
        </w:tc>
        <w:tc>
          <w:tcPr>
            <w:tcW w:w="518"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42.7</w:t>
            </w:r>
          </w:p>
        </w:tc>
        <w:tc>
          <w:tcPr>
            <w:tcW w:w="707" w:type="pct"/>
            <w:tcBorders>
              <w:top w:val="nil"/>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1 130.3</w:t>
            </w:r>
          </w:p>
        </w:tc>
        <w:tc>
          <w:tcPr>
            <w:tcW w:w="611" w:type="pct"/>
            <w:tcBorders>
              <w:top w:val="nil"/>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4.8</w:t>
            </w:r>
          </w:p>
        </w:tc>
      </w:tr>
      <w:tr w:rsidR="00752B4C">
        <w:trPr>
          <w:trHeight w:val="46"/>
        </w:trPr>
        <w:tc>
          <w:tcPr>
            <w:tcW w:w="680" w:type="pct"/>
            <w:vMerge/>
            <w:tcBorders>
              <w:top w:val="nil"/>
              <w:bottom w:val="single" w:sz="4" w:space="0" w:color="000000"/>
              <w:right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kern w:val="0"/>
                <w:szCs w:val="21"/>
              </w:rPr>
            </w:pPr>
          </w:p>
        </w:tc>
        <w:tc>
          <w:tcPr>
            <w:tcW w:w="385" w:type="pct"/>
            <w:tcBorders>
              <w:top w:val="nil"/>
              <w:left w:val="nil"/>
              <w:bottom w:val="single" w:sz="4" w:space="0" w:color="auto"/>
              <w:right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14</w:t>
            </w:r>
          </w:p>
        </w:tc>
        <w:tc>
          <w:tcPr>
            <w:tcW w:w="753"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8.7</w:t>
            </w:r>
          </w:p>
        </w:tc>
        <w:tc>
          <w:tcPr>
            <w:tcW w:w="776"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10.2</w:t>
            </w:r>
          </w:p>
        </w:tc>
        <w:tc>
          <w:tcPr>
            <w:tcW w:w="570"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159.8</w:t>
            </w:r>
          </w:p>
        </w:tc>
        <w:tc>
          <w:tcPr>
            <w:tcW w:w="518"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44.9</w:t>
            </w:r>
          </w:p>
        </w:tc>
        <w:tc>
          <w:tcPr>
            <w:tcW w:w="707" w:type="pct"/>
            <w:tcBorders>
              <w:top w:val="nil"/>
              <w:left w:val="nil"/>
              <w:bottom w:val="single" w:sz="4" w:space="0" w:color="auto"/>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1 050.7</w:t>
            </w:r>
          </w:p>
        </w:tc>
        <w:tc>
          <w:tcPr>
            <w:tcW w:w="611" w:type="pct"/>
            <w:tcBorders>
              <w:top w:val="nil"/>
              <w:left w:val="nil"/>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4.6</w:t>
            </w:r>
          </w:p>
        </w:tc>
      </w:tr>
    </w:tbl>
    <w:p w:rsidR="00752B4C" w:rsidRPr="009D4819" w:rsidRDefault="00752B4C" w:rsidP="009D4819">
      <w:pPr>
        <w:spacing w:line="360" w:lineRule="auto"/>
        <w:jc w:val="left"/>
        <w:rPr>
          <w:rFonts w:ascii="Times New Roman" w:eastAsia="SimSun" w:hAnsi="Times New Roman" w:cs="Times New Roman"/>
          <w:sz w:val="24"/>
          <w:szCs w:val="24"/>
        </w:rPr>
      </w:pP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The changes in peripheral blood count after a single subcutaneous injection of Pegmolesatide in normal mice. Data are presented as Mean from 6 mice per group</w:t>
      </w: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Red blood cell (RBC), hemoglobin (HGB), hematocrit (HCT%), platelet (PLT), white blood cell</w:t>
      </w:r>
      <w:r w:rsidRPr="009D4819">
        <w:rPr>
          <w:rFonts w:ascii="Times New Roman" w:eastAsia="SimSun" w:hAnsi="Times New Roman" w:cs="Times New Roman"/>
          <w:sz w:val="24"/>
          <w:szCs w:val="24"/>
        </w:rPr>
        <w:t xml:space="preserve"> (WBC)</w:t>
      </w:r>
    </w:p>
    <w:p w:rsidR="00752B4C" w:rsidRPr="009D4819" w:rsidRDefault="00752B4C" w:rsidP="009D4819">
      <w:pPr>
        <w:spacing w:line="360" w:lineRule="auto"/>
        <w:jc w:val="left"/>
        <w:rPr>
          <w:rFonts w:ascii="Times New Roman" w:eastAsia="SimSun" w:hAnsi="Times New Roman" w:cs="Times New Roman"/>
          <w:b/>
          <w:sz w:val="24"/>
          <w:szCs w:val="24"/>
        </w:rPr>
      </w:pPr>
    </w:p>
    <w:p w:rsidR="00752B4C" w:rsidRPr="009D4819" w:rsidRDefault="00752B4C" w:rsidP="009D4819">
      <w:pPr>
        <w:spacing w:line="360" w:lineRule="auto"/>
        <w:jc w:val="left"/>
        <w:rPr>
          <w:rFonts w:ascii="Times New Roman" w:eastAsia="SimSun" w:hAnsi="Times New Roman" w:cs="Times New Roman"/>
          <w:b/>
          <w:sz w:val="24"/>
          <w:szCs w:val="24"/>
        </w:rPr>
        <w:sectPr w:rsidR="00752B4C" w:rsidRPr="009D4819">
          <w:pgSz w:w="12240" w:h="15840"/>
          <w:pgMar w:top="1440" w:right="1440" w:bottom="1440" w:left="1440" w:header="720" w:footer="720" w:gutter="0"/>
          <w:cols w:space="720"/>
          <w:docGrid w:linePitch="360"/>
        </w:sectPr>
      </w:pP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b/>
          <w:sz w:val="24"/>
          <w:szCs w:val="24"/>
        </w:rPr>
        <w:t xml:space="preserve">Supplementary Table </w:t>
      </w:r>
      <w:r w:rsidRPr="009D4819">
        <w:rPr>
          <w:rFonts w:ascii="Times New Roman" w:eastAsia="SimSun" w:hAnsi="Times New Roman" w:cs="Times New Roman"/>
          <w:b/>
          <w:sz w:val="24"/>
          <w:szCs w:val="24"/>
        </w:rPr>
        <w:t>3</w:t>
      </w:r>
      <w:r w:rsidRPr="009D4819">
        <w:rPr>
          <w:rFonts w:ascii="Times New Roman" w:eastAsia="SimSun" w:hAnsi="Times New Roman" w:cs="Times New Roman"/>
          <w:b/>
          <w:sz w:val="24"/>
          <w:szCs w:val="24"/>
        </w:rPr>
        <w:t xml:space="preserve">. </w:t>
      </w:r>
    </w:p>
    <w:tbl>
      <w:tblPr>
        <w:tblW w:w="5000" w:type="pct"/>
        <w:tblLook w:val="04A0" w:firstRow="1" w:lastRow="0" w:firstColumn="1" w:lastColumn="0" w:noHBand="0" w:noVBand="1"/>
      </w:tblPr>
      <w:tblGrid>
        <w:gridCol w:w="1685"/>
        <w:gridCol w:w="1434"/>
        <w:gridCol w:w="1434"/>
        <w:gridCol w:w="1434"/>
        <w:gridCol w:w="1125"/>
        <w:gridCol w:w="1125"/>
        <w:gridCol w:w="1123"/>
      </w:tblGrid>
      <w:tr w:rsidR="00752B4C">
        <w:trPr>
          <w:trHeight w:val="279"/>
        </w:trPr>
        <w:tc>
          <w:tcPr>
            <w:tcW w:w="5000" w:type="pct"/>
            <w:gridSpan w:val="7"/>
            <w:tcBorders>
              <w:top w:val="single" w:sz="4" w:space="0" w:color="auto"/>
              <w:bottom w:val="single" w:sz="4" w:space="0" w:color="auto"/>
            </w:tcBorders>
            <w:shd w:val="clear" w:color="auto" w:fill="FFFFFF" w:themeFill="background1"/>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Peptide dimer</w:t>
            </w:r>
          </w:p>
        </w:tc>
      </w:tr>
      <w:tr w:rsidR="00752B4C">
        <w:trPr>
          <w:trHeight w:val="214"/>
        </w:trPr>
        <w:tc>
          <w:tcPr>
            <w:tcW w:w="900" w:type="pct"/>
            <w:tcBorders>
              <w:top w:val="single" w:sz="4" w:space="0" w:color="auto"/>
              <w:bottom w:val="single" w:sz="4" w:space="0" w:color="auto"/>
            </w:tcBorders>
            <w:shd w:val="clear" w:color="auto" w:fill="FFFFFF" w:themeFill="background1"/>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SC 0.08mpk</w:t>
            </w:r>
          </w:p>
        </w:tc>
        <w:tc>
          <w:tcPr>
            <w:tcW w:w="4100" w:type="pct"/>
            <w:gridSpan w:val="6"/>
            <w:tcBorders>
              <w:top w:val="single" w:sz="4" w:space="0" w:color="auto"/>
              <w:bottom w:val="single" w:sz="4" w:space="0" w:color="auto"/>
            </w:tcBorders>
            <w:shd w:val="clear" w:color="auto" w:fill="FFFFFF" w:themeFill="background1"/>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Serum Conc. (ng/mL)</w:t>
            </w:r>
          </w:p>
        </w:tc>
      </w:tr>
      <w:tr w:rsidR="00752B4C">
        <w:trPr>
          <w:trHeight w:val="279"/>
        </w:trPr>
        <w:tc>
          <w:tcPr>
            <w:tcW w:w="900" w:type="pct"/>
            <w:tcBorders>
              <w:top w:val="single" w:sz="4" w:space="0" w:color="auto"/>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Time (h</w:t>
            </w:r>
            <w:r w:rsidRPr="009D4819">
              <w:rPr>
                <w:rFonts w:ascii="Times New Roman" w:hAnsi="Times New Roman" w:cs="Times New Roman"/>
                <w:kern w:val="0"/>
                <w:szCs w:val="21"/>
              </w:rPr>
              <w:t>our</w:t>
            </w:r>
            <w:r w:rsidRPr="009D4819">
              <w:rPr>
                <w:rFonts w:ascii="Times New Roman" w:eastAsia="Times New Roman" w:hAnsi="Times New Roman" w:cs="Times New Roman"/>
                <w:kern w:val="0"/>
                <w:szCs w:val="21"/>
              </w:rPr>
              <w:t>)</w:t>
            </w:r>
          </w:p>
        </w:tc>
        <w:tc>
          <w:tcPr>
            <w:tcW w:w="766" w:type="pct"/>
            <w:tcBorders>
              <w:top w:val="single" w:sz="4" w:space="0" w:color="auto"/>
              <w:bottom w:val="single" w:sz="4" w:space="0" w:color="auto"/>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mouse01</w:t>
            </w:r>
          </w:p>
        </w:tc>
        <w:tc>
          <w:tcPr>
            <w:tcW w:w="766" w:type="pct"/>
            <w:tcBorders>
              <w:top w:val="single" w:sz="4" w:space="0" w:color="auto"/>
              <w:bottom w:val="single" w:sz="4" w:space="0" w:color="auto"/>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mouse02</w:t>
            </w:r>
          </w:p>
        </w:tc>
        <w:tc>
          <w:tcPr>
            <w:tcW w:w="766" w:type="pct"/>
            <w:tcBorders>
              <w:top w:val="single" w:sz="4" w:space="0" w:color="auto"/>
              <w:bottom w:val="single" w:sz="4" w:space="0" w:color="auto"/>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mouse03</w:t>
            </w:r>
          </w:p>
        </w:tc>
        <w:tc>
          <w:tcPr>
            <w:tcW w:w="601" w:type="pct"/>
            <w:tcBorders>
              <w:top w:val="single" w:sz="4" w:space="0" w:color="auto"/>
              <w:bottom w:val="single" w:sz="4" w:space="0" w:color="auto"/>
            </w:tcBorders>
            <w:shd w:val="clear" w:color="000000" w:fill="FFFFFF"/>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Mean</w:t>
            </w:r>
          </w:p>
        </w:tc>
        <w:tc>
          <w:tcPr>
            <w:tcW w:w="601" w:type="pct"/>
            <w:tcBorders>
              <w:top w:val="single" w:sz="4" w:space="0" w:color="auto"/>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SD</w:t>
            </w:r>
          </w:p>
        </w:tc>
        <w:tc>
          <w:tcPr>
            <w:tcW w:w="600" w:type="pct"/>
            <w:tcBorders>
              <w:top w:val="single" w:sz="4" w:space="0" w:color="auto"/>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CV</w:t>
            </w:r>
          </w:p>
        </w:tc>
      </w:tr>
      <w:tr w:rsidR="00752B4C">
        <w:trPr>
          <w:trHeight w:val="279"/>
        </w:trPr>
        <w:tc>
          <w:tcPr>
            <w:tcW w:w="900" w:type="pct"/>
            <w:tcBorders>
              <w:top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0</w:t>
            </w:r>
          </w:p>
        </w:tc>
        <w:tc>
          <w:tcPr>
            <w:tcW w:w="766" w:type="pct"/>
            <w:tcBorders>
              <w:top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single" w:sz="4" w:space="0" w:color="auto"/>
            </w:tcBorders>
            <w:shd w:val="clear" w:color="000000" w:fill="FFFFFF"/>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NA</w:t>
            </w:r>
          </w:p>
        </w:tc>
        <w:tc>
          <w:tcPr>
            <w:tcW w:w="601" w:type="pct"/>
            <w:tcBorders>
              <w:top w:val="single" w:sz="4" w:space="0" w:color="auto"/>
            </w:tcBorders>
            <w:shd w:val="clear" w:color="000000" w:fill="FFFFFF"/>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NA</w:t>
            </w:r>
          </w:p>
        </w:tc>
        <w:tc>
          <w:tcPr>
            <w:tcW w:w="600" w:type="pct"/>
            <w:tcBorders>
              <w:top w:val="single" w:sz="4" w:space="0" w:color="auto"/>
            </w:tcBorders>
            <w:shd w:val="clear" w:color="000000" w:fill="FFFFFF"/>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NA</w:t>
            </w:r>
          </w:p>
        </w:tc>
      </w:tr>
      <w:tr w:rsidR="00752B4C">
        <w:trPr>
          <w:trHeight w:val="279"/>
        </w:trPr>
        <w:tc>
          <w:tcPr>
            <w:tcW w:w="9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0.5</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5</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4</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5</w:t>
            </w:r>
          </w:p>
        </w:tc>
        <w:tc>
          <w:tcPr>
            <w:tcW w:w="601"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w:t>
            </w:r>
          </w:p>
        </w:tc>
        <w:tc>
          <w:tcPr>
            <w:tcW w:w="600"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13.8%</w:t>
            </w:r>
          </w:p>
        </w:tc>
      </w:tr>
      <w:tr w:rsidR="00752B4C">
        <w:trPr>
          <w:trHeight w:val="279"/>
        </w:trPr>
        <w:tc>
          <w:tcPr>
            <w:tcW w:w="9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2</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0"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r>
      <w:tr w:rsidR="00752B4C">
        <w:trPr>
          <w:trHeight w:val="279"/>
        </w:trPr>
        <w:tc>
          <w:tcPr>
            <w:tcW w:w="9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0"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r>
      <w:tr w:rsidR="00752B4C">
        <w:trPr>
          <w:trHeight w:val="279"/>
        </w:trPr>
        <w:tc>
          <w:tcPr>
            <w:tcW w:w="9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8</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0"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r>
      <w:tr w:rsidR="00752B4C">
        <w:trPr>
          <w:trHeight w:val="279"/>
        </w:trPr>
        <w:tc>
          <w:tcPr>
            <w:tcW w:w="9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24</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0"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r>
      <w:tr w:rsidR="00752B4C">
        <w:trPr>
          <w:trHeight w:val="279"/>
        </w:trPr>
        <w:tc>
          <w:tcPr>
            <w:tcW w:w="9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48</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0"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r>
      <w:tr w:rsidR="00752B4C">
        <w:trPr>
          <w:trHeight w:val="279"/>
        </w:trPr>
        <w:tc>
          <w:tcPr>
            <w:tcW w:w="9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72</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0"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r>
      <w:tr w:rsidR="00752B4C">
        <w:trPr>
          <w:trHeight w:val="279"/>
        </w:trPr>
        <w:tc>
          <w:tcPr>
            <w:tcW w:w="9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96</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1"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0" w:type="pct"/>
            <w:tcBorders>
              <w:top w:val="nil"/>
            </w:tcBorders>
            <w:shd w:val="clear" w:color="auto" w:fill="auto"/>
            <w:noWrap/>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r>
      <w:tr w:rsidR="00752B4C">
        <w:trPr>
          <w:trHeight w:val="279"/>
        </w:trPr>
        <w:tc>
          <w:tcPr>
            <w:tcW w:w="9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144</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1"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r>
      <w:tr w:rsidR="00752B4C">
        <w:trPr>
          <w:trHeight w:val="279"/>
        </w:trPr>
        <w:tc>
          <w:tcPr>
            <w:tcW w:w="9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192</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1"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0" w:type="pct"/>
            <w:tcBorders>
              <w:top w:val="nil"/>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r>
      <w:tr w:rsidR="00752B4C">
        <w:trPr>
          <w:trHeight w:val="56"/>
        </w:trPr>
        <w:tc>
          <w:tcPr>
            <w:tcW w:w="900" w:type="pct"/>
            <w:tcBorders>
              <w:top w:val="nil"/>
              <w:bottom w:val="single" w:sz="4" w:space="0" w:color="auto"/>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336</w:t>
            </w:r>
          </w:p>
        </w:tc>
        <w:tc>
          <w:tcPr>
            <w:tcW w:w="766" w:type="pct"/>
            <w:tcBorders>
              <w:top w:val="nil"/>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766" w:type="pct"/>
            <w:tcBorders>
              <w:top w:val="nil"/>
              <w:bottom w:val="single" w:sz="4" w:space="0" w:color="auto"/>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BLQ</w:t>
            </w:r>
          </w:p>
        </w:tc>
        <w:tc>
          <w:tcPr>
            <w:tcW w:w="601" w:type="pct"/>
            <w:tcBorders>
              <w:top w:val="nil"/>
              <w:bottom w:val="single" w:sz="4" w:space="0" w:color="auto"/>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1" w:type="pct"/>
            <w:tcBorders>
              <w:top w:val="nil"/>
              <w:bottom w:val="single" w:sz="4" w:space="0" w:color="auto"/>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c>
          <w:tcPr>
            <w:tcW w:w="600" w:type="pct"/>
            <w:tcBorders>
              <w:top w:val="nil"/>
              <w:bottom w:val="single" w:sz="4" w:space="0" w:color="auto"/>
            </w:tcBorders>
            <w:shd w:val="clear" w:color="auto" w:fill="auto"/>
            <w:noWrap/>
            <w:vAlign w:val="bottom"/>
          </w:tcPr>
          <w:p w:rsidR="00752B4C" w:rsidRPr="009D4819" w:rsidRDefault="00CE7014" w:rsidP="009D4819">
            <w:pPr>
              <w:widowControl/>
              <w:spacing w:line="360" w:lineRule="auto"/>
              <w:jc w:val="center"/>
              <w:rPr>
                <w:rFonts w:ascii="Times New Roman" w:eastAsia="Times New Roman" w:hAnsi="Times New Roman" w:cs="Times New Roman"/>
                <w:kern w:val="0"/>
                <w:szCs w:val="21"/>
              </w:rPr>
            </w:pPr>
            <w:r w:rsidRPr="009D4819">
              <w:rPr>
                <w:rFonts w:ascii="Times New Roman" w:eastAsia="Times New Roman" w:hAnsi="Times New Roman" w:cs="Times New Roman"/>
                <w:kern w:val="0"/>
                <w:szCs w:val="21"/>
              </w:rPr>
              <w:t>NA</w:t>
            </w:r>
          </w:p>
        </w:tc>
      </w:tr>
      <w:tr w:rsidR="00752B4C">
        <w:trPr>
          <w:trHeight w:val="279"/>
        </w:trPr>
        <w:tc>
          <w:tcPr>
            <w:tcW w:w="900" w:type="pct"/>
            <w:tcBorders>
              <w:top w:val="single" w:sz="4" w:space="0" w:color="auto"/>
              <w:left w:val="nil"/>
              <w:right w:val="nil"/>
            </w:tcBorders>
            <w:shd w:val="clear" w:color="auto" w:fill="auto"/>
            <w:noWrap/>
            <w:vAlign w:val="center"/>
          </w:tcPr>
          <w:p w:rsidR="00752B4C" w:rsidRPr="009D4819" w:rsidRDefault="00CE7014" w:rsidP="009D4819">
            <w:pPr>
              <w:widowControl/>
              <w:spacing w:line="360" w:lineRule="auto"/>
              <w:jc w:val="left"/>
              <w:rPr>
                <w:rFonts w:ascii="Times New Roman" w:eastAsia="Times New Roman" w:hAnsi="Times New Roman" w:cs="Times New Roman"/>
                <w:b/>
                <w:bCs/>
                <w:color w:val="000000"/>
                <w:kern w:val="0"/>
                <w:szCs w:val="21"/>
              </w:rPr>
            </w:pPr>
            <w:r w:rsidRPr="009D4819">
              <w:rPr>
                <w:rFonts w:ascii="Times New Roman" w:eastAsia="Times New Roman" w:hAnsi="Times New Roman" w:cs="Times New Roman"/>
                <w:b/>
                <w:bCs/>
                <w:color w:val="000000"/>
                <w:kern w:val="0"/>
                <w:szCs w:val="21"/>
              </w:rPr>
              <w:t>Note:</w:t>
            </w:r>
          </w:p>
        </w:tc>
        <w:tc>
          <w:tcPr>
            <w:tcW w:w="766" w:type="pct"/>
            <w:tcBorders>
              <w:top w:val="single" w:sz="4" w:space="0" w:color="auto"/>
              <w:left w:val="nil"/>
              <w:right w:val="nil"/>
            </w:tcBorders>
            <w:shd w:val="clear" w:color="auto" w:fill="auto"/>
            <w:noWrap/>
            <w:vAlign w:val="center"/>
          </w:tcPr>
          <w:p w:rsidR="00752B4C" w:rsidRPr="009D4819" w:rsidRDefault="00752B4C" w:rsidP="009D4819">
            <w:pPr>
              <w:widowControl/>
              <w:spacing w:line="360" w:lineRule="auto"/>
              <w:jc w:val="left"/>
              <w:rPr>
                <w:rFonts w:ascii="Times New Roman" w:eastAsia="Times New Roman" w:hAnsi="Times New Roman" w:cs="Times New Roman"/>
                <w:b/>
                <w:bCs/>
                <w:color w:val="000000"/>
                <w:kern w:val="0"/>
                <w:szCs w:val="21"/>
              </w:rPr>
            </w:pPr>
          </w:p>
        </w:tc>
        <w:tc>
          <w:tcPr>
            <w:tcW w:w="766" w:type="pct"/>
            <w:tcBorders>
              <w:top w:val="single" w:sz="4" w:space="0" w:color="auto"/>
              <w:left w:val="nil"/>
              <w:right w:val="nil"/>
            </w:tcBorders>
            <w:shd w:val="clear" w:color="auto" w:fill="auto"/>
            <w:noWrap/>
            <w:vAlign w:val="center"/>
          </w:tcPr>
          <w:p w:rsidR="00752B4C" w:rsidRPr="009D4819" w:rsidRDefault="00752B4C" w:rsidP="009D4819">
            <w:pPr>
              <w:widowControl/>
              <w:spacing w:line="360" w:lineRule="auto"/>
              <w:jc w:val="center"/>
              <w:rPr>
                <w:rFonts w:ascii="Times New Roman" w:eastAsia="Times New Roman" w:hAnsi="Times New Roman" w:cs="Times New Roman"/>
                <w:kern w:val="0"/>
                <w:szCs w:val="21"/>
              </w:rPr>
            </w:pPr>
          </w:p>
        </w:tc>
        <w:tc>
          <w:tcPr>
            <w:tcW w:w="766" w:type="pct"/>
            <w:tcBorders>
              <w:top w:val="single" w:sz="4" w:space="0" w:color="auto"/>
              <w:left w:val="nil"/>
              <w:right w:val="nil"/>
            </w:tcBorders>
            <w:shd w:val="clear" w:color="auto" w:fill="auto"/>
            <w:noWrap/>
            <w:vAlign w:val="center"/>
          </w:tcPr>
          <w:p w:rsidR="00752B4C" w:rsidRPr="009D4819" w:rsidRDefault="00752B4C" w:rsidP="009D4819">
            <w:pPr>
              <w:widowControl/>
              <w:spacing w:line="360" w:lineRule="auto"/>
              <w:jc w:val="center"/>
              <w:rPr>
                <w:rFonts w:ascii="Times New Roman" w:eastAsia="Times New Roman" w:hAnsi="Times New Roman" w:cs="Times New Roman"/>
                <w:kern w:val="0"/>
                <w:szCs w:val="21"/>
              </w:rPr>
            </w:pPr>
          </w:p>
        </w:tc>
        <w:tc>
          <w:tcPr>
            <w:tcW w:w="601" w:type="pct"/>
            <w:tcBorders>
              <w:top w:val="single" w:sz="4" w:space="0" w:color="auto"/>
              <w:left w:val="nil"/>
              <w:right w:val="nil"/>
            </w:tcBorders>
            <w:shd w:val="clear" w:color="auto" w:fill="auto"/>
            <w:noWrap/>
            <w:vAlign w:val="center"/>
          </w:tcPr>
          <w:p w:rsidR="00752B4C" w:rsidRPr="009D4819" w:rsidRDefault="00752B4C" w:rsidP="009D4819">
            <w:pPr>
              <w:widowControl/>
              <w:spacing w:line="360" w:lineRule="auto"/>
              <w:jc w:val="center"/>
              <w:rPr>
                <w:rFonts w:ascii="Times New Roman" w:eastAsia="Times New Roman" w:hAnsi="Times New Roman" w:cs="Times New Roman"/>
                <w:kern w:val="0"/>
                <w:szCs w:val="21"/>
              </w:rPr>
            </w:pPr>
          </w:p>
        </w:tc>
        <w:tc>
          <w:tcPr>
            <w:tcW w:w="601" w:type="pct"/>
            <w:tcBorders>
              <w:top w:val="single" w:sz="4" w:space="0" w:color="auto"/>
              <w:left w:val="nil"/>
              <w:right w:val="nil"/>
            </w:tcBorders>
            <w:shd w:val="clear" w:color="auto" w:fill="auto"/>
            <w:noWrap/>
            <w:vAlign w:val="center"/>
          </w:tcPr>
          <w:p w:rsidR="00752B4C" w:rsidRPr="009D4819" w:rsidRDefault="00752B4C" w:rsidP="009D4819">
            <w:pPr>
              <w:widowControl/>
              <w:spacing w:line="360" w:lineRule="auto"/>
              <w:jc w:val="center"/>
              <w:rPr>
                <w:rFonts w:ascii="Times New Roman" w:eastAsia="Times New Roman" w:hAnsi="Times New Roman" w:cs="Times New Roman"/>
                <w:kern w:val="0"/>
                <w:szCs w:val="21"/>
              </w:rPr>
            </w:pPr>
          </w:p>
        </w:tc>
        <w:tc>
          <w:tcPr>
            <w:tcW w:w="600" w:type="pct"/>
            <w:tcBorders>
              <w:top w:val="single" w:sz="4" w:space="0" w:color="auto"/>
              <w:left w:val="nil"/>
              <w:right w:val="nil"/>
            </w:tcBorders>
            <w:shd w:val="clear" w:color="auto" w:fill="auto"/>
            <w:noWrap/>
            <w:vAlign w:val="center"/>
          </w:tcPr>
          <w:p w:rsidR="00752B4C" w:rsidRPr="009D4819" w:rsidRDefault="00752B4C" w:rsidP="009D4819">
            <w:pPr>
              <w:widowControl/>
              <w:spacing w:line="360" w:lineRule="auto"/>
              <w:jc w:val="center"/>
              <w:rPr>
                <w:rFonts w:ascii="Times New Roman" w:eastAsia="Times New Roman" w:hAnsi="Times New Roman" w:cs="Times New Roman"/>
                <w:kern w:val="0"/>
                <w:szCs w:val="21"/>
              </w:rPr>
            </w:pPr>
          </w:p>
        </w:tc>
      </w:tr>
      <w:tr w:rsidR="00752B4C">
        <w:trPr>
          <w:trHeight w:val="279"/>
        </w:trPr>
        <w:tc>
          <w:tcPr>
            <w:tcW w:w="3198" w:type="pct"/>
            <w:gridSpan w:val="4"/>
            <w:tcBorders>
              <w:bottom w:val="nil"/>
              <w:right w:val="nil"/>
            </w:tcBorders>
            <w:shd w:val="clear" w:color="auto" w:fill="auto"/>
            <w:noWrap/>
            <w:vAlign w:val="center"/>
          </w:tcPr>
          <w:p w:rsidR="00752B4C" w:rsidRPr="009D4819" w:rsidRDefault="00CE7014" w:rsidP="009D4819">
            <w:pPr>
              <w:widowControl/>
              <w:spacing w:line="360" w:lineRule="auto"/>
              <w:jc w:val="left"/>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1. LLOQ:  the  limit of quantitation(2.0ng/mL) in  serum</w:t>
            </w:r>
          </w:p>
        </w:tc>
        <w:tc>
          <w:tcPr>
            <w:tcW w:w="601" w:type="pct"/>
            <w:tcBorders>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 </w:t>
            </w:r>
          </w:p>
        </w:tc>
        <w:tc>
          <w:tcPr>
            <w:tcW w:w="601" w:type="pct"/>
            <w:tcBorders>
              <w:left w:val="nil"/>
              <w:bottom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 </w:t>
            </w:r>
          </w:p>
        </w:tc>
        <w:tc>
          <w:tcPr>
            <w:tcW w:w="600" w:type="pct"/>
            <w:tcBorders>
              <w:left w:val="nil"/>
              <w:bottom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 </w:t>
            </w:r>
          </w:p>
        </w:tc>
      </w:tr>
      <w:tr w:rsidR="00752B4C">
        <w:trPr>
          <w:trHeight w:val="279"/>
        </w:trPr>
        <w:tc>
          <w:tcPr>
            <w:tcW w:w="1666" w:type="pct"/>
            <w:gridSpan w:val="2"/>
            <w:tcBorders>
              <w:top w:val="nil"/>
              <w:right w:val="nil"/>
            </w:tcBorders>
            <w:shd w:val="clear" w:color="auto" w:fill="auto"/>
            <w:noWrap/>
            <w:vAlign w:val="center"/>
          </w:tcPr>
          <w:p w:rsidR="00752B4C" w:rsidRPr="009D4819" w:rsidRDefault="00CE7014" w:rsidP="009D4819">
            <w:pPr>
              <w:widowControl/>
              <w:spacing w:line="360" w:lineRule="auto"/>
              <w:jc w:val="left"/>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2. NA: Not available.</w:t>
            </w:r>
          </w:p>
        </w:tc>
        <w:tc>
          <w:tcPr>
            <w:tcW w:w="766" w:type="pct"/>
            <w:tcBorders>
              <w:top w:val="nil"/>
              <w:left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 </w:t>
            </w:r>
          </w:p>
        </w:tc>
        <w:tc>
          <w:tcPr>
            <w:tcW w:w="766" w:type="pct"/>
            <w:tcBorders>
              <w:top w:val="nil"/>
              <w:left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 </w:t>
            </w:r>
          </w:p>
        </w:tc>
        <w:tc>
          <w:tcPr>
            <w:tcW w:w="601" w:type="pct"/>
            <w:tcBorders>
              <w:top w:val="nil"/>
              <w:left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 </w:t>
            </w:r>
          </w:p>
        </w:tc>
        <w:tc>
          <w:tcPr>
            <w:tcW w:w="601" w:type="pct"/>
            <w:tcBorders>
              <w:top w:val="nil"/>
              <w:left w:val="nil"/>
              <w:righ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 </w:t>
            </w:r>
          </w:p>
        </w:tc>
        <w:tc>
          <w:tcPr>
            <w:tcW w:w="600" w:type="pct"/>
            <w:tcBorders>
              <w:top w:val="nil"/>
              <w:left w:val="nil"/>
            </w:tcBorders>
            <w:shd w:val="clear" w:color="auto" w:fill="auto"/>
            <w:noWrap/>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 </w:t>
            </w:r>
          </w:p>
        </w:tc>
      </w:tr>
    </w:tbl>
    <w:p w:rsidR="00752B4C" w:rsidRPr="009D4819" w:rsidRDefault="00752B4C" w:rsidP="009D4819">
      <w:pPr>
        <w:spacing w:line="360" w:lineRule="auto"/>
        <w:jc w:val="left"/>
        <w:rPr>
          <w:rFonts w:ascii="Times New Roman" w:eastAsia="SimSun" w:hAnsi="Times New Roman" w:cs="Times New Roman"/>
          <w:sz w:val="24"/>
          <w:szCs w:val="24"/>
        </w:rPr>
      </w:pP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The concentration of peptide dimer in mouse serum changes over time.</w:t>
      </w: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 xml:space="preserve">Single injection of 0.08mpk Peptide dimer under the skin of normal mice. 12 time points, including 3 mice at each time point, were taken from the </w:t>
      </w:r>
      <w:r w:rsidRPr="009D4819">
        <w:rPr>
          <w:rFonts w:ascii="Times New Roman" w:eastAsia="SimSun" w:hAnsi="Times New Roman" w:cs="Times New Roman"/>
          <w:sz w:val="24"/>
          <w:szCs w:val="24"/>
        </w:rPr>
        <w:t>orbital blood samples at 0, 0.5, 2, 4, 8, 24, 48, 72, 96, 144, 192, and 336 hours after administration.</w:t>
      </w:r>
    </w:p>
    <w:p w:rsidR="00752B4C" w:rsidRPr="009D4819" w:rsidRDefault="00752B4C" w:rsidP="009D4819">
      <w:pPr>
        <w:spacing w:after="240" w:line="360" w:lineRule="auto"/>
        <w:jc w:val="left"/>
        <w:rPr>
          <w:rFonts w:ascii="Times New Roman" w:eastAsia="SimSun" w:hAnsi="Times New Roman" w:cs="Times New Roman"/>
          <w:sz w:val="24"/>
          <w:szCs w:val="24"/>
        </w:rPr>
      </w:pPr>
    </w:p>
    <w:p w:rsidR="00752B4C" w:rsidRPr="009D4819" w:rsidRDefault="00752B4C" w:rsidP="009D4819">
      <w:pPr>
        <w:spacing w:after="240" w:line="360" w:lineRule="auto"/>
        <w:jc w:val="left"/>
        <w:rPr>
          <w:rFonts w:ascii="Times New Roman" w:eastAsia="SimSun" w:hAnsi="Times New Roman" w:cs="Times New Roman"/>
          <w:b/>
          <w:sz w:val="24"/>
          <w:szCs w:val="24"/>
        </w:rPr>
        <w:sectPr w:rsidR="00752B4C" w:rsidRPr="009D4819">
          <w:pgSz w:w="12240" w:h="15840"/>
          <w:pgMar w:top="1440" w:right="1440" w:bottom="1440" w:left="1440" w:header="720" w:footer="720" w:gutter="0"/>
          <w:cols w:space="720"/>
          <w:docGrid w:linePitch="360"/>
        </w:sectPr>
      </w:pPr>
    </w:p>
    <w:p w:rsidR="00752B4C" w:rsidRPr="009D4819" w:rsidRDefault="00CE7014" w:rsidP="009D4819">
      <w:pPr>
        <w:spacing w:after="240" w:line="360" w:lineRule="auto"/>
        <w:jc w:val="left"/>
        <w:rPr>
          <w:rFonts w:ascii="Times New Roman" w:eastAsia="SimSun" w:hAnsi="Times New Roman" w:cs="Times New Roman"/>
          <w:b/>
          <w:sz w:val="24"/>
          <w:szCs w:val="24"/>
        </w:rPr>
      </w:pPr>
      <w:r w:rsidRPr="009D4819">
        <w:rPr>
          <w:rFonts w:ascii="Times New Roman" w:eastAsia="SimSun" w:hAnsi="Times New Roman" w:cs="Times New Roman"/>
          <w:b/>
          <w:sz w:val="24"/>
          <w:szCs w:val="24"/>
        </w:rPr>
        <w:t xml:space="preserve">Supplementary Table </w:t>
      </w:r>
      <w:r w:rsidRPr="009D4819">
        <w:rPr>
          <w:rFonts w:ascii="Times New Roman" w:eastAsia="SimSun" w:hAnsi="Times New Roman" w:cs="Times New Roman"/>
          <w:b/>
          <w:sz w:val="24"/>
          <w:szCs w:val="24"/>
        </w:rPr>
        <w:t>4</w:t>
      </w:r>
      <w:r w:rsidRPr="009D4819">
        <w:rPr>
          <w:rFonts w:ascii="Times New Roman" w:eastAsia="SimSun" w:hAnsi="Times New Roman" w:cs="Times New Roman"/>
          <w:b/>
          <w:sz w:val="24"/>
          <w:szCs w:val="24"/>
        </w:rPr>
        <w:t xml:space="preserve">. </w:t>
      </w:r>
    </w:p>
    <w:p w:rsidR="00752B4C" w:rsidRPr="009D4819" w:rsidRDefault="00CE7014" w:rsidP="009D4819">
      <w:pPr>
        <w:spacing w:after="240" w:line="360" w:lineRule="auto"/>
        <w:jc w:val="left"/>
        <w:rPr>
          <w:rFonts w:ascii="Times New Roman" w:eastAsia="SimSun" w:hAnsi="Times New Roman" w:cs="Times New Roman"/>
          <w:bCs/>
          <w:sz w:val="24"/>
          <w:szCs w:val="24"/>
        </w:rPr>
      </w:pPr>
      <w:r w:rsidRPr="009D4819">
        <w:rPr>
          <w:rFonts w:ascii="Times New Roman" w:eastAsia="SimSun" w:hAnsi="Times New Roman" w:cs="Times New Roman"/>
          <w:bCs/>
          <w:sz w:val="24"/>
          <w:szCs w:val="24"/>
        </w:rPr>
        <w:t>4</w:t>
      </w:r>
      <w:r w:rsidRPr="009D4819">
        <w:rPr>
          <w:rFonts w:ascii="Times New Roman" w:eastAsia="SimSun" w:hAnsi="Times New Roman" w:cs="Times New Roman"/>
          <w:bCs/>
          <w:sz w:val="24"/>
          <w:szCs w:val="24"/>
        </w:rPr>
        <w:t>A. dialysis patients</w:t>
      </w:r>
    </w:p>
    <w:tbl>
      <w:tblPr>
        <w:tblW w:w="5000" w:type="pct"/>
        <w:tblBorders>
          <w:top w:val="single" w:sz="4" w:space="0" w:color="auto"/>
          <w:bottom w:val="single" w:sz="4" w:space="0" w:color="auto"/>
        </w:tblBorders>
        <w:tblLook w:val="04A0" w:firstRow="1" w:lastRow="0" w:firstColumn="1" w:lastColumn="0" w:noHBand="0" w:noVBand="1"/>
      </w:tblPr>
      <w:tblGrid>
        <w:gridCol w:w="710"/>
        <w:gridCol w:w="1559"/>
        <w:gridCol w:w="3544"/>
        <w:gridCol w:w="3547"/>
      </w:tblGrid>
      <w:tr w:rsidR="00752B4C">
        <w:trPr>
          <w:trHeight w:val="733"/>
        </w:trPr>
        <w:tc>
          <w:tcPr>
            <w:tcW w:w="379" w:type="pct"/>
            <w:tcBorders>
              <w:top w:val="single" w:sz="4" w:space="0" w:color="auto"/>
              <w:bottom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data set</w:t>
            </w:r>
          </w:p>
        </w:tc>
        <w:tc>
          <w:tcPr>
            <w:tcW w:w="833" w:type="pct"/>
            <w:tcBorders>
              <w:top w:val="single" w:sz="4" w:space="0" w:color="auto"/>
              <w:bottom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Group</w:t>
            </w:r>
          </w:p>
        </w:tc>
        <w:tc>
          <w:tcPr>
            <w:tcW w:w="1893" w:type="pct"/>
            <w:tcBorders>
              <w:top w:val="single" w:sz="4" w:space="0" w:color="auto"/>
              <w:bottom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Proportion of subjects with HB value reaching hemoglobin response target</w:t>
            </w:r>
          </w:p>
        </w:tc>
        <w:tc>
          <w:tcPr>
            <w:tcW w:w="1895" w:type="pct"/>
            <w:tcBorders>
              <w:top w:val="single" w:sz="4" w:space="0" w:color="auto"/>
              <w:bottom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 xml:space="preserve">Proportion </w:t>
            </w:r>
            <w:r w:rsidRPr="009D4819">
              <w:rPr>
                <w:rFonts w:ascii="Times New Roman" w:eastAsia="Times New Roman" w:hAnsi="Times New Roman" w:cs="Times New Roman"/>
                <w:color w:val="000000"/>
                <w:kern w:val="0"/>
                <w:szCs w:val="21"/>
              </w:rPr>
              <w:t>of subjects responding to Pegmolesatide</w:t>
            </w:r>
          </w:p>
        </w:tc>
      </w:tr>
      <w:tr w:rsidR="00752B4C">
        <w:trPr>
          <w:trHeight w:val="288"/>
        </w:trPr>
        <w:tc>
          <w:tcPr>
            <w:tcW w:w="379" w:type="pct"/>
            <w:vMerge w:val="restart"/>
            <w:tcBorders>
              <w:top w:val="single" w:sz="4" w:space="0" w:color="auto"/>
              <w:bottom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FAS</w:t>
            </w:r>
          </w:p>
        </w:tc>
        <w:tc>
          <w:tcPr>
            <w:tcW w:w="833" w:type="pct"/>
            <w:tcBorders>
              <w:top w:val="single" w:sz="4" w:space="0" w:color="auto"/>
              <w:bottom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0.025mg/kg</w:t>
            </w:r>
          </w:p>
        </w:tc>
        <w:tc>
          <w:tcPr>
            <w:tcW w:w="1893" w:type="pct"/>
            <w:tcBorders>
              <w:top w:val="single" w:sz="4" w:space="0" w:color="auto"/>
              <w:bottom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70.0%(14/20)</w:t>
            </w:r>
          </w:p>
        </w:tc>
        <w:tc>
          <w:tcPr>
            <w:tcW w:w="1895" w:type="pct"/>
            <w:tcBorders>
              <w:top w:val="single" w:sz="4" w:space="0" w:color="auto"/>
              <w:bottom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85.0%(17/20)</w:t>
            </w:r>
          </w:p>
        </w:tc>
      </w:tr>
      <w:tr w:rsidR="00752B4C">
        <w:trPr>
          <w:trHeight w:val="288"/>
        </w:trPr>
        <w:tc>
          <w:tcPr>
            <w:tcW w:w="379" w:type="pct"/>
            <w:vMerge/>
            <w:tcBorders>
              <w:top w:val="nil"/>
              <w:bottom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833" w:type="pct"/>
            <w:tcBorders>
              <w:top w:val="nil"/>
              <w:bottom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0.05mg/kg</w:t>
            </w:r>
          </w:p>
        </w:tc>
        <w:tc>
          <w:tcPr>
            <w:tcW w:w="1893" w:type="pct"/>
            <w:tcBorders>
              <w:top w:val="nil"/>
              <w:bottom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63.6%(14/22)</w:t>
            </w:r>
          </w:p>
        </w:tc>
        <w:tc>
          <w:tcPr>
            <w:tcW w:w="1895" w:type="pct"/>
            <w:tcBorders>
              <w:top w:val="nil"/>
              <w:bottom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90.9%(20/22)</w:t>
            </w:r>
          </w:p>
        </w:tc>
      </w:tr>
      <w:tr w:rsidR="00752B4C">
        <w:trPr>
          <w:trHeight w:val="288"/>
        </w:trPr>
        <w:tc>
          <w:tcPr>
            <w:tcW w:w="379" w:type="pct"/>
            <w:vMerge/>
            <w:tcBorders>
              <w:top w:val="nil"/>
              <w:bottom w:val="nil"/>
            </w:tcBorders>
            <w:vAlign w:val="center"/>
          </w:tcPr>
          <w:p w:rsidR="00752B4C" w:rsidRPr="009D4819"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833" w:type="pct"/>
            <w:tcBorders>
              <w:top w:val="nil"/>
              <w:bottom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0.08mg/kg</w:t>
            </w:r>
          </w:p>
        </w:tc>
        <w:tc>
          <w:tcPr>
            <w:tcW w:w="1893" w:type="pct"/>
            <w:tcBorders>
              <w:top w:val="nil"/>
              <w:bottom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65.0%(13/20)</w:t>
            </w:r>
          </w:p>
        </w:tc>
        <w:tc>
          <w:tcPr>
            <w:tcW w:w="1895" w:type="pct"/>
            <w:tcBorders>
              <w:top w:val="nil"/>
              <w:bottom w:val="nil"/>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90.0%(18/20)</w:t>
            </w:r>
          </w:p>
        </w:tc>
      </w:tr>
      <w:tr w:rsidR="00752B4C">
        <w:trPr>
          <w:trHeight w:val="367"/>
        </w:trPr>
        <w:tc>
          <w:tcPr>
            <w:tcW w:w="379" w:type="pct"/>
            <w:vMerge/>
            <w:tcBorders>
              <w:top w:val="nil"/>
              <w:bottom w:val="single" w:sz="4" w:space="0" w:color="auto"/>
            </w:tcBorders>
            <w:vAlign w:val="center"/>
          </w:tcPr>
          <w:p w:rsidR="00752B4C" w:rsidRPr="009D4819"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833" w:type="pct"/>
            <w:tcBorders>
              <w:top w:val="nil"/>
              <w:bottom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Total</w:t>
            </w:r>
          </w:p>
        </w:tc>
        <w:tc>
          <w:tcPr>
            <w:tcW w:w="1893" w:type="pct"/>
            <w:tcBorders>
              <w:top w:val="nil"/>
              <w:bottom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66.1%(41/62)</w:t>
            </w:r>
          </w:p>
        </w:tc>
        <w:tc>
          <w:tcPr>
            <w:tcW w:w="1895" w:type="pct"/>
            <w:tcBorders>
              <w:top w:val="nil"/>
              <w:bottom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88.7%(55/62)</w:t>
            </w:r>
          </w:p>
        </w:tc>
      </w:tr>
      <w:tr w:rsidR="00752B4C">
        <w:trPr>
          <w:trHeight w:val="288"/>
        </w:trPr>
        <w:tc>
          <w:tcPr>
            <w:tcW w:w="379" w:type="pct"/>
            <w:vMerge w:val="restart"/>
            <w:tcBorders>
              <w:top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PPS</w:t>
            </w:r>
          </w:p>
        </w:tc>
        <w:tc>
          <w:tcPr>
            <w:tcW w:w="833" w:type="pct"/>
            <w:tcBorders>
              <w:top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0.025mg/kg</w:t>
            </w:r>
          </w:p>
        </w:tc>
        <w:tc>
          <w:tcPr>
            <w:tcW w:w="1893" w:type="pct"/>
            <w:tcBorders>
              <w:top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76.5%(13/17)</w:t>
            </w:r>
          </w:p>
        </w:tc>
        <w:tc>
          <w:tcPr>
            <w:tcW w:w="1895" w:type="pct"/>
            <w:tcBorders>
              <w:top w:val="single" w:sz="4" w:space="0" w:color="auto"/>
            </w:tcBorders>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94.1%(16/17)</w:t>
            </w:r>
          </w:p>
        </w:tc>
      </w:tr>
      <w:tr w:rsidR="00752B4C">
        <w:trPr>
          <w:trHeight w:val="288"/>
        </w:trPr>
        <w:tc>
          <w:tcPr>
            <w:tcW w:w="379" w:type="pct"/>
            <w:vMerge/>
            <w:vAlign w:val="center"/>
          </w:tcPr>
          <w:p w:rsidR="00752B4C" w:rsidRPr="009D4819"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833" w:type="pct"/>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0.05mg/kg</w:t>
            </w:r>
          </w:p>
        </w:tc>
        <w:tc>
          <w:tcPr>
            <w:tcW w:w="1893" w:type="pct"/>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73.7%(14/19)</w:t>
            </w:r>
          </w:p>
        </w:tc>
        <w:tc>
          <w:tcPr>
            <w:tcW w:w="1895" w:type="pct"/>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94.7%(18/19)</w:t>
            </w:r>
          </w:p>
        </w:tc>
      </w:tr>
      <w:tr w:rsidR="00752B4C">
        <w:trPr>
          <w:trHeight w:val="288"/>
        </w:trPr>
        <w:tc>
          <w:tcPr>
            <w:tcW w:w="379" w:type="pct"/>
            <w:vMerge/>
            <w:vAlign w:val="center"/>
          </w:tcPr>
          <w:p w:rsidR="00752B4C" w:rsidRPr="009D4819"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833" w:type="pct"/>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0.08mg/kg</w:t>
            </w:r>
          </w:p>
        </w:tc>
        <w:tc>
          <w:tcPr>
            <w:tcW w:w="1893" w:type="pct"/>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73.3%(11/15)</w:t>
            </w:r>
          </w:p>
        </w:tc>
        <w:tc>
          <w:tcPr>
            <w:tcW w:w="1895" w:type="pct"/>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93.3%(14/15)</w:t>
            </w:r>
          </w:p>
        </w:tc>
      </w:tr>
      <w:tr w:rsidR="00752B4C">
        <w:trPr>
          <w:trHeight w:val="385"/>
        </w:trPr>
        <w:tc>
          <w:tcPr>
            <w:tcW w:w="379" w:type="pct"/>
            <w:vMerge/>
            <w:vAlign w:val="center"/>
          </w:tcPr>
          <w:p w:rsidR="00752B4C" w:rsidRPr="009D4819"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833" w:type="pct"/>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Total</w:t>
            </w:r>
          </w:p>
        </w:tc>
        <w:tc>
          <w:tcPr>
            <w:tcW w:w="1893" w:type="pct"/>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74.5%(38/51)</w:t>
            </w:r>
          </w:p>
        </w:tc>
        <w:tc>
          <w:tcPr>
            <w:tcW w:w="1895" w:type="pct"/>
            <w:shd w:val="clear" w:color="auto" w:fill="auto"/>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94.1%(48/51)</w:t>
            </w:r>
          </w:p>
        </w:tc>
      </w:tr>
    </w:tbl>
    <w:p w:rsidR="00752B4C" w:rsidRPr="009D4819" w:rsidRDefault="00752B4C" w:rsidP="009D4819">
      <w:pPr>
        <w:spacing w:line="360" w:lineRule="auto"/>
        <w:jc w:val="left"/>
        <w:rPr>
          <w:rFonts w:ascii="Times New Roman" w:eastAsia="SimSun" w:hAnsi="Times New Roman" w:cs="Times New Roman"/>
          <w:sz w:val="24"/>
          <w:szCs w:val="24"/>
        </w:rPr>
      </w:pPr>
    </w:p>
    <w:p w:rsidR="00752B4C" w:rsidRPr="009D4819" w:rsidRDefault="00CE7014" w:rsidP="009D4819">
      <w:pPr>
        <w:spacing w:after="240" w:line="360" w:lineRule="auto"/>
        <w:jc w:val="left"/>
        <w:rPr>
          <w:rFonts w:ascii="Times New Roman" w:eastAsia="SimSun" w:hAnsi="Times New Roman" w:cs="Times New Roman"/>
          <w:bCs/>
          <w:sz w:val="24"/>
          <w:szCs w:val="24"/>
        </w:rPr>
      </w:pPr>
      <w:r w:rsidRPr="009D4819">
        <w:rPr>
          <w:rFonts w:ascii="Times New Roman" w:eastAsia="SimSun" w:hAnsi="Times New Roman" w:cs="Times New Roman"/>
          <w:bCs/>
          <w:sz w:val="24"/>
          <w:szCs w:val="24"/>
        </w:rPr>
        <w:t>4</w:t>
      </w:r>
      <w:r w:rsidRPr="009D4819">
        <w:rPr>
          <w:rFonts w:ascii="Times New Roman" w:eastAsia="SimSun" w:hAnsi="Times New Roman" w:cs="Times New Roman"/>
          <w:bCs/>
          <w:sz w:val="24"/>
          <w:szCs w:val="24"/>
        </w:rPr>
        <w:t>B. non-dialysis patients</w:t>
      </w:r>
    </w:p>
    <w:tbl>
      <w:tblPr>
        <w:tblW w:w="9360" w:type="dxa"/>
        <w:tblCellMar>
          <w:left w:w="0" w:type="dxa"/>
          <w:right w:w="0" w:type="dxa"/>
        </w:tblCellMar>
        <w:tblLook w:val="04A0" w:firstRow="1" w:lastRow="0" w:firstColumn="1" w:lastColumn="0" w:noHBand="0" w:noVBand="1"/>
      </w:tblPr>
      <w:tblGrid>
        <w:gridCol w:w="1024"/>
        <w:gridCol w:w="1226"/>
        <w:gridCol w:w="3803"/>
        <w:gridCol w:w="3307"/>
      </w:tblGrid>
      <w:tr w:rsidR="00752B4C">
        <w:trPr>
          <w:trHeight w:val="434"/>
        </w:trPr>
        <w:tc>
          <w:tcPr>
            <w:tcW w:w="1040" w:type="dxa"/>
            <w:tcBorders>
              <w:top w:val="single" w:sz="4" w:space="0" w:color="auto"/>
              <w:bottom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data set</w:t>
            </w:r>
          </w:p>
        </w:tc>
        <w:tc>
          <w:tcPr>
            <w:tcW w:w="1040" w:type="dxa"/>
            <w:tcBorders>
              <w:top w:val="single" w:sz="4" w:space="0" w:color="auto"/>
              <w:bottom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Group</w:t>
            </w:r>
          </w:p>
        </w:tc>
        <w:tc>
          <w:tcPr>
            <w:tcW w:w="3900" w:type="dxa"/>
            <w:tcBorders>
              <w:top w:val="single" w:sz="4" w:space="0" w:color="auto"/>
              <w:bottom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Proportion of subjects with HB value reaching hemoglobin response target</w:t>
            </w:r>
          </w:p>
        </w:tc>
        <w:tc>
          <w:tcPr>
            <w:tcW w:w="3380" w:type="dxa"/>
            <w:tcBorders>
              <w:top w:val="single" w:sz="4" w:space="0" w:color="auto"/>
              <w:bottom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 xml:space="preserve">Proportion of subjects responding to </w:t>
            </w:r>
            <w:r w:rsidRPr="009D4819">
              <w:rPr>
                <w:rFonts w:ascii="Times New Roman" w:eastAsia="Times New Roman" w:hAnsi="Times New Roman" w:cs="Times New Roman"/>
                <w:color w:val="000000"/>
                <w:kern w:val="0"/>
                <w:szCs w:val="21"/>
              </w:rPr>
              <w:t>Pegmolesatide</w:t>
            </w:r>
          </w:p>
        </w:tc>
      </w:tr>
      <w:tr w:rsidR="00752B4C">
        <w:trPr>
          <w:trHeight w:val="280"/>
        </w:trPr>
        <w:tc>
          <w:tcPr>
            <w:tcW w:w="1040" w:type="dxa"/>
            <w:vMerge w:val="restart"/>
            <w:tcBorders>
              <w:top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FAS</w:t>
            </w:r>
          </w:p>
        </w:tc>
        <w:tc>
          <w:tcPr>
            <w:tcW w:w="1040" w:type="dxa"/>
            <w:tcBorders>
              <w:top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0.025mg/kg</w:t>
            </w:r>
          </w:p>
        </w:tc>
        <w:tc>
          <w:tcPr>
            <w:tcW w:w="3900" w:type="dxa"/>
            <w:tcBorders>
              <w:top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81.0%(17/21)</w:t>
            </w:r>
          </w:p>
        </w:tc>
        <w:tc>
          <w:tcPr>
            <w:tcW w:w="3380" w:type="dxa"/>
            <w:tcBorders>
              <w:top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90.5%(19/21)</w:t>
            </w:r>
          </w:p>
        </w:tc>
      </w:tr>
      <w:tr w:rsidR="00752B4C">
        <w:trPr>
          <w:trHeight w:val="280"/>
        </w:trPr>
        <w:tc>
          <w:tcPr>
            <w:tcW w:w="0" w:type="auto"/>
            <w:vMerge/>
            <w:vAlign w:val="center"/>
          </w:tcPr>
          <w:p w:rsidR="00752B4C" w:rsidRPr="009D4819" w:rsidRDefault="00752B4C" w:rsidP="009D4819">
            <w:pPr>
              <w:widowControl/>
              <w:spacing w:line="360" w:lineRule="auto"/>
              <w:jc w:val="center"/>
              <w:rPr>
                <w:rFonts w:ascii="Times New Roman" w:eastAsia="Times New Roman" w:hAnsi="Times New Roman" w:cs="Times New Roman"/>
                <w:color w:val="000000"/>
                <w:kern w:val="0"/>
                <w:szCs w:val="21"/>
              </w:rPr>
            </w:pPr>
          </w:p>
        </w:tc>
        <w:tc>
          <w:tcPr>
            <w:tcW w:w="104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0.05mg/kg</w:t>
            </w:r>
          </w:p>
        </w:tc>
        <w:tc>
          <w:tcPr>
            <w:tcW w:w="390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81.0%(17/21)</w:t>
            </w:r>
          </w:p>
        </w:tc>
        <w:tc>
          <w:tcPr>
            <w:tcW w:w="338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95.2%(20/21)</w:t>
            </w:r>
          </w:p>
        </w:tc>
      </w:tr>
      <w:tr w:rsidR="00752B4C">
        <w:trPr>
          <w:trHeight w:val="280"/>
        </w:trPr>
        <w:tc>
          <w:tcPr>
            <w:tcW w:w="0" w:type="auto"/>
            <w:vMerge/>
            <w:vAlign w:val="center"/>
          </w:tcPr>
          <w:p w:rsidR="00752B4C" w:rsidRPr="009D4819" w:rsidRDefault="00752B4C" w:rsidP="009D4819">
            <w:pPr>
              <w:widowControl/>
              <w:spacing w:line="360" w:lineRule="auto"/>
              <w:jc w:val="center"/>
              <w:rPr>
                <w:rFonts w:ascii="Times New Roman" w:eastAsia="Times New Roman" w:hAnsi="Times New Roman" w:cs="Times New Roman"/>
                <w:color w:val="000000"/>
                <w:kern w:val="0"/>
                <w:szCs w:val="21"/>
              </w:rPr>
            </w:pPr>
          </w:p>
        </w:tc>
        <w:tc>
          <w:tcPr>
            <w:tcW w:w="104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0.08mg/kg</w:t>
            </w:r>
          </w:p>
        </w:tc>
        <w:tc>
          <w:tcPr>
            <w:tcW w:w="390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90.0%(18/20)</w:t>
            </w:r>
          </w:p>
        </w:tc>
        <w:tc>
          <w:tcPr>
            <w:tcW w:w="338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100.0%(20/20)</w:t>
            </w:r>
          </w:p>
        </w:tc>
      </w:tr>
      <w:tr w:rsidR="00752B4C">
        <w:trPr>
          <w:trHeight w:val="280"/>
        </w:trPr>
        <w:tc>
          <w:tcPr>
            <w:tcW w:w="0" w:type="auto"/>
            <w:vMerge/>
            <w:tcBorders>
              <w:bottom w:val="single" w:sz="4" w:space="0" w:color="auto"/>
            </w:tcBorders>
            <w:vAlign w:val="center"/>
          </w:tcPr>
          <w:p w:rsidR="00752B4C" w:rsidRPr="009D4819" w:rsidRDefault="00752B4C" w:rsidP="009D4819">
            <w:pPr>
              <w:widowControl/>
              <w:spacing w:line="360" w:lineRule="auto"/>
              <w:jc w:val="center"/>
              <w:rPr>
                <w:rFonts w:ascii="Times New Roman" w:eastAsia="Times New Roman" w:hAnsi="Times New Roman" w:cs="Times New Roman"/>
                <w:color w:val="000000"/>
                <w:kern w:val="0"/>
                <w:szCs w:val="21"/>
              </w:rPr>
            </w:pPr>
          </w:p>
        </w:tc>
        <w:tc>
          <w:tcPr>
            <w:tcW w:w="1040" w:type="dxa"/>
            <w:tcBorders>
              <w:bottom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Total</w:t>
            </w:r>
          </w:p>
        </w:tc>
        <w:tc>
          <w:tcPr>
            <w:tcW w:w="3900" w:type="dxa"/>
            <w:tcBorders>
              <w:bottom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83.9%(52/62)</w:t>
            </w:r>
          </w:p>
        </w:tc>
        <w:tc>
          <w:tcPr>
            <w:tcW w:w="3380" w:type="dxa"/>
            <w:tcBorders>
              <w:bottom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95.2%(59/62)</w:t>
            </w:r>
          </w:p>
        </w:tc>
      </w:tr>
      <w:tr w:rsidR="00752B4C">
        <w:trPr>
          <w:trHeight w:val="280"/>
        </w:trPr>
        <w:tc>
          <w:tcPr>
            <w:tcW w:w="1040" w:type="dxa"/>
            <w:vMerge w:val="restart"/>
            <w:tcBorders>
              <w:top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PPS</w:t>
            </w:r>
          </w:p>
        </w:tc>
        <w:tc>
          <w:tcPr>
            <w:tcW w:w="1040" w:type="dxa"/>
            <w:tcBorders>
              <w:top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0.025mg/kg</w:t>
            </w:r>
          </w:p>
        </w:tc>
        <w:tc>
          <w:tcPr>
            <w:tcW w:w="3900" w:type="dxa"/>
            <w:tcBorders>
              <w:top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88.2%(15/17)</w:t>
            </w:r>
          </w:p>
        </w:tc>
        <w:tc>
          <w:tcPr>
            <w:tcW w:w="3380" w:type="dxa"/>
            <w:tcBorders>
              <w:top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100.0%(17/17)</w:t>
            </w:r>
          </w:p>
        </w:tc>
      </w:tr>
      <w:tr w:rsidR="00752B4C">
        <w:trPr>
          <w:trHeight w:val="280"/>
        </w:trPr>
        <w:tc>
          <w:tcPr>
            <w:tcW w:w="0" w:type="auto"/>
            <w:vMerge/>
            <w:vAlign w:val="center"/>
          </w:tcPr>
          <w:p w:rsidR="00752B4C" w:rsidRPr="009D4819" w:rsidRDefault="00752B4C" w:rsidP="009D4819">
            <w:pPr>
              <w:widowControl/>
              <w:spacing w:line="360" w:lineRule="auto"/>
              <w:jc w:val="center"/>
              <w:rPr>
                <w:rFonts w:ascii="Times New Roman" w:eastAsia="Times New Roman" w:hAnsi="Times New Roman" w:cs="Times New Roman"/>
                <w:color w:val="000000"/>
                <w:kern w:val="0"/>
                <w:szCs w:val="21"/>
              </w:rPr>
            </w:pPr>
          </w:p>
        </w:tc>
        <w:tc>
          <w:tcPr>
            <w:tcW w:w="104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0.05mg/kg</w:t>
            </w:r>
          </w:p>
        </w:tc>
        <w:tc>
          <w:tcPr>
            <w:tcW w:w="390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88.2%(15/17)</w:t>
            </w:r>
          </w:p>
        </w:tc>
        <w:tc>
          <w:tcPr>
            <w:tcW w:w="338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100.0%(17/17)</w:t>
            </w:r>
          </w:p>
        </w:tc>
      </w:tr>
      <w:tr w:rsidR="00752B4C">
        <w:trPr>
          <w:trHeight w:val="280"/>
        </w:trPr>
        <w:tc>
          <w:tcPr>
            <w:tcW w:w="0" w:type="auto"/>
            <w:vMerge/>
            <w:vAlign w:val="center"/>
          </w:tcPr>
          <w:p w:rsidR="00752B4C" w:rsidRPr="009D4819" w:rsidRDefault="00752B4C" w:rsidP="009D4819">
            <w:pPr>
              <w:widowControl/>
              <w:spacing w:line="360" w:lineRule="auto"/>
              <w:jc w:val="center"/>
              <w:rPr>
                <w:rFonts w:ascii="Times New Roman" w:eastAsia="Times New Roman" w:hAnsi="Times New Roman" w:cs="Times New Roman"/>
                <w:color w:val="000000"/>
                <w:kern w:val="0"/>
                <w:szCs w:val="21"/>
              </w:rPr>
            </w:pPr>
          </w:p>
        </w:tc>
        <w:tc>
          <w:tcPr>
            <w:tcW w:w="104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0.08mg/kg</w:t>
            </w:r>
          </w:p>
        </w:tc>
        <w:tc>
          <w:tcPr>
            <w:tcW w:w="390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93.8%(15/16)</w:t>
            </w:r>
          </w:p>
        </w:tc>
        <w:tc>
          <w:tcPr>
            <w:tcW w:w="3380" w:type="dxa"/>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100.0%(16/16)</w:t>
            </w:r>
          </w:p>
        </w:tc>
      </w:tr>
      <w:tr w:rsidR="00752B4C">
        <w:trPr>
          <w:trHeight w:val="280"/>
        </w:trPr>
        <w:tc>
          <w:tcPr>
            <w:tcW w:w="0" w:type="auto"/>
            <w:vMerge/>
            <w:tcBorders>
              <w:bottom w:val="single" w:sz="4" w:space="0" w:color="auto"/>
            </w:tcBorders>
            <w:vAlign w:val="center"/>
          </w:tcPr>
          <w:p w:rsidR="00752B4C" w:rsidRPr="009D4819" w:rsidRDefault="00752B4C" w:rsidP="009D4819">
            <w:pPr>
              <w:widowControl/>
              <w:spacing w:line="360" w:lineRule="auto"/>
              <w:jc w:val="center"/>
              <w:rPr>
                <w:rFonts w:ascii="Times New Roman" w:eastAsia="Times New Roman" w:hAnsi="Times New Roman" w:cs="Times New Roman"/>
                <w:color w:val="000000"/>
                <w:kern w:val="0"/>
                <w:szCs w:val="21"/>
              </w:rPr>
            </w:pPr>
          </w:p>
        </w:tc>
        <w:tc>
          <w:tcPr>
            <w:tcW w:w="1040" w:type="dxa"/>
            <w:tcBorders>
              <w:bottom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Total</w:t>
            </w:r>
          </w:p>
        </w:tc>
        <w:tc>
          <w:tcPr>
            <w:tcW w:w="3900" w:type="dxa"/>
            <w:tcBorders>
              <w:bottom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90.0%(45/50)</w:t>
            </w:r>
          </w:p>
        </w:tc>
        <w:tc>
          <w:tcPr>
            <w:tcW w:w="3380" w:type="dxa"/>
            <w:tcBorders>
              <w:bottom w:val="single" w:sz="4" w:space="0" w:color="auto"/>
            </w:tcBorders>
            <w:tcMar>
              <w:top w:w="0" w:type="dxa"/>
              <w:left w:w="108" w:type="dxa"/>
              <w:bottom w:w="0" w:type="dxa"/>
              <w:right w:w="108" w:type="dxa"/>
            </w:tcMar>
            <w:vAlign w:val="center"/>
          </w:tcPr>
          <w:p w:rsidR="00752B4C" w:rsidRPr="009D4819" w:rsidRDefault="00CE7014" w:rsidP="009D4819">
            <w:pPr>
              <w:widowControl/>
              <w:spacing w:line="360" w:lineRule="auto"/>
              <w:jc w:val="center"/>
              <w:rPr>
                <w:rFonts w:ascii="Times New Roman" w:eastAsia="Times New Roman" w:hAnsi="Times New Roman" w:cs="Times New Roman"/>
                <w:color w:val="000000"/>
                <w:kern w:val="0"/>
                <w:szCs w:val="21"/>
              </w:rPr>
            </w:pPr>
            <w:r w:rsidRPr="009D4819">
              <w:rPr>
                <w:rFonts w:ascii="Times New Roman" w:eastAsia="Times New Roman" w:hAnsi="Times New Roman" w:cs="Times New Roman"/>
                <w:color w:val="000000"/>
                <w:kern w:val="0"/>
                <w:szCs w:val="21"/>
              </w:rPr>
              <w:t>100.0%(50/50)</w:t>
            </w:r>
          </w:p>
        </w:tc>
      </w:tr>
    </w:tbl>
    <w:p w:rsidR="00752B4C" w:rsidRPr="009D4819" w:rsidRDefault="00752B4C" w:rsidP="009D4819">
      <w:pPr>
        <w:spacing w:line="360" w:lineRule="auto"/>
        <w:rPr>
          <w:rFonts w:ascii="Times New Roman" w:hAnsi="Times New Roman" w:cs="Times New Roman"/>
          <w:sz w:val="24"/>
          <w:szCs w:val="24"/>
        </w:rPr>
      </w:pP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The proportion of subjects whose HGB values reached the target of hemoglobin response and the proportion of subjects who responded to the study drug.</w:t>
      </w: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 xml:space="preserve">Definition of hemoglobin </w:t>
      </w:r>
      <w:r w:rsidRPr="009D4819">
        <w:rPr>
          <w:rFonts w:ascii="Times New Roman" w:eastAsia="SimSun" w:hAnsi="Times New Roman" w:cs="Times New Roman"/>
          <w:sz w:val="24"/>
          <w:szCs w:val="24"/>
        </w:rPr>
        <w:t xml:space="preserve">response target: at any time during the trial, HGB increases by </w:t>
      </w:r>
      <w:r w:rsidRPr="009D4819">
        <w:rPr>
          <w:rFonts w:ascii="Times New Roman" w:eastAsia="SimSun" w:hAnsi="Times New Roman" w:cs="Times New Roman" w:hint="eastAsia"/>
          <w:sz w:val="24"/>
          <w:szCs w:val="24"/>
        </w:rPr>
        <w:t>≥</w:t>
      </w:r>
      <w:r w:rsidRPr="009D4819">
        <w:rPr>
          <w:rFonts w:ascii="Times New Roman" w:eastAsia="SimSun" w:hAnsi="Times New Roman" w:cs="Times New Roman" w:hint="eastAsia"/>
          <w:sz w:val="24"/>
          <w:szCs w:val="24"/>
        </w:rPr>
        <w:t>1.0g/dL</w:t>
      </w:r>
      <w:r w:rsidRPr="009D4819">
        <w:rPr>
          <w:rFonts w:ascii="Times New Roman" w:eastAsia="SimSun" w:hAnsi="Times New Roman" w:cs="Times New Roman"/>
          <w:sz w:val="24"/>
          <w:szCs w:val="24"/>
        </w:rPr>
        <w:t xml:space="preserve"> relative to baseline and HGB is </w:t>
      </w:r>
      <w:r w:rsidRPr="009D4819">
        <w:rPr>
          <w:rFonts w:ascii="Times New Roman" w:eastAsia="SimSun" w:hAnsi="Times New Roman" w:cs="Times New Roman" w:hint="eastAsia"/>
          <w:sz w:val="24"/>
          <w:szCs w:val="24"/>
        </w:rPr>
        <w:t>≥</w:t>
      </w:r>
      <w:r w:rsidRPr="009D4819">
        <w:rPr>
          <w:rFonts w:ascii="Times New Roman" w:eastAsia="SimSun" w:hAnsi="Times New Roman" w:cs="Times New Roman" w:hint="eastAsia"/>
          <w:sz w:val="24"/>
          <w:szCs w:val="24"/>
        </w:rPr>
        <w:t>10.0g/dL.</w:t>
      </w: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 xml:space="preserve">Definition of response to study drug: At any time during the trial, HGB increases by </w:t>
      </w:r>
      <w:r w:rsidRPr="009D4819">
        <w:rPr>
          <w:rFonts w:ascii="Times New Roman" w:eastAsia="SimSun" w:hAnsi="Times New Roman" w:cs="Times New Roman" w:hint="eastAsia"/>
          <w:sz w:val="24"/>
          <w:szCs w:val="24"/>
        </w:rPr>
        <w:t>≥</w:t>
      </w:r>
      <w:r w:rsidRPr="009D4819">
        <w:rPr>
          <w:rFonts w:ascii="Times New Roman" w:eastAsia="SimSun" w:hAnsi="Times New Roman" w:cs="Times New Roman" w:hint="eastAsia"/>
          <w:sz w:val="24"/>
          <w:szCs w:val="24"/>
        </w:rPr>
        <w:t>1.0g/dL</w:t>
      </w:r>
      <w:r w:rsidRPr="009D4819">
        <w:rPr>
          <w:rFonts w:ascii="Times New Roman" w:eastAsia="SimSun" w:hAnsi="Times New Roman" w:cs="Times New Roman"/>
          <w:sz w:val="24"/>
          <w:szCs w:val="24"/>
        </w:rPr>
        <w:t xml:space="preserve"> relative to baseline.</w:t>
      </w:r>
    </w:p>
    <w:p w:rsidR="00752B4C" w:rsidRPr="009D4819" w:rsidRDefault="00752B4C" w:rsidP="009D4819">
      <w:pPr>
        <w:spacing w:line="360" w:lineRule="auto"/>
        <w:jc w:val="left"/>
        <w:rPr>
          <w:rFonts w:ascii="Times New Roman" w:eastAsia="SimSun" w:hAnsi="Times New Roman" w:cs="Times New Roman"/>
          <w:sz w:val="24"/>
          <w:szCs w:val="24"/>
        </w:rPr>
      </w:pPr>
    </w:p>
    <w:p w:rsidR="00752B4C" w:rsidRPr="009D4819" w:rsidRDefault="00752B4C" w:rsidP="009D4819">
      <w:pPr>
        <w:spacing w:line="360" w:lineRule="auto"/>
        <w:jc w:val="left"/>
        <w:rPr>
          <w:rFonts w:ascii="Times New Roman" w:eastAsia="SimSun" w:hAnsi="Times New Roman" w:cs="Times New Roman"/>
          <w:b/>
          <w:sz w:val="24"/>
          <w:szCs w:val="24"/>
          <w:highlight w:val="red"/>
        </w:rPr>
        <w:sectPr w:rsidR="00752B4C" w:rsidRPr="009D4819">
          <w:pgSz w:w="12240" w:h="15840"/>
          <w:pgMar w:top="1440" w:right="1440" w:bottom="1440" w:left="1440" w:header="720" w:footer="720" w:gutter="0"/>
          <w:cols w:space="720"/>
          <w:docGrid w:linePitch="360"/>
        </w:sectPr>
      </w:pPr>
    </w:p>
    <w:p w:rsidR="00752B4C" w:rsidRDefault="00CE7014" w:rsidP="009D4819">
      <w:pPr>
        <w:spacing w:line="360" w:lineRule="auto"/>
        <w:jc w:val="left"/>
        <w:rPr>
          <w:rFonts w:ascii="Times New Roman" w:eastAsia="SimSun" w:hAnsi="Times New Roman" w:cs="Times New Roman"/>
          <w:b/>
          <w:sz w:val="24"/>
          <w:szCs w:val="24"/>
        </w:rPr>
      </w:pPr>
      <w:r w:rsidRPr="009D4819">
        <w:rPr>
          <w:rFonts w:ascii="Times New Roman" w:hAnsi="Times New Roman" w:cs="Times New Roman"/>
          <w:sz w:val="24"/>
          <w:szCs w:val="24"/>
          <w14:ligatures w14:val="standardContextual"/>
        </w:rPr>
        <w:t xml:space="preserve"> </w:t>
      </w:r>
      <w:r w:rsidRPr="009D4819">
        <w:rPr>
          <w:rFonts w:ascii="Times New Roman" w:eastAsia="SimSun" w:hAnsi="Times New Roman" w:cs="Times New Roman"/>
          <w:b/>
          <w:sz w:val="24"/>
          <w:szCs w:val="24"/>
        </w:rPr>
        <w:t xml:space="preserve">Supplementary Figure </w:t>
      </w:r>
      <w:r w:rsidRPr="009D4819">
        <w:rPr>
          <w:rFonts w:ascii="Times New Roman" w:eastAsia="SimSun" w:hAnsi="Times New Roman" w:cs="Times New Roman"/>
          <w:b/>
          <w:sz w:val="24"/>
          <w:szCs w:val="24"/>
        </w:rPr>
        <w:t>4</w:t>
      </w:r>
    </w:p>
    <w:p w:rsidR="00752B4C" w:rsidRPr="009D4819" w:rsidRDefault="00CE7014" w:rsidP="009D4819">
      <w:pPr>
        <w:spacing w:line="360" w:lineRule="auto"/>
        <w:jc w:val="left"/>
        <w:rPr>
          <w:rFonts w:ascii="Times New Roman" w:eastAsia="SimSun" w:hAnsi="Times New Roman" w:cs="Times New Roman"/>
          <w:b/>
          <w:sz w:val="24"/>
          <w:szCs w:val="24"/>
        </w:rPr>
      </w:pPr>
      <w:r w:rsidRPr="009D4819">
        <w:rPr>
          <w:rFonts w:ascii="Times New Roman" w:eastAsia="SimSun" w:hAnsi="Times New Roman" w:cs="Times New Roman"/>
          <w:b/>
          <w:noProof/>
          <w:sz w:val="24"/>
          <w:szCs w:val="24"/>
          <w:lang w:val="en-IN" w:eastAsia="en-IN"/>
        </w:rPr>
        <w:drawing>
          <wp:inline distT="0" distB="0" distL="114300" distR="114300">
            <wp:extent cx="5948680" cy="4883785"/>
            <wp:effectExtent l="0" t="0" r="0" b="0"/>
            <wp:docPr id="6" name="图片 6" descr="Supple fig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Supple figure 4"/>
                    <pic:cNvPicPr>
                      <a:picLocks noChangeAspect="1"/>
                    </pic:cNvPicPr>
                  </pic:nvPicPr>
                  <pic:blipFill>
                    <a:blip r:embed="rId12"/>
                    <a:srcRect t="10382" r="-118"/>
                    <a:stretch>
                      <a:fillRect/>
                    </a:stretch>
                  </pic:blipFill>
                  <pic:spPr>
                    <a:xfrm>
                      <a:off x="0" y="0"/>
                      <a:ext cx="5948680" cy="4883785"/>
                    </a:xfrm>
                    <a:prstGeom prst="rect">
                      <a:avLst/>
                    </a:prstGeom>
                  </pic:spPr>
                </pic:pic>
              </a:graphicData>
            </a:graphic>
          </wp:inline>
        </w:drawing>
      </w: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Curve of the average change in reticulocyte count relative to baseline over time for subjects in each treatment group.</w:t>
      </w:r>
      <w:r w:rsidRPr="009D4819">
        <w:rPr>
          <w:rFonts w:ascii="Times New Roman" w:eastAsia="SimSun" w:hAnsi="Times New Roman" w:cs="Times New Roman"/>
          <w:sz w:val="24"/>
          <w:szCs w:val="24"/>
        </w:rPr>
        <w:t xml:space="preserve"> </w:t>
      </w:r>
      <w:r w:rsidRPr="009D4819">
        <w:rPr>
          <w:rFonts w:ascii="Times New Roman" w:eastAsia="SimSun" w:hAnsi="Times New Roman" w:cs="Times New Roman"/>
          <w:sz w:val="24"/>
          <w:szCs w:val="24"/>
        </w:rPr>
        <w:t>The reticulocyte count of subjects was</w:t>
      </w:r>
      <w:r w:rsidRPr="009D4819">
        <w:rPr>
          <w:rFonts w:ascii="Times New Roman" w:eastAsia="SimSun" w:hAnsi="Times New Roman" w:cs="Times New Roman"/>
          <w:sz w:val="24"/>
          <w:szCs w:val="24"/>
        </w:rPr>
        <w:t xml:space="preserve"> monitored every two weeks. The reticulocyte count in each dose group increased at the second week after each administration and then returned to baseline around the fourth week. The average reticulocyte count in each dose group showed a typical sawtooth c</w:t>
      </w:r>
      <w:r w:rsidRPr="009D4819">
        <w:rPr>
          <w:rFonts w:ascii="Times New Roman" w:eastAsia="SimSun" w:hAnsi="Times New Roman" w:cs="Times New Roman"/>
          <w:sz w:val="24"/>
          <w:szCs w:val="24"/>
        </w:rPr>
        <w:t>urve over time. The results from the FAS and PPS were largely consistent.</w:t>
      </w: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Full analysis set (FAS): includes all subjects who have received at least one dose of the study drug and have at least one pharmacodynamic indicator measurement after administration.</w:t>
      </w:r>
    </w:p>
    <w:p w:rsidR="00752B4C" w:rsidRPr="009D4819" w:rsidRDefault="00CE7014" w:rsidP="009D4819">
      <w:pPr>
        <w:spacing w:line="360" w:lineRule="auto"/>
        <w:jc w:val="left"/>
        <w:rPr>
          <w:rFonts w:ascii="Times New Roman" w:eastAsia="SimSun" w:hAnsi="Times New Roman" w:cs="Times New Roman"/>
          <w:sz w:val="24"/>
          <w:szCs w:val="24"/>
        </w:rPr>
      </w:pPr>
      <w:r w:rsidRPr="009D4819">
        <w:rPr>
          <w:rFonts w:ascii="Times New Roman" w:eastAsia="SimSun" w:hAnsi="Times New Roman" w:cs="Times New Roman"/>
          <w:sz w:val="24"/>
          <w:szCs w:val="24"/>
        </w:rPr>
        <w:t>Per-protocol set (PPS): All subjects who meet the trial protocol, have good compliance, and do not use contraindicated drugs during the trial period.</w:t>
      </w:r>
    </w:p>
    <w:p w:rsidR="00752B4C" w:rsidRPr="009D4819" w:rsidRDefault="00752B4C" w:rsidP="009D4819">
      <w:pPr>
        <w:spacing w:line="360" w:lineRule="auto"/>
        <w:jc w:val="left"/>
        <w:rPr>
          <w:rFonts w:ascii="Times New Roman" w:eastAsia="SimSun" w:hAnsi="Times New Roman" w:cs="Times New Roman"/>
          <w:b/>
          <w:sz w:val="24"/>
          <w:szCs w:val="24"/>
        </w:rPr>
      </w:pPr>
    </w:p>
    <w:p w:rsidR="00752B4C" w:rsidRPr="009D4819" w:rsidRDefault="00752B4C" w:rsidP="009D4819">
      <w:pPr>
        <w:spacing w:line="360" w:lineRule="auto"/>
        <w:jc w:val="left"/>
        <w:rPr>
          <w:rFonts w:ascii="Times New Roman" w:eastAsia="SimSun" w:hAnsi="Times New Roman" w:cs="Times New Roman"/>
          <w:b/>
          <w:sz w:val="24"/>
          <w:szCs w:val="24"/>
        </w:rPr>
        <w:sectPr w:rsidR="00752B4C" w:rsidRPr="009D4819">
          <w:pgSz w:w="12240" w:h="15840"/>
          <w:pgMar w:top="1440" w:right="1440" w:bottom="1440" w:left="1440" w:header="720" w:footer="720" w:gutter="0"/>
          <w:cols w:space="720"/>
          <w:docGrid w:linePitch="360"/>
        </w:sectPr>
      </w:pPr>
    </w:p>
    <w:p w:rsidR="00752B4C" w:rsidRDefault="00752B4C" w:rsidP="009D4819">
      <w:pPr>
        <w:spacing w:line="360" w:lineRule="auto"/>
        <w:jc w:val="left"/>
        <w:rPr>
          <w:rFonts w:ascii="Times New Roman" w:eastAsia="SimSun" w:hAnsi="Times New Roman" w:cs="Times New Roman"/>
          <w:b/>
          <w:sz w:val="24"/>
          <w:szCs w:val="24"/>
        </w:rPr>
        <w:sectPr w:rsidR="00752B4C">
          <w:pgSz w:w="12240" w:h="15840" w:orient="landscape"/>
          <w:pgMar w:top="1440" w:right="1440" w:bottom="1440" w:left="1440" w:header="720" w:footer="720" w:gutter="0"/>
          <w:cols w:space="720"/>
          <w:docGrid w:linePitch="360"/>
        </w:sectPr>
      </w:pPr>
    </w:p>
    <w:p w:rsidR="00752B4C" w:rsidRPr="009D4819" w:rsidRDefault="00CE7014" w:rsidP="009D4819">
      <w:pPr>
        <w:spacing w:line="360" w:lineRule="auto"/>
        <w:jc w:val="left"/>
        <w:rPr>
          <w:rFonts w:ascii="Times New Roman" w:eastAsia="SimSun" w:hAnsi="Times New Roman" w:cs="Times New Roman"/>
          <w:b/>
          <w:sz w:val="24"/>
          <w:szCs w:val="24"/>
        </w:rPr>
      </w:pPr>
      <w:r w:rsidRPr="009D4819">
        <w:rPr>
          <w:rFonts w:ascii="Times New Roman" w:eastAsia="SimSun" w:hAnsi="Times New Roman" w:cs="Times New Roman"/>
          <w:b/>
          <w:sz w:val="24"/>
          <w:szCs w:val="24"/>
        </w:rPr>
        <w:t xml:space="preserve">Supplementary Table </w:t>
      </w:r>
      <w:r w:rsidRPr="009D4819">
        <w:rPr>
          <w:rFonts w:ascii="Times New Roman" w:eastAsia="SimSun" w:hAnsi="Times New Roman" w:cs="Times New Roman"/>
          <w:b/>
          <w:sz w:val="24"/>
          <w:szCs w:val="24"/>
        </w:rPr>
        <w:t>5</w:t>
      </w:r>
      <w:r w:rsidRPr="009D4819">
        <w:rPr>
          <w:rFonts w:ascii="Times New Roman" w:eastAsia="SimSun" w:hAnsi="Times New Roman" w:cs="Times New Roman"/>
          <w:b/>
          <w:sz w:val="24"/>
          <w:szCs w:val="24"/>
        </w:rPr>
        <w:t xml:space="preserve">. Pharmacokinetic parameters of Pegmolesatide after the first </w:t>
      </w:r>
      <w:r w:rsidRPr="009D4819">
        <w:rPr>
          <w:rFonts w:ascii="Times New Roman" w:eastAsia="SimSun" w:hAnsi="Times New Roman" w:cs="Times New Roman"/>
          <w:b/>
          <w:sz w:val="24"/>
          <w:szCs w:val="24"/>
        </w:rPr>
        <w:t>administration</w:t>
      </w:r>
    </w:p>
    <w:p w:rsidR="00752B4C" w:rsidRPr="009D4819" w:rsidRDefault="00CE7014" w:rsidP="009D4819">
      <w:pPr>
        <w:spacing w:after="240" w:line="360" w:lineRule="auto"/>
        <w:jc w:val="left"/>
        <w:rPr>
          <w:rFonts w:ascii="Times New Roman" w:eastAsia="SimSun" w:hAnsi="Times New Roman" w:cs="Times New Roman"/>
          <w:bCs/>
          <w:sz w:val="24"/>
          <w:szCs w:val="24"/>
        </w:rPr>
      </w:pPr>
      <w:r w:rsidRPr="009D4819">
        <w:rPr>
          <w:rFonts w:ascii="Times New Roman" w:eastAsia="SimSun" w:hAnsi="Times New Roman" w:cs="Times New Roman"/>
          <w:bCs/>
          <w:sz w:val="24"/>
          <w:szCs w:val="24"/>
        </w:rPr>
        <w:t>5</w:t>
      </w:r>
      <w:r w:rsidRPr="009D4819">
        <w:rPr>
          <w:rFonts w:ascii="Times New Roman" w:eastAsia="SimSun" w:hAnsi="Times New Roman" w:cs="Times New Roman"/>
          <w:bCs/>
          <w:sz w:val="24"/>
          <w:szCs w:val="24"/>
        </w:rPr>
        <w:t>A. dialysis patients</w:t>
      </w:r>
    </w:p>
    <w:tbl>
      <w:tblPr>
        <w:tblW w:w="5000" w:type="pct"/>
        <w:tblLayout w:type="fixed"/>
        <w:tblLook w:val="04A0" w:firstRow="1" w:lastRow="0" w:firstColumn="1" w:lastColumn="0" w:noHBand="0" w:noVBand="1"/>
      </w:tblPr>
      <w:tblGrid>
        <w:gridCol w:w="990"/>
        <w:gridCol w:w="853"/>
        <w:gridCol w:w="1135"/>
        <w:gridCol w:w="710"/>
        <w:gridCol w:w="933"/>
        <w:gridCol w:w="1192"/>
        <w:gridCol w:w="1278"/>
        <w:gridCol w:w="866"/>
        <w:gridCol w:w="980"/>
        <w:gridCol w:w="993"/>
        <w:gridCol w:w="850"/>
        <w:gridCol w:w="998"/>
        <w:gridCol w:w="1182"/>
      </w:tblGrid>
      <w:tr w:rsidR="00752B4C">
        <w:trPr>
          <w:trHeight w:val="552"/>
        </w:trPr>
        <w:tc>
          <w:tcPr>
            <w:tcW w:w="382" w:type="pct"/>
            <w:tcBorders>
              <w:top w:val="single" w:sz="4" w:space="0" w:color="auto"/>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Dose (mg/kg)</w:t>
            </w:r>
          </w:p>
        </w:tc>
        <w:tc>
          <w:tcPr>
            <w:tcW w:w="329"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Week</w:t>
            </w:r>
          </w:p>
        </w:tc>
        <w:tc>
          <w:tcPr>
            <w:tcW w:w="438"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Parameters</w:t>
            </w:r>
          </w:p>
        </w:tc>
        <w:tc>
          <w:tcPr>
            <w:tcW w:w="274"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Tmax(h)</w:t>
            </w:r>
          </w:p>
        </w:tc>
        <w:tc>
          <w:tcPr>
            <w:tcW w:w="360"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Cmax(ng/mL)</w:t>
            </w:r>
          </w:p>
        </w:tc>
        <w:tc>
          <w:tcPr>
            <w:tcW w:w="460"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AUC0-t(h*ng/mL)</w:t>
            </w:r>
          </w:p>
        </w:tc>
        <w:tc>
          <w:tcPr>
            <w:tcW w:w="493"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AUC0-</w:t>
            </w:r>
            <w:r w:rsidRPr="009D4819">
              <w:rPr>
                <w:rFonts w:ascii="Times New Roman" w:eastAsia="DengXian" w:hAnsi="Times New Roman" w:cs="Times New Roman" w:hint="eastAsia"/>
                <w:color w:val="000000"/>
                <w:kern w:val="0"/>
                <w:szCs w:val="21"/>
              </w:rPr>
              <w:t>∞</w:t>
            </w:r>
            <w:r>
              <w:rPr>
                <w:rFonts w:ascii="Times New Roman" w:eastAsia="Times New Roman" w:hAnsi="Times New Roman" w:cs="Times New Roman"/>
                <w:color w:val="000000"/>
                <w:kern w:val="0"/>
                <w:szCs w:val="21"/>
              </w:rPr>
              <w:t>(h*ng/mL)</w:t>
            </w:r>
          </w:p>
        </w:tc>
        <w:tc>
          <w:tcPr>
            <w:tcW w:w="334"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%AUCex(%)</w:t>
            </w:r>
          </w:p>
        </w:tc>
        <w:tc>
          <w:tcPr>
            <w:tcW w:w="378"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Kel(1/h)</w:t>
            </w:r>
          </w:p>
        </w:tc>
        <w:tc>
          <w:tcPr>
            <w:tcW w:w="383"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t1/2(h)</w:t>
            </w:r>
          </w:p>
        </w:tc>
        <w:tc>
          <w:tcPr>
            <w:tcW w:w="328"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MRT(h)</w:t>
            </w:r>
          </w:p>
        </w:tc>
        <w:tc>
          <w:tcPr>
            <w:tcW w:w="385"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Vz/F(mL/kg)</w:t>
            </w:r>
          </w:p>
        </w:tc>
        <w:tc>
          <w:tcPr>
            <w:tcW w:w="457" w:type="pct"/>
            <w:tcBorders>
              <w:top w:val="single" w:sz="4" w:space="0" w:color="auto"/>
              <w:left w:val="nil"/>
              <w:bottom w:val="single" w:sz="4" w:space="0" w:color="auto"/>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CL/F(mL/h/kg)</w:t>
            </w:r>
          </w:p>
        </w:tc>
      </w:tr>
      <w:tr w:rsidR="00752B4C">
        <w:trPr>
          <w:trHeight w:val="288"/>
        </w:trPr>
        <w:tc>
          <w:tcPr>
            <w:tcW w:w="382" w:type="pct"/>
            <w:vMerge w:val="restart"/>
            <w:tcBorders>
              <w:top w:val="single" w:sz="4" w:space="0" w:color="auto"/>
              <w:bottom w:val="single" w:sz="4" w:space="0" w:color="000000"/>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0.025</w:t>
            </w:r>
          </w:p>
        </w:tc>
        <w:tc>
          <w:tcPr>
            <w:tcW w:w="329" w:type="pct"/>
            <w:vMerge w:val="restart"/>
            <w:tcBorders>
              <w:top w:val="single" w:sz="4" w:space="0" w:color="auto"/>
              <w:left w:val="nil"/>
              <w:bottom w:val="single" w:sz="4" w:space="0" w:color="000000"/>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Week 0</w:t>
            </w:r>
          </w:p>
        </w:tc>
        <w:tc>
          <w:tcPr>
            <w:tcW w:w="438"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N</w:t>
            </w:r>
          </w:p>
        </w:tc>
        <w:tc>
          <w:tcPr>
            <w:tcW w:w="274"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60"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460"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493"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34"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78"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83"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28"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85" w:type="pct"/>
            <w:tcBorders>
              <w:top w:val="single" w:sz="4" w:space="0" w:color="auto"/>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457" w:type="pct"/>
            <w:tcBorders>
              <w:top w:val="single" w:sz="4" w:space="0" w:color="auto"/>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Mean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50.6</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60.4</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7 869</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8 934.3</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12.9</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0.00991</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79.6</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142</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350</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2.93</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SD</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16.7</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28.5</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2 279.1</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1 936.9</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10.7</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0.00326</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34</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54.8</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202</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0.693</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Min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35.8</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21.1</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4 262.3</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5 967.9</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0.00479</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50.9</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94.8</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173</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2.13</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Median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47.9</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59.7</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7 522.4</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8 876.6</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6.5</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0.0119</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58.4</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116</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264</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2.82</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Max</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72</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98.5</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10 999</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11 754</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31.9</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0.0136</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145</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239</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756</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4.19</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CV%</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33.1</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47.1</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29</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21.7</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82.6</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32.9</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42.7</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38.6</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57.8</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23.7</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Geomean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48.3</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53.3</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7 551.7</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8 738.4</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9.72</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0.00934</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74.2</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134</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306</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2.86</w:t>
            </w:r>
          </w:p>
        </w:tc>
      </w:tr>
      <w:tr w:rsidR="00752B4C">
        <w:trPr>
          <w:trHeight w:val="403"/>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CV% Geomean</w:t>
            </w:r>
          </w:p>
        </w:tc>
        <w:tc>
          <w:tcPr>
            <w:tcW w:w="274"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33</w:t>
            </w:r>
          </w:p>
        </w:tc>
        <w:tc>
          <w:tcPr>
            <w:tcW w:w="360"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61.2</w:t>
            </w:r>
          </w:p>
        </w:tc>
        <w:tc>
          <w:tcPr>
            <w:tcW w:w="460"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32.1</w:t>
            </w:r>
          </w:p>
        </w:tc>
        <w:tc>
          <w:tcPr>
            <w:tcW w:w="493"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23</w:t>
            </w:r>
          </w:p>
        </w:tc>
        <w:tc>
          <w:tcPr>
            <w:tcW w:w="334"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92.6</w:t>
            </w:r>
          </w:p>
        </w:tc>
        <w:tc>
          <w:tcPr>
            <w:tcW w:w="378"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39.7</w:t>
            </w:r>
          </w:p>
        </w:tc>
        <w:tc>
          <w:tcPr>
            <w:tcW w:w="383"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39.7</w:t>
            </w:r>
          </w:p>
        </w:tc>
        <w:tc>
          <w:tcPr>
            <w:tcW w:w="328"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36.4</w:t>
            </w:r>
          </w:p>
        </w:tc>
        <w:tc>
          <w:tcPr>
            <w:tcW w:w="385"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57.7</w:t>
            </w:r>
          </w:p>
        </w:tc>
        <w:tc>
          <w:tcPr>
            <w:tcW w:w="457" w:type="pct"/>
            <w:tcBorders>
              <w:top w:val="nil"/>
              <w:left w:val="nil"/>
              <w:bottom w:val="single" w:sz="4" w:space="0" w:color="auto"/>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23</w:t>
            </w:r>
          </w:p>
        </w:tc>
      </w:tr>
      <w:tr w:rsidR="00752B4C">
        <w:trPr>
          <w:trHeight w:val="288"/>
        </w:trPr>
        <w:tc>
          <w:tcPr>
            <w:tcW w:w="382" w:type="pct"/>
            <w:vMerge w:val="restart"/>
            <w:tcBorders>
              <w:top w:val="single" w:sz="4" w:space="0" w:color="000000"/>
              <w:bottom w:val="single" w:sz="4" w:space="0" w:color="000000"/>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0.05</w:t>
            </w: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c>
          <w:tcPr>
            <w:tcW w:w="457" w:type="pct"/>
            <w:tcBorders>
              <w:top w:val="single" w:sz="4" w:space="0" w:color="auto"/>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Mean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w:t>
            </w:r>
            <w:r>
              <w:rPr>
                <w:rFonts w:ascii="Times New Roman" w:eastAsia="Times New Roman" w:hAnsi="Times New Roman" w:cs="Times New Roman"/>
                <w:color w:val="000000"/>
                <w:kern w:val="0"/>
                <w:szCs w:val="21"/>
              </w:rPr>
              <w:t>7.5</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132</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17 762</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19 265</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8.91</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0.0117</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63.8</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127</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289</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SD</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18.7</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63.8</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7 763.8</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7 661.5</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5.27</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0.00331</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18.2</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23.9</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155</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1.19</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Min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24.1</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54.1</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8 524</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9 825.1</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2.28</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0.00723</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39.3</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96.1</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105</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1.68</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Median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72</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122</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14 372</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16 183</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7.8</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0.0122</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56.7</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135</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276</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3.09</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Max</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72.1</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243</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 xml:space="preserve">28 </w:t>
            </w:r>
            <w:r>
              <w:rPr>
                <w:rFonts w:ascii="Times New Roman" w:eastAsia="Times New Roman" w:hAnsi="Times New Roman" w:cs="Times New Roman"/>
                <w:color w:val="000000"/>
                <w:kern w:val="0"/>
                <w:szCs w:val="21"/>
              </w:rPr>
              <w:t>427</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29 755</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17.8</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0.0176</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95.8</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162</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547</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5.09</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CV%</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32.5</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48.3</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43.7</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39.8</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59.1</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28.4</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28.5</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18.8</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53.6</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39.6</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Geomean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54.1</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119</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16 307</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17 929</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7.41</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0.0113</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61.6</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125</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248</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2.79</w:t>
            </w:r>
          </w:p>
        </w:tc>
      </w:tr>
      <w:tr w:rsidR="00752B4C">
        <w:trPr>
          <w:trHeight w:val="203"/>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CV% Geomean</w:t>
            </w:r>
          </w:p>
        </w:tc>
        <w:tc>
          <w:tcPr>
            <w:tcW w:w="274"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41.1</w:t>
            </w:r>
          </w:p>
        </w:tc>
        <w:tc>
          <w:tcPr>
            <w:tcW w:w="360"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52.6</w:t>
            </w:r>
          </w:p>
        </w:tc>
        <w:tc>
          <w:tcPr>
            <w:tcW w:w="460"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46.2</w:t>
            </w:r>
          </w:p>
        </w:tc>
        <w:tc>
          <w:tcPr>
            <w:tcW w:w="493"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42.2</w:t>
            </w:r>
          </w:p>
        </w:tc>
        <w:tc>
          <w:tcPr>
            <w:tcW w:w="334"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29.2</w:t>
            </w:r>
          </w:p>
        </w:tc>
        <w:tc>
          <w:tcPr>
            <w:tcW w:w="378"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29.2</w:t>
            </w:r>
          </w:p>
        </w:tc>
        <w:tc>
          <w:tcPr>
            <w:tcW w:w="383"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29.2</w:t>
            </w:r>
          </w:p>
        </w:tc>
        <w:tc>
          <w:tcPr>
            <w:tcW w:w="328"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19.5</w:t>
            </w:r>
          </w:p>
        </w:tc>
        <w:tc>
          <w:tcPr>
            <w:tcW w:w="385"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67.9</w:t>
            </w:r>
          </w:p>
        </w:tc>
        <w:tc>
          <w:tcPr>
            <w:tcW w:w="457" w:type="pct"/>
            <w:tcBorders>
              <w:top w:val="nil"/>
              <w:left w:val="nil"/>
              <w:bottom w:val="single" w:sz="4" w:space="0" w:color="auto"/>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42.2</w:t>
            </w:r>
          </w:p>
        </w:tc>
      </w:tr>
      <w:tr w:rsidR="00752B4C">
        <w:trPr>
          <w:trHeight w:val="288"/>
        </w:trPr>
        <w:tc>
          <w:tcPr>
            <w:tcW w:w="382" w:type="pct"/>
            <w:vMerge w:val="restart"/>
            <w:tcBorders>
              <w:top w:val="single" w:sz="4" w:space="0" w:color="000000"/>
              <w:bottom w:val="single" w:sz="4" w:space="0" w:color="000000"/>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0.08</w:t>
            </w: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w:t>
            </w:r>
          </w:p>
        </w:tc>
        <w:tc>
          <w:tcPr>
            <w:tcW w:w="457" w:type="pct"/>
            <w:tcBorders>
              <w:top w:val="single" w:sz="4" w:space="0" w:color="auto"/>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Mean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w:t>
            </w:r>
            <w:r>
              <w:rPr>
                <w:rFonts w:ascii="Times New Roman" w:eastAsia="Times New Roman" w:hAnsi="Times New Roman" w:cs="Times New Roman"/>
                <w:color w:val="000000"/>
                <w:kern w:val="0"/>
                <w:szCs w:val="21"/>
              </w:rPr>
              <w:t>3.7</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245</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38 100</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38 431</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12.3</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0.00932</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75.5</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144</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283</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2.53</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SD</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34.3</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124</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17 121</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18 679</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4.66</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0.0012</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10.7</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24.3</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153</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Min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35.8</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127</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16 613</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18 920</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6.54</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0.00746</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65.5</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110</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131</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1.29</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Median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72</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212</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37 020</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29 838</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11.6</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0.0098</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70.7</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145</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273</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2.68</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Max</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120</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475</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59 311</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62 087</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19.6</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0.0106</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93</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178</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474</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4.23</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CV%</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46.5</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50.6</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44.9</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48.6</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37.9</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12.8</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14.2</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16.9</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53.9</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47.5</w:t>
            </w:r>
          </w:p>
        </w:tc>
      </w:tr>
      <w:tr w:rsidR="00752B4C">
        <w:trPr>
          <w:trHeight w:val="288"/>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Geomean</w:t>
            </w:r>
          </w:p>
        </w:tc>
        <w:tc>
          <w:tcPr>
            <w:tcW w:w="27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67.2</w:t>
            </w:r>
          </w:p>
        </w:tc>
        <w:tc>
          <w:tcPr>
            <w:tcW w:w="3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221</w:t>
            </w:r>
          </w:p>
        </w:tc>
        <w:tc>
          <w:tcPr>
            <w:tcW w:w="460"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34 510</w:t>
            </w:r>
          </w:p>
        </w:tc>
        <w:tc>
          <w:tcPr>
            <w:tcW w:w="49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34 852</w:t>
            </w:r>
          </w:p>
        </w:tc>
        <w:tc>
          <w:tcPr>
            <w:tcW w:w="334"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11.6</w:t>
            </w:r>
          </w:p>
        </w:tc>
        <w:tc>
          <w:tcPr>
            <w:tcW w:w="37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0.00925</w:t>
            </w:r>
          </w:p>
        </w:tc>
        <w:tc>
          <w:tcPr>
            <w:tcW w:w="383"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74.9</w:t>
            </w:r>
          </w:p>
        </w:tc>
        <w:tc>
          <w:tcPr>
            <w:tcW w:w="328"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142</w:t>
            </w:r>
          </w:p>
        </w:tc>
        <w:tc>
          <w:tcPr>
            <w:tcW w:w="385" w:type="pct"/>
            <w:tcBorders>
              <w:top w:val="nil"/>
              <w:left w:val="nil"/>
              <w:bottom w:val="nil"/>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248</w:t>
            </w:r>
          </w:p>
        </w:tc>
        <w:tc>
          <w:tcPr>
            <w:tcW w:w="457" w:type="pct"/>
            <w:tcBorders>
              <w:top w:val="nil"/>
              <w:left w:val="nil"/>
              <w:bottom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2.3</w:t>
            </w:r>
          </w:p>
        </w:tc>
      </w:tr>
      <w:tr w:rsidR="00752B4C">
        <w:trPr>
          <w:trHeight w:val="112"/>
        </w:trPr>
        <w:tc>
          <w:tcPr>
            <w:tcW w:w="382" w:type="pct"/>
            <w:vMerge/>
            <w:tcBorders>
              <w:top w:val="single" w:sz="4" w:space="0" w:color="000000"/>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329" w:type="pct"/>
            <w:vMerge/>
            <w:tcBorders>
              <w:top w:val="single" w:sz="4" w:space="0" w:color="auto"/>
              <w:left w:val="nil"/>
              <w:bottom w:val="single" w:sz="4" w:space="0" w:color="000000"/>
              <w:right w:val="nil"/>
            </w:tcBorders>
            <w:vAlign w:val="center"/>
          </w:tcPr>
          <w:p w:rsidR="00752B4C" w:rsidRDefault="00752B4C" w:rsidP="009D4819">
            <w:pPr>
              <w:widowControl/>
              <w:spacing w:line="360" w:lineRule="auto"/>
              <w:jc w:val="left"/>
              <w:rPr>
                <w:rFonts w:ascii="Times New Roman" w:eastAsia="Times New Roman" w:hAnsi="Times New Roman" w:cs="Times New Roman"/>
                <w:color w:val="000000"/>
                <w:kern w:val="0"/>
                <w:szCs w:val="21"/>
              </w:rPr>
            </w:pPr>
          </w:p>
        </w:tc>
        <w:tc>
          <w:tcPr>
            <w:tcW w:w="438"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CV% Geomean</w:t>
            </w:r>
          </w:p>
        </w:tc>
        <w:tc>
          <w:tcPr>
            <w:tcW w:w="274"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49.2</w:t>
            </w:r>
          </w:p>
        </w:tc>
        <w:tc>
          <w:tcPr>
            <w:tcW w:w="360"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50.9</w:t>
            </w:r>
          </w:p>
        </w:tc>
        <w:tc>
          <w:tcPr>
            <w:tcW w:w="460"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52.9</w:t>
            </w:r>
          </w:p>
        </w:tc>
        <w:tc>
          <w:tcPr>
            <w:tcW w:w="493"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53</w:t>
            </w:r>
          </w:p>
        </w:tc>
        <w:tc>
          <w:tcPr>
            <w:tcW w:w="334"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40.4</w:t>
            </w:r>
          </w:p>
        </w:tc>
        <w:tc>
          <w:tcPr>
            <w:tcW w:w="378"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13.6</w:t>
            </w:r>
          </w:p>
        </w:tc>
        <w:tc>
          <w:tcPr>
            <w:tcW w:w="383"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13.6</w:t>
            </w:r>
          </w:p>
        </w:tc>
        <w:tc>
          <w:tcPr>
            <w:tcW w:w="328"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17.4</w:t>
            </w:r>
          </w:p>
        </w:tc>
        <w:tc>
          <w:tcPr>
            <w:tcW w:w="385" w:type="pct"/>
            <w:tcBorders>
              <w:top w:val="nil"/>
              <w:left w:val="nil"/>
              <w:bottom w:val="single" w:sz="4" w:space="0" w:color="auto"/>
              <w:right w:val="nil"/>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64.3</w:t>
            </w:r>
          </w:p>
        </w:tc>
        <w:tc>
          <w:tcPr>
            <w:tcW w:w="457" w:type="pct"/>
            <w:tcBorders>
              <w:top w:val="nil"/>
              <w:left w:val="nil"/>
              <w:bottom w:val="single" w:sz="4" w:space="0" w:color="auto"/>
            </w:tcBorders>
            <w:shd w:val="clear" w:color="auto" w:fill="auto"/>
            <w:vAlign w:val="center"/>
          </w:tcPr>
          <w:p w:rsidR="00752B4C" w:rsidRDefault="00CE7014" w:rsidP="009D4819">
            <w:pPr>
              <w:widowControl/>
              <w:spacing w:line="360" w:lineRule="auto"/>
              <w:jc w:val="center"/>
              <w:rPr>
                <w:rFonts w:ascii="Times New Roman" w:eastAsia="Times New Roman" w:hAnsi="Times New Roman" w:cs="Times New Roman"/>
                <w:color w:val="000000"/>
                <w:kern w:val="0"/>
                <w:szCs w:val="21"/>
              </w:rPr>
            </w:pPr>
            <w:r>
              <w:rPr>
                <w:rFonts w:ascii="Times New Roman" w:eastAsia="Times New Roman" w:hAnsi="Times New Roman" w:cs="Times New Roman"/>
                <w:color w:val="000000"/>
                <w:kern w:val="0"/>
                <w:szCs w:val="21"/>
              </w:rPr>
              <w:t>53</w:t>
            </w:r>
          </w:p>
        </w:tc>
      </w:tr>
    </w:tbl>
    <w:p w:rsidR="00752B4C" w:rsidRPr="009D4819" w:rsidRDefault="00752B4C" w:rsidP="009D4819">
      <w:pPr>
        <w:spacing w:after="240" w:line="360" w:lineRule="auto"/>
        <w:jc w:val="left"/>
        <w:rPr>
          <w:rFonts w:ascii="Times New Roman" w:eastAsia="SimSun" w:hAnsi="Times New Roman" w:cs="Times New Roman"/>
          <w:bCs/>
          <w:sz w:val="24"/>
          <w:szCs w:val="24"/>
        </w:rPr>
      </w:pPr>
    </w:p>
    <w:p w:rsidR="00752B4C" w:rsidRPr="009D4819" w:rsidRDefault="00CE7014" w:rsidP="009D4819">
      <w:pPr>
        <w:spacing w:after="240" w:line="360" w:lineRule="auto"/>
        <w:jc w:val="left"/>
        <w:rPr>
          <w:rFonts w:ascii="Times New Roman" w:eastAsia="SimSun" w:hAnsi="Times New Roman" w:cs="Times New Roman"/>
          <w:sz w:val="24"/>
          <w:szCs w:val="24"/>
        </w:rPr>
      </w:pPr>
      <w:r w:rsidRPr="009D4819">
        <w:rPr>
          <w:rFonts w:ascii="Times New Roman" w:eastAsia="SimSun" w:hAnsi="Times New Roman" w:cs="Times New Roman"/>
          <w:bCs/>
          <w:sz w:val="24"/>
          <w:szCs w:val="24"/>
        </w:rPr>
        <w:t>5</w:t>
      </w:r>
      <w:r w:rsidRPr="009D4819">
        <w:rPr>
          <w:rFonts w:ascii="Times New Roman" w:eastAsia="SimSun" w:hAnsi="Times New Roman" w:cs="Times New Roman"/>
          <w:bCs/>
          <w:sz w:val="24"/>
          <w:szCs w:val="24"/>
        </w:rPr>
        <w:t>B. no</w:t>
      </w:r>
      <w:r w:rsidRPr="009D4819">
        <w:rPr>
          <w:rFonts w:ascii="Times New Roman" w:eastAsia="SimSun" w:hAnsi="Times New Roman" w:cs="Times New Roman"/>
          <w:bCs/>
          <w:sz w:val="24"/>
          <w:szCs w:val="24"/>
        </w:rPr>
        <w:t>n-dialysis patients</w:t>
      </w:r>
    </w:p>
    <w:tbl>
      <w:tblPr>
        <w:tblW w:w="5072" w:type="pct"/>
        <w:tblBorders>
          <w:top w:val="single" w:sz="4" w:space="0" w:color="auto"/>
          <w:bottom w:val="single" w:sz="4" w:space="0" w:color="auto"/>
        </w:tblBorders>
        <w:tblLayout w:type="fixed"/>
        <w:tblCellMar>
          <w:left w:w="0" w:type="dxa"/>
          <w:right w:w="0" w:type="dxa"/>
        </w:tblCellMar>
        <w:tblLook w:val="04A0" w:firstRow="1" w:lastRow="0" w:firstColumn="1" w:lastColumn="0" w:noHBand="0" w:noVBand="1"/>
      </w:tblPr>
      <w:tblGrid>
        <w:gridCol w:w="991"/>
        <w:gridCol w:w="852"/>
        <w:gridCol w:w="1133"/>
        <w:gridCol w:w="710"/>
        <w:gridCol w:w="994"/>
        <w:gridCol w:w="1273"/>
        <w:gridCol w:w="1136"/>
        <w:gridCol w:w="852"/>
        <w:gridCol w:w="991"/>
        <w:gridCol w:w="994"/>
        <w:gridCol w:w="849"/>
        <w:gridCol w:w="994"/>
        <w:gridCol w:w="1378"/>
      </w:tblGrid>
      <w:tr w:rsidR="00752B4C">
        <w:trPr>
          <w:trHeight w:val="240"/>
        </w:trPr>
        <w:tc>
          <w:tcPr>
            <w:tcW w:w="377"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Dose (mg/kg)</w:t>
            </w:r>
          </w:p>
        </w:tc>
        <w:tc>
          <w:tcPr>
            <w:tcW w:w="324"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Week</w:t>
            </w:r>
          </w:p>
        </w:tc>
        <w:tc>
          <w:tcPr>
            <w:tcW w:w="431"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Parameters</w:t>
            </w:r>
          </w:p>
        </w:tc>
        <w:tc>
          <w:tcPr>
            <w:tcW w:w="270"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Tmax(h)</w:t>
            </w:r>
          </w:p>
        </w:tc>
        <w:tc>
          <w:tcPr>
            <w:tcW w:w="378"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Cmax(ng/mL)</w:t>
            </w:r>
          </w:p>
        </w:tc>
        <w:tc>
          <w:tcPr>
            <w:tcW w:w="484"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AUC0-t(h*ng/mL)</w:t>
            </w:r>
          </w:p>
        </w:tc>
        <w:tc>
          <w:tcPr>
            <w:tcW w:w="432"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AUC0-</w:t>
            </w:r>
            <w:r w:rsidRPr="009D4819">
              <w:rPr>
                <w:rFonts w:ascii="Times New Roman" w:eastAsia="DengXian" w:hAnsi="Times New Roman" w:cs="Times New Roman" w:hint="eastAsia"/>
                <w:color w:val="000000"/>
                <w:szCs w:val="21"/>
              </w:rPr>
              <w:t>∞</w:t>
            </w:r>
            <w:r w:rsidRPr="009D4819">
              <w:rPr>
                <w:rFonts w:ascii="Times New Roman" w:hAnsi="Times New Roman" w:cs="Times New Roman"/>
                <w:color w:val="000000"/>
                <w:szCs w:val="21"/>
              </w:rPr>
              <w:t>(h*ng/mL)</w:t>
            </w:r>
          </w:p>
        </w:tc>
        <w:tc>
          <w:tcPr>
            <w:tcW w:w="324"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%AUCex(%)</w:t>
            </w:r>
          </w:p>
        </w:tc>
        <w:tc>
          <w:tcPr>
            <w:tcW w:w="377"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Kel(1/h)</w:t>
            </w:r>
          </w:p>
        </w:tc>
        <w:tc>
          <w:tcPr>
            <w:tcW w:w="378"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t1/2(h)</w:t>
            </w:r>
          </w:p>
        </w:tc>
        <w:tc>
          <w:tcPr>
            <w:tcW w:w="323"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MRT(h)</w:t>
            </w:r>
          </w:p>
        </w:tc>
        <w:tc>
          <w:tcPr>
            <w:tcW w:w="378" w:type="pct"/>
            <w:tcBorders>
              <w:top w:val="single" w:sz="4" w:space="0" w:color="auto"/>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Vz/F(mL/kg)</w:t>
            </w:r>
          </w:p>
        </w:tc>
        <w:tc>
          <w:tcPr>
            <w:tcW w:w="524" w:type="pct"/>
            <w:tcBorders>
              <w:top w:val="single" w:sz="4" w:space="0" w:color="auto"/>
              <w:bottom w:val="single" w:sz="4" w:space="0" w:color="auto"/>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CL/F(mL/h/kg)</w:t>
            </w:r>
          </w:p>
        </w:tc>
      </w:tr>
      <w:tr w:rsidR="00752B4C">
        <w:trPr>
          <w:trHeight w:val="240"/>
        </w:trPr>
        <w:tc>
          <w:tcPr>
            <w:tcW w:w="377" w:type="pct"/>
            <w:vMerge w:val="restar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0.025</w:t>
            </w:r>
          </w:p>
        </w:tc>
        <w:tc>
          <w:tcPr>
            <w:tcW w:w="324" w:type="pct"/>
            <w:vMerge w:val="restar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Week 0</w:t>
            </w:r>
          </w:p>
        </w:tc>
        <w:tc>
          <w:tcPr>
            <w:tcW w:w="431"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N</w:t>
            </w:r>
          </w:p>
        </w:tc>
        <w:tc>
          <w:tcPr>
            <w:tcW w:w="270"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8.0</w:t>
            </w:r>
          </w:p>
        </w:tc>
        <w:tc>
          <w:tcPr>
            <w:tcW w:w="378"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w:t>
            </w:r>
          </w:p>
        </w:tc>
        <w:tc>
          <w:tcPr>
            <w:tcW w:w="484"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w:t>
            </w:r>
          </w:p>
        </w:tc>
        <w:tc>
          <w:tcPr>
            <w:tcW w:w="432"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w:t>
            </w:r>
          </w:p>
        </w:tc>
        <w:tc>
          <w:tcPr>
            <w:tcW w:w="324"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w:t>
            </w:r>
          </w:p>
        </w:tc>
        <w:tc>
          <w:tcPr>
            <w:tcW w:w="377"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w:t>
            </w:r>
          </w:p>
        </w:tc>
        <w:tc>
          <w:tcPr>
            <w:tcW w:w="378"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w:t>
            </w:r>
          </w:p>
        </w:tc>
        <w:tc>
          <w:tcPr>
            <w:tcW w:w="323"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w:t>
            </w:r>
          </w:p>
        </w:tc>
        <w:tc>
          <w:tcPr>
            <w:tcW w:w="378"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w:t>
            </w:r>
          </w:p>
        </w:tc>
        <w:tc>
          <w:tcPr>
            <w:tcW w:w="524" w:type="pct"/>
            <w:tcBorders>
              <w:top w:val="single" w:sz="4" w:space="0" w:color="auto"/>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Mean</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51.0</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61.5</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7 153.9</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8 720.4</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13</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0.0114</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69</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114</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374</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3.54</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SD</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49.2</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38.2</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5 054.6</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4 917.8</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6.85</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0.00368</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30.2</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31.8</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250</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1.41</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Min</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11.9</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10.3</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2 362.4</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4 822.3</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3.08</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0.00536</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46.6</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74.5</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105</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1.56</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Median</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42.0</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49.2</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5 155.9</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6 174.5</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14.1</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0.0127</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5407</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112</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296</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4.05</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Max</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168.0</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127</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15 521</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16 014</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21.3</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0.0149</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129</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169</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804</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5.18</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CV%</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96.4</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62.1</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70.7</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56.4</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52.6</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32.3</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43.7</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27.8</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66.9</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40</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Geomean</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38.2</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49.6</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5 902</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7 756.1</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11</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0.0107</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64.5</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111</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300</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3.22</w:t>
            </w:r>
          </w:p>
        </w:tc>
      </w:tr>
      <w:tr w:rsidR="00752B4C">
        <w:trPr>
          <w:trHeight w:val="240"/>
        </w:trPr>
        <w:tc>
          <w:tcPr>
            <w:tcW w:w="377" w:type="pct"/>
            <w:vMerge/>
            <w:tcBorders>
              <w:top w:val="nil"/>
              <w:bottom w:val="single" w:sz="4" w:space="0" w:color="auto"/>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single" w:sz="4" w:space="0" w:color="auto"/>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CV% Geomean</w:t>
            </w:r>
          </w:p>
        </w:tc>
        <w:tc>
          <w:tcPr>
            <w:tcW w:w="270"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90.0</w:t>
            </w:r>
          </w:p>
        </w:tc>
        <w:tc>
          <w:tcPr>
            <w:tcW w:w="378"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91.1</w:t>
            </w:r>
          </w:p>
        </w:tc>
        <w:tc>
          <w:tcPr>
            <w:tcW w:w="484"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71.8</w:t>
            </w:r>
          </w:p>
        </w:tc>
        <w:tc>
          <w:tcPr>
            <w:tcW w:w="432"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53.3</w:t>
            </w:r>
          </w:p>
        </w:tc>
        <w:tc>
          <w:tcPr>
            <w:tcW w:w="324"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80.4</w:t>
            </w:r>
          </w:p>
        </w:tc>
        <w:tc>
          <w:tcPr>
            <w:tcW w:w="377"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39.5</w:t>
            </w:r>
          </w:p>
        </w:tc>
        <w:tc>
          <w:tcPr>
            <w:tcW w:w="378"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39.5</w:t>
            </w:r>
          </w:p>
        </w:tc>
        <w:tc>
          <w:tcPr>
            <w:tcW w:w="323"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27.7</w:t>
            </w:r>
          </w:p>
        </w:tc>
        <w:tc>
          <w:tcPr>
            <w:tcW w:w="378"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87.7</w:t>
            </w:r>
          </w:p>
        </w:tc>
        <w:tc>
          <w:tcPr>
            <w:tcW w:w="524" w:type="pct"/>
            <w:tcBorders>
              <w:top w:val="nil"/>
              <w:bottom w:val="single" w:sz="4" w:space="0" w:color="auto"/>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53.3</w:t>
            </w:r>
          </w:p>
        </w:tc>
      </w:tr>
      <w:tr w:rsidR="00752B4C">
        <w:trPr>
          <w:trHeight w:val="240"/>
        </w:trPr>
        <w:tc>
          <w:tcPr>
            <w:tcW w:w="377" w:type="pct"/>
            <w:vMerge w:val="restar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0.05</w:t>
            </w:r>
          </w:p>
        </w:tc>
        <w:tc>
          <w:tcPr>
            <w:tcW w:w="324" w:type="pct"/>
            <w:vMerge/>
            <w:tcBorders>
              <w:top w:val="single" w:sz="4" w:space="0" w:color="auto"/>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N</w:t>
            </w:r>
          </w:p>
        </w:tc>
        <w:tc>
          <w:tcPr>
            <w:tcW w:w="270"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9</w:t>
            </w:r>
          </w:p>
        </w:tc>
        <w:tc>
          <w:tcPr>
            <w:tcW w:w="378"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c>
          <w:tcPr>
            <w:tcW w:w="484"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c>
          <w:tcPr>
            <w:tcW w:w="432"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c>
          <w:tcPr>
            <w:tcW w:w="324"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c>
          <w:tcPr>
            <w:tcW w:w="377"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c>
          <w:tcPr>
            <w:tcW w:w="378"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c>
          <w:tcPr>
            <w:tcW w:w="323"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c>
          <w:tcPr>
            <w:tcW w:w="378" w:type="pct"/>
            <w:tcBorders>
              <w:top w:val="single" w:sz="4" w:space="0" w:color="auto"/>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c>
          <w:tcPr>
            <w:tcW w:w="524" w:type="pct"/>
            <w:tcBorders>
              <w:top w:val="single" w:sz="4" w:space="0" w:color="auto"/>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Mean</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56</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141</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20 387</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21 862</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6.89</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0.0121</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59.5</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117</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258</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2.86</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SD</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15.9</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65.4</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11 163</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12 153</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3.08</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0.00253</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13.1</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16</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166</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1.33</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Min</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36</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58.5</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9 490.5</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10 351</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2.64</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0.00804</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42.2</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96.3</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92.4</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1.01</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Median</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48</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153</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20 403</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20 956</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7.12</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0.0117</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59.2</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114</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179</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2.39</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Max</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72.3</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267</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45 270</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49 698</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12.8</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0.0164</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86.2</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148</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548</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4.83</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CV%</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28.4</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46.5</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54.8</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55.6</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44.6</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20.8</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21.9</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13.7</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64.3</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46.5</w:t>
            </w:r>
          </w:p>
        </w:tc>
      </w:tr>
      <w:tr w:rsidR="00752B4C">
        <w:trPr>
          <w:trHeight w:val="240"/>
        </w:trPr>
        <w:tc>
          <w:tcPr>
            <w:tcW w:w="377"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nil"/>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Geomean</w:t>
            </w:r>
          </w:p>
        </w:tc>
        <w:tc>
          <w:tcPr>
            <w:tcW w:w="270"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54</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127</w:t>
            </w:r>
          </w:p>
        </w:tc>
        <w:tc>
          <w:tcPr>
            <w:tcW w:w="48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18 070</w:t>
            </w:r>
          </w:p>
        </w:tc>
        <w:tc>
          <w:tcPr>
            <w:tcW w:w="432"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19 416</w:t>
            </w:r>
          </w:p>
        </w:tc>
        <w:tc>
          <w:tcPr>
            <w:tcW w:w="324"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6.25</w:t>
            </w:r>
          </w:p>
        </w:tc>
        <w:tc>
          <w:tcPr>
            <w:tcW w:w="377"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0.0119</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58.3</w:t>
            </w:r>
          </w:p>
        </w:tc>
        <w:tc>
          <w:tcPr>
            <w:tcW w:w="323"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116</w:t>
            </w:r>
          </w:p>
        </w:tc>
        <w:tc>
          <w:tcPr>
            <w:tcW w:w="378" w:type="pct"/>
            <w:tcBorders>
              <w:top w:val="nil"/>
              <w:bottom w:val="nil"/>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217</w:t>
            </w:r>
          </w:p>
        </w:tc>
        <w:tc>
          <w:tcPr>
            <w:tcW w:w="524" w:type="pct"/>
            <w:tcBorders>
              <w:top w:val="nil"/>
              <w:bottom w:val="nil"/>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2.58</w:t>
            </w:r>
          </w:p>
        </w:tc>
      </w:tr>
      <w:tr w:rsidR="00752B4C">
        <w:trPr>
          <w:trHeight w:val="240"/>
        </w:trPr>
        <w:tc>
          <w:tcPr>
            <w:tcW w:w="377" w:type="pct"/>
            <w:vMerge/>
            <w:tcBorders>
              <w:top w:val="nil"/>
              <w:bottom w:val="single" w:sz="4" w:space="0" w:color="auto"/>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tcBorders>
              <w:top w:val="nil"/>
              <w:bottom w:val="single" w:sz="4" w:space="0" w:color="auto"/>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CV% Geomean</w:t>
            </w:r>
          </w:p>
        </w:tc>
        <w:tc>
          <w:tcPr>
            <w:tcW w:w="270"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30.4</w:t>
            </w:r>
          </w:p>
        </w:tc>
        <w:tc>
          <w:tcPr>
            <w:tcW w:w="378"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51.5</w:t>
            </w:r>
          </w:p>
        </w:tc>
        <w:tc>
          <w:tcPr>
            <w:tcW w:w="484"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55.2</w:t>
            </w:r>
          </w:p>
        </w:tc>
        <w:tc>
          <w:tcPr>
            <w:tcW w:w="432"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54</w:t>
            </w:r>
          </w:p>
        </w:tc>
        <w:tc>
          <w:tcPr>
            <w:tcW w:w="324"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51.6</w:t>
            </w:r>
          </w:p>
        </w:tc>
        <w:tc>
          <w:tcPr>
            <w:tcW w:w="377"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21.5</w:t>
            </w:r>
          </w:p>
        </w:tc>
        <w:tc>
          <w:tcPr>
            <w:tcW w:w="378"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21.5</w:t>
            </w:r>
          </w:p>
        </w:tc>
        <w:tc>
          <w:tcPr>
            <w:tcW w:w="323"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13.4</w:t>
            </w:r>
          </w:p>
        </w:tc>
        <w:tc>
          <w:tcPr>
            <w:tcW w:w="378" w:type="pct"/>
            <w:tcBorders>
              <w:top w:val="nil"/>
              <w:bottom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68.6</w:t>
            </w:r>
          </w:p>
        </w:tc>
        <w:tc>
          <w:tcPr>
            <w:tcW w:w="524" w:type="pct"/>
            <w:tcBorders>
              <w:top w:val="nil"/>
              <w:bottom w:val="single" w:sz="4" w:space="0" w:color="auto"/>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54</w:t>
            </w:r>
          </w:p>
        </w:tc>
      </w:tr>
      <w:tr w:rsidR="00752B4C">
        <w:trPr>
          <w:trHeight w:val="240"/>
        </w:trPr>
        <w:tc>
          <w:tcPr>
            <w:tcW w:w="377" w:type="pct"/>
            <w:vMerge w:val="restar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0.08</w:t>
            </w:r>
          </w:p>
        </w:tc>
        <w:tc>
          <w:tcPr>
            <w:tcW w:w="324" w:type="pct"/>
            <w:vMerge/>
            <w:tcBorders>
              <w:top w:val="single" w:sz="4" w:space="0" w:color="auto"/>
            </w:tcBorders>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N</w:t>
            </w:r>
          </w:p>
        </w:tc>
        <w:tc>
          <w:tcPr>
            <w:tcW w:w="270" w:type="pc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9</w:t>
            </w:r>
          </w:p>
        </w:tc>
        <w:tc>
          <w:tcPr>
            <w:tcW w:w="378" w:type="pc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c>
          <w:tcPr>
            <w:tcW w:w="484" w:type="pc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w:t>
            </w:r>
          </w:p>
        </w:tc>
        <w:tc>
          <w:tcPr>
            <w:tcW w:w="432" w:type="pc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w:t>
            </w:r>
          </w:p>
        </w:tc>
        <w:tc>
          <w:tcPr>
            <w:tcW w:w="324" w:type="pc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w:t>
            </w:r>
          </w:p>
        </w:tc>
        <w:tc>
          <w:tcPr>
            <w:tcW w:w="377" w:type="pc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w:t>
            </w:r>
          </w:p>
        </w:tc>
        <w:tc>
          <w:tcPr>
            <w:tcW w:w="378" w:type="pc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w:t>
            </w:r>
          </w:p>
        </w:tc>
        <w:tc>
          <w:tcPr>
            <w:tcW w:w="323" w:type="pc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w:t>
            </w:r>
          </w:p>
        </w:tc>
        <w:tc>
          <w:tcPr>
            <w:tcW w:w="378" w:type="pct"/>
            <w:tcBorders>
              <w:top w:val="single" w:sz="4" w:space="0" w:color="auto"/>
            </w:tcBorders>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w:t>
            </w:r>
          </w:p>
        </w:tc>
        <w:tc>
          <w:tcPr>
            <w:tcW w:w="524" w:type="pct"/>
            <w:tcBorders>
              <w:top w:val="single" w:sz="4" w:space="0" w:color="auto"/>
            </w:tcBorders>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w:t>
            </w:r>
          </w:p>
        </w:tc>
      </w:tr>
      <w:tr w:rsidR="00752B4C">
        <w:trPr>
          <w:trHeight w:val="240"/>
        </w:trPr>
        <w:tc>
          <w:tcPr>
            <w:tcW w:w="377"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Mean</w:t>
            </w:r>
          </w:p>
        </w:tc>
        <w:tc>
          <w:tcPr>
            <w:tcW w:w="270"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58</w:t>
            </w:r>
            <w:r>
              <w:rPr>
                <w:rFonts w:ascii="Times New Roman" w:eastAsia="SimSun" w:hAnsi="Times New Roman" w:cs="Times New Roman"/>
                <w:szCs w:val="21"/>
              </w:rPr>
              <w:t>.6</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196</w:t>
            </w:r>
          </w:p>
        </w:tc>
        <w:tc>
          <w:tcPr>
            <w:tcW w:w="48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29 350</w:t>
            </w:r>
          </w:p>
        </w:tc>
        <w:tc>
          <w:tcPr>
            <w:tcW w:w="432"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35 164</w:t>
            </w:r>
          </w:p>
        </w:tc>
        <w:tc>
          <w:tcPr>
            <w:tcW w:w="32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11</w:t>
            </w:r>
          </w:p>
        </w:tc>
        <w:tc>
          <w:tcPr>
            <w:tcW w:w="377"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0.0104</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72.2</w:t>
            </w:r>
          </w:p>
        </w:tc>
        <w:tc>
          <w:tcPr>
            <w:tcW w:w="323"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133</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339</w:t>
            </w:r>
          </w:p>
        </w:tc>
        <w:tc>
          <w:tcPr>
            <w:tcW w:w="524" w:type="pct"/>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3.22</w:t>
            </w:r>
          </w:p>
        </w:tc>
      </w:tr>
      <w:tr w:rsidR="00752B4C">
        <w:trPr>
          <w:trHeight w:val="240"/>
        </w:trPr>
        <w:tc>
          <w:tcPr>
            <w:tcW w:w="377"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SD</w:t>
            </w:r>
          </w:p>
        </w:tc>
        <w:tc>
          <w:tcPr>
            <w:tcW w:w="270"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29</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90.9</w:t>
            </w:r>
          </w:p>
        </w:tc>
        <w:tc>
          <w:tcPr>
            <w:tcW w:w="48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15 180</w:t>
            </w:r>
          </w:p>
        </w:tc>
        <w:tc>
          <w:tcPr>
            <w:tcW w:w="432"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18 352</w:t>
            </w:r>
          </w:p>
        </w:tc>
        <w:tc>
          <w:tcPr>
            <w:tcW w:w="32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6.05</w:t>
            </w:r>
          </w:p>
        </w:tc>
        <w:tc>
          <w:tcPr>
            <w:tcW w:w="377"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0.00351</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18.7</w:t>
            </w:r>
          </w:p>
        </w:tc>
        <w:tc>
          <w:tcPr>
            <w:tcW w:w="323"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31.4</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298</w:t>
            </w:r>
          </w:p>
        </w:tc>
        <w:tc>
          <w:tcPr>
            <w:tcW w:w="524" w:type="pct"/>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2.4</w:t>
            </w:r>
          </w:p>
        </w:tc>
      </w:tr>
      <w:tr w:rsidR="00752B4C">
        <w:trPr>
          <w:trHeight w:val="240"/>
        </w:trPr>
        <w:tc>
          <w:tcPr>
            <w:tcW w:w="377"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Min</w:t>
            </w:r>
          </w:p>
        </w:tc>
        <w:tc>
          <w:tcPr>
            <w:tcW w:w="270"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24</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68.7</w:t>
            </w:r>
          </w:p>
        </w:tc>
        <w:tc>
          <w:tcPr>
            <w:tcW w:w="48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8 366.9</w:t>
            </w:r>
          </w:p>
        </w:tc>
        <w:tc>
          <w:tcPr>
            <w:tcW w:w="432"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9 525.1</w:t>
            </w:r>
          </w:p>
        </w:tc>
        <w:tc>
          <w:tcPr>
            <w:tcW w:w="32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1.43</w:t>
            </w:r>
          </w:p>
        </w:tc>
        <w:tc>
          <w:tcPr>
            <w:tcW w:w="377"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0.00731</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38.1</w:t>
            </w:r>
          </w:p>
        </w:tc>
        <w:tc>
          <w:tcPr>
            <w:tcW w:w="323"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78.3</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138</w:t>
            </w:r>
          </w:p>
        </w:tc>
        <w:tc>
          <w:tcPr>
            <w:tcW w:w="524" w:type="pct"/>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1.27</w:t>
            </w:r>
          </w:p>
        </w:tc>
      </w:tr>
      <w:tr w:rsidR="00752B4C">
        <w:trPr>
          <w:trHeight w:val="240"/>
        </w:trPr>
        <w:tc>
          <w:tcPr>
            <w:tcW w:w="377"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Median</w:t>
            </w:r>
          </w:p>
        </w:tc>
        <w:tc>
          <w:tcPr>
            <w:tcW w:w="270"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48</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188</w:t>
            </w:r>
          </w:p>
        </w:tc>
        <w:tc>
          <w:tcPr>
            <w:tcW w:w="48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28 483</w:t>
            </w:r>
          </w:p>
        </w:tc>
        <w:tc>
          <w:tcPr>
            <w:tcW w:w="432"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32 209</w:t>
            </w:r>
          </w:p>
        </w:tc>
        <w:tc>
          <w:tcPr>
            <w:tcW w:w="32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11.5</w:t>
            </w:r>
          </w:p>
        </w:tc>
        <w:tc>
          <w:tcPr>
            <w:tcW w:w="377"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0.00959</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72.3</w:t>
            </w:r>
          </w:p>
        </w:tc>
        <w:tc>
          <w:tcPr>
            <w:tcW w:w="323"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132</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215</w:t>
            </w:r>
          </w:p>
        </w:tc>
        <w:tc>
          <w:tcPr>
            <w:tcW w:w="524" w:type="pct"/>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2.51</w:t>
            </w:r>
          </w:p>
        </w:tc>
      </w:tr>
      <w:tr w:rsidR="00752B4C">
        <w:trPr>
          <w:trHeight w:val="240"/>
        </w:trPr>
        <w:tc>
          <w:tcPr>
            <w:tcW w:w="377"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Max</w:t>
            </w:r>
          </w:p>
        </w:tc>
        <w:tc>
          <w:tcPr>
            <w:tcW w:w="270"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120</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342</w:t>
            </w:r>
          </w:p>
        </w:tc>
        <w:tc>
          <w:tcPr>
            <w:tcW w:w="48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50 752</w:t>
            </w:r>
          </w:p>
        </w:tc>
        <w:tc>
          <w:tcPr>
            <w:tcW w:w="432"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63 193</w:t>
            </w:r>
          </w:p>
        </w:tc>
        <w:tc>
          <w:tcPr>
            <w:tcW w:w="32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19.7</w:t>
            </w:r>
          </w:p>
        </w:tc>
        <w:tc>
          <w:tcPr>
            <w:tcW w:w="377"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0.0182</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94.8</w:t>
            </w:r>
          </w:p>
        </w:tc>
        <w:tc>
          <w:tcPr>
            <w:tcW w:w="323"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178</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1 010</w:t>
            </w:r>
          </w:p>
        </w:tc>
        <w:tc>
          <w:tcPr>
            <w:tcW w:w="524" w:type="pct"/>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8.4</w:t>
            </w:r>
          </w:p>
        </w:tc>
      </w:tr>
      <w:tr w:rsidR="00752B4C">
        <w:trPr>
          <w:trHeight w:val="240"/>
        </w:trPr>
        <w:tc>
          <w:tcPr>
            <w:tcW w:w="377"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CV%</w:t>
            </w:r>
          </w:p>
        </w:tc>
        <w:tc>
          <w:tcPr>
            <w:tcW w:w="270"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49.5</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46.4</w:t>
            </w:r>
          </w:p>
        </w:tc>
        <w:tc>
          <w:tcPr>
            <w:tcW w:w="48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51.7</w:t>
            </w:r>
          </w:p>
        </w:tc>
        <w:tc>
          <w:tcPr>
            <w:tcW w:w="432"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52.2</w:t>
            </w:r>
          </w:p>
        </w:tc>
        <w:tc>
          <w:tcPr>
            <w:tcW w:w="32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54.8</w:t>
            </w:r>
          </w:p>
        </w:tc>
        <w:tc>
          <w:tcPr>
            <w:tcW w:w="377"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33.9</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25.9</w:t>
            </w:r>
          </w:p>
        </w:tc>
        <w:tc>
          <w:tcPr>
            <w:tcW w:w="323"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23.6</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87.8</w:t>
            </w:r>
          </w:p>
        </w:tc>
        <w:tc>
          <w:tcPr>
            <w:tcW w:w="524" w:type="pct"/>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74.6</w:t>
            </w:r>
          </w:p>
        </w:tc>
      </w:tr>
      <w:tr w:rsidR="00752B4C">
        <w:trPr>
          <w:trHeight w:val="240"/>
        </w:trPr>
        <w:tc>
          <w:tcPr>
            <w:tcW w:w="377"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324" w:type="pct"/>
            <w:vMerge/>
            <w:vAlign w:val="center"/>
          </w:tcPr>
          <w:p w:rsidR="00752B4C" w:rsidRDefault="00752B4C" w:rsidP="009D4819">
            <w:pPr>
              <w:spacing w:line="360" w:lineRule="auto"/>
              <w:jc w:val="center"/>
              <w:rPr>
                <w:rFonts w:ascii="Times New Roman" w:eastAsia="SimSun" w:hAnsi="Times New Roman" w:cs="Times New Roman"/>
                <w:szCs w:val="21"/>
              </w:rPr>
            </w:pPr>
          </w:p>
        </w:tc>
        <w:tc>
          <w:tcPr>
            <w:tcW w:w="431"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Geomean</w:t>
            </w:r>
          </w:p>
        </w:tc>
        <w:tc>
          <w:tcPr>
            <w:tcW w:w="270"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52.8</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175</w:t>
            </w:r>
          </w:p>
        </w:tc>
        <w:tc>
          <w:tcPr>
            <w:tcW w:w="48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25 405</w:t>
            </w:r>
          </w:p>
        </w:tc>
        <w:tc>
          <w:tcPr>
            <w:tcW w:w="432"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30 216</w:t>
            </w:r>
          </w:p>
        </w:tc>
        <w:tc>
          <w:tcPr>
            <w:tcW w:w="32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8.89</w:t>
            </w:r>
          </w:p>
        </w:tc>
        <w:tc>
          <w:tcPr>
            <w:tcW w:w="377"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0.00994</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69.7</w:t>
            </w:r>
          </w:p>
        </w:tc>
        <w:tc>
          <w:tcPr>
            <w:tcW w:w="323"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130</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266</w:t>
            </w:r>
          </w:p>
        </w:tc>
        <w:tc>
          <w:tcPr>
            <w:tcW w:w="524" w:type="pct"/>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2.65</w:t>
            </w:r>
          </w:p>
        </w:tc>
      </w:tr>
      <w:tr w:rsidR="00752B4C">
        <w:trPr>
          <w:trHeight w:val="240"/>
        </w:trPr>
        <w:tc>
          <w:tcPr>
            <w:tcW w:w="377" w:type="pct"/>
            <w:vMerge/>
            <w:vAlign w:val="center"/>
          </w:tcPr>
          <w:p w:rsidR="00752B4C" w:rsidRPr="009D4819" w:rsidRDefault="00752B4C" w:rsidP="009D4819">
            <w:pPr>
              <w:spacing w:line="360" w:lineRule="auto"/>
              <w:jc w:val="center"/>
              <w:rPr>
                <w:rFonts w:ascii="Times New Roman" w:eastAsia="SimSun" w:hAnsi="Times New Roman" w:cs="Times New Roman"/>
                <w:sz w:val="24"/>
                <w:szCs w:val="24"/>
              </w:rPr>
            </w:pPr>
          </w:p>
        </w:tc>
        <w:tc>
          <w:tcPr>
            <w:tcW w:w="324" w:type="pct"/>
            <w:vMerge/>
            <w:vAlign w:val="center"/>
          </w:tcPr>
          <w:p w:rsidR="00752B4C" w:rsidRPr="009D4819" w:rsidRDefault="00752B4C" w:rsidP="009D4819">
            <w:pPr>
              <w:spacing w:line="360" w:lineRule="auto"/>
              <w:jc w:val="center"/>
              <w:rPr>
                <w:rFonts w:ascii="Times New Roman" w:eastAsia="SimSun" w:hAnsi="Times New Roman" w:cs="Times New Roman"/>
                <w:sz w:val="24"/>
                <w:szCs w:val="24"/>
              </w:rPr>
            </w:pPr>
          </w:p>
        </w:tc>
        <w:tc>
          <w:tcPr>
            <w:tcW w:w="431"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CV% Geomean</w:t>
            </w:r>
          </w:p>
        </w:tc>
        <w:tc>
          <w:tcPr>
            <w:tcW w:w="270"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Pr>
                <w:rFonts w:ascii="Times New Roman" w:eastAsia="SimSun" w:hAnsi="Times New Roman" w:cs="Times New Roman"/>
                <w:szCs w:val="21"/>
              </w:rPr>
              <w:t>51.7</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57.3</w:t>
            </w:r>
          </w:p>
        </w:tc>
        <w:tc>
          <w:tcPr>
            <w:tcW w:w="48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66.6</w:t>
            </w:r>
          </w:p>
        </w:tc>
        <w:tc>
          <w:tcPr>
            <w:tcW w:w="432"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70.4</w:t>
            </w:r>
          </w:p>
        </w:tc>
        <w:tc>
          <w:tcPr>
            <w:tcW w:w="324"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100</w:t>
            </w:r>
          </w:p>
        </w:tc>
        <w:tc>
          <w:tcPr>
            <w:tcW w:w="377"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30.1</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30.1</w:t>
            </w:r>
          </w:p>
        </w:tc>
        <w:tc>
          <w:tcPr>
            <w:tcW w:w="323"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25.9</w:t>
            </w:r>
          </w:p>
        </w:tc>
        <w:tc>
          <w:tcPr>
            <w:tcW w:w="378" w:type="pct"/>
            <w:shd w:val="clear" w:color="auto" w:fill="auto"/>
            <w:tcMar>
              <w:top w:w="15" w:type="dxa"/>
              <w:left w:w="83" w:type="dxa"/>
              <w:bottom w:w="0" w:type="dxa"/>
              <w:right w:w="83" w:type="dxa"/>
            </w:tcMar>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77.3</w:t>
            </w:r>
          </w:p>
        </w:tc>
        <w:tc>
          <w:tcPr>
            <w:tcW w:w="524" w:type="pct"/>
            <w:vAlign w:val="center"/>
          </w:tcPr>
          <w:p w:rsidR="00752B4C" w:rsidRDefault="00CE7014" w:rsidP="009D4819">
            <w:pPr>
              <w:spacing w:line="360" w:lineRule="auto"/>
              <w:jc w:val="center"/>
              <w:rPr>
                <w:rFonts w:ascii="Times New Roman" w:eastAsia="SimSun" w:hAnsi="Times New Roman" w:cs="Times New Roman"/>
                <w:szCs w:val="21"/>
              </w:rPr>
            </w:pPr>
            <w:r w:rsidRPr="009D4819">
              <w:rPr>
                <w:rFonts w:ascii="Times New Roman" w:hAnsi="Times New Roman" w:cs="Times New Roman"/>
                <w:color w:val="000000"/>
                <w:szCs w:val="21"/>
              </w:rPr>
              <w:t>70.4</w:t>
            </w:r>
          </w:p>
        </w:tc>
      </w:tr>
    </w:tbl>
    <w:p w:rsidR="00752B4C" w:rsidRPr="009D4819" w:rsidRDefault="00752B4C" w:rsidP="009D4819">
      <w:pPr>
        <w:spacing w:line="360" w:lineRule="auto"/>
        <w:jc w:val="left"/>
        <w:rPr>
          <w:rFonts w:ascii="Times New Roman" w:hAnsi="Times New Roman" w:cs="Times New Roman"/>
          <w:sz w:val="24"/>
          <w:szCs w:val="24"/>
        </w:rPr>
      </w:pPr>
    </w:p>
    <w:p w:rsidR="00752B4C" w:rsidRPr="009D4819" w:rsidRDefault="00752B4C" w:rsidP="009D4819">
      <w:pPr>
        <w:spacing w:line="360" w:lineRule="auto"/>
        <w:jc w:val="left"/>
        <w:rPr>
          <w:rFonts w:ascii="Times New Roman" w:hAnsi="Times New Roman" w:cs="Times New Roman"/>
          <w:sz w:val="24"/>
          <w:szCs w:val="24"/>
        </w:rPr>
      </w:pPr>
    </w:p>
    <w:p w:rsidR="00752B4C" w:rsidRDefault="00752B4C" w:rsidP="009D4819">
      <w:pPr>
        <w:spacing w:line="360" w:lineRule="auto"/>
        <w:jc w:val="left"/>
        <w:rPr>
          <w:rFonts w:ascii="Times New Roman" w:eastAsia="DengXian" w:hAnsi="Times New Roman" w:cs="Times New Roman"/>
          <w:b/>
          <w:bCs/>
          <w:sz w:val="24"/>
          <w:szCs w:val="24"/>
        </w:rPr>
        <w:sectPr w:rsidR="00752B4C">
          <w:pgSz w:w="15840" w:h="12240" w:orient="landscape"/>
          <w:pgMar w:top="1440" w:right="1440" w:bottom="1440" w:left="1440" w:header="720" w:footer="720" w:gutter="0"/>
          <w:cols w:space="720"/>
          <w:docGrid w:linePitch="360"/>
        </w:sectPr>
      </w:pPr>
    </w:p>
    <w:p w:rsidR="00752B4C" w:rsidRPr="009D4819" w:rsidRDefault="00CE7014" w:rsidP="009D4819">
      <w:pPr>
        <w:spacing w:line="360" w:lineRule="auto"/>
        <w:jc w:val="left"/>
        <w:rPr>
          <w:rFonts w:ascii="Times New Roman" w:eastAsia="DengXian" w:hAnsi="Times New Roman" w:cs="Times New Roman"/>
          <w:b/>
          <w:bCs/>
          <w:sz w:val="24"/>
          <w:szCs w:val="24"/>
        </w:rPr>
      </w:pPr>
      <w:r w:rsidRPr="009D4819">
        <w:rPr>
          <w:rFonts w:ascii="Times New Roman" w:eastAsia="DengXian" w:hAnsi="Times New Roman" w:cs="Times New Roman"/>
          <w:b/>
          <w:bCs/>
          <w:sz w:val="24"/>
          <w:szCs w:val="24"/>
        </w:rPr>
        <w:t>Safety data for clinical phase IIa dialysis patients</w:t>
      </w:r>
    </w:p>
    <w:p w:rsidR="00752B4C" w:rsidRPr="009D4819" w:rsidRDefault="00CE7014" w:rsidP="009D4819">
      <w:pPr>
        <w:spacing w:line="360" w:lineRule="auto"/>
        <w:rPr>
          <w:rFonts w:ascii="Times New Roman" w:eastAsia="DengXian" w:hAnsi="Times New Roman" w:cs="Times New Roman"/>
          <w:sz w:val="24"/>
          <w:szCs w:val="24"/>
        </w:rPr>
      </w:pPr>
      <w:r w:rsidRPr="009D4819">
        <w:rPr>
          <w:rFonts w:ascii="Times New Roman" w:eastAsia="DengXian" w:hAnsi="Times New Roman" w:cs="Times New Roman"/>
          <w:sz w:val="24"/>
          <w:szCs w:val="24"/>
        </w:rPr>
        <w:t>Out of the 62 subjects eligible for the Safety Analysis Subgroup (SAS), 39 (62.9%) reported a total of 114 adverse events (AEs). The incidence of AEs in the 0.025 mg/kg, 0.05 mg/kg, and 0.08 m</w:t>
      </w:r>
      <w:r w:rsidRPr="009D4819">
        <w:rPr>
          <w:rFonts w:ascii="Times New Roman" w:eastAsia="DengXian" w:hAnsi="Times New Roman" w:cs="Times New Roman"/>
          <w:sz w:val="24"/>
          <w:szCs w:val="24"/>
        </w:rPr>
        <w:t>g/kg dosage groups was 80.0% (16/20), 54.5% (12/22), and 52.6% (10/19), respectively. Note that one subject in the 0.08 mg/kg group was incorrectly assigned a starting dose of 0.06 mg/kg and was thus analyzed separately in the safety analysis.</w:t>
      </w:r>
    </w:p>
    <w:p w:rsidR="00752B4C" w:rsidRPr="009D4819" w:rsidRDefault="00CE7014" w:rsidP="009D4819">
      <w:pPr>
        <w:spacing w:line="360" w:lineRule="auto"/>
        <w:rPr>
          <w:rFonts w:ascii="Times New Roman" w:eastAsia="DengXian" w:hAnsi="Times New Roman" w:cs="Times New Roman"/>
          <w:sz w:val="24"/>
          <w:szCs w:val="24"/>
        </w:rPr>
      </w:pPr>
      <w:r w:rsidRPr="009D4819">
        <w:rPr>
          <w:rFonts w:ascii="Times New Roman" w:eastAsia="DengXian" w:hAnsi="Times New Roman" w:cs="Times New Roman"/>
          <w:sz w:val="24"/>
          <w:szCs w:val="24"/>
        </w:rPr>
        <w:t>The most com</w:t>
      </w:r>
      <w:r w:rsidRPr="009D4819">
        <w:rPr>
          <w:rFonts w:ascii="Times New Roman" w:eastAsia="DengXian" w:hAnsi="Times New Roman" w:cs="Times New Roman"/>
          <w:sz w:val="24"/>
          <w:szCs w:val="24"/>
        </w:rPr>
        <w:t>mon AE across all dose groups was upper respiratory tract infection, occurring in 12.9% (8/62) of subjects, followed by elevated blood pressure in 8.1% (5/62). Other notable AEs included alanine aminotransferase elevation (6.5%, 4/62), aspartate aminotrans</w:t>
      </w:r>
      <w:r w:rsidRPr="009D4819">
        <w:rPr>
          <w:rFonts w:ascii="Times New Roman" w:eastAsia="DengXian" w:hAnsi="Times New Roman" w:cs="Times New Roman"/>
          <w:sz w:val="24"/>
          <w:szCs w:val="24"/>
        </w:rPr>
        <w:t>ferase elevation (6.5%, 4/62), gamma-glutamyltransferase elevation (6.5%, 4/62), platelet count reduction (6.5%, 4/62), and cough (4.8%, 3/62).</w:t>
      </w:r>
    </w:p>
    <w:p w:rsidR="00752B4C" w:rsidRPr="009D4819" w:rsidRDefault="00CE7014" w:rsidP="009D4819">
      <w:pPr>
        <w:spacing w:line="360" w:lineRule="auto"/>
        <w:rPr>
          <w:rFonts w:ascii="Times New Roman" w:eastAsia="DengXian" w:hAnsi="Times New Roman" w:cs="Times New Roman"/>
          <w:sz w:val="24"/>
          <w:szCs w:val="24"/>
        </w:rPr>
      </w:pPr>
      <w:r w:rsidRPr="009D4819">
        <w:rPr>
          <w:rFonts w:ascii="Times New Roman" w:eastAsia="DengXian" w:hAnsi="Times New Roman" w:cs="Times New Roman"/>
          <w:sz w:val="24"/>
          <w:szCs w:val="24"/>
        </w:rPr>
        <w:t xml:space="preserve">Fifteen AEs in nine subjects were judged by investigators to be possibly related to the study drug, mostly mild </w:t>
      </w:r>
      <w:r w:rsidRPr="009D4819">
        <w:rPr>
          <w:rFonts w:ascii="Times New Roman" w:eastAsia="DengXian" w:hAnsi="Times New Roman" w:cs="Times New Roman"/>
          <w:sz w:val="24"/>
          <w:szCs w:val="24"/>
        </w:rPr>
        <w:t>to moderate in severity. These included alanine aminotransferase increase (3.2%, 2/62), aspartate aminotransferase increase (3.2%, 2/62), increased blood pressure (3.2%, 2/62), hypertension (1.6%, 1/62), gamma-glutamyltransferase increase (1.6%, 1/62), ele</w:t>
      </w:r>
      <w:r w:rsidRPr="009D4819">
        <w:rPr>
          <w:rFonts w:ascii="Times New Roman" w:eastAsia="DengXian" w:hAnsi="Times New Roman" w:cs="Times New Roman"/>
          <w:sz w:val="24"/>
          <w:szCs w:val="24"/>
        </w:rPr>
        <w:t>ctrocardiogram ST-T segment changes (1.6%, 1/62), elevated blood lactate dehydrogenase (1.6%, 1/62), increased liver enzymes (1.6%, 1/62), hypertriglyceridemia (1.6%, 1/62), hyperkalemia (1.6%, 1/62), atopic dermatitis (1.6%, 1/62), and glaucoma (1.6%, 1/6</w:t>
      </w:r>
      <w:r w:rsidRPr="009D4819">
        <w:rPr>
          <w:rFonts w:ascii="Times New Roman" w:eastAsia="DengXian" w:hAnsi="Times New Roman" w:cs="Times New Roman"/>
          <w:sz w:val="24"/>
          <w:szCs w:val="24"/>
        </w:rPr>
        <w:t>2).</w:t>
      </w:r>
    </w:p>
    <w:p w:rsidR="00752B4C" w:rsidRDefault="00CE7014" w:rsidP="009D4819">
      <w:pPr>
        <w:spacing w:line="360" w:lineRule="auto"/>
        <w:rPr>
          <w:rFonts w:ascii="Times New Roman" w:eastAsia="DengXian" w:hAnsi="Times New Roman" w:cs="Times New Roman"/>
          <w:sz w:val="24"/>
          <w:szCs w:val="24"/>
        </w:rPr>
      </w:pPr>
      <w:r w:rsidRPr="009D4819">
        <w:rPr>
          <w:rFonts w:ascii="Times New Roman" w:eastAsia="DengXian" w:hAnsi="Times New Roman" w:cs="Times New Roman"/>
          <w:sz w:val="24"/>
          <w:szCs w:val="24"/>
        </w:rPr>
        <w:t>During the study, there were nine instances of serious adverse events (SAEs) reported in eight subjects, representing an incidence of 12.9%. Three of these SAEs were deemed possibly related to the study drug: increased liver enzymes, elevated blood pre</w:t>
      </w:r>
      <w:r w:rsidRPr="009D4819">
        <w:rPr>
          <w:rFonts w:ascii="Times New Roman" w:eastAsia="DengXian" w:hAnsi="Times New Roman" w:cs="Times New Roman"/>
          <w:sz w:val="24"/>
          <w:szCs w:val="24"/>
        </w:rPr>
        <w:t>ssure, and glaucoma. The remaining SAEs were categorized as possibly unrelated or definitely unrelated, including one case each of congestive heart failure and left femoral neck fracture (possibly unrelated), and two cases of pulmonary infection, and one c</w:t>
      </w:r>
      <w:r w:rsidRPr="009D4819">
        <w:rPr>
          <w:rFonts w:ascii="Times New Roman" w:eastAsia="DengXian" w:hAnsi="Times New Roman" w:cs="Times New Roman"/>
          <w:sz w:val="24"/>
          <w:szCs w:val="24"/>
        </w:rPr>
        <w:t>ase each of upper respiratory tract infection and severe anemia (definitely unrelated).</w:t>
      </w:r>
    </w:p>
    <w:p w:rsidR="00752B4C" w:rsidRPr="009D4819" w:rsidRDefault="00752B4C" w:rsidP="009D4819">
      <w:pPr>
        <w:spacing w:line="360" w:lineRule="auto"/>
        <w:jc w:val="left"/>
        <w:rPr>
          <w:rFonts w:ascii="Times New Roman" w:eastAsia="DengXian" w:hAnsi="Times New Roman" w:cs="Times New Roman"/>
          <w:sz w:val="24"/>
          <w:szCs w:val="24"/>
        </w:rPr>
      </w:pPr>
    </w:p>
    <w:p w:rsidR="00752B4C" w:rsidRPr="009D4819" w:rsidRDefault="00CE7014" w:rsidP="009D4819">
      <w:pPr>
        <w:spacing w:line="360" w:lineRule="auto"/>
        <w:jc w:val="left"/>
        <w:rPr>
          <w:rFonts w:ascii="Times New Roman" w:eastAsia="DengXian" w:hAnsi="Times New Roman" w:cs="Times New Roman"/>
          <w:b/>
          <w:bCs/>
          <w:sz w:val="24"/>
          <w:szCs w:val="24"/>
        </w:rPr>
      </w:pPr>
      <w:r w:rsidRPr="009D4819">
        <w:rPr>
          <w:rFonts w:ascii="Times New Roman" w:eastAsia="DengXian" w:hAnsi="Times New Roman" w:cs="Times New Roman"/>
          <w:b/>
          <w:bCs/>
          <w:sz w:val="24"/>
          <w:szCs w:val="24"/>
        </w:rPr>
        <w:t>Supplementary</w:t>
      </w:r>
      <w:bookmarkStart w:id="0" w:name="_GoBack"/>
      <w:bookmarkEnd w:id="0"/>
      <w:r w:rsidRPr="009D4819">
        <w:rPr>
          <w:rFonts w:ascii="Times New Roman" w:eastAsia="DengXian" w:hAnsi="Times New Roman" w:cs="Times New Roman"/>
          <w:b/>
          <w:bCs/>
          <w:sz w:val="24"/>
          <w:szCs w:val="24"/>
        </w:rPr>
        <w:t xml:space="preserve"> Table 6A.</w:t>
      </w:r>
      <w:r w:rsidRPr="009D4819">
        <w:rPr>
          <w:rFonts w:ascii="Times New Roman" w:eastAsia="DengXian" w:hAnsi="Times New Roman" w:cs="Times New Roman"/>
          <w:b/>
          <w:bCs/>
          <w:sz w:val="24"/>
          <w:szCs w:val="24"/>
        </w:rPr>
        <w:t xml:space="preserve"> Clinical phase IIa dialysis patients Safety data</w:t>
      </w:r>
    </w:p>
    <w:tbl>
      <w:tblPr>
        <w:tblStyle w:val="TableGrid"/>
        <w:tblW w:w="0" w:type="auto"/>
        <w:tblInd w:w="0" w:type="dxa"/>
        <w:tblCellMar>
          <w:top w:w="0" w:type="dxa"/>
          <w:left w:w="108" w:type="dxa"/>
          <w:bottom w:w="0" w:type="dxa"/>
          <w:right w:w="108" w:type="dxa"/>
        </w:tblCellMar>
        <w:tblLook w:val="04A0" w:firstRow="1" w:lastRow="0" w:firstColumn="1" w:lastColumn="0" w:noHBand="0" w:noVBand="1"/>
      </w:tblPr>
      <w:tblGrid>
        <w:gridCol w:w="2830"/>
        <w:gridCol w:w="3403"/>
        <w:gridCol w:w="2834"/>
      </w:tblGrid>
      <w:tr w:rsidR="00752B4C">
        <w:tc>
          <w:tcPr>
            <w:tcW w:w="2830"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Data Set</w:t>
            </w:r>
          </w:p>
        </w:tc>
        <w:tc>
          <w:tcPr>
            <w:tcW w:w="3403"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Group</w:t>
            </w:r>
          </w:p>
        </w:tc>
        <w:tc>
          <w:tcPr>
            <w:tcW w:w="2834"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AE incidence rate</w:t>
            </w:r>
          </w:p>
        </w:tc>
      </w:tr>
      <w:tr w:rsidR="00752B4C">
        <w:tc>
          <w:tcPr>
            <w:tcW w:w="2830" w:type="dxa"/>
            <w:vMerge w:val="restart"/>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SAS</w:t>
            </w:r>
          </w:p>
        </w:tc>
        <w:tc>
          <w:tcPr>
            <w:tcW w:w="3403"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0.025mg/kg</w:t>
            </w:r>
          </w:p>
        </w:tc>
        <w:tc>
          <w:tcPr>
            <w:tcW w:w="2834"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80.0% (16/20)</w:t>
            </w:r>
          </w:p>
        </w:tc>
      </w:tr>
      <w:tr w:rsidR="00752B4C">
        <w:tc>
          <w:tcPr>
            <w:tcW w:w="2830" w:type="dxa"/>
            <w:vMerge/>
            <w:vAlign w:val="center"/>
          </w:tcPr>
          <w:p w:rsidR="00752B4C" w:rsidRPr="009D4819" w:rsidRDefault="00752B4C" w:rsidP="009D4819">
            <w:pPr>
              <w:spacing w:line="360" w:lineRule="auto"/>
              <w:jc w:val="center"/>
              <w:rPr>
                <w:rFonts w:ascii="Times New Roman" w:eastAsia="DengXian" w:hAnsi="Times New Roman" w:cs="Times New Roman"/>
                <w:szCs w:val="21"/>
              </w:rPr>
            </w:pPr>
          </w:p>
        </w:tc>
        <w:tc>
          <w:tcPr>
            <w:tcW w:w="3403"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0.05mg/kg</w:t>
            </w:r>
          </w:p>
        </w:tc>
        <w:tc>
          <w:tcPr>
            <w:tcW w:w="2834"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 xml:space="preserve">54.5% </w:t>
            </w:r>
            <w:r w:rsidRPr="009D4819">
              <w:rPr>
                <w:rFonts w:ascii="Times New Roman" w:eastAsia="DengXian" w:hAnsi="Times New Roman" w:cs="Times New Roman"/>
                <w:szCs w:val="21"/>
              </w:rPr>
              <w:t>(12/22)</w:t>
            </w:r>
          </w:p>
        </w:tc>
      </w:tr>
      <w:tr w:rsidR="00752B4C">
        <w:tc>
          <w:tcPr>
            <w:tcW w:w="2830" w:type="dxa"/>
            <w:vMerge/>
            <w:vAlign w:val="center"/>
          </w:tcPr>
          <w:p w:rsidR="00752B4C" w:rsidRPr="009D4819" w:rsidRDefault="00752B4C" w:rsidP="009D4819">
            <w:pPr>
              <w:spacing w:line="360" w:lineRule="auto"/>
              <w:jc w:val="center"/>
              <w:rPr>
                <w:rFonts w:ascii="Times New Roman" w:eastAsia="DengXian" w:hAnsi="Times New Roman" w:cs="Times New Roman"/>
                <w:szCs w:val="21"/>
              </w:rPr>
            </w:pPr>
          </w:p>
        </w:tc>
        <w:tc>
          <w:tcPr>
            <w:tcW w:w="3403"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0.08 mg/kg</w:t>
            </w:r>
          </w:p>
        </w:tc>
        <w:tc>
          <w:tcPr>
            <w:tcW w:w="2834"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52.6% (10/19)</w:t>
            </w:r>
          </w:p>
        </w:tc>
      </w:tr>
      <w:tr w:rsidR="00752B4C">
        <w:tc>
          <w:tcPr>
            <w:tcW w:w="2830" w:type="dxa"/>
            <w:vMerge/>
            <w:vAlign w:val="center"/>
          </w:tcPr>
          <w:p w:rsidR="00752B4C" w:rsidRPr="009D4819" w:rsidRDefault="00752B4C" w:rsidP="009D4819">
            <w:pPr>
              <w:spacing w:line="360" w:lineRule="auto"/>
              <w:jc w:val="center"/>
              <w:rPr>
                <w:rFonts w:ascii="Times New Roman" w:eastAsia="DengXian" w:hAnsi="Times New Roman" w:cs="Times New Roman"/>
                <w:szCs w:val="21"/>
              </w:rPr>
            </w:pPr>
          </w:p>
        </w:tc>
        <w:tc>
          <w:tcPr>
            <w:tcW w:w="3403"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Total</w:t>
            </w:r>
          </w:p>
        </w:tc>
        <w:tc>
          <w:tcPr>
            <w:tcW w:w="2834"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62.9% (39/62)</w:t>
            </w:r>
          </w:p>
        </w:tc>
      </w:tr>
    </w:tbl>
    <w:p w:rsidR="00752B4C" w:rsidRPr="009D4819" w:rsidRDefault="00752B4C" w:rsidP="009D4819">
      <w:pPr>
        <w:spacing w:line="360" w:lineRule="auto"/>
        <w:jc w:val="left"/>
        <w:rPr>
          <w:rFonts w:ascii="Times New Roman" w:eastAsia="DengXian" w:hAnsi="Times New Roman" w:cs="Times New Roman"/>
          <w:szCs w:val="21"/>
        </w:rPr>
      </w:pPr>
    </w:p>
    <w:p w:rsidR="00752B4C" w:rsidRPr="009D4819" w:rsidRDefault="00CE7014" w:rsidP="009D4819">
      <w:pPr>
        <w:spacing w:line="360" w:lineRule="auto"/>
        <w:jc w:val="left"/>
        <w:rPr>
          <w:rFonts w:ascii="Times New Roman" w:eastAsia="DengXian" w:hAnsi="Times New Roman" w:cs="Times New Roman"/>
          <w:b/>
          <w:bCs/>
          <w:sz w:val="24"/>
          <w:szCs w:val="24"/>
        </w:rPr>
      </w:pPr>
      <w:r w:rsidRPr="009D4819">
        <w:rPr>
          <w:rFonts w:ascii="Times New Roman" w:eastAsia="DengXian" w:hAnsi="Times New Roman" w:cs="Times New Roman"/>
          <w:b/>
          <w:bCs/>
          <w:sz w:val="24"/>
          <w:szCs w:val="24"/>
        </w:rPr>
        <w:t>Safety data for clinical phase IIb non-dialysis patients</w:t>
      </w:r>
    </w:p>
    <w:p w:rsidR="00752B4C" w:rsidRPr="009D4819" w:rsidRDefault="00CE7014" w:rsidP="009D4819">
      <w:pPr>
        <w:spacing w:line="360" w:lineRule="auto"/>
        <w:rPr>
          <w:rFonts w:ascii="Times New Roman" w:eastAsia="DengXian" w:hAnsi="Times New Roman" w:cs="Times New Roman"/>
          <w:sz w:val="24"/>
          <w:szCs w:val="24"/>
        </w:rPr>
      </w:pPr>
      <w:r w:rsidRPr="009D4819">
        <w:rPr>
          <w:rFonts w:ascii="Times New Roman" w:eastAsia="DengXian" w:hAnsi="Times New Roman" w:cs="Times New Roman"/>
          <w:sz w:val="24"/>
          <w:szCs w:val="24"/>
        </w:rPr>
        <w:t xml:space="preserve">Out of the 62 subjects in the safety population, 45 (72.6%) reported a total of 102 adverse events (AEs). The incidence of AEs was 71.4% </w:t>
      </w:r>
      <w:r w:rsidRPr="009D4819">
        <w:rPr>
          <w:rFonts w:ascii="Times New Roman" w:eastAsia="DengXian" w:hAnsi="Times New Roman" w:cs="Times New Roman"/>
          <w:sz w:val="24"/>
          <w:szCs w:val="24"/>
        </w:rPr>
        <w:t>(15/21), 81.0% (17/21), and 65% (13/20) in the 0.025 mg/kg, 0.05 mg/kg, and 0.08 mg/kg dose groups, respectively. Common AEs across all groups included elevated blood pressure, positive urine leukocytes, hyperuricemia, and upper respiratory tract infection</w:t>
      </w:r>
      <w:r w:rsidRPr="009D4819">
        <w:rPr>
          <w:rFonts w:ascii="Times New Roman" w:eastAsia="DengXian" w:hAnsi="Times New Roman" w:cs="Times New Roman"/>
          <w:sz w:val="24"/>
          <w:szCs w:val="24"/>
        </w:rPr>
        <w:t>, each occurring in 6.5% (4/62) of subjects.</w:t>
      </w:r>
    </w:p>
    <w:p w:rsidR="00752B4C" w:rsidRPr="009D4819" w:rsidRDefault="00CE7014" w:rsidP="009D4819">
      <w:pPr>
        <w:spacing w:line="360" w:lineRule="auto"/>
        <w:rPr>
          <w:rFonts w:ascii="Times New Roman" w:eastAsia="DengXian" w:hAnsi="Times New Roman" w:cs="Times New Roman"/>
          <w:sz w:val="24"/>
          <w:szCs w:val="24"/>
        </w:rPr>
      </w:pPr>
      <w:r w:rsidRPr="009D4819">
        <w:rPr>
          <w:rFonts w:ascii="Times New Roman" w:eastAsia="DengXian" w:hAnsi="Times New Roman" w:cs="Times New Roman"/>
          <w:sz w:val="24"/>
          <w:szCs w:val="24"/>
        </w:rPr>
        <w:t>Elevated blood pressure, a known adverse effect of erythropoietin analogs, had incidences of 4.8% (1/21), 9.5% (2/21), and 5.0% (1/20) in the respective dose groups, all judged possibly related to the study drug</w:t>
      </w:r>
      <w:r w:rsidRPr="009D4819">
        <w:rPr>
          <w:rFonts w:ascii="Times New Roman" w:eastAsia="DengXian" w:hAnsi="Times New Roman" w:cs="Times New Roman"/>
          <w:sz w:val="24"/>
          <w:szCs w:val="24"/>
        </w:rPr>
        <w:t>. Other AEs like urine leukocyte positivity, hyperuricemia, and upper respiratory tract infections were considered unrelated or possibly related to the subjects' underlying conditions. Additional common AEs included malaise (4.8%, 3/62), back pain, arthral</w:t>
      </w:r>
      <w:r w:rsidRPr="009D4819">
        <w:rPr>
          <w:rFonts w:ascii="Times New Roman" w:eastAsia="DengXian" w:hAnsi="Times New Roman" w:cs="Times New Roman"/>
          <w:sz w:val="24"/>
          <w:szCs w:val="24"/>
        </w:rPr>
        <w:t>gia, electrocardiogram T-wave changes, elevated blood creatinine, hyperkalemia, chills, nasopharyngitis, and chest discomfort, each with an incidence of 3.2% (2/62).</w:t>
      </w:r>
    </w:p>
    <w:p w:rsidR="00752B4C" w:rsidRPr="009D4819" w:rsidRDefault="00CE7014" w:rsidP="009D4819">
      <w:pPr>
        <w:spacing w:line="360" w:lineRule="auto"/>
        <w:rPr>
          <w:rFonts w:ascii="Times New Roman" w:eastAsia="DengXian" w:hAnsi="Times New Roman" w:cs="Times New Roman"/>
          <w:sz w:val="24"/>
          <w:szCs w:val="24"/>
        </w:rPr>
      </w:pPr>
      <w:r w:rsidRPr="009D4819">
        <w:rPr>
          <w:rFonts w:ascii="Times New Roman" w:eastAsia="DengXian" w:hAnsi="Times New Roman" w:cs="Times New Roman"/>
          <w:sz w:val="24"/>
          <w:szCs w:val="24"/>
        </w:rPr>
        <w:t xml:space="preserve">Six subjects experienced 13 AEs judged possibly related to the study drug, primarily mild </w:t>
      </w:r>
      <w:r w:rsidRPr="009D4819">
        <w:rPr>
          <w:rFonts w:ascii="Times New Roman" w:eastAsia="DengXian" w:hAnsi="Times New Roman" w:cs="Times New Roman"/>
          <w:sz w:val="24"/>
          <w:szCs w:val="24"/>
        </w:rPr>
        <w:t>to moderate, such as elevated blood pressure (6.5%, 4/62), back pain (1.6%, 1/62), electrocardiographic T-wave changes (1.6%, 1/62), and chest tightness (1.6%, 1/62), attributed to pharmacologic mechanisms related to blood pressure elevation.</w:t>
      </w:r>
    </w:p>
    <w:p w:rsidR="00752B4C" w:rsidRDefault="00CE7014" w:rsidP="009D4819">
      <w:pPr>
        <w:spacing w:line="360" w:lineRule="auto"/>
        <w:rPr>
          <w:rFonts w:ascii="Times New Roman" w:eastAsia="DengXian" w:hAnsi="Times New Roman" w:cs="Times New Roman"/>
          <w:sz w:val="24"/>
          <w:szCs w:val="24"/>
        </w:rPr>
      </w:pPr>
      <w:r w:rsidRPr="009D4819">
        <w:rPr>
          <w:rFonts w:ascii="Times New Roman" w:eastAsia="DengXian" w:hAnsi="Times New Roman" w:cs="Times New Roman"/>
          <w:sz w:val="24"/>
          <w:szCs w:val="24"/>
        </w:rPr>
        <w:t>Eight seconda</w:t>
      </w:r>
      <w:r w:rsidRPr="009D4819">
        <w:rPr>
          <w:rFonts w:ascii="Times New Roman" w:eastAsia="DengXian" w:hAnsi="Times New Roman" w:cs="Times New Roman"/>
          <w:sz w:val="24"/>
          <w:szCs w:val="24"/>
        </w:rPr>
        <w:t>ry serious adverse events occurred in 8 subjects, with an incidence rate of 12.9% (8/62). These events included one case each of sudden death (probably unrelated), zoster, uremia, incarcerated right hiatal hernia, chronic renal failure, duodenal bulbous ul</w:t>
      </w:r>
      <w:r w:rsidRPr="009D4819">
        <w:rPr>
          <w:rFonts w:ascii="Times New Roman" w:eastAsia="DengXian" w:hAnsi="Times New Roman" w:cs="Times New Roman"/>
          <w:sz w:val="24"/>
          <w:szCs w:val="24"/>
        </w:rPr>
        <w:t>cer with hemorrhage, acute gastroenteritis, and bilateral pneumonitis (type I respiratory failure), all determined to be unrelated or possibly related to the study.</w:t>
      </w:r>
    </w:p>
    <w:p w:rsidR="00752B4C" w:rsidRPr="009D4819" w:rsidRDefault="00752B4C" w:rsidP="009D4819">
      <w:pPr>
        <w:spacing w:line="360" w:lineRule="auto"/>
        <w:rPr>
          <w:rFonts w:ascii="Times New Roman" w:eastAsia="DengXian" w:hAnsi="Times New Roman" w:cs="Times New Roman"/>
          <w:b/>
          <w:bCs/>
          <w:sz w:val="24"/>
          <w:szCs w:val="24"/>
        </w:rPr>
      </w:pPr>
    </w:p>
    <w:p w:rsidR="00752B4C" w:rsidRPr="009D4819" w:rsidRDefault="003942C9" w:rsidP="009D4819">
      <w:pPr>
        <w:spacing w:line="360" w:lineRule="auto"/>
        <w:jc w:val="left"/>
        <w:rPr>
          <w:rFonts w:ascii="Times New Roman" w:eastAsia="DengXian" w:hAnsi="Times New Roman" w:cs="Times New Roman"/>
          <w:b/>
          <w:bCs/>
          <w:sz w:val="24"/>
          <w:szCs w:val="24"/>
        </w:rPr>
      </w:pPr>
      <w:r w:rsidRPr="009D4819">
        <w:rPr>
          <w:rFonts w:ascii="Times New Roman" w:eastAsia="DengXian" w:hAnsi="Times New Roman" w:cs="Times New Roman"/>
          <w:b/>
          <w:bCs/>
          <w:sz w:val="24"/>
          <w:szCs w:val="24"/>
        </w:rPr>
        <w:t>Supplementary</w:t>
      </w:r>
      <w:r w:rsidR="00CE7014" w:rsidRPr="009D4819">
        <w:rPr>
          <w:rFonts w:ascii="Times New Roman" w:eastAsia="DengXian" w:hAnsi="Times New Roman" w:cs="Times New Roman"/>
          <w:b/>
          <w:bCs/>
          <w:sz w:val="24"/>
          <w:szCs w:val="24"/>
        </w:rPr>
        <w:t xml:space="preserve"> Table 6B.</w:t>
      </w:r>
      <w:r w:rsidR="00CE7014" w:rsidRPr="009D4819">
        <w:rPr>
          <w:rFonts w:ascii="Times New Roman" w:eastAsia="DengXian" w:hAnsi="Times New Roman" w:cs="Times New Roman"/>
          <w:b/>
          <w:bCs/>
          <w:sz w:val="24"/>
          <w:szCs w:val="24"/>
        </w:rPr>
        <w:t xml:space="preserve"> Clinical phase IIb non-dialysis patients Safety data</w:t>
      </w:r>
    </w:p>
    <w:tbl>
      <w:tblPr>
        <w:tblStyle w:val="TableGrid"/>
        <w:tblW w:w="0" w:type="auto"/>
        <w:tblInd w:w="0" w:type="dxa"/>
        <w:tblCellMar>
          <w:top w:w="0" w:type="dxa"/>
          <w:left w:w="108" w:type="dxa"/>
          <w:bottom w:w="0" w:type="dxa"/>
          <w:right w:w="108" w:type="dxa"/>
        </w:tblCellMar>
        <w:tblLook w:val="04A0" w:firstRow="1" w:lastRow="0" w:firstColumn="1" w:lastColumn="0" w:noHBand="0" w:noVBand="1"/>
      </w:tblPr>
      <w:tblGrid>
        <w:gridCol w:w="2830"/>
        <w:gridCol w:w="3403"/>
        <w:gridCol w:w="2834"/>
      </w:tblGrid>
      <w:tr w:rsidR="00752B4C">
        <w:tc>
          <w:tcPr>
            <w:tcW w:w="2830"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Dat</w:t>
            </w:r>
            <w:r w:rsidRPr="009D4819">
              <w:rPr>
                <w:rFonts w:ascii="Times New Roman" w:eastAsia="DengXian" w:hAnsi="Times New Roman" w:cs="Times New Roman"/>
                <w:szCs w:val="21"/>
              </w:rPr>
              <w:t>a Set</w:t>
            </w:r>
          </w:p>
        </w:tc>
        <w:tc>
          <w:tcPr>
            <w:tcW w:w="3403"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Group</w:t>
            </w:r>
          </w:p>
        </w:tc>
        <w:tc>
          <w:tcPr>
            <w:tcW w:w="2834"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AE incidence rate</w:t>
            </w:r>
          </w:p>
        </w:tc>
      </w:tr>
      <w:tr w:rsidR="00752B4C">
        <w:tc>
          <w:tcPr>
            <w:tcW w:w="2830" w:type="dxa"/>
            <w:vMerge w:val="restart"/>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SAS</w:t>
            </w:r>
          </w:p>
        </w:tc>
        <w:tc>
          <w:tcPr>
            <w:tcW w:w="3403"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0.025mg/kg</w:t>
            </w:r>
          </w:p>
        </w:tc>
        <w:tc>
          <w:tcPr>
            <w:tcW w:w="2834"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71.4% (15/21)</w:t>
            </w:r>
          </w:p>
        </w:tc>
      </w:tr>
      <w:tr w:rsidR="00752B4C">
        <w:tc>
          <w:tcPr>
            <w:tcW w:w="2830" w:type="dxa"/>
            <w:vMerge/>
            <w:vAlign w:val="center"/>
          </w:tcPr>
          <w:p w:rsidR="00752B4C" w:rsidRPr="009D4819" w:rsidRDefault="00752B4C" w:rsidP="009D4819">
            <w:pPr>
              <w:spacing w:line="360" w:lineRule="auto"/>
              <w:jc w:val="center"/>
              <w:rPr>
                <w:rFonts w:ascii="Times New Roman" w:eastAsia="DengXian" w:hAnsi="Times New Roman" w:cs="Times New Roman"/>
                <w:szCs w:val="21"/>
              </w:rPr>
            </w:pPr>
          </w:p>
        </w:tc>
        <w:tc>
          <w:tcPr>
            <w:tcW w:w="3403"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0.05mg/kg</w:t>
            </w:r>
          </w:p>
        </w:tc>
        <w:tc>
          <w:tcPr>
            <w:tcW w:w="2834"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81.0% (17/21)</w:t>
            </w:r>
          </w:p>
        </w:tc>
      </w:tr>
      <w:tr w:rsidR="00752B4C">
        <w:tc>
          <w:tcPr>
            <w:tcW w:w="2830" w:type="dxa"/>
            <w:vMerge/>
            <w:vAlign w:val="center"/>
          </w:tcPr>
          <w:p w:rsidR="00752B4C" w:rsidRPr="009D4819" w:rsidRDefault="00752B4C" w:rsidP="009D4819">
            <w:pPr>
              <w:spacing w:line="360" w:lineRule="auto"/>
              <w:jc w:val="center"/>
              <w:rPr>
                <w:rFonts w:ascii="Times New Roman" w:eastAsia="DengXian" w:hAnsi="Times New Roman" w:cs="Times New Roman"/>
                <w:szCs w:val="21"/>
              </w:rPr>
            </w:pPr>
          </w:p>
        </w:tc>
        <w:tc>
          <w:tcPr>
            <w:tcW w:w="3403"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0.08 mg/kg</w:t>
            </w:r>
          </w:p>
        </w:tc>
        <w:tc>
          <w:tcPr>
            <w:tcW w:w="2834"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65.0% (13/20)</w:t>
            </w:r>
          </w:p>
        </w:tc>
      </w:tr>
      <w:tr w:rsidR="00752B4C">
        <w:tc>
          <w:tcPr>
            <w:tcW w:w="2830" w:type="dxa"/>
            <w:vMerge/>
            <w:vAlign w:val="center"/>
          </w:tcPr>
          <w:p w:rsidR="00752B4C" w:rsidRPr="009D4819" w:rsidRDefault="00752B4C" w:rsidP="009D4819">
            <w:pPr>
              <w:spacing w:line="360" w:lineRule="auto"/>
              <w:jc w:val="center"/>
              <w:rPr>
                <w:rFonts w:ascii="Times New Roman" w:eastAsia="DengXian" w:hAnsi="Times New Roman" w:cs="Times New Roman"/>
                <w:szCs w:val="21"/>
              </w:rPr>
            </w:pPr>
          </w:p>
        </w:tc>
        <w:tc>
          <w:tcPr>
            <w:tcW w:w="3403"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Total</w:t>
            </w:r>
          </w:p>
        </w:tc>
        <w:tc>
          <w:tcPr>
            <w:tcW w:w="2834" w:type="dxa"/>
            <w:vAlign w:val="center"/>
          </w:tcPr>
          <w:p w:rsidR="00752B4C" w:rsidRPr="009D4819" w:rsidRDefault="00CE7014" w:rsidP="009D4819">
            <w:pPr>
              <w:spacing w:line="360" w:lineRule="auto"/>
              <w:jc w:val="center"/>
              <w:rPr>
                <w:rFonts w:ascii="Times New Roman" w:eastAsia="DengXian" w:hAnsi="Times New Roman" w:cs="Times New Roman"/>
                <w:szCs w:val="21"/>
              </w:rPr>
            </w:pPr>
            <w:r w:rsidRPr="009D4819">
              <w:rPr>
                <w:rFonts w:ascii="Times New Roman" w:eastAsia="DengXian" w:hAnsi="Times New Roman" w:cs="Times New Roman"/>
                <w:szCs w:val="21"/>
              </w:rPr>
              <w:t>72.6% (45/62)</w:t>
            </w:r>
          </w:p>
        </w:tc>
      </w:tr>
    </w:tbl>
    <w:p w:rsidR="00752B4C" w:rsidRPr="009D4819" w:rsidRDefault="00752B4C" w:rsidP="009D4819">
      <w:pPr>
        <w:spacing w:line="360" w:lineRule="auto"/>
        <w:jc w:val="left"/>
        <w:rPr>
          <w:rFonts w:ascii="Times New Roman" w:hAnsi="Times New Roman" w:cs="Times New Roman"/>
          <w:szCs w:val="21"/>
        </w:rPr>
      </w:pPr>
    </w:p>
    <w:sectPr w:rsidR="00752B4C" w:rsidRPr="009D48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2B4C" w:rsidRDefault="00CE7014">
      <w:r>
        <w:separator/>
      </w:r>
    </w:p>
  </w:endnote>
  <w:endnote w:type="continuationSeparator" w:id="0">
    <w:p w:rsidR="00752B4C" w:rsidRDefault="00CE7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Segoe Print"/>
    <w:charset w:val="00"/>
    <w:family w:val="swiss"/>
    <w:pitch w:val="default"/>
    <w:sig w:usb0="00000000" w:usb1="00000000" w:usb2="00000000" w:usb3="00000000" w:csb0="0000019F" w:csb1="00000000"/>
  </w:font>
  <w:font w:name="DengXian">
    <w:altName w:val="Arial Unicode MS"/>
    <w:charset w:val="86"/>
    <w:family w:val="auto"/>
    <w:pitch w:val="default"/>
    <w:sig w:usb0="00000000"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altName w:val="Segoe Print"/>
    <w:charset w:val="00"/>
    <w:family w:val="swiss"/>
    <w:pitch w:val="default"/>
    <w:sig w:usb0="00000000" w:usb1="00000000" w:usb2="00000000" w:usb3="00000000" w:csb0="0000019F" w:csb1="00000000"/>
  </w:font>
  <w:font w:name="DengXian Light">
    <w:altName w:val="等线 Light"/>
    <w:panose1 w:val="00000000000000000000"/>
    <w:charset w:val="86"/>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B4C" w:rsidRDefault="00CE7014">
    <w:pPr>
      <w:pStyle w:val="Footer"/>
    </w:pPr>
    <w:r>
      <w:rPr>
        <w:noProof/>
        <w:lang w:val="en-IN" w:eastAsia="en-IN"/>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752B4C" w:rsidRDefault="00CE7014">
                          <w:pPr>
                            <w:pStyle w:val="Foo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2" o:spid="_x0000_s1026" type="#_x0000_t202" style="position:absolute;left:0;text-align:left;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Nte8iJhAgAACgUAAA4AAAAAAAAAAAAAAAAALgIAAGRycy9lMm9Eb2MueG1s&#10;UEsBAi0AFAAGAAgAAAAhAHGq0bnXAAAABQEAAA8AAAAAAAAAAAAAAAAAuwQAAGRycy9kb3ducmV2&#10;LnhtbFBLBQYAAAAABAAEAPMAAAC/BQAAAAA=&#10;" filled="f" stroked="f" strokeweight=".5pt">
              <v:textbox style="mso-fit-shape-to-text:t" inset="0,0,0,0">
                <w:txbxContent>
                  <w:p w:rsidR="00752B4C" w:rsidRDefault="00CE7014">
                    <w:pPr>
                      <w:pStyle w:val="Footer"/>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PAGE  \* MERGEFORMAT </w:instrText>
                    </w:r>
                    <w:r>
                      <w:rPr>
                        <w:rFonts w:ascii="Times New Roman" w:hAnsi="Times New Roman" w:cs="Times New Roman"/>
                      </w:rPr>
                      <w:fldChar w:fldCharType="separate"/>
                    </w:r>
                    <w:r>
                      <w:rPr>
                        <w:rFonts w:ascii="Times New Roman" w:hAnsi="Times New Roman" w:cs="Times New Roman"/>
                        <w:noProof/>
                      </w:rPr>
                      <w:t>1</w:t>
                    </w:r>
                    <w:r>
                      <w:rPr>
                        <w:rFonts w:ascii="Times New Roman" w:hAnsi="Times New Roman" w:cs="Times New Roman"/>
                      </w:rPr>
                      <w:fldChar w:fldCharType="end"/>
                    </w:r>
                  </w:p>
                </w:txbxContent>
              </v:textbox>
              <w10:wrap anchorx="margin"/>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2B4C" w:rsidRDefault="00CE7014">
      <w:r>
        <w:separator/>
      </w:r>
    </w:p>
  </w:footnote>
  <w:footnote w:type="continuationSeparator" w:id="0">
    <w:p w:rsidR="00752B4C" w:rsidRDefault="00CE701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76C1B0"/>
    <w:multiLevelType w:val="singleLevel"/>
    <w:tmpl w:val="7176C1B0"/>
    <w:lvl w:ilvl="0">
      <w:start w:val="1"/>
      <w:numFmt w:val="upperLetter"/>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TgyY2Y5Y2UxZjkwY2NiYzg1MTM4ZmQzOTFhYWJhY2IifQ=="/>
  </w:docVars>
  <w:rsids>
    <w:rsidRoot w:val="00C2758D"/>
    <w:rsid w:val="00034DA9"/>
    <w:rsid w:val="0008240D"/>
    <w:rsid w:val="00112970"/>
    <w:rsid w:val="00117848"/>
    <w:rsid w:val="001236B7"/>
    <w:rsid w:val="0015034B"/>
    <w:rsid w:val="001D0D48"/>
    <w:rsid w:val="00201D6C"/>
    <w:rsid w:val="00205DDB"/>
    <w:rsid w:val="00220EAA"/>
    <w:rsid w:val="00291CCA"/>
    <w:rsid w:val="002B52F1"/>
    <w:rsid w:val="00326F99"/>
    <w:rsid w:val="00363160"/>
    <w:rsid w:val="00364DBD"/>
    <w:rsid w:val="003942C9"/>
    <w:rsid w:val="003B5CD0"/>
    <w:rsid w:val="003C6234"/>
    <w:rsid w:val="003C6CAD"/>
    <w:rsid w:val="003F5519"/>
    <w:rsid w:val="003F5891"/>
    <w:rsid w:val="0042640E"/>
    <w:rsid w:val="004A25BC"/>
    <w:rsid w:val="004F2E72"/>
    <w:rsid w:val="0051481C"/>
    <w:rsid w:val="00522E33"/>
    <w:rsid w:val="005330AE"/>
    <w:rsid w:val="00556F9B"/>
    <w:rsid w:val="0056206A"/>
    <w:rsid w:val="005665CE"/>
    <w:rsid w:val="005741B1"/>
    <w:rsid w:val="005E0DE4"/>
    <w:rsid w:val="00610585"/>
    <w:rsid w:val="00665CBF"/>
    <w:rsid w:val="006930FE"/>
    <w:rsid w:val="00697AB1"/>
    <w:rsid w:val="006F0B95"/>
    <w:rsid w:val="006F3B62"/>
    <w:rsid w:val="00752B4C"/>
    <w:rsid w:val="00771874"/>
    <w:rsid w:val="00776ED7"/>
    <w:rsid w:val="007A77C8"/>
    <w:rsid w:val="007B68AE"/>
    <w:rsid w:val="007C1D50"/>
    <w:rsid w:val="007D7F88"/>
    <w:rsid w:val="00803ECB"/>
    <w:rsid w:val="008155DE"/>
    <w:rsid w:val="008A5686"/>
    <w:rsid w:val="008C0F4F"/>
    <w:rsid w:val="008D4D91"/>
    <w:rsid w:val="008E019E"/>
    <w:rsid w:val="008E3967"/>
    <w:rsid w:val="00980668"/>
    <w:rsid w:val="009A3664"/>
    <w:rsid w:val="009D4819"/>
    <w:rsid w:val="009E3240"/>
    <w:rsid w:val="00A1297B"/>
    <w:rsid w:val="00A246CB"/>
    <w:rsid w:val="00A82F74"/>
    <w:rsid w:val="00A8666C"/>
    <w:rsid w:val="00B24632"/>
    <w:rsid w:val="00B43567"/>
    <w:rsid w:val="00B50656"/>
    <w:rsid w:val="00B85501"/>
    <w:rsid w:val="00C2758D"/>
    <w:rsid w:val="00C278D4"/>
    <w:rsid w:val="00C70576"/>
    <w:rsid w:val="00C81A32"/>
    <w:rsid w:val="00C83DB2"/>
    <w:rsid w:val="00C95919"/>
    <w:rsid w:val="00CC0488"/>
    <w:rsid w:val="00CE7014"/>
    <w:rsid w:val="00D325C1"/>
    <w:rsid w:val="00D71545"/>
    <w:rsid w:val="00D7383B"/>
    <w:rsid w:val="00D750E0"/>
    <w:rsid w:val="00D86320"/>
    <w:rsid w:val="00E5683F"/>
    <w:rsid w:val="00E8693C"/>
    <w:rsid w:val="00E915E1"/>
    <w:rsid w:val="00EE2AA5"/>
    <w:rsid w:val="00F33994"/>
    <w:rsid w:val="00F42598"/>
    <w:rsid w:val="00F61F8B"/>
    <w:rsid w:val="00F67AB8"/>
    <w:rsid w:val="00FA5689"/>
    <w:rsid w:val="00FB7CBF"/>
    <w:rsid w:val="00FC10CC"/>
    <w:rsid w:val="00FE03BD"/>
    <w:rsid w:val="00FF0D33"/>
    <w:rsid w:val="06F21795"/>
    <w:rsid w:val="07945BA8"/>
    <w:rsid w:val="15362187"/>
    <w:rsid w:val="15D47ACF"/>
    <w:rsid w:val="165C6722"/>
    <w:rsid w:val="18BD6589"/>
    <w:rsid w:val="1F947DC9"/>
    <w:rsid w:val="304B4A81"/>
    <w:rsid w:val="4FEC6F05"/>
    <w:rsid w:val="592F7FC3"/>
    <w:rsid w:val="75C72AC3"/>
    <w:rsid w:val="76E450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5:docId w15:val="{DBADD519-F305-4320-A2CF-C75E76B2C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2"/>
      <w:lang w:val="en-US" w:eastAsia="zh-CN"/>
    </w:rPr>
  </w:style>
  <w:style w:type="paragraph" w:styleId="Heading1">
    <w:name w:val="heading 1"/>
    <w:basedOn w:val="Normal"/>
    <w:next w:val="Normal"/>
    <w:link w:val="Heading1Char"/>
    <w:uiPriority w:val="9"/>
    <w:qFormat/>
    <w:pPr>
      <w:keepNext/>
      <w:keepLines/>
      <w:widowControl/>
      <w:spacing w:before="360" w:after="80" w:line="259" w:lineRule="auto"/>
      <w:jc w:val="left"/>
      <w:outlineLvl w:val="0"/>
    </w:pPr>
    <w:rPr>
      <w:rFonts w:asciiTheme="majorHAnsi" w:eastAsiaTheme="majorEastAsia" w:hAnsiTheme="majorHAnsi" w:cstheme="majorBidi"/>
      <w:color w:val="0F4761" w:themeColor="accent1" w:themeShade="BF"/>
      <w:sz w:val="40"/>
      <w:szCs w:val="40"/>
      <w:lang w:eastAsia="en-US"/>
      <w14:ligatures w14:val="standardContextual"/>
    </w:rPr>
  </w:style>
  <w:style w:type="paragraph" w:styleId="Heading2">
    <w:name w:val="heading 2"/>
    <w:basedOn w:val="Normal"/>
    <w:next w:val="Normal"/>
    <w:link w:val="Heading2Char"/>
    <w:uiPriority w:val="9"/>
    <w:semiHidden/>
    <w:unhideWhenUsed/>
    <w:qFormat/>
    <w:pPr>
      <w:keepNext/>
      <w:keepLines/>
      <w:widowControl/>
      <w:spacing w:before="160" w:after="80" w:line="259" w:lineRule="auto"/>
      <w:jc w:val="left"/>
      <w:outlineLvl w:val="1"/>
    </w:pPr>
    <w:rPr>
      <w:rFonts w:asciiTheme="majorHAnsi" w:eastAsiaTheme="majorEastAsia" w:hAnsiTheme="majorHAnsi" w:cstheme="majorBidi"/>
      <w:color w:val="0F4761" w:themeColor="accent1" w:themeShade="BF"/>
      <w:sz w:val="32"/>
      <w:szCs w:val="32"/>
      <w:lang w:eastAsia="en-US"/>
      <w14:ligatures w14:val="standardContextual"/>
    </w:rPr>
  </w:style>
  <w:style w:type="paragraph" w:styleId="Heading3">
    <w:name w:val="heading 3"/>
    <w:basedOn w:val="Normal"/>
    <w:next w:val="Normal"/>
    <w:link w:val="Heading3Char"/>
    <w:uiPriority w:val="9"/>
    <w:semiHidden/>
    <w:unhideWhenUsed/>
    <w:qFormat/>
    <w:pPr>
      <w:keepNext/>
      <w:keepLines/>
      <w:widowControl/>
      <w:spacing w:before="160" w:after="80" w:line="259" w:lineRule="auto"/>
      <w:jc w:val="left"/>
      <w:outlineLvl w:val="2"/>
    </w:pPr>
    <w:rPr>
      <w:rFonts w:eastAsiaTheme="majorEastAsia" w:cstheme="majorBidi"/>
      <w:color w:val="0F4761" w:themeColor="accent1" w:themeShade="BF"/>
      <w:sz w:val="28"/>
      <w:szCs w:val="28"/>
      <w:lang w:eastAsia="en-US"/>
      <w14:ligatures w14:val="standardContextual"/>
    </w:rPr>
  </w:style>
  <w:style w:type="paragraph" w:styleId="Heading4">
    <w:name w:val="heading 4"/>
    <w:basedOn w:val="Normal"/>
    <w:next w:val="Normal"/>
    <w:link w:val="Heading4Char"/>
    <w:uiPriority w:val="9"/>
    <w:semiHidden/>
    <w:unhideWhenUsed/>
    <w:qFormat/>
    <w:pPr>
      <w:keepNext/>
      <w:keepLines/>
      <w:widowControl/>
      <w:spacing w:before="80" w:after="40" w:line="259" w:lineRule="auto"/>
      <w:jc w:val="left"/>
      <w:outlineLvl w:val="3"/>
    </w:pPr>
    <w:rPr>
      <w:rFonts w:eastAsiaTheme="majorEastAsia" w:cstheme="majorBidi"/>
      <w:i/>
      <w:iCs/>
      <w:color w:val="0F4761" w:themeColor="accent1" w:themeShade="BF"/>
      <w:sz w:val="22"/>
      <w:lang w:eastAsia="en-US"/>
      <w14:ligatures w14:val="standardContextual"/>
    </w:rPr>
  </w:style>
  <w:style w:type="paragraph" w:styleId="Heading5">
    <w:name w:val="heading 5"/>
    <w:basedOn w:val="Normal"/>
    <w:next w:val="Normal"/>
    <w:link w:val="Heading5Char"/>
    <w:uiPriority w:val="9"/>
    <w:semiHidden/>
    <w:unhideWhenUsed/>
    <w:qFormat/>
    <w:pPr>
      <w:keepNext/>
      <w:keepLines/>
      <w:widowControl/>
      <w:spacing w:before="80" w:after="40" w:line="259" w:lineRule="auto"/>
      <w:jc w:val="left"/>
      <w:outlineLvl w:val="4"/>
    </w:pPr>
    <w:rPr>
      <w:rFonts w:eastAsiaTheme="majorEastAsia" w:cstheme="majorBidi"/>
      <w:color w:val="0F4761" w:themeColor="accent1" w:themeShade="BF"/>
      <w:sz w:val="22"/>
      <w:lang w:eastAsia="en-US"/>
      <w14:ligatures w14:val="standardContextual"/>
    </w:rPr>
  </w:style>
  <w:style w:type="paragraph" w:styleId="Heading6">
    <w:name w:val="heading 6"/>
    <w:basedOn w:val="Normal"/>
    <w:next w:val="Normal"/>
    <w:link w:val="Heading6Char"/>
    <w:uiPriority w:val="9"/>
    <w:semiHidden/>
    <w:unhideWhenUsed/>
    <w:qFormat/>
    <w:pPr>
      <w:keepNext/>
      <w:keepLines/>
      <w:widowControl/>
      <w:spacing w:before="40" w:line="259" w:lineRule="auto"/>
      <w:jc w:val="left"/>
      <w:outlineLvl w:val="5"/>
    </w:pPr>
    <w:rPr>
      <w:rFonts w:eastAsiaTheme="majorEastAsia" w:cstheme="majorBidi"/>
      <w:i/>
      <w:iCs/>
      <w:color w:val="595959" w:themeColor="text1" w:themeTint="A6"/>
      <w:sz w:val="22"/>
      <w:lang w:eastAsia="en-US"/>
      <w14:ligatures w14:val="standardContextual"/>
    </w:rPr>
  </w:style>
  <w:style w:type="paragraph" w:styleId="Heading7">
    <w:name w:val="heading 7"/>
    <w:basedOn w:val="Normal"/>
    <w:next w:val="Normal"/>
    <w:link w:val="Heading7Char"/>
    <w:uiPriority w:val="9"/>
    <w:semiHidden/>
    <w:unhideWhenUsed/>
    <w:qFormat/>
    <w:pPr>
      <w:keepNext/>
      <w:keepLines/>
      <w:widowControl/>
      <w:spacing w:before="40" w:line="259" w:lineRule="auto"/>
      <w:jc w:val="left"/>
      <w:outlineLvl w:val="6"/>
    </w:pPr>
    <w:rPr>
      <w:rFonts w:eastAsiaTheme="majorEastAsia" w:cstheme="majorBidi"/>
      <w:color w:val="595959" w:themeColor="text1" w:themeTint="A6"/>
      <w:sz w:val="22"/>
      <w:lang w:eastAsia="en-US"/>
      <w14:ligatures w14:val="standardContextual"/>
    </w:rPr>
  </w:style>
  <w:style w:type="paragraph" w:styleId="Heading8">
    <w:name w:val="heading 8"/>
    <w:basedOn w:val="Normal"/>
    <w:next w:val="Normal"/>
    <w:link w:val="Heading8Char"/>
    <w:uiPriority w:val="9"/>
    <w:semiHidden/>
    <w:unhideWhenUsed/>
    <w:qFormat/>
    <w:pPr>
      <w:keepNext/>
      <w:keepLines/>
      <w:widowControl/>
      <w:spacing w:line="259" w:lineRule="auto"/>
      <w:jc w:val="left"/>
      <w:outlineLvl w:val="7"/>
    </w:pPr>
    <w:rPr>
      <w:rFonts w:eastAsiaTheme="majorEastAsia" w:cstheme="majorBidi"/>
      <w:i/>
      <w:iCs/>
      <w:color w:val="262626" w:themeColor="text1" w:themeTint="D9"/>
      <w:sz w:val="22"/>
      <w:lang w:eastAsia="en-US"/>
      <w14:ligatures w14:val="standardContextual"/>
    </w:rPr>
  </w:style>
  <w:style w:type="paragraph" w:styleId="Heading9">
    <w:name w:val="heading 9"/>
    <w:basedOn w:val="Normal"/>
    <w:next w:val="Normal"/>
    <w:link w:val="Heading9Char"/>
    <w:uiPriority w:val="9"/>
    <w:semiHidden/>
    <w:unhideWhenUsed/>
    <w:qFormat/>
    <w:pPr>
      <w:keepNext/>
      <w:keepLines/>
      <w:widowControl/>
      <w:spacing w:line="259" w:lineRule="auto"/>
      <w:jc w:val="left"/>
      <w:outlineLvl w:val="8"/>
    </w:pPr>
    <w:rPr>
      <w:rFonts w:eastAsiaTheme="majorEastAsia" w:cstheme="majorBidi"/>
      <w:color w:val="262626" w:themeColor="text1" w:themeTint="D9"/>
      <w:sz w:val="22"/>
      <w:lang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qFormat/>
    <w:rPr>
      <w:sz w:val="20"/>
      <w:szCs w:val="20"/>
    </w:rPr>
  </w:style>
  <w:style w:type="paragraph" w:styleId="Footer">
    <w:name w:val="footer"/>
    <w:basedOn w:val="Normal"/>
    <w:link w:val="FooterChar"/>
    <w:uiPriority w:val="99"/>
    <w:unhideWhenUsed/>
    <w:qFormat/>
    <w:pPr>
      <w:tabs>
        <w:tab w:val="center" w:pos="4680"/>
        <w:tab w:val="right" w:pos="9360"/>
      </w:tabs>
    </w:pPr>
  </w:style>
  <w:style w:type="paragraph" w:styleId="Header">
    <w:name w:val="header"/>
    <w:basedOn w:val="Normal"/>
    <w:link w:val="HeaderChar"/>
    <w:uiPriority w:val="99"/>
    <w:unhideWhenUsed/>
    <w:qFormat/>
    <w:pPr>
      <w:tabs>
        <w:tab w:val="center" w:pos="4680"/>
        <w:tab w:val="right" w:pos="9360"/>
      </w:tabs>
    </w:pPr>
  </w:style>
  <w:style w:type="paragraph" w:styleId="Subtitle">
    <w:name w:val="Subtitle"/>
    <w:basedOn w:val="Normal"/>
    <w:next w:val="Normal"/>
    <w:link w:val="SubtitleChar"/>
    <w:uiPriority w:val="11"/>
    <w:qFormat/>
    <w:pPr>
      <w:widowControl/>
      <w:spacing w:after="160" w:line="259" w:lineRule="auto"/>
      <w:jc w:val="left"/>
    </w:pPr>
    <w:rPr>
      <w:rFonts w:eastAsiaTheme="majorEastAsia" w:cstheme="majorBidi"/>
      <w:color w:val="595959" w:themeColor="text1" w:themeTint="A6"/>
      <w:spacing w:val="15"/>
      <w:sz w:val="28"/>
      <w:szCs w:val="28"/>
      <w:lang w:eastAsia="en-US"/>
      <w14:ligatures w14:val="standardContextual"/>
    </w:rPr>
  </w:style>
  <w:style w:type="paragraph" w:styleId="Title">
    <w:name w:val="Title"/>
    <w:basedOn w:val="Normal"/>
    <w:next w:val="Normal"/>
    <w:link w:val="TitleChar"/>
    <w:uiPriority w:val="10"/>
    <w:qFormat/>
    <w:pPr>
      <w:widowControl/>
      <w:spacing w:after="80"/>
      <w:contextualSpacing/>
      <w:jc w:val="left"/>
    </w:pPr>
    <w:rPr>
      <w:rFonts w:asciiTheme="majorHAnsi" w:eastAsiaTheme="majorEastAsia" w:hAnsiTheme="majorHAnsi" w:cstheme="majorBidi"/>
      <w:spacing w:val="-10"/>
      <w:kern w:val="28"/>
      <w:sz w:val="56"/>
      <w:szCs w:val="56"/>
      <w:lang w:eastAsia="en-US"/>
      <w14:ligatures w14:val="standardContextual"/>
    </w:rPr>
  </w:style>
  <w:style w:type="paragraph" w:styleId="CommentSubject">
    <w:name w:val="annotation subject"/>
    <w:basedOn w:val="CommentText"/>
    <w:next w:val="CommentText"/>
    <w:link w:val="CommentSubjectChar"/>
    <w:uiPriority w:val="99"/>
    <w:semiHidden/>
    <w:unhideWhenUsed/>
    <w:qFormat/>
    <w:rPr>
      <w:b/>
      <w:bCs/>
    </w:rPr>
  </w:style>
  <w:style w:type="table" w:styleId="TableGrid">
    <w:name w:val="Table Grid"/>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character" w:styleId="CommentReference">
    <w:name w:val="annotation reference"/>
    <w:basedOn w:val="DefaultParagraphFont"/>
    <w:uiPriority w:val="99"/>
    <w:semiHidden/>
    <w:unhideWhenUsed/>
    <w:qFormat/>
    <w:rPr>
      <w:sz w:val="16"/>
      <w:szCs w:val="1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qFormat/>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widowControl/>
      <w:spacing w:before="160" w:after="160" w:line="259" w:lineRule="auto"/>
      <w:jc w:val="center"/>
    </w:pPr>
    <w:rPr>
      <w:rFonts w:eastAsiaTheme="minorHAnsi"/>
      <w:i/>
      <w:iCs/>
      <w:color w:val="404040" w:themeColor="text1" w:themeTint="BF"/>
      <w:sz w:val="22"/>
      <w:lang w:eastAsia="en-US"/>
      <w14:ligatures w14:val="standardContextual"/>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widowControl/>
      <w:spacing w:after="160" w:line="259" w:lineRule="auto"/>
      <w:ind w:left="720"/>
      <w:contextualSpacing/>
      <w:jc w:val="left"/>
    </w:pPr>
    <w:rPr>
      <w:rFonts w:eastAsiaTheme="minorHAnsi"/>
      <w:sz w:val="22"/>
      <w:lang w:eastAsia="en-US"/>
      <w14:ligatures w14:val="standardContextual"/>
    </w:r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widowControl/>
      <w:pBdr>
        <w:top w:val="single" w:sz="4" w:space="10" w:color="0F4761" w:themeColor="accent1" w:themeShade="BF"/>
        <w:bottom w:val="single" w:sz="4" w:space="10" w:color="0F4761" w:themeColor="accent1" w:themeShade="BF"/>
      </w:pBdr>
      <w:spacing w:before="360" w:after="360" w:line="259" w:lineRule="auto"/>
      <w:ind w:left="864" w:right="864"/>
      <w:jc w:val="center"/>
    </w:pPr>
    <w:rPr>
      <w:rFonts w:eastAsiaTheme="minorHAnsi"/>
      <w:i/>
      <w:iCs/>
      <w:color w:val="0F4761" w:themeColor="accent1" w:themeShade="BF"/>
      <w:sz w:val="22"/>
      <w:lang w:eastAsia="en-US"/>
      <w14:ligatures w14:val="standardContextual"/>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rPr>
      <w:rFonts w:eastAsiaTheme="minorEastAsia"/>
      <w:sz w:val="21"/>
      <w:lang w:eastAsia="zh-CN"/>
      <w14:ligatures w14:val="none"/>
    </w:rPr>
  </w:style>
  <w:style w:type="character" w:customStyle="1" w:styleId="FooterChar">
    <w:name w:val="Footer Char"/>
    <w:basedOn w:val="DefaultParagraphFont"/>
    <w:link w:val="Footer"/>
    <w:uiPriority w:val="99"/>
    <w:qFormat/>
    <w:rPr>
      <w:rFonts w:eastAsiaTheme="minorEastAsia"/>
      <w:sz w:val="21"/>
      <w:lang w:eastAsia="zh-CN"/>
      <w14:ligatures w14:val="none"/>
    </w:rPr>
  </w:style>
  <w:style w:type="character" w:customStyle="1" w:styleId="CommentTextChar">
    <w:name w:val="Comment Text Char"/>
    <w:basedOn w:val="DefaultParagraphFont"/>
    <w:link w:val="CommentText"/>
    <w:uiPriority w:val="99"/>
    <w:qFormat/>
    <w:rPr>
      <w:rFonts w:eastAsiaTheme="minorEastAsia"/>
      <w:sz w:val="20"/>
      <w:szCs w:val="20"/>
      <w:lang w:eastAsia="zh-CN"/>
      <w14:ligatures w14:val="none"/>
    </w:rPr>
  </w:style>
  <w:style w:type="character" w:customStyle="1" w:styleId="CommentSubjectChar">
    <w:name w:val="Comment Subject Char"/>
    <w:basedOn w:val="CommentTextChar"/>
    <w:link w:val="CommentSubject"/>
    <w:uiPriority w:val="99"/>
    <w:semiHidden/>
    <w:qFormat/>
    <w:rPr>
      <w:rFonts w:eastAsiaTheme="minorEastAsia"/>
      <w:b/>
      <w:bCs/>
      <w:sz w:val="20"/>
      <w:szCs w:val="20"/>
      <w:lang w:eastAsia="zh-CN"/>
      <w14:ligatures w14:val="none"/>
    </w:rPr>
  </w:style>
  <w:style w:type="paragraph" w:customStyle="1" w:styleId="Revision1">
    <w:name w:val="Revision1"/>
    <w:hidden/>
    <w:uiPriority w:val="99"/>
    <w:semiHidden/>
    <w:qFormat/>
    <w:rPr>
      <w:kern w:val="2"/>
      <w:sz w:val="21"/>
      <w:szCs w:val="22"/>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tif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tiff"/><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15</Pages>
  <Words>2201</Words>
  <Characters>12549</Characters>
  <Application>Microsoft Office Word</Application>
  <DocSecurity>0</DocSecurity>
  <Lines>104</Lines>
  <Paragraphs>29</Paragraphs>
  <ScaleCrop>false</ScaleCrop>
  <Company>HP Inc.</Company>
  <LinksUpToDate>false</LinksUpToDate>
  <CharactersWithSpaces>14721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Ashish Verma</dc:creator>
  <cp:lastModifiedBy>Saranya Manogaran</cp:lastModifiedBy>
  <cp:revision>33</cp:revision>
  <dcterms:created xsi:type="dcterms:W3CDTF">2024-07-09T07:13:00Z</dcterms:created>
  <dcterms:modified xsi:type="dcterms:W3CDTF">2025-01-13T05:54:00Z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5BA6DBD2869244B689A7212FC323FFE8_12</vt:lpwstr>
  </property>
</Properties>
</file>