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tif" ContentType="image/tiff"/>
  <Override PartName="/word/media/image2.tif" ContentType="image/tiff"/>
  <Override PartName="/word/media/image3.tif" ContentType="image/tiff"/>
  <Override PartName="/word/media/image4.tif" ContentType="image/tiff"/>
  <Override PartName="/word/media/image5.tif" ContentType="image/tiff"/>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spacing w:lineRule="auto" w:line="360"/>
        <w:jc w:val="left"/>
        <w:rPr>
          <w:color w:val="000000"/>
        </w:rPr>
      </w:pPr>
      <w:r>
        <w:rPr>
          <w:rFonts w:cs="Times New Roman" w:ascii="Times New Roman" w:hAnsi="Times New Roman"/>
          <w:b/>
          <w:bCs/>
          <w:color w:val="000000"/>
          <w:sz w:val="24"/>
          <w:szCs w:val="32"/>
        </w:rPr>
        <w:t>Supplementary materials</w:t>
      </w:r>
    </w:p>
    <w:p>
      <w:pPr>
        <w:pStyle w:val="Normal"/>
        <w:widowControl/>
        <w:spacing w:lineRule="auto" w:line="360"/>
        <w:jc w:val="left"/>
        <w:rPr>
          <w:rFonts w:ascii="Times New Roman" w:hAnsi="Times New Roman" w:cs="Times New Roman"/>
          <w:b/>
          <w:bCs/>
          <w:color w:val="000000"/>
        </w:rPr>
      </w:pPr>
      <w:r>
        <w:rPr>
          <w:rFonts w:cs="Times New Roman" w:ascii="Times New Roman" w:hAnsi="Times New Roman"/>
          <w:b/>
          <w:bCs/>
          <w:color w:val="000000"/>
        </w:rPr>
      </w:r>
    </w:p>
    <w:p>
      <w:pPr>
        <w:pStyle w:val="Normal"/>
        <w:spacing w:lineRule="auto" w:line="360"/>
        <w:rPr>
          <w:color w:val="000000"/>
        </w:rPr>
      </w:pPr>
      <w:r>
        <w:rPr>
          <w:rFonts w:cs="Times New Roman" w:ascii="Times New Roman" w:hAnsi="Times New Roman"/>
          <w:b/>
          <w:bCs/>
          <w:color w:val="000000"/>
          <w:sz w:val="24"/>
        </w:rPr>
        <w:t>Promoting the Transition from Pyroptosis to Apoptosis in Endothelial Cells: A Novel Approach to Alleviate Methylglyoxal-Induced Vascular Damage</w:t>
      </w:r>
    </w:p>
    <w:p>
      <w:pPr>
        <w:pStyle w:val="Normal"/>
        <w:spacing w:lineRule="auto" w:line="360"/>
        <w:rPr>
          <w:rFonts w:ascii="Times New Roman" w:hAnsi="Times New Roman" w:cs="Times New Roman"/>
          <w:b/>
          <w:bCs/>
          <w:color w:val="000000"/>
          <w:sz w:val="22"/>
          <w:szCs w:val="22"/>
        </w:rPr>
      </w:pPr>
      <w:r>
        <w:rPr>
          <w:rFonts w:cs="Times New Roman" w:ascii="Times New Roman" w:hAnsi="Times New Roman"/>
          <w:b/>
          <w:bCs/>
          <w:color w:val="000000"/>
          <w:sz w:val="22"/>
          <w:szCs w:val="22"/>
        </w:rPr>
      </w:r>
    </w:p>
    <w:p>
      <w:pPr>
        <w:pStyle w:val="Normal"/>
        <w:spacing w:lineRule="auto" w:line="360"/>
        <w:rPr>
          <w:color w:val="000000"/>
        </w:rPr>
      </w:pPr>
      <w:r>
        <w:rPr>
          <w:rFonts w:cs="Times New Roman" w:ascii="Times New Roman" w:hAnsi="Times New Roman"/>
          <w:i/>
          <w:iCs/>
          <w:color w:val="000000"/>
          <w:sz w:val="22"/>
          <w:szCs w:val="22"/>
        </w:rPr>
        <w:t>Ruqiang Yuan</w:t>
      </w:r>
      <w:r>
        <w:rPr>
          <w:rFonts w:cs="Times New Roman" w:ascii="Times New Roman" w:hAnsi="Times New Roman"/>
          <w:i/>
          <w:iCs/>
          <w:color w:val="000000"/>
          <w:sz w:val="22"/>
          <w:szCs w:val="22"/>
          <w:vertAlign w:val="superscript"/>
        </w:rPr>
        <w:t>1,2*</w:t>
      </w:r>
      <w:r>
        <w:rPr>
          <w:rFonts w:cs="Times New Roman" w:ascii="Times New Roman" w:hAnsi="Times New Roman"/>
          <w:i/>
          <w:iCs/>
          <w:color w:val="000000"/>
          <w:sz w:val="22"/>
          <w:szCs w:val="22"/>
        </w:rPr>
        <w:t>, Hu Xu</w:t>
      </w:r>
      <w:r>
        <w:rPr>
          <w:rFonts w:cs="Times New Roman" w:ascii="Times New Roman" w:hAnsi="Times New Roman"/>
          <w:i/>
          <w:iCs/>
          <w:color w:val="000000"/>
          <w:sz w:val="22"/>
          <w:szCs w:val="22"/>
          <w:vertAlign w:val="superscript"/>
        </w:rPr>
        <w:t>3*</w:t>
      </w:r>
      <w:r>
        <w:rPr>
          <w:rFonts w:cs="Times New Roman" w:ascii="Times New Roman" w:hAnsi="Times New Roman"/>
          <w:i/>
          <w:iCs/>
          <w:color w:val="000000"/>
          <w:sz w:val="22"/>
          <w:szCs w:val="22"/>
        </w:rPr>
        <w:t>, Mingqi Wang</w:t>
      </w:r>
      <w:r>
        <w:rPr>
          <w:rFonts w:cs="Times New Roman" w:ascii="Times New Roman" w:hAnsi="Times New Roman"/>
          <w:i/>
          <w:iCs/>
          <w:color w:val="000000"/>
          <w:sz w:val="22"/>
          <w:szCs w:val="22"/>
          <w:vertAlign w:val="superscript"/>
        </w:rPr>
        <w:t>1*</w:t>
      </w:r>
      <w:r>
        <w:rPr>
          <w:rFonts w:cs="Times New Roman" w:ascii="Times New Roman" w:hAnsi="Times New Roman"/>
          <w:i/>
          <w:iCs/>
          <w:color w:val="000000"/>
          <w:sz w:val="22"/>
          <w:szCs w:val="22"/>
        </w:rPr>
        <w:t>, Lina Guo</w:t>
      </w:r>
      <w:r>
        <w:rPr>
          <w:rFonts w:cs="Times New Roman" w:ascii="Times New Roman" w:hAnsi="Times New Roman"/>
          <w:i/>
          <w:iCs/>
          <w:color w:val="000000"/>
          <w:sz w:val="22"/>
          <w:szCs w:val="22"/>
          <w:vertAlign w:val="superscript"/>
        </w:rPr>
        <w:t>1</w:t>
      </w:r>
      <w:r>
        <w:rPr>
          <w:rFonts w:cs="Times New Roman" w:ascii="Times New Roman" w:hAnsi="Times New Roman"/>
          <w:i/>
          <w:iCs/>
          <w:color w:val="000000"/>
          <w:sz w:val="22"/>
          <w:szCs w:val="22"/>
        </w:rPr>
        <w:t>, Yang Yao</w:t>
      </w:r>
      <w:r>
        <w:rPr>
          <w:rFonts w:cs="Times New Roman" w:ascii="Times New Roman" w:hAnsi="Times New Roman"/>
          <w:i/>
          <w:iCs/>
          <w:color w:val="000000"/>
          <w:sz w:val="22"/>
          <w:szCs w:val="22"/>
          <w:vertAlign w:val="superscript"/>
        </w:rPr>
        <w:t>1</w:t>
      </w:r>
      <w:r>
        <w:rPr>
          <w:rFonts w:cs="Times New Roman" w:ascii="Times New Roman" w:hAnsi="Times New Roman"/>
          <w:i/>
          <w:iCs/>
          <w:color w:val="000000"/>
          <w:sz w:val="22"/>
          <w:szCs w:val="22"/>
        </w:rPr>
        <w:t>, Xiaoru Zhang</w:t>
      </w:r>
      <w:r>
        <w:rPr>
          <w:rFonts w:cs="Times New Roman" w:ascii="Times New Roman" w:hAnsi="Times New Roman"/>
          <w:i/>
          <w:iCs/>
          <w:color w:val="000000"/>
          <w:sz w:val="22"/>
          <w:szCs w:val="22"/>
          <w:vertAlign w:val="superscript"/>
        </w:rPr>
        <w:t>1</w:t>
      </w:r>
      <w:r>
        <w:rPr>
          <w:rFonts w:cs="Times New Roman" w:ascii="Times New Roman" w:hAnsi="Times New Roman"/>
          <w:i/>
          <w:iCs/>
          <w:color w:val="000000"/>
          <w:sz w:val="22"/>
          <w:szCs w:val="22"/>
        </w:rPr>
        <w:t>, Xiuli Wang</w:t>
      </w:r>
      <w:r>
        <w:rPr>
          <w:rFonts w:cs="Times New Roman" w:ascii="Times New Roman" w:hAnsi="Times New Roman"/>
          <w:i/>
          <w:iCs/>
          <w:color w:val="000000"/>
          <w:sz w:val="22"/>
          <w:szCs w:val="22"/>
          <w:vertAlign w:val="superscript"/>
        </w:rPr>
        <w:t>1#</w:t>
      </w:r>
    </w:p>
    <w:p>
      <w:pPr>
        <w:pStyle w:val="Normal"/>
        <w:spacing w:lineRule="auto" w:line="360"/>
        <w:rPr>
          <w:rFonts w:ascii="Times New Roman" w:hAnsi="Times New Roman" w:cs="Times New Roman"/>
          <w:b/>
          <w:bCs/>
          <w:color w:val="000000"/>
          <w:sz w:val="22"/>
          <w:szCs w:val="22"/>
        </w:rPr>
      </w:pPr>
      <w:r>
        <w:rPr>
          <w:rFonts w:cs="Times New Roman" w:ascii="Times New Roman" w:hAnsi="Times New Roman"/>
          <w:b/>
          <w:bCs/>
          <w:color w:val="000000"/>
          <w:sz w:val="22"/>
          <w:szCs w:val="22"/>
        </w:rPr>
      </w:r>
    </w:p>
    <w:p>
      <w:pPr>
        <w:pStyle w:val="Normal"/>
        <w:widowControl/>
        <w:spacing w:lineRule="auto" w:line="360"/>
        <w:jc w:val="left"/>
        <w:rPr>
          <w:rFonts w:ascii="Times New Roman" w:hAnsi="Times New Roman" w:cs="Times New Roman"/>
          <w:b/>
          <w:bCs/>
          <w:color w:val="000000"/>
        </w:rPr>
      </w:pPr>
      <w:r>
        <w:rPr>
          <w:rFonts w:cs="Times New Roman" w:ascii="Times New Roman" w:hAnsi="Times New Roman"/>
          <w:b/>
          <w:bCs/>
          <w:color w:val="000000"/>
        </w:rPr>
      </w:r>
    </w:p>
    <w:p>
      <w:pPr>
        <w:pStyle w:val="Normal"/>
        <w:spacing w:lineRule="auto" w:line="360"/>
        <w:rPr>
          <w:color w:val="000000"/>
        </w:rPr>
      </w:pPr>
      <w:r>
        <w:rPr>
          <w:rFonts w:cs="Times New Roman" w:ascii="Times New Roman" w:hAnsi="Times New Roman"/>
          <w:color w:val="000000"/>
          <w:sz w:val="22"/>
          <w:szCs w:val="22"/>
        </w:rPr>
        <w:t>1. College of Basic Medical Science, Dalian Medical University, Dalian, China, 116044.</w:t>
      </w:r>
    </w:p>
    <w:p>
      <w:pPr>
        <w:pStyle w:val="Normal"/>
        <w:spacing w:lineRule="auto" w:line="360"/>
        <w:rPr>
          <w:color w:val="000000"/>
        </w:rPr>
      </w:pPr>
      <w:r>
        <w:rPr>
          <w:rFonts w:cs="Times New Roman" w:ascii="Times New Roman" w:hAnsi="Times New Roman"/>
          <w:color w:val="000000"/>
          <w:sz w:val="22"/>
          <w:szCs w:val="22"/>
        </w:rPr>
        <w:t xml:space="preserve">2. Advanced Institute for Medical Sciences, Dalian Medical University, Dalian, China, 116044. </w:t>
      </w:r>
    </w:p>
    <w:p>
      <w:pPr>
        <w:pStyle w:val="Normal"/>
        <w:spacing w:lineRule="auto" w:line="360"/>
        <w:rPr>
          <w:color w:val="000000"/>
        </w:rPr>
      </w:pPr>
      <w:r>
        <w:rPr>
          <w:rFonts w:cs="Times New Roman" w:ascii="Times New Roman" w:hAnsi="Times New Roman"/>
          <w:color w:val="000000"/>
          <w:sz w:val="22"/>
          <w:szCs w:val="22"/>
        </w:rPr>
        <w:t xml:space="preserve">3. Health Science Center, East China Normal University, Shanghai, China, 200241. </w:t>
      </w:r>
    </w:p>
    <w:p>
      <w:pPr>
        <w:pStyle w:val="Normal"/>
        <w:spacing w:lineRule="auto" w:line="36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Normal"/>
        <w:spacing w:lineRule="auto" w:line="36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Normal"/>
        <w:spacing w:lineRule="auto" w:line="36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Normal"/>
        <w:spacing w:lineRule="auto" w:line="360"/>
        <w:rPr>
          <w:color w:val="000000"/>
        </w:rPr>
      </w:pPr>
      <w:r>
        <w:rPr>
          <w:rFonts w:cs="Times New Roman" w:ascii="Times New Roman" w:hAnsi="Times New Roman"/>
          <w:color w:val="000000"/>
          <w:sz w:val="22"/>
          <w:szCs w:val="22"/>
        </w:rPr>
        <w:t>* These authors contributed equally to this work.</w:t>
      </w:r>
    </w:p>
    <w:p>
      <w:pPr>
        <w:pStyle w:val="Normal"/>
        <w:spacing w:lineRule="auto" w:line="360"/>
        <w:rPr>
          <w:color w:val="000000"/>
        </w:rPr>
      </w:pPr>
      <w:r>
        <w:rPr>
          <w:rFonts w:cs="Times New Roman" w:ascii="Times New Roman" w:hAnsi="Times New Roman"/>
          <w:color w:val="000000"/>
          <w:sz w:val="22"/>
          <w:szCs w:val="22"/>
        </w:rPr>
        <w:t xml:space="preserve"># Corresponding Author: Xiuli Wang, Email: wangxl01@dmu.edu.cn, College of Basic Medical Science, Dalian Medical University, </w:t>
      </w:r>
      <w:bookmarkStart w:id="0" w:name="OLE_LINK2"/>
      <w:bookmarkStart w:id="1" w:name="OLE_LINK1"/>
      <w:r>
        <w:rPr>
          <w:rFonts w:cs="Times New Roman" w:ascii="Times New Roman" w:hAnsi="Times New Roman"/>
          <w:color w:val="000000"/>
          <w:sz w:val="22"/>
          <w:szCs w:val="22"/>
        </w:rPr>
        <w:t>Dalian, China,</w:t>
      </w:r>
      <w:bookmarkEnd w:id="0"/>
      <w:bookmarkEnd w:id="1"/>
      <w:r>
        <w:rPr>
          <w:rFonts w:cs="Times New Roman" w:ascii="Times New Roman" w:hAnsi="Times New Roman"/>
          <w:color w:val="000000"/>
          <w:sz w:val="22"/>
          <w:szCs w:val="22"/>
        </w:rPr>
        <w:t xml:space="preserve"> 116044.</w:t>
      </w:r>
    </w:p>
    <w:p>
      <w:pPr>
        <w:pStyle w:val="Normal"/>
        <w:widowControl/>
        <w:spacing w:lineRule="auto" w:line="360"/>
        <w:jc w:val="left"/>
        <w:rPr>
          <w:rFonts w:ascii="Times New Roman" w:hAnsi="Times New Roman" w:cs="Times New Roman"/>
          <w:b/>
          <w:bCs/>
          <w:color w:val="000000"/>
        </w:rPr>
      </w:pPr>
      <w:r>
        <w:rPr>
          <w:rFonts w:cs="Times New Roman" w:ascii="Times New Roman" w:hAnsi="Times New Roman"/>
          <w:b/>
          <w:bCs/>
          <w:color w:val="000000"/>
        </w:rPr>
      </w:r>
    </w:p>
    <w:p>
      <w:pPr>
        <w:pStyle w:val="Normal"/>
        <w:widowControl/>
        <w:spacing w:lineRule="auto" w:line="360"/>
        <w:jc w:val="left"/>
        <w:rPr>
          <w:rFonts w:ascii="Times New Roman" w:hAnsi="Times New Roman" w:cs="Times New Roman"/>
          <w:b/>
          <w:bCs/>
          <w:color w:val="000000"/>
        </w:rPr>
      </w:pPr>
      <w:r>
        <w:rPr>
          <w:rFonts w:cs="Times New Roman" w:ascii="Times New Roman" w:hAnsi="Times New Roman"/>
          <w:b/>
          <w:bCs/>
          <w:color w:val="000000"/>
        </w:rPr>
      </w:r>
      <w:r>
        <w:br w:type="page"/>
      </w:r>
    </w:p>
    <w:p>
      <w:pPr>
        <w:pStyle w:val="Normal"/>
        <w:widowControl/>
        <w:spacing w:lineRule="auto" w:line="360" w:before="0" w:after="0"/>
        <w:jc w:val="left"/>
        <w:rPr>
          <w:color w:val="000000"/>
        </w:rPr>
      </w:pPr>
      <w:r>
        <w:rPr>
          <w:rFonts w:cs="Times New Roman" w:ascii="Times New Roman" w:hAnsi="Times New Roman"/>
          <w:b/>
          <w:bCs/>
          <w:color w:val="000000"/>
        </w:rPr>
        <w:t xml:space="preserve">Supplementary materials and methods </w:t>
      </w:r>
    </w:p>
    <w:p>
      <w:pPr>
        <w:pStyle w:val="Normal"/>
        <w:widowControl/>
        <w:spacing w:lineRule="auto" w:line="360"/>
        <w:jc w:val="left"/>
        <w:rPr>
          <w:rFonts w:ascii="Times New Roman" w:hAnsi="Times New Roman" w:cs="Times New Roman"/>
          <w:b/>
          <w:bCs/>
          <w:color w:val="000000"/>
        </w:rPr>
      </w:pPr>
      <w:r>
        <w:rPr>
          <w:rFonts w:cs="Times New Roman" w:ascii="Times New Roman" w:hAnsi="Times New Roman"/>
          <w:b/>
          <w:bCs/>
          <w:color w:val="000000"/>
        </w:rPr>
      </w:r>
    </w:p>
    <w:p>
      <w:pPr>
        <w:pStyle w:val="Normal"/>
        <w:spacing w:lineRule="auto" w:line="360"/>
        <w:rPr>
          <w:color w:val="000000"/>
        </w:rPr>
      </w:pPr>
      <w:r>
        <w:rPr>
          <w:rFonts w:cs="Times New Roman" w:ascii="Times New Roman" w:hAnsi="Times New Roman"/>
          <w:b/>
          <w:bCs/>
          <w:color w:val="000000"/>
        </w:rPr>
        <w:t>Reagents</w:t>
      </w:r>
    </w:p>
    <w:p>
      <w:pPr>
        <w:pStyle w:val="Normal"/>
        <w:widowControl/>
        <w:spacing w:lineRule="auto" w:line="360"/>
        <w:rPr>
          <w:color w:val="000000"/>
        </w:rPr>
      </w:pPr>
      <w:r>
        <w:rPr>
          <w:rFonts w:cs="Times New Roman" w:ascii="Times New Roman" w:hAnsi="Times New Roman"/>
          <w:color w:val="000000"/>
        </w:rPr>
        <w:t xml:space="preserve">Phenylephrine (Phe) (BP284), Acetylcholine (ACh) (A2661), and Sodium nitroprusside (SNP) (71778) were obtained from Sigma. </w:t>
      </w:r>
      <w:bookmarkStart w:id="2" w:name="OLE_LINK299"/>
      <w:r>
        <w:rPr>
          <w:rFonts w:cs="Times New Roman" w:ascii="Times New Roman" w:hAnsi="Times New Roman"/>
          <w:color w:val="000000"/>
        </w:rPr>
        <w:t>BeaverBeadsTM Protein A/G Immunoprecipitation Kit (22202-20)</w:t>
      </w:r>
      <w:bookmarkEnd w:id="2"/>
      <w:r>
        <w:rPr>
          <w:rFonts w:cs="Times New Roman" w:ascii="Times New Roman" w:hAnsi="Times New Roman"/>
          <w:color w:val="000000"/>
        </w:rPr>
        <w:t xml:space="preserve"> </w:t>
      </w:r>
      <w:r>
        <w:rPr>
          <w:rFonts w:cs="Times New Roman" w:ascii="Times New Roman" w:hAnsi="Times New Roman"/>
          <w:color w:val="000000"/>
        </w:rPr>
        <w:t>were obtained from Beaver.</w:t>
      </w:r>
    </w:p>
    <w:p>
      <w:pPr>
        <w:pStyle w:val="Normal"/>
        <w:spacing w:lineRule="auto" w:line="360"/>
        <w:rPr>
          <w:rFonts w:ascii="Times New Roman" w:hAnsi="Times New Roman" w:cs="Times New Roman"/>
          <w:b/>
          <w:bCs/>
          <w:color w:val="000000"/>
        </w:rPr>
      </w:pPr>
      <w:r>
        <w:rPr>
          <w:rFonts w:cs="Times New Roman" w:ascii="Times New Roman" w:hAnsi="Times New Roman"/>
          <w:b/>
          <w:bCs/>
          <w:color w:val="000000"/>
        </w:rPr>
      </w:r>
    </w:p>
    <w:p>
      <w:pPr>
        <w:pStyle w:val="Normal"/>
        <w:spacing w:lineRule="auto" w:line="360"/>
        <w:rPr>
          <w:color w:val="000000"/>
        </w:rPr>
      </w:pPr>
      <w:r>
        <w:rPr>
          <w:rFonts w:cs="Times New Roman" w:ascii="Times New Roman" w:hAnsi="Times New Roman"/>
          <w:b/>
          <w:bCs/>
          <w:color w:val="000000"/>
        </w:rPr>
        <w:t>Antibodies</w:t>
      </w:r>
    </w:p>
    <w:p>
      <w:pPr>
        <w:pStyle w:val="Normal"/>
        <w:widowControl/>
        <w:spacing w:lineRule="auto" w:line="360"/>
        <w:jc w:val="left"/>
        <w:rPr>
          <w:color w:val="000000"/>
        </w:rPr>
      </w:pPr>
      <w:r>
        <w:rPr>
          <w:rFonts w:cs="Times New Roman" w:ascii="Times New Roman" w:hAnsi="Times New Roman"/>
          <w:color w:val="000000"/>
        </w:rPr>
        <w:t xml:space="preserve">Anti-Caspase7 (27155-1-AP) was purchased from Proteintech. Anti-GSDME-NT (55879S) was </w:t>
      </w:r>
      <w:r>
        <w:rPr>
          <w:rFonts w:cs="Times New Roman" w:ascii="Times New Roman" w:hAnsi="Times New Roman"/>
          <w:color w:val="000000"/>
        </w:rPr>
        <w:t>obtained from CST.</w:t>
      </w:r>
    </w:p>
    <w:p>
      <w:pPr>
        <w:pStyle w:val="Normal"/>
        <w:widowControl/>
        <w:spacing w:lineRule="auto" w:line="360"/>
        <w:jc w:val="left"/>
        <w:rPr>
          <w:rFonts w:ascii="Times New Roman" w:hAnsi="Times New Roman" w:cs="Times New Roman"/>
          <w:b/>
          <w:bCs/>
          <w:color w:val="000000"/>
        </w:rPr>
      </w:pPr>
      <w:r>
        <w:rPr>
          <w:rFonts w:cs="Times New Roman" w:ascii="Times New Roman" w:hAnsi="Times New Roman"/>
          <w:b/>
          <w:bCs/>
          <w:color w:val="000000"/>
        </w:rPr>
      </w:r>
    </w:p>
    <w:p>
      <w:pPr>
        <w:pStyle w:val="Normal"/>
        <w:widowControl/>
        <w:spacing w:lineRule="auto" w:line="360"/>
        <w:jc w:val="left"/>
        <w:rPr>
          <w:color w:val="000000"/>
        </w:rPr>
      </w:pPr>
      <w:r>
        <w:rPr>
          <w:rFonts w:cs="Times New Roman" w:ascii="Times New Roman" w:hAnsi="Times New Roman"/>
          <w:b/>
          <w:bCs/>
          <w:color w:val="000000"/>
        </w:rPr>
        <w:t>Methods</w:t>
      </w:r>
    </w:p>
    <w:p>
      <w:pPr>
        <w:pStyle w:val="Normal"/>
        <w:spacing w:lineRule="auto" w:line="360"/>
        <w:rPr>
          <w:color w:val="000000"/>
        </w:rPr>
      </w:pPr>
      <w:bookmarkStart w:id="3" w:name="OLE_LINK42"/>
      <w:bookmarkEnd w:id="3"/>
      <w:r>
        <w:rPr>
          <w:rFonts w:cs="Times New Roman" w:ascii="Times New Roman" w:hAnsi="Times New Roman"/>
          <w:b/>
          <w:bCs/>
          <w:color w:val="000000"/>
        </w:rPr>
        <w:t>Isolation and Functional Assessment of Thoracic Aortic Rings in Mice</w:t>
      </w:r>
    </w:p>
    <w:p>
      <w:pPr>
        <w:pStyle w:val="Normal"/>
        <w:spacing w:lineRule="auto" w:line="360"/>
        <w:rPr>
          <w:color w:val="000000"/>
        </w:rPr>
      </w:pPr>
      <w:r>
        <w:rPr>
          <w:rFonts w:cs="Times New Roman" w:ascii="Times New Roman" w:hAnsi="Times New Roman"/>
          <w:color w:val="000000"/>
        </w:rPr>
        <w:t xml:space="preserve">The thoracic aortic ring was isolated as previously described </w:t>
      </w:r>
      <w:r>
        <w:fldChar w:fldCharType="begin"/>
      </w:r>
      <w:r>
        <w:rPr>
          <w:rFonts w:cs="Times New Roman" w:ascii="Times New Roman" w:hAnsi="Times New Roman"/>
          <w:color w:val="000000"/>
        </w:rPr>
        <w:instrText xml:space="preserve">ADDIN EN.CITE</w:instrText>
      </w:r>
      <w:r>
        <w:rPr>
          <w:rFonts w:cs="Times New Roman" w:ascii="Times New Roman" w:hAnsi="Times New Roman"/>
          <w:color w:val="000000"/>
        </w:rPr>
      </w:r>
      <w:r>
        <w:fldChar w:fldCharType="begin"/>
      </w:r>
      <w:r>
        <w:rPr>
          <w:rFonts w:cs="Times New Roman" w:ascii="Times New Roman" w:hAnsi="Times New Roman"/>
          <w:color w:val="000000"/>
        </w:rPr>
        <w:instrText xml:space="preserve">ADDIN EN.CITE.DATA</w:instrText>
      </w:r>
      <w:r>
        <w:rPr>
          <w:rFonts w:cs="Times New Roman" w:ascii="Times New Roman" w:hAnsi="Times New Roman"/>
          <w:color w:val="000000"/>
        </w:rPr>
      </w:r>
      <w:r>
        <w:rPr>
          <w:rFonts w:cs="Times New Roman" w:ascii="Times New Roman" w:hAnsi="Times New Roman"/>
          <w:color w:val="000000"/>
        </w:rPr>
        <w:fldChar w:fldCharType="separate"/>
      </w:r>
      <w:r>
        <w:rPr>
          <w:rFonts w:cs="Times New Roman" w:ascii="Times New Roman" w:hAnsi="Times New Roman"/>
          <w:color w:val="000000"/>
        </w:rPr>
      </w:r>
      <w:r>
        <w:rPr>
          <w:rFonts w:cs="Times New Roman" w:ascii="Times New Roman" w:hAnsi="Times New Roman"/>
          <w:color w:val="000000"/>
        </w:rPr>
      </w:r>
      <w:r>
        <w:rPr>
          <w:rFonts w:cs="Times New Roman" w:ascii="Times New Roman" w:hAnsi="Times New Roman"/>
          <w:color w:val="000000"/>
        </w:rPr>
        <w:fldChar w:fldCharType="end"/>
      </w:r>
      <w:r>
        <w:rPr>
          <w:rFonts w:cs="Times New Roman" w:ascii="Times New Roman" w:hAnsi="Times New Roman"/>
          <w:color w:val="000000"/>
        </w:rPr>
        <w:fldChar w:fldCharType="separate"/>
      </w:r>
      <w:r>
        <w:rPr>
          <w:rFonts w:cs="Times New Roman" w:ascii="Times New Roman" w:hAnsi="Times New Roman"/>
          <w:color w:val="000000"/>
        </w:rPr>
        <w:t>[1]</w:t>
      </w:r>
      <w:r>
        <w:rPr>
          <w:rFonts w:cs="Times New Roman" w:ascii="Times New Roman" w:hAnsi="Times New Roman"/>
          <w:color w:val="000000"/>
        </w:rPr>
      </w:r>
      <w:r>
        <w:rPr>
          <w:rFonts w:cs="Times New Roman" w:ascii="Times New Roman" w:hAnsi="Times New Roman"/>
          <w:color w:val="000000"/>
        </w:rPr>
        <w:fldChar w:fldCharType="end"/>
      </w:r>
      <w:r>
        <w:rPr>
          <w:rFonts w:cs="Times New Roman" w:ascii="Times New Roman" w:hAnsi="Times New Roman"/>
          <w:color w:val="000000"/>
        </w:rPr>
        <w:t>. In brief, C57BL/6 mice were euthanized using CO</w:t>
      </w:r>
      <w:r>
        <w:rPr>
          <w:rFonts w:cs="Times New Roman" w:ascii="Times New Roman" w:hAnsi="Times New Roman"/>
          <w:color w:val="000000"/>
          <w:vertAlign w:val="subscript"/>
        </w:rPr>
        <w:t>2</w:t>
      </w:r>
      <w:r>
        <w:rPr>
          <w:rFonts w:cs="Times New Roman" w:ascii="Times New Roman" w:hAnsi="Times New Roman"/>
          <w:color w:val="000000"/>
        </w:rPr>
        <w:t>, and the thoracic aorta was carefully excised and placed in a Na</w:t>
      </w:r>
      <w:r>
        <w:rPr>
          <w:rFonts w:cs="Times New Roman" w:ascii="Times New Roman" w:hAnsi="Times New Roman"/>
          <w:color w:val="000000"/>
          <w:vertAlign w:val="superscript"/>
        </w:rPr>
        <w:t>+</w:t>
      </w:r>
      <w:r>
        <w:rPr>
          <w:rFonts w:cs="Times New Roman" w:ascii="Times New Roman" w:hAnsi="Times New Roman"/>
          <w:color w:val="000000"/>
        </w:rPr>
        <w:t>-Krebs solution that had been pre-oxygenated with 95% O</w:t>
      </w:r>
      <w:r>
        <w:rPr>
          <w:rFonts w:cs="Times New Roman" w:ascii="Times New Roman" w:hAnsi="Times New Roman"/>
          <w:color w:val="000000"/>
          <w:vertAlign w:val="subscript"/>
        </w:rPr>
        <w:t>2</w:t>
      </w:r>
      <w:r>
        <w:rPr>
          <w:rFonts w:cs="Times New Roman" w:ascii="Times New Roman" w:hAnsi="Times New Roman"/>
          <w:color w:val="000000"/>
        </w:rPr>
        <w:t xml:space="preserve"> and 5% CO</w:t>
      </w:r>
      <w:r>
        <w:rPr>
          <w:rFonts w:cs="Times New Roman" w:ascii="Times New Roman" w:hAnsi="Times New Roman"/>
          <w:color w:val="000000"/>
          <w:vertAlign w:val="subscript"/>
        </w:rPr>
        <w:t>2</w:t>
      </w:r>
      <w:r>
        <w:rPr>
          <w:rFonts w:cs="Times New Roman" w:ascii="Times New Roman" w:hAnsi="Times New Roman"/>
          <w:color w:val="000000"/>
        </w:rPr>
        <w:t>. Subsequently, the vascular ring was cut into a length of approximately 2mm under a stereomicroscope. Fix the vascular ring onto the vascular tension meter (DMT), adjust the baseline tension to 3mN, and allow it to stabilize for one hour. Then 60mM K</w:t>
      </w:r>
      <w:r>
        <w:rPr>
          <w:rFonts w:cs="Times New Roman" w:ascii="Times New Roman" w:hAnsi="Times New Roman"/>
          <w:color w:val="000000"/>
          <w:vertAlign w:val="superscript"/>
        </w:rPr>
        <w:t>+</w:t>
      </w:r>
      <w:r>
        <w:rPr>
          <w:rFonts w:cs="Times New Roman" w:ascii="Times New Roman" w:hAnsi="Times New Roman"/>
          <w:color w:val="000000"/>
        </w:rPr>
        <w:t xml:space="preserve"> and 10</w:t>
      </w:r>
      <w:r>
        <w:rPr>
          <w:rFonts w:cs="Times New Roman" w:ascii="Times New Roman" w:hAnsi="Times New Roman"/>
          <w:color w:val="000000"/>
          <w:vertAlign w:val="superscript"/>
        </w:rPr>
        <w:t>-5</w:t>
      </w:r>
      <w:r>
        <w:rPr>
          <w:rFonts w:cs="Times New Roman" w:ascii="Times New Roman" w:hAnsi="Times New Roman"/>
          <w:color w:val="000000"/>
        </w:rPr>
        <w:t>M ACh were subsequently introduced to evaluate vascular ring activity.</w:t>
      </w:r>
    </w:p>
    <w:p>
      <w:pPr>
        <w:pStyle w:val="Normal"/>
        <w:spacing w:lineRule="auto" w:line="360"/>
        <w:rPr>
          <w:color w:val="000000"/>
        </w:rPr>
      </w:pPr>
      <w:bookmarkStart w:id="4" w:name="OLE_LINK42"/>
      <w:bookmarkStart w:id="5" w:name="OLE_LINK148"/>
      <w:bookmarkStart w:id="6" w:name="OLE_LINK149"/>
      <w:bookmarkStart w:id="7" w:name="OLE_LINK303"/>
      <w:bookmarkEnd w:id="4"/>
      <w:r>
        <w:rPr>
          <w:rFonts w:cs="Times New Roman" w:ascii="Times New Roman" w:hAnsi="Times New Roman"/>
          <w:b/>
          <w:bCs/>
          <w:color w:val="000000"/>
        </w:rPr>
        <w:t>Immunoprecipitation-Mass Spectrometry (IP-MS)</w:t>
      </w:r>
    </w:p>
    <w:p>
      <w:pPr>
        <w:pStyle w:val="Normal"/>
        <w:spacing w:lineRule="auto" w:line="360"/>
        <w:rPr>
          <w:color w:val="000000"/>
        </w:rPr>
      </w:pPr>
      <w:bookmarkStart w:id="8" w:name="OLE_LINK304"/>
      <w:r>
        <w:rPr>
          <w:rFonts w:cs="Times New Roman" w:ascii="Times New Roman" w:hAnsi="Times New Roman"/>
          <w:color w:val="000000"/>
        </w:rPr>
        <w:t>According to the kit instructions, add 20 µL of protein lysis buffer containing 1 mM PMSF for every 1×10</w:t>
      </w:r>
      <w:r>
        <w:rPr>
          <w:rFonts w:cs="Times New Roman" w:ascii="Times New Roman" w:hAnsi="Times New Roman"/>
          <w:color w:val="000000"/>
          <w:vertAlign w:val="superscript"/>
        </w:rPr>
        <w:t>5</w:t>
      </w:r>
      <w:r>
        <w:rPr>
          <w:rFonts w:cs="Times New Roman" w:ascii="Times New Roman" w:hAnsi="Times New Roman"/>
          <w:color w:val="000000"/>
        </w:rPr>
        <w:t xml:space="preserve"> cells. Take 50 µL of the protein lysis buffer and mix it with 200 µL of antibody working solution at a concentration of 5 µg/mL, then incubate the mixture overnight on a shaking platform at 4°C. The next day, add 25 µL of Protein A/G coated magnetic beads to the mixture and incubate on a shaking platform at room temperature for 15 minutes. Perform magnetic separation to isolate the beads and wash them twice with 200 µL of washing solution. Next, add 25 µL of 1x SDS-PAGE loading buffer to the washed beads, heat at 95°C for 5 minutes, and use magnetic separation to remove the beads, collecting the supernatant for SDS-PAGE or Western blot detection. For the target band in SDS-PAGE, recover it for mass spectrometry analysis, which will be performed by iProteome, Shanghai, China.</w:t>
      </w:r>
      <w:bookmarkEnd w:id="7"/>
      <w:bookmarkEnd w:id="8"/>
    </w:p>
    <w:p>
      <w:pPr>
        <w:pStyle w:val="Normal"/>
        <w:spacing w:lineRule="auto" w:line="360"/>
        <w:rPr>
          <w:rFonts w:ascii="Times New Roman" w:hAnsi="Times New Roman" w:cs="Times New Roman"/>
          <w:color w:val="000000"/>
        </w:rPr>
      </w:pPr>
      <w:r>
        <w:rPr>
          <w:rFonts w:cs="Times New Roman" w:ascii="Times New Roman" w:hAnsi="Times New Roman"/>
          <w:color w:val="000000"/>
        </w:rPr>
      </w:r>
    </w:p>
    <w:p>
      <w:pPr>
        <w:pStyle w:val="Normal"/>
        <w:spacing w:lineRule="auto" w:line="360"/>
        <w:rPr>
          <w:color w:val="000000"/>
        </w:rPr>
      </w:pPr>
      <w:r>
        <w:rPr>
          <w:rFonts w:cs="Times New Roman" w:ascii="Times New Roman" w:hAnsi="Times New Roman"/>
          <w:b/>
          <w:bCs/>
          <w:color w:val="000000"/>
        </w:rPr>
        <w:t>Effects of MGO on Vascular Ring Function</w:t>
      </w:r>
    </w:p>
    <w:p>
      <w:pPr>
        <w:pStyle w:val="Normal"/>
        <w:spacing w:lineRule="auto" w:line="360"/>
        <w:rPr>
          <w:color w:val="000000"/>
        </w:rPr>
      </w:pPr>
      <w:r>
        <w:rPr>
          <w:rFonts w:cs="Times New Roman" w:ascii="Times New Roman" w:hAnsi="Times New Roman"/>
          <w:color w:val="000000"/>
        </w:rPr>
        <w:t>Vascular rings exhibiting optimal reactivity and functionality were carefully selected from the same mouse and divided into two groups: Control group and MGO group. The vascular rings were exposed to vehicle or 0.8mM MGO for a duration of 20 minutes, respectively, followed by stimulation with 10</w:t>
      </w:r>
      <w:r>
        <w:rPr>
          <w:rFonts w:cs="Times New Roman" w:ascii="Times New Roman" w:hAnsi="Times New Roman"/>
          <w:color w:val="000000"/>
          <w:vertAlign w:val="superscript"/>
        </w:rPr>
        <w:t>-5</w:t>
      </w:r>
      <w:r>
        <w:rPr>
          <w:rFonts w:cs="Times New Roman" w:ascii="Times New Roman" w:hAnsi="Times New Roman"/>
          <w:color w:val="000000"/>
        </w:rPr>
        <w:t xml:space="preserve">M Phe to induce vascular ring contraction for approximately 15 minutes. Subsequently, the tension of the vascular ring was </w:t>
      </w:r>
      <w:bookmarkStart w:id="9" w:name="OLE_LINK219"/>
      <w:bookmarkStart w:id="10" w:name="OLE_LINK220"/>
      <w:r>
        <w:rPr>
          <w:rFonts w:cs="Times New Roman" w:ascii="Times New Roman" w:hAnsi="Times New Roman"/>
          <w:color w:val="000000"/>
        </w:rPr>
        <w:t xml:space="preserve">recorded </w:t>
      </w:r>
      <w:bookmarkEnd w:id="9"/>
      <w:bookmarkEnd w:id="10"/>
      <w:r>
        <w:rPr>
          <w:rFonts w:cs="Times New Roman" w:ascii="Times New Roman" w:hAnsi="Times New Roman"/>
          <w:color w:val="000000"/>
        </w:rPr>
        <w:t>upon incremental addition of ACh (10</w:t>
      </w:r>
      <w:r>
        <w:rPr>
          <w:rFonts w:cs="Times New Roman" w:ascii="Times New Roman" w:hAnsi="Times New Roman"/>
          <w:color w:val="000000"/>
          <w:vertAlign w:val="superscript"/>
        </w:rPr>
        <w:t>-9</w:t>
      </w:r>
      <w:r>
        <w:rPr>
          <w:rFonts w:cs="Times New Roman" w:ascii="Times New Roman" w:hAnsi="Times New Roman"/>
          <w:color w:val="000000"/>
        </w:rPr>
        <w:t>-10</w:t>
      </w:r>
      <w:r>
        <w:rPr>
          <w:rFonts w:cs="Times New Roman" w:ascii="Times New Roman" w:hAnsi="Times New Roman"/>
          <w:color w:val="000000"/>
          <w:vertAlign w:val="superscript"/>
        </w:rPr>
        <w:t>-5</w:t>
      </w:r>
      <w:r>
        <w:rPr>
          <w:rFonts w:cs="Times New Roman" w:ascii="Times New Roman" w:hAnsi="Times New Roman"/>
          <w:color w:val="000000"/>
        </w:rPr>
        <w:t xml:space="preserve"> M) to assess the activity of endothelial cells. Following this evaluation, Na</w:t>
      </w:r>
      <w:r>
        <w:rPr>
          <w:rFonts w:cs="Times New Roman" w:ascii="Times New Roman" w:hAnsi="Times New Roman"/>
          <w:color w:val="000000"/>
          <w:vertAlign w:val="superscript"/>
        </w:rPr>
        <w:t>+</w:t>
      </w:r>
      <w:r>
        <w:rPr>
          <w:rFonts w:cs="Times New Roman" w:ascii="Times New Roman" w:hAnsi="Times New Roman"/>
          <w:color w:val="000000"/>
        </w:rPr>
        <w:t>-Krebs solution was administered three times with an interval of 2 minutes between each application. After thorough washing, another round of stimulation with 10</w:t>
      </w:r>
      <w:r>
        <w:rPr>
          <w:rFonts w:cs="Times New Roman" w:ascii="Times New Roman" w:hAnsi="Times New Roman"/>
          <w:color w:val="000000"/>
          <w:vertAlign w:val="superscript"/>
        </w:rPr>
        <w:t xml:space="preserve">-5 </w:t>
      </w:r>
      <w:r>
        <w:rPr>
          <w:rFonts w:cs="Times New Roman" w:ascii="Times New Roman" w:hAnsi="Times New Roman"/>
          <w:color w:val="000000"/>
        </w:rPr>
        <w:t xml:space="preserve">M Phe was performed to elicit vascular contraction for approximately 15 minutes. Finally, the tension in the vascular ring was </w:t>
      </w:r>
      <w:r>
        <w:rPr>
          <w:rFonts w:cs="Times New Roman" w:ascii="Times New Roman" w:hAnsi="Times New Roman"/>
          <w:color w:val="000000"/>
          <w:kern w:val="0"/>
        </w:rPr>
        <w:t>recorded</w:t>
      </w:r>
      <w:r>
        <w:rPr>
          <w:rFonts w:cs="Times New Roman" w:ascii="Times New Roman" w:hAnsi="Times New Roman"/>
          <w:color w:val="000000"/>
        </w:rPr>
        <w:t xml:space="preserve"> while increasing concentrations of SNP (10</w:t>
      </w:r>
      <w:r>
        <w:rPr>
          <w:rFonts w:cs="Times New Roman" w:ascii="Times New Roman" w:hAnsi="Times New Roman"/>
          <w:color w:val="000000"/>
          <w:vertAlign w:val="superscript"/>
        </w:rPr>
        <w:t>-9</w:t>
      </w:r>
      <w:r>
        <w:rPr>
          <w:rFonts w:cs="Times New Roman" w:ascii="Times New Roman" w:hAnsi="Times New Roman"/>
          <w:color w:val="000000"/>
        </w:rPr>
        <w:t>-10</w:t>
      </w:r>
      <w:r>
        <w:rPr>
          <w:rFonts w:cs="Times New Roman" w:ascii="Times New Roman" w:hAnsi="Times New Roman"/>
          <w:color w:val="000000"/>
          <w:vertAlign w:val="superscript"/>
        </w:rPr>
        <w:t>-5</w:t>
      </w:r>
      <w:r>
        <w:rPr>
          <w:rFonts w:cs="Times New Roman" w:ascii="Times New Roman" w:hAnsi="Times New Roman"/>
          <w:color w:val="000000"/>
        </w:rPr>
        <w:t xml:space="preserve"> M) were introduced to evaluate the activity of smooth muscle cells within the vasculature.</w:t>
      </w:r>
      <w:bookmarkEnd w:id="5"/>
      <w:bookmarkEnd w:id="6"/>
    </w:p>
    <w:p>
      <w:pPr>
        <w:pStyle w:val="Normal"/>
        <w:spacing w:lineRule="auto" w:line="360"/>
        <w:rPr>
          <w:rFonts w:ascii="Times New Roman" w:hAnsi="Times New Roman" w:cs="Times New Roman"/>
          <w:color w:val="000000"/>
        </w:rPr>
      </w:pPr>
      <w:r>
        <w:rPr>
          <w:rFonts w:cs="Times New Roman" w:ascii="Times New Roman" w:hAnsi="Times New Roman"/>
          <w:color w:val="000000"/>
        </w:rPr>
      </w:r>
    </w:p>
    <w:p>
      <w:pPr>
        <w:pStyle w:val="Normal"/>
        <w:spacing w:lineRule="auto" w:line="360"/>
        <w:rPr>
          <w:color w:val="000000"/>
        </w:rPr>
      </w:pPr>
      <w:r>
        <w:rPr>
          <w:rFonts w:cs="Times New Roman" w:ascii="Times New Roman" w:hAnsi="Times New Roman"/>
          <w:b/>
          <w:bCs/>
          <w:color w:val="000000"/>
        </w:rPr>
        <w:t>Evaluation of Cardiac Function in Mice</w:t>
      </w:r>
    </w:p>
    <w:p>
      <w:pPr>
        <w:pStyle w:val="Normal"/>
        <w:spacing w:lineRule="auto" w:line="360"/>
        <w:rPr>
          <w:color w:val="000000"/>
        </w:rPr>
      </w:pPr>
      <w:r>
        <w:rPr>
          <w:rFonts w:cs="Times New Roman" w:ascii="Times New Roman" w:hAnsi="Times New Roman"/>
          <w:color w:val="000000"/>
        </w:rPr>
        <w:t>In this study, mice were anesthetized using isoflurane and cardiac function was assessed utilizing high-resolution ultrasound (Fujifilm Visual Sonics, Vevo 3100). The evaluated parameters included ejection fraction (EF), fractional shortening (FS), left ventricular anterior wall thickness (LVAW), and left ventricular posterior wall thickness (LVPW).</w:t>
      </w:r>
    </w:p>
    <w:p>
      <w:pPr>
        <w:pStyle w:val="Normal"/>
        <w:widowControl/>
        <w:spacing w:lineRule="auto" w:line="360"/>
        <w:jc w:val="left"/>
        <w:rPr>
          <w:rFonts w:ascii="Times New Roman" w:hAnsi="Times New Roman" w:cs="Times New Roman"/>
          <w:b/>
          <w:bCs/>
          <w:color w:val="000000"/>
        </w:rPr>
      </w:pPr>
      <w:r>
        <w:rPr>
          <w:rFonts w:cs="Times New Roman" w:ascii="Times New Roman" w:hAnsi="Times New Roman"/>
          <w:b/>
          <w:bCs/>
          <w:color w:val="000000"/>
        </w:rPr>
      </w:r>
    </w:p>
    <w:p>
      <w:pPr>
        <w:pStyle w:val="Normal"/>
        <w:widowControl/>
        <w:spacing w:lineRule="auto" w:line="360"/>
        <w:jc w:val="left"/>
        <w:rPr>
          <w:rFonts w:ascii="Times New Roman" w:hAnsi="Times New Roman" w:cs="Times New Roman"/>
          <w:b/>
          <w:bCs/>
          <w:color w:val="000000"/>
        </w:rPr>
      </w:pPr>
      <w:r>
        <w:rPr>
          <w:rFonts w:cs="Times New Roman" w:ascii="Times New Roman" w:hAnsi="Times New Roman"/>
          <w:b/>
          <w:bCs/>
          <w:color w:val="000000"/>
        </w:rPr>
      </w:r>
    </w:p>
    <w:p>
      <w:pPr>
        <w:pStyle w:val="Normal"/>
        <w:widowControl/>
        <w:jc w:val="left"/>
        <w:rPr>
          <w:rFonts w:ascii="Times New Roman" w:hAnsi="Times New Roman" w:cs="Times New Roman"/>
          <w:b/>
          <w:bCs/>
          <w:color w:val="000000"/>
        </w:rPr>
      </w:pPr>
      <w:r>
        <w:rPr>
          <w:rFonts w:cs="Times New Roman" w:ascii="Times New Roman" w:hAnsi="Times New Roman"/>
          <w:b/>
          <w:bCs/>
          <w:color w:val="000000"/>
        </w:rPr>
      </w:r>
      <w:r>
        <w:br w:type="page"/>
      </w:r>
    </w:p>
    <w:p>
      <w:pPr>
        <w:pStyle w:val="Normal"/>
        <w:widowControl/>
        <w:spacing w:lineRule="auto" w:line="360" w:before="0" w:after="0"/>
        <w:jc w:val="left"/>
        <w:rPr>
          <w:color w:val="000000"/>
        </w:rPr>
      </w:pPr>
      <w:r>
        <w:rPr>
          <w:rFonts w:cs="Times New Roman" w:ascii="Times New Roman" w:hAnsi="Times New Roman"/>
          <w:b/>
          <w:bCs/>
          <w:color w:val="000000"/>
        </w:rPr>
        <w:t>Supplementary Figures</w:t>
      </w:r>
    </w:p>
    <w:p>
      <w:pPr>
        <w:pStyle w:val="Normal"/>
        <w:widowControl/>
        <w:spacing w:lineRule="auto" w:line="360"/>
        <w:jc w:val="left"/>
        <w:rPr>
          <w:rFonts w:ascii="Times New Roman" w:hAnsi="Times New Roman" w:cs="Times New Roman"/>
          <w:b/>
          <w:bCs/>
          <w:color w:val="000000"/>
        </w:rPr>
      </w:pPr>
      <w:r>
        <w:rPr>
          <w:rFonts w:cs="Times New Roman" w:ascii="Times New Roman" w:hAnsi="Times New Roman"/>
          <w:b/>
          <w:bCs/>
          <w:color w:val="000000"/>
        </w:rPr>
      </w:r>
    </w:p>
    <w:p>
      <w:pPr>
        <w:pStyle w:val="Normal"/>
        <w:widowControl/>
        <w:spacing w:lineRule="auto" w:line="360"/>
        <w:jc w:val="left"/>
        <w:rPr>
          <w:color w:val="000000"/>
        </w:rPr>
      </w:pPr>
      <w:r>
        <w:rPr>
          <w:rFonts w:cs="Times New Roman" w:ascii="Times New Roman" w:hAnsi="Times New Roman"/>
          <w:b/>
          <w:bCs/>
          <w:color w:val="000000"/>
        </w:rPr>
        <w:t xml:space="preserve"> </w:t>
      </w:r>
      <w:r>
        <w:rPr>
          <w:color w:val="000000"/>
        </w:rPr>
        <w:drawing>
          <wp:inline distT="0" distB="0" distL="0" distR="0">
            <wp:extent cx="5274310" cy="1169670"/>
            <wp:effectExtent l="0" t="0" r="0" b="0"/>
            <wp:docPr id="1"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表&#10;&#10;描述已自动生成"/>
                    <pic:cNvPicPr>
                      <a:picLocks noChangeAspect="1" noChangeArrowheads="1"/>
                    </pic:cNvPicPr>
                  </pic:nvPicPr>
                  <pic:blipFill>
                    <a:blip r:embed="rId2"/>
                    <a:stretch>
                      <a:fillRect/>
                    </a:stretch>
                  </pic:blipFill>
                  <pic:spPr bwMode="auto">
                    <a:xfrm>
                      <a:off x="0" y="0"/>
                      <a:ext cx="5274310" cy="1169670"/>
                    </a:xfrm>
                    <a:prstGeom prst="rect">
                      <a:avLst/>
                    </a:prstGeom>
                    <a:noFill/>
                  </pic:spPr>
                </pic:pic>
              </a:graphicData>
            </a:graphic>
          </wp:inline>
        </w:drawing>
      </w:r>
    </w:p>
    <w:p>
      <w:pPr>
        <w:pStyle w:val="Normal"/>
        <w:widowControl/>
        <w:spacing w:lineRule="auto" w:line="360"/>
        <w:rPr>
          <w:color w:val="000000"/>
        </w:rPr>
      </w:pPr>
      <w:r>
        <w:rPr>
          <w:rFonts w:cs="Times New Roman" w:ascii="Times New Roman" w:hAnsi="Times New Roman"/>
          <w:b/>
          <w:bCs/>
          <w:color w:val="000000"/>
        </w:rPr>
        <w:t>Figure S1. Effects of Z-DEVD-FMK and DT-13 on MGO-induced Cleaved Caspase7 expression.</w:t>
      </w:r>
    </w:p>
    <w:p>
      <w:pPr>
        <w:pStyle w:val="Normal"/>
        <w:spacing w:lineRule="auto" w:line="360"/>
        <w:rPr>
          <w:color w:val="000000"/>
        </w:rPr>
      </w:pPr>
      <w:r>
        <w:rPr>
          <w:rFonts w:cs="Times New Roman" w:ascii="Times New Roman" w:hAnsi="Times New Roman"/>
          <w:b/>
          <w:bCs/>
          <w:color w:val="000000"/>
        </w:rPr>
        <w:t xml:space="preserve">A: </w:t>
      </w:r>
      <w:r>
        <w:rPr>
          <w:rFonts w:cs="Times New Roman" w:ascii="Times New Roman" w:hAnsi="Times New Roman"/>
          <w:color w:val="000000"/>
        </w:rPr>
        <w:t xml:space="preserve">HUVECs were pretreated with Z-DEVD-FMK (30μM) for 2 hours and then exposed to MGO for 24 hours. The expressions of Pro-Caspase7 and Cleaved Caspase7 were detected and analyzed by Western Blotting. </w:t>
      </w:r>
      <w:r>
        <w:rPr>
          <w:rFonts w:cs="Times New Roman" w:ascii="Times New Roman" w:hAnsi="Times New Roman"/>
          <w:b/>
          <w:bCs/>
          <w:color w:val="000000"/>
        </w:rPr>
        <w:t>B:</w:t>
      </w:r>
      <w:r>
        <w:rPr>
          <w:rFonts w:cs="Times New Roman" w:ascii="Times New Roman" w:hAnsi="Times New Roman"/>
          <w:color w:val="000000"/>
        </w:rPr>
        <w:t xml:space="preserve"> HUVECs were pretreated with DT-13 (1μM) for 6 hours and then exposed to MGO for 24 hours. The expression of Pro-Caspase7 and Cleaved Caspase7 was detected by Western Blotting. (</w:t>
      </w:r>
      <w:r>
        <w:rPr>
          <w:rFonts w:cs="Times New Roman" w:ascii="Times New Roman" w:hAnsi="Times New Roman"/>
          <w:color w:val="000000"/>
        </w:rPr>
        <w:t>Statistical analysis was performed using two-way ANOVA, followed by</w:t>
      </w:r>
      <w:bookmarkStart w:id="11" w:name="OLE_LINK374"/>
      <w:r>
        <w:rPr>
          <w:rFonts w:cs="Times New Roman" w:ascii="Times New Roman" w:hAnsi="Times New Roman"/>
          <w:color w:val="000000"/>
        </w:rPr>
        <w:t xml:space="preserve"> Sidak test</w:t>
      </w:r>
      <w:bookmarkEnd w:id="11"/>
      <w:r>
        <w:rPr>
          <w:rFonts w:cs="Times New Roman" w:ascii="Times New Roman" w:hAnsi="Times New Roman"/>
          <w:color w:val="000000"/>
        </w:rPr>
        <w:t xml:space="preserve">, </w:t>
      </w:r>
      <w:r>
        <w:rPr>
          <w:rFonts w:cs="Times New Roman" w:ascii="Times New Roman" w:hAnsi="Times New Roman"/>
          <w:color w:val="000000"/>
        </w:rPr>
        <w:t xml:space="preserve">n=3) *P&lt;0.05, **P&lt;0.01, ***P&lt;0.001. </w:t>
      </w:r>
    </w:p>
    <w:p>
      <w:pPr>
        <w:pStyle w:val="Normal"/>
        <w:widowControl/>
        <w:spacing w:lineRule="auto" w:line="360"/>
        <w:jc w:val="left"/>
        <w:rPr>
          <w:rFonts w:ascii="Times New Roman" w:hAnsi="Times New Roman" w:cs="Times New Roman"/>
          <w:color w:val="000000"/>
        </w:rPr>
      </w:pPr>
      <w:r>
        <w:rPr>
          <w:rFonts w:cs="Times New Roman" w:ascii="Times New Roman" w:hAnsi="Times New Roman"/>
          <w:color w:val="000000"/>
        </w:rPr>
      </w:r>
    </w:p>
    <w:p>
      <w:pPr>
        <w:pStyle w:val="Normal"/>
        <w:widowControl/>
        <w:spacing w:lineRule="auto" w:line="360"/>
        <w:rPr>
          <w:rFonts w:ascii="Times New Roman" w:hAnsi="Times New Roman" w:cs="Times New Roman"/>
          <w:color w:val="000000"/>
        </w:rPr>
      </w:pPr>
      <w:r>
        <w:rPr>
          <w:rFonts w:cs="Times New Roman" w:ascii="Times New Roman" w:hAnsi="Times New Roman"/>
          <w:color w:val="000000"/>
        </w:rPr>
      </w:r>
    </w:p>
    <w:p>
      <w:pPr>
        <w:pStyle w:val="Normal"/>
        <w:widowControl/>
        <w:spacing w:lineRule="auto" w:line="360"/>
        <w:jc w:val="center"/>
        <w:rPr>
          <w:color w:val="000000"/>
        </w:rPr>
      </w:pPr>
      <w:r>
        <w:rPr>
          <w:color w:val="000000"/>
        </w:rPr>
        <w:drawing>
          <wp:inline distT="0" distB="0" distL="0" distR="0">
            <wp:extent cx="5274310" cy="2253615"/>
            <wp:effectExtent l="0" t="0" r="0" b="0"/>
            <wp:docPr id="2" name="图片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
                    <pic:cNvPicPr>
                      <a:picLocks noChangeAspect="1" noChangeArrowheads="1"/>
                    </pic:cNvPicPr>
                  </pic:nvPicPr>
                  <pic:blipFill>
                    <a:blip r:embed="rId3"/>
                    <a:stretch>
                      <a:fillRect/>
                    </a:stretch>
                  </pic:blipFill>
                  <pic:spPr bwMode="auto">
                    <a:xfrm>
                      <a:off x="0" y="0"/>
                      <a:ext cx="5274310" cy="2253615"/>
                    </a:xfrm>
                    <a:prstGeom prst="rect">
                      <a:avLst/>
                    </a:prstGeom>
                    <a:noFill/>
                  </pic:spPr>
                </pic:pic>
              </a:graphicData>
            </a:graphic>
          </wp:inline>
        </w:drawing>
      </w:r>
    </w:p>
    <w:p>
      <w:pPr>
        <w:pStyle w:val="Normal"/>
        <w:widowControl/>
        <w:spacing w:lineRule="auto" w:line="360"/>
        <w:rPr>
          <w:color w:val="000000"/>
        </w:rPr>
      </w:pPr>
      <w:bookmarkStart w:id="12" w:name="OLE_LINK126"/>
      <w:bookmarkStart w:id="13" w:name="OLE_LINK137"/>
      <w:r>
        <w:rPr>
          <w:rFonts w:cs="Times New Roman" w:ascii="Times New Roman" w:hAnsi="Times New Roman"/>
          <w:b/>
          <w:bCs/>
          <w:color w:val="000000"/>
        </w:rPr>
        <w:t>Figure S2. Mass spectrometry analysis of protein bands cleaved by MGO in HUVECs</w:t>
      </w:r>
    </w:p>
    <w:p>
      <w:pPr>
        <w:pStyle w:val="Normal"/>
        <w:widowControl/>
        <w:spacing w:lineRule="auto" w:line="360"/>
        <w:rPr>
          <w:color w:val="000000"/>
        </w:rPr>
      </w:pPr>
      <w:bookmarkStart w:id="14" w:name="OLE_LINK126"/>
      <w:bookmarkStart w:id="15" w:name="OLE_LINK137"/>
      <w:r>
        <w:rPr>
          <w:rFonts w:cs="Times New Roman" w:ascii="Times New Roman" w:hAnsi="Times New Roman"/>
          <w:color w:val="000000"/>
        </w:rPr>
        <w:t>Initially, immunoprecipitation (IP) technology is employed to isolate the NMMHC IIA antibody-bound protein. Subsequently, polyacrylamide gel electrophoresis is utilized to separate the protein bands, and specifically, bands around 200kDa and 100kDa are cut of and recovered through gel extraction for subsequent mass spectrometry analysis. The horizontal axis of this graph represents gene (protein) names, while the vertical axis indicates abundance of peptide segments.</w:t>
      </w:r>
      <w:bookmarkEnd w:id="14"/>
      <w:bookmarkEnd w:id="15"/>
    </w:p>
    <w:p>
      <w:pPr>
        <w:pStyle w:val="Normal"/>
        <w:widowControl/>
        <w:spacing w:lineRule="auto" w:line="360"/>
        <w:rPr>
          <w:rFonts w:ascii="Times New Roman" w:hAnsi="Times New Roman" w:cs="Times New Roman"/>
          <w:color w:val="000000"/>
        </w:rPr>
      </w:pPr>
      <w:r>
        <w:rPr>
          <w:rFonts w:cs="Times New Roman" w:ascii="Times New Roman" w:hAnsi="Times New Roman"/>
          <w:color w:val="000000"/>
        </w:rPr>
      </w:r>
    </w:p>
    <w:p>
      <w:pPr>
        <w:pStyle w:val="Normal"/>
        <w:widowControl/>
        <w:spacing w:lineRule="auto" w:line="360"/>
        <w:rPr>
          <w:rFonts w:ascii="Times New Roman" w:hAnsi="Times New Roman" w:cs="Times New Roman"/>
          <w:color w:val="000000"/>
        </w:rPr>
      </w:pPr>
      <w:r>
        <w:rPr>
          <w:rFonts w:cs="Times New Roman" w:ascii="Times New Roman" w:hAnsi="Times New Roman"/>
          <w:color w:val="000000"/>
        </w:rPr>
      </w:r>
    </w:p>
    <w:p>
      <w:pPr>
        <w:pStyle w:val="Normal"/>
        <w:widowControl/>
        <w:spacing w:lineRule="auto" w:line="360"/>
        <w:jc w:val="center"/>
        <w:rPr>
          <w:color w:val="000000"/>
        </w:rPr>
      </w:pPr>
      <w:r>
        <w:rPr>
          <w:rFonts w:cs="Times New Roman" w:ascii="Times New Roman" w:hAnsi="Times New Roman"/>
          <w:color w:val="000000"/>
        </w:rPr>
        <w:t xml:space="preserve"> </w:t>
      </w:r>
      <w:r>
        <w:rPr>
          <w:color w:val="000000"/>
        </w:rPr>
        <w:drawing>
          <wp:inline distT="0" distB="0" distL="0" distR="0">
            <wp:extent cx="4584700" cy="2768600"/>
            <wp:effectExtent l="0" t="0" r="0" b="0"/>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4"/>
                    <a:stretch>
                      <a:fillRect/>
                    </a:stretch>
                  </pic:blipFill>
                  <pic:spPr bwMode="auto">
                    <a:xfrm>
                      <a:off x="0" y="0"/>
                      <a:ext cx="4584700" cy="2768600"/>
                    </a:xfrm>
                    <a:prstGeom prst="rect">
                      <a:avLst/>
                    </a:prstGeom>
                    <a:noFill/>
                  </pic:spPr>
                </pic:pic>
              </a:graphicData>
            </a:graphic>
          </wp:inline>
        </w:drawing>
      </w:r>
    </w:p>
    <w:p>
      <w:pPr>
        <w:pStyle w:val="Normal"/>
        <w:widowControl/>
        <w:spacing w:lineRule="auto" w:line="360"/>
        <w:rPr>
          <w:color w:val="000000"/>
        </w:rPr>
      </w:pPr>
      <w:r>
        <w:rPr>
          <w:rFonts w:cs="Times New Roman" w:ascii="Times New Roman" w:hAnsi="Times New Roman"/>
          <w:b/>
          <w:bCs/>
          <w:color w:val="000000"/>
          <w:kern w:val="0"/>
        </w:rPr>
        <w:t>Figure S3.</w:t>
      </w:r>
      <w:r>
        <w:rPr>
          <w:rFonts w:cs="Times New Roman" w:ascii="Times New Roman" w:hAnsi="Times New Roman"/>
          <w:b/>
          <w:bCs/>
          <w:color w:val="000000"/>
        </w:rPr>
        <w:t xml:space="preserve"> The Impact of MGO on the Vascular Tone of Isolated Mesenteric Arteries in Mice.</w:t>
      </w:r>
    </w:p>
    <w:p>
      <w:pPr>
        <w:pStyle w:val="Normal"/>
        <w:spacing w:lineRule="auto" w:line="360"/>
        <w:rPr>
          <w:color w:val="000000"/>
        </w:rPr>
      </w:pPr>
      <w:r>
        <w:rPr>
          <w:rFonts w:cs="Times New Roman" w:ascii="Times New Roman" w:hAnsi="Times New Roman"/>
          <w:b/>
          <w:bCs/>
          <w:color w:val="000000"/>
        </w:rPr>
        <w:t xml:space="preserve">A: </w:t>
      </w:r>
      <w:r>
        <w:rPr>
          <w:rFonts w:cs="Times New Roman" w:ascii="Times New Roman" w:hAnsi="Times New Roman"/>
          <w:color w:val="000000"/>
        </w:rPr>
        <w:t>Following a 30-minute treatment with 0.8mM MGO or solvent in the mesenteric artery of mice, the addition of Phe (10</w:t>
      </w:r>
      <w:r>
        <w:rPr>
          <w:rFonts w:cs="Times New Roman" w:ascii="Times New Roman" w:hAnsi="Times New Roman"/>
          <w:color w:val="000000"/>
          <w:vertAlign w:val="superscript"/>
        </w:rPr>
        <w:t>-5</w:t>
      </w:r>
      <w:r>
        <w:rPr>
          <w:rFonts w:cs="Times New Roman" w:ascii="Times New Roman" w:hAnsi="Times New Roman"/>
          <w:color w:val="000000"/>
        </w:rPr>
        <w:t>M) to induce an increase in vascular tone, followed by a graded concentration of ACh (10</w:t>
      </w:r>
      <w:r>
        <w:rPr>
          <w:rFonts w:cs="Times New Roman" w:ascii="Times New Roman" w:hAnsi="Times New Roman"/>
          <w:color w:val="000000"/>
          <w:vertAlign w:val="superscript"/>
        </w:rPr>
        <w:t>-9</w:t>
      </w:r>
      <w:r>
        <w:rPr>
          <w:rFonts w:cs="Times New Roman" w:ascii="Times New Roman" w:hAnsi="Times New Roman"/>
          <w:color w:val="000000"/>
        </w:rPr>
        <w:t>-10</w:t>
      </w:r>
      <w:r>
        <w:rPr>
          <w:rFonts w:cs="Times New Roman" w:ascii="Times New Roman" w:hAnsi="Times New Roman"/>
          <w:color w:val="000000"/>
          <w:vertAlign w:val="superscript"/>
        </w:rPr>
        <w:t>-5</w:t>
      </w:r>
      <w:r>
        <w:rPr>
          <w:rFonts w:cs="Times New Roman" w:ascii="Times New Roman" w:hAnsi="Times New Roman"/>
          <w:color w:val="000000"/>
        </w:rPr>
        <w:t xml:space="preserve"> M) to induce a decrease in vascular tone. The left side depicts the representative diagram of vascular tone, while the right side presents the statistical analysis results. </w:t>
      </w:r>
      <w:r>
        <w:rPr>
          <w:rFonts w:cs="Times New Roman" w:ascii="Times New Roman" w:hAnsi="Times New Roman"/>
          <w:b/>
          <w:bCs/>
          <w:color w:val="000000"/>
        </w:rPr>
        <w:t xml:space="preserve">B: </w:t>
      </w:r>
      <w:r>
        <w:rPr>
          <w:rFonts w:cs="Times New Roman" w:ascii="Times New Roman" w:hAnsi="Times New Roman"/>
          <w:color w:val="000000"/>
        </w:rPr>
        <w:t>After subjecting the mesenteric artery of mice to a 30-minute treatment with 0.8mM MGO or solvent, Phe (10</w:t>
      </w:r>
      <w:r>
        <w:rPr>
          <w:rFonts w:cs="Times New Roman" w:ascii="Times New Roman" w:hAnsi="Times New Roman"/>
          <w:color w:val="000000"/>
          <w:vertAlign w:val="superscript"/>
        </w:rPr>
        <w:t>-5</w:t>
      </w:r>
      <w:r>
        <w:rPr>
          <w:rFonts w:cs="Times New Roman" w:ascii="Times New Roman" w:hAnsi="Times New Roman"/>
          <w:color w:val="000000"/>
        </w:rPr>
        <w:t>M) was added to provoke an elevation in vascular tone, which was then followed by a graded concentration of SNP (10</w:t>
      </w:r>
      <w:r>
        <w:rPr>
          <w:rFonts w:cs="Times New Roman" w:ascii="Times New Roman" w:hAnsi="Times New Roman"/>
          <w:color w:val="000000"/>
          <w:vertAlign w:val="superscript"/>
        </w:rPr>
        <w:t>-9</w:t>
      </w:r>
      <w:r>
        <w:rPr>
          <w:rFonts w:cs="Times New Roman" w:ascii="Times New Roman" w:hAnsi="Times New Roman"/>
          <w:color w:val="000000"/>
        </w:rPr>
        <w:t>-10</w:t>
      </w:r>
      <w:r>
        <w:rPr>
          <w:rFonts w:cs="Times New Roman" w:ascii="Times New Roman" w:hAnsi="Times New Roman"/>
          <w:color w:val="000000"/>
          <w:vertAlign w:val="superscript"/>
        </w:rPr>
        <w:t>-5</w:t>
      </w:r>
      <w:r>
        <w:rPr>
          <w:rFonts w:cs="Times New Roman" w:ascii="Times New Roman" w:hAnsi="Times New Roman"/>
          <w:color w:val="000000"/>
        </w:rPr>
        <w:t xml:space="preserve"> M) to induce a decrease in vascular tone.  This sequence led to a subsequent reduction in vascular tone. The left side illustrates the representative diagram of vascular tone, and the right side are presented the corresponding statistical analysis results. The changes in vascular tension were recorded and subjected to statistical analysis, with the maximum tension induced by Phe (10</w:t>
      </w:r>
      <w:r>
        <w:rPr>
          <w:rFonts w:cs="Times New Roman" w:ascii="Times New Roman" w:hAnsi="Times New Roman"/>
          <w:color w:val="000000"/>
          <w:vertAlign w:val="superscript"/>
        </w:rPr>
        <w:t>-5</w:t>
      </w:r>
      <w:r>
        <w:rPr>
          <w:rFonts w:cs="Times New Roman" w:ascii="Times New Roman" w:hAnsi="Times New Roman"/>
          <w:color w:val="000000"/>
        </w:rPr>
        <w:t>M) serving as the baseline value for statistical comparison. (</w:t>
      </w:r>
      <w:r>
        <w:rPr>
          <w:rFonts w:cs="Times New Roman" w:ascii="Times New Roman" w:hAnsi="Times New Roman"/>
          <w:color w:val="000000"/>
        </w:rPr>
        <w:t>Statistical analysis was performed using one-way ANOVA, followed by Dunnett test,</w:t>
      </w:r>
      <w:r>
        <w:rPr>
          <w:rFonts w:eastAsia="DengXian" w:cs="Times New Roman" w:ascii="Times New Roman" w:hAnsi="Times New Roman"/>
          <w:color w:val="000000"/>
          <w:szCs w:val="21"/>
        </w:rPr>
        <w:t xml:space="preserve"> </w:t>
      </w:r>
      <w:r>
        <w:rPr>
          <w:rFonts w:cs="Times New Roman" w:ascii="Times New Roman" w:hAnsi="Times New Roman"/>
          <w:color w:val="000000"/>
        </w:rPr>
        <w:t>n=3) ***P&lt;0.001.</w:t>
      </w:r>
    </w:p>
    <w:p>
      <w:pPr>
        <w:pStyle w:val="Normal"/>
        <w:widowControl/>
        <w:spacing w:lineRule="auto" w:line="360"/>
        <w:rPr>
          <w:rFonts w:ascii="Times New Roman" w:hAnsi="Times New Roman" w:cs="Times New Roman"/>
          <w:color w:val="000000"/>
        </w:rPr>
      </w:pPr>
      <w:r>
        <w:rPr>
          <w:rFonts w:cs="Times New Roman" w:ascii="Times New Roman" w:hAnsi="Times New Roman"/>
          <w:color w:val="000000"/>
        </w:rPr>
      </w:r>
    </w:p>
    <w:p>
      <w:pPr>
        <w:pStyle w:val="Normal"/>
        <w:widowControl/>
        <w:spacing w:lineRule="auto" w:line="360"/>
        <w:jc w:val="center"/>
        <w:rPr>
          <w:color w:val="000000"/>
        </w:rPr>
      </w:pPr>
      <w:r>
        <w:rPr>
          <w:color w:val="000000"/>
        </w:rPr>
        <w:drawing>
          <wp:inline distT="0" distB="0" distL="0" distR="0">
            <wp:extent cx="5274310" cy="2029460"/>
            <wp:effectExtent l="0" t="0" r="0" b="0"/>
            <wp:docPr id="4"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pic:cNvPicPr>
                      <a:picLocks noChangeAspect="1" noChangeArrowheads="1"/>
                    </pic:cNvPicPr>
                  </pic:nvPicPr>
                  <pic:blipFill>
                    <a:blip r:embed="rId5"/>
                    <a:stretch>
                      <a:fillRect/>
                    </a:stretch>
                  </pic:blipFill>
                  <pic:spPr bwMode="auto">
                    <a:xfrm>
                      <a:off x="0" y="0"/>
                      <a:ext cx="5274310" cy="2029460"/>
                    </a:xfrm>
                    <a:prstGeom prst="rect">
                      <a:avLst/>
                    </a:prstGeom>
                    <a:noFill/>
                  </pic:spPr>
                </pic:pic>
              </a:graphicData>
            </a:graphic>
          </wp:inline>
        </w:drawing>
      </w:r>
    </w:p>
    <w:p>
      <w:pPr>
        <w:pStyle w:val="Normal"/>
        <w:widowControl/>
        <w:spacing w:lineRule="auto" w:line="360"/>
        <w:rPr>
          <w:color w:val="000000"/>
        </w:rPr>
      </w:pPr>
      <w:bookmarkStart w:id="16" w:name="OLE_LINK317"/>
      <w:r>
        <w:rPr>
          <w:rFonts w:cs="Times New Roman" w:ascii="Times New Roman" w:hAnsi="Times New Roman"/>
          <w:b/>
          <w:bCs/>
          <w:color w:val="000000"/>
        </w:rPr>
        <w:t>Figure S4</w:t>
      </w:r>
      <w:bookmarkEnd w:id="16"/>
      <w:r>
        <w:rPr>
          <w:rFonts w:cs="Times New Roman" w:ascii="Times New Roman" w:hAnsi="Times New Roman"/>
          <w:b/>
          <w:bCs/>
          <w:color w:val="000000"/>
        </w:rPr>
        <w:t>. DT-13 suppresses MGO-induced expression of GSDME-NT in mouse mesenteric vessels.</w:t>
      </w:r>
    </w:p>
    <w:p>
      <w:pPr>
        <w:pStyle w:val="Normal"/>
        <w:widowControl/>
        <w:spacing w:lineRule="auto" w:line="360"/>
        <w:rPr>
          <w:color w:val="000000"/>
        </w:rPr>
      </w:pPr>
      <w:r>
        <w:rPr>
          <w:rFonts w:cs="Times New Roman" w:ascii="Times New Roman" w:hAnsi="Times New Roman"/>
          <w:color w:val="000000"/>
        </w:rPr>
        <w:t xml:space="preserve">The figure depicts immunostaining results of GSDME-NT in mesenteric vessels from each group of mice.  Green represents GSDME-NT staining, and blue represents DAPI staining. </w:t>
      </w:r>
      <w:r>
        <w:rPr>
          <w:rFonts w:cs="Times New Roman" w:ascii="Times New Roman" w:hAnsi="Times New Roman"/>
          <w:color w:val="000000"/>
        </w:rPr>
        <w:t>Scale bar=10μm.</w:t>
      </w:r>
      <w:r>
        <w:rPr>
          <w:rFonts w:cs="Times New Roman" w:ascii="Times New Roman" w:hAnsi="Times New Roman"/>
          <w:color w:val="000000"/>
        </w:rPr>
        <w:t xml:space="preserve"> (Note: The GSDME-NT antibody used here is from CST: 55879S</w:t>
      </w:r>
      <w:r>
        <w:rPr>
          <w:rFonts w:cs="Times New Roman" w:ascii="Times New Roman" w:hAnsi="Times New Roman"/>
          <w:color w:val="000000"/>
        </w:rPr>
        <w:t>, In the negative control group, the primary antibody against GSDME-NT was not used.</w:t>
      </w:r>
      <w:r>
        <w:rPr>
          <w:rFonts w:cs="Times New Roman" w:ascii="Times New Roman" w:hAnsi="Times New Roman"/>
          <w:color w:val="000000"/>
        </w:rPr>
        <w:t>)</w:t>
      </w:r>
    </w:p>
    <w:p>
      <w:pPr>
        <w:pStyle w:val="Normal"/>
        <w:widowControl/>
        <w:spacing w:lineRule="auto" w:line="360"/>
        <w:rPr>
          <w:rFonts w:ascii="Times New Roman" w:hAnsi="Times New Roman" w:cs="Times New Roman"/>
          <w:color w:val="000000"/>
        </w:rPr>
      </w:pPr>
      <w:r>
        <w:rPr>
          <w:rFonts w:cs="Times New Roman" w:ascii="Times New Roman" w:hAnsi="Times New Roman"/>
          <w:color w:val="000000"/>
        </w:rPr>
      </w:r>
    </w:p>
    <w:p>
      <w:pPr>
        <w:pStyle w:val="Normal"/>
        <w:widowControl/>
        <w:spacing w:lineRule="auto" w:line="360"/>
        <w:jc w:val="center"/>
        <w:rPr>
          <w:color w:val="000000"/>
        </w:rPr>
      </w:pPr>
      <w:r>
        <w:rPr>
          <w:color w:val="000000"/>
        </w:rPr>
        <w:drawing>
          <wp:inline distT="0" distB="0" distL="0" distR="0">
            <wp:extent cx="5274310" cy="3804920"/>
            <wp:effectExtent l="0" t="0" r="0" b="0"/>
            <wp:docPr id="5"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descr=""/>
                    <pic:cNvPicPr>
                      <a:picLocks noChangeAspect="1" noChangeArrowheads="1"/>
                    </pic:cNvPicPr>
                  </pic:nvPicPr>
                  <pic:blipFill>
                    <a:blip r:embed="rId6"/>
                    <a:stretch>
                      <a:fillRect/>
                    </a:stretch>
                  </pic:blipFill>
                  <pic:spPr bwMode="auto">
                    <a:xfrm>
                      <a:off x="0" y="0"/>
                      <a:ext cx="5274310" cy="3804920"/>
                    </a:xfrm>
                    <a:prstGeom prst="rect">
                      <a:avLst/>
                    </a:prstGeom>
                    <a:noFill/>
                  </pic:spPr>
                </pic:pic>
              </a:graphicData>
            </a:graphic>
          </wp:inline>
        </w:drawing>
      </w:r>
    </w:p>
    <w:p>
      <w:pPr>
        <w:pStyle w:val="Normal"/>
        <w:widowControl/>
        <w:spacing w:lineRule="auto" w:line="360"/>
        <w:rPr>
          <w:color w:val="000000"/>
        </w:rPr>
      </w:pPr>
      <w:r>
        <w:rPr>
          <w:rFonts w:cs="Times New Roman" w:ascii="Times New Roman" w:hAnsi="Times New Roman"/>
          <w:b/>
          <w:bCs/>
          <w:color w:val="000000"/>
        </w:rPr>
        <w:t>Figure S5. No significant difference in cardiac function between MGO model group and DT-13 treatment group.</w:t>
      </w:r>
    </w:p>
    <w:p>
      <w:pPr>
        <w:pStyle w:val="Normal"/>
        <w:spacing w:lineRule="auto" w:line="360"/>
        <w:rPr>
          <w:color w:val="000000"/>
        </w:rPr>
      </w:pPr>
      <w:bookmarkStart w:id="17" w:name="OLE_LINK288"/>
      <w:r>
        <w:rPr>
          <w:rFonts w:cs="Times New Roman" w:ascii="Times New Roman" w:hAnsi="Times New Roman"/>
          <w:b/>
          <w:bCs/>
          <w:color w:val="000000"/>
        </w:rPr>
        <w:t>A:</w:t>
      </w:r>
      <w:r>
        <w:rPr>
          <w:rFonts w:cs="Times New Roman" w:ascii="Times New Roman" w:hAnsi="Times New Roman"/>
          <w:color w:val="000000"/>
        </w:rPr>
        <w:t xml:space="preserve"> Statistical results of heart weight to body weight ratio (HW/BW) of mice in each group after the experiment. </w:t>
      </w:r>
      <w:r>
        <w:rPr>
          <w:rFonts w:cs="Times New Roman" w:ascii="Times New Roman" w:hAnsi="Times New Roman"/>
          <w:color w:val="000000"/>
        </w:rPr>
        <w:t>(Statistical analysis was performed using one-way ANOVA, followed by Dunnett test,</w:t>
      </w:r>
      <w:r>
        <w:rPr>
          <w:rFonts w:eastAsia="DengXian" w:cs="Times New Roman" w:ascii="Times New Roman" w:hAnsi="Times New Roman"/>
          <w:color w:val="000000"/>
          <w:szCs w:val="21"/>
        </w:rPr>
        <w:t xml:space="preserve"> </w:t>
      </w:r>
      <w:r>
        <w:rPr>
          <w:rFonts w:cs="Times New Roman" w:ascii="Times New Roman" w:hAnsi="Times New Roman"/>
          <w:color w:val="000000"/>
        </w:rPr>
        <w:t xml:space="preserve">n=4-5). </w:t>
      </w:r>
      <w:bookmarkEnd w:id="17"/>
      <w:r>
        <w:rPr>
          <w:rFonts w:cs="Times New Roman" w:ascii="Times New Roman" w:hAnsi="Times New Roman"/>
          <w:b/>
          <w:bCs/>
          <w:color w:val="000000"/>
        </w:rPr>
        <w:t xml:space="preserve">B: </w:t>
      </w:r>
      <w:r>
        <w:rPr>
          <w:rFonts w:cs="Times New Roman" w:ascii="Times New Roman" w:hAnsi="Times New Roman"/>
          <w:color w:val="000000"/>
        </w:rPr>
        <w:t xml:space="preserve">Echocardiography of cardiac function of mice in each group before execution. </w:t>
      </w:r>
      <w:r>
        <w:rPr>
          <w:rFonts w:cs="Times New Roman" w:ascii="Times New Roman" w:hAnsi="Times New Roman"/>
          <w:color w:val="000000"/>
        </w:rPr>
        <w:t>Scale bar = 100 ms (horizontal axis)/2 mm (vertical axis)</w:t>
      </w:r>
      <w:r>
        <w:rPr>
          <w:rFonts w:cs="Times New Roman" w:ascii="Times New Roman" w:hAnsi="Times New Roman"/>
          <w:color w:val="000000"/>
        </w:rPr>
        <w:t xml:space="preserve">. </w:t>
      </w:r>
      <w:r>
        <w:rPr>
          <w:rFonts w:cs="Times New Roman" w:ascii="Times New Roman" w:hAnsi="Times New Roman"/>
          <w:b/>
          <w:bCs/>
          <w:color w:val="000000"/>
        </w:rPr>
        <w:t>C:</w:t>
      </w:r>
      <w:r>
        <w:rPr>
          <w:rFonts w:cs="Times New Roman" w:ascii="Times New Roman" w:hAnsi="Times New Roman"/>
          <w:color w:val="000000"/>
        </w:rPr>
        <w:t xml:space="preserve"> Statistical analysis results of Figure B. EF refers to left ventricular ejection fraction, FS refers to left ventricular shortening fraction, and LVAW; d refers to left ventricular end-diastolic anterior wall thickness, and LVAW; s refers to left ventricular end-systolic anterior wall thickness, and LVPW; d refers to left ventricular end-diastolic posterior wall thickness, and LVPW; s refers to left ventricular end-systolic posterior wall thickness. (</w:t>
      </w:r>
      <w:r>
        <w:rPr>
          <w:rFonts w:cs="Times New Roman" w:ascii="Times New Roman" w:hAnsi="Times New Roman"/>
          <w:color w:val="000000"/>
        </w:rPr>
        <w:t>Statistical analysis was performed using one-way ANOVA, followed by Dunnett test,</w:t>
      </w:r>
      <w:r>
        <w:rPr>
          <w:rFonts w:eastAsia="DengXian" w:cs="Times New Roman" w:ascii="Times New Roman" w:hAnsi="Times New Roman"/>
          <w:color w:val="000000"/>
          <w:szCs w:val="21"/>
        </w:rPr>
        <w:t xml:space="preserve"> </w:t>
      </w:r>
      <w:r>
        <w:rPr>
          <w:rFonts w:cs="Times New Roman" w:ascii="Times New Roman" w:hAnsi="Times New Roman"/>
          <w:color w:val="000000"/>
        </w:rPr>
        <w:t>n=4-5) *P&lt;0.05, **P&lt;0.01, ***P&lt;0.001.</w:t>
      </w:r>
    </w:p>
    <w:p>
      <w:pPr>
        <w:pStyle w:val="Normal"/>
        <w:spacing w:lineRule="auto" w:line="360"/>
        <w:rPr>
          <w:rFonts w:ascii="Times New Roman" w:hAnsi="Times New Roman" w:cs="Times New Roman"/>
          <w:color w:val="000000"/>
        </w:rPr>
      </w:pPr>
      <w:r>
        <w:rPr>
          <w:rFonts w:cs="Times New Roman" w:ascii="Times New Roman" w:hAnsi="Times New Roman"/>
          <w:color w:val="000000"/>
        </w:rPr>
      </w:r>
    </w:p>
    <w:p>
      <w:pPr>
        <w:pStyle w:val="Normal"/>
        <w:widowControl/>
        <w:spacing w:lineRule="auto" w:line="360"/>
        <w:jc w:val="left"/>
        <w:rPr>
          <w:rFonts w:ascii="Times New Roman" w:hAnsi="Times New Roman" w:cs="Times New Roman"/>
          <w:color w:val="000000"/>
        </w:rPr>
      </w:pPr>
      <w:r>
        <w:rPr>
          <w:rFonts w:cs="Times New Roman" w:ascii="Times New Roman" w:hAnsi="Times New Roman"/>
          <w:color w:val="000000"/>
        </w:rPr>
      </w:r>
      <w:r>
        <w:br w:type="page"/>
      </w:r>
    </w:p>
    <w:p>
      <w:pPr>
        <w:pStyle w:val="Normal"/>
        <w:widowControl/>
        <w:spacing w:lineRule="auto" w:line="360" w:before="0" w:after="0"/>
        <w:jc w:val="left"/>
        <w:rPr>
          <w:color w:val="000000"/>
        </w:rPr>
      </w:pPr>
      <w:r>
        <w:rPr>
          <w:rFonts w:cs="Times New Roman" w:ascii="Times New Roman" w:hAnsi="Times New Roman"/>
          <w:b/>
          <w:bCs/>
          <w:color w:val="000000"/>
        </w:rPr>
        <w:t>Supplementary Tables</w:t>
      </w:r>
    </w:p>
    <w:p>
      <w:pPr>
        <w:pStyle w:val="Normal"/>
        <w:spacing w:lineRule="auto" w:line="360"/>
        <w:rPr>
          <w:rFonts w:ascii="Times New Roman" w:hAnsi="Times New Roman" w:cs="Times New Roman"/>
          <w:color w:val="000000"/>
        </w:rPr>
      </w:pPr>
      <w:r>
        <w:rPr>
          <w:rFonts w:cs="Times New Roman" w:ascii="Times New Roman" w:hAnsi="Times New Roman"/>
          <w:color w:val="000000"/>
        </w:rPr>
      </w:r>
    </w:p>
    <w:p>
      <w:pPr>
        <w:pStyle w:val="Normal"/>
        <w:spacing w:lineRule="auto" w:line="360"/>
        <w:rPr>
          <w:color w:val="000000"/>
        </w:rPr>
      </w:pPr>
      <w:r>
        <w:rPr>
          <w:rFonts w:cs="Times New Roman" w:ascii="Times New Roman" w:hAnsi="Times New Roman"/>
          <w:color w:val="000000"/>
        </w:rPr>
        <w:t>Table S1. Peptides of MYH9_result (~200KDa)</w:t>
      </w:r>
    </w:p>
    <w:p>
      <w:pPr>
        <w:pStyle w:val="Normal"/>
        <w:spacing w:lineRule="auto" w:line="360"/>
        <w:rPr>
          <w:rFonts w:ascii="Times New Roman" w:hAnsi="Times New Roman" w:cs="Times New Roman"/>
          <w:color w:val="000000"/>
        </w:rPr>
      </w:pPr>
      <w:r>
        <w:rPr>
          <w:rFonts w:cs="Times New Roman" w:ascii="Times New Roman" w:hAnsi="Times New Roman"/>
          <w:color w:val="000000"/>
        </w:rPr>
      </w:r>
    </w:p>
    <w:tbl>
      <w:tblPr>
        <w:tblStyle w:val="a3"/>
        <w:tblW w:w="805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303"/>
        <w:gridCol w:w="1304"/>
        <w:gridCol w:w="3405"/>
        <w:gridCol w:w="1104"/>
        <w:gridCol w:w="943"/>
      </w:tblGrid>
      <w:tr>
        <w:trPr>
          <w:trHeight w:val="320" w:hRule="atLeast"/>
        </w:trPr>
        <w:tc>
          <w:tcPr>
            <w:tcW w:w="1303" w:type="dxa"/>
            <w:tcBorders>
              <w:left w:val="nil"/>
              <w:right w:val="nil"/>
            </w:tcBorders>
          </w:tcPr>
          <w:p>
            <w:pPr>
              <w:pStyle w:val="Normal"/>
              <w:spacing w:lineRule="auto" w:line="360" w:before="0" w:after="0"/>
              <w:jc w:val="left"/>
              <w:rPr>
                <w:color w:val="000000"/>
                <w:lang w:val="en-US" w:eastAsia="zh-CN" w:bidi="ar-SA"/>
              </w:rPr>
            </w:pPr>
            <w:r>
              <w:rPr>
                <w:rFonts w:cs="Times New Roman" w:ascii="Times New Roman" w:hAnsi="Times New Roman"/>
                <w:b/>
                <w:bCs/>
                <w:color w:val="000000"/>
                <w:sz w:val="16"/>
                <w:szCs w:val="20"/>
                <w:lang w:val="en-US" w:eastAsia="zh-CN" w:bidi="ar-SA"/>
              </w:rPr>
              <w:t>No.</w:t>
            </w:r>
          </w:p>
        </w:tc>
        <w:tc>
          <w:tcPr>
            <w:tcW w:w="1304" w:type="dxa"/>
            <w:tcBorders>
              <w:left w:val="nil"/>
              <w:right w:val="nil"/>
            </w:tcBorders>
          </w:tcPr>
          <w:p>
            <w:pPr>
              <w:pStyle w:val="Normal"/>
              <w:spacing w:lineRule="auto" w:line="360" w:before="0" w:after="0"/>
              <w:jc w:val="left"/>
              <w:rPr>
                <w:color w:val="000000"/>
                <w:lang w:val="en-US" w:eastAsia="zh-CN" w:bidi="ar-SA"/>
              </w:rPr>
            </w:pPr>
            <w:r>
              <w:rPr>
                <w:rFonts w:cs="Times New Roman" w:ascii="Times New Roman" w:hAnsi="Times New Roman"/>
                <w:b/>
                <w:bCs/>
                <w:color w:val="000000"/>
                <w:sz w:val="16"/>
                <w:szCs w:val="20"/>
                <w:lang w:val="en-US" w:eastAsia="zh-CN" w:bidi="ar-SA"/>
              </w:rPr>
              <w:t>Gene_symbol</w:t>
            </w:r>
          </w:p>
        </w:tc>
        <w:tc>
          <w:tcPr>
            <w:tcW w:w="3405" w:type="dxa"/>
            <w:tcBorders>
              <w:left w:val="nil"/>
              <w:right w:val="nil"/>
            </w:tcBorders>
          </w:tcPr>
          <w:p>
            <w:pPr>
              <w:pStyle w:val="Normal"/>
              <w:spacing w:lineRule="auto" w:line="360" w:before="0" w:after="0"/>
              <w:jc w:val="left"/>
              <w:rPr>
                <w:color w:val="000000"/>
                <w:lang w:val="en-US" w:eastAsia="zh-CN" w:bidi="ar-SA"/>
              </w:rPr>
            </w:pPr>
            <w:r>
              <w:rPr>
                <w:rFonts w:cs="Times New Roman" w:ascii="Times New Roman" w:hAnsi="Times New Roman"/>
                <w:b/>
                <w:bCs/>
                <w:color w:val="000000"/>
                <w:sz w:val="16"/>
                <w:szCs w:val="20"/>
                <w:lang w:val="en-US" w:eastAsia="zh-CN" w:bidi="ar-SA"/>
              </w:rPr>
              <w:t>Sequence</w:t>
            </w:r>
          </w:p>
        </w:tc>
        <w:tc>
          <w:tcPr>
            <w:tcW w:w="1104" w:type="dxa"/>
            <w:tcBorders>
              <w:left w:val="nil"/>
              <w:right w:val="nil"/>
            </w:tcBorders>
          </w:tcPr>
          <w:p>
            <w:pPr>
              <w:pStyle w:val="Normal"/>
              <w:spacing w:lineRule="auto" w:line="360" w:before="0" w:after="0"/>
              <w:jc w:val="left"/>
              <w:rPr>
                <w:color w:val="000000"/>
                <w:lang w:val="en-US" w:eastAsia="zh-CN" w:bidi="ar-SA"/>
              </w:rPr>
            </w:pPr>
            <w:r>
              <w:rPr>
                <w:rFonts w:cs="Times New Roman" w:ascii="Times New Roman" w:hAnsi="Times New Roman"/>
                <w:b/>
                <w:bCs/>
                <w:color w:val="000000"/>
                <w:sz w:val="16"/>
                <w:szCs w:val="20"/>
                <w:lang w:val="en-US" w:eastAsia="zh-CN" w:bidi="ar-SA"/>
              </w:rPr>
              <w:t>Abundance</w:t>
            </w:r>
          </w:p>
        </w:tc>
        <w:tc>
          <w:tcPr>
            <w:tcW w:w="943" w:type="dxa"/>
            <w:tcBorders>
              <w:left w:val="nil"/>
              <w:right w:val="nil"/>
            </w:tcBorders>
          </w:tcPr>
          <w:p>
            <w:pPr>
              <w:pStyle w:val="Normal"/>
              <w:spacing w:lineRule="auto" w:line="360" w:before="0" w:after="0"/>
              <w:jc w:val="left"/>
              <w:rPr>
                <w:color w:val="000000"/>
                <w:lang w:val="en-US" w:eastAsia="zh-CN" w:bidi="ar-SA"/>
              </w:rPr>
            </w:pPr>
            <w:r>
              <w:rPr>
                <w:rFonts w:cs="Times New Roman" w:ascii="Times New Roman" w:hAnsi="Times New Roman"/>
                <w:b/>
                <w:bCs/>
                <w:color w:val="000000"/>
                <w:sz w:val="16"/>
                <w:szCs w:val="20"/>
                <w:lang w:val="en-US" w:eastAsia="zh-CN" w:bidi="ar-SA"/>
              </w:rPr>
              <w:t>RT (min)</w:t>
            </w:r>
          </w:p>
        </w:tc>
      </w:tr>
      <w:tr>
        <w:trPr>
          <w:trHeight w:val="320" w:hRule="atLeast"/>
        </w:trPr>
        <w:tc>
          <w:tcPr>
            <w:tcW w:w="1303" w:type="dxa"/>
            <w:tcBorders>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w:t>
            </w:r>
          </w:p>
        </w:tc>
        <w:tc>
          <w:tcPr>
            <w:tcW w:w="1304" w:type="dxa"/>
            <w:tcBorders>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MQLAKKEEELQAALAR</w:t>
            </w:r>
          </w:p>
        </w:tc>
        <w:tc>
          <w:tcPr>
            <w:tcW w:w="1104" w:type="dxa"/>
            <w:tcBorders>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7869515.625</w:t>
            </w:r>
          </w:p>
        </w:tc>
        <w:tc>
          <w:tcPr>
            <w:tcW w:w="943" w:type="dxa"/>
            <w:tcBorders>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22.0719</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2</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MQQNIQELEEQLEEEESAR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133212080</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44.7193</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3</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MQQNIQELEEQLEEEESAR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26728861</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41.412</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4</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NAEQYKDQADK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576874.625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8.9432</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5</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NAEQYKDQADKASTR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16537883.5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9.8021</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6</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NFINNPLAQADWAAK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318258875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47.0861</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7</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NFINNPLAQADWAAKK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14499708.25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37.7765</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8</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LTKDFSALESQLQDTQELLQEENR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1031614.625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55.4166</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9</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LTEMETLQSQLMAEK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34819502</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21.3196</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10</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LTEMETLQSQLMAEK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502857526</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41.6498</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11</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LTEMETLQSQLMAEK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175782722.6</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27.4174</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12</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QAQQERDELADEIANSSGK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127740838.3</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17.2694</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13</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QEEEMMAKEEELVK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120244960</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18.9933</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14</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QEEEMMAKEEELVK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28007760</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15.9763</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15</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QEEEMMAKEEELVK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6125787</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13.5138</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16</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NTDQASMPDNTAAQK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3497718.438</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9.2883</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17</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QKHSQAVEELAEQLEQTK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18513239.5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25.8292</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18</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QKHSQAVEELAEQLEQTKR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113349691.3</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22.0275</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19</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QIATLHAQVADMK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490554224</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17.8204</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20</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QIATLHAQVADMK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184147368</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15.3013</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21</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QIATLHAQVADMKK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172439636</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15.6065</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22</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QIATLHAQVADMKK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138880816</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13.4287</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23</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QLEEAEEEAQR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195574791</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12.6294</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24</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QLEEAEEEAQRANASR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14.1242</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25</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NLPIYSEEIVEMYK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346366804</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52.9889</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26</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NLPIYSEEIVEMYK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122628902.9</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43.4263</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27</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NKHEAMITDLEER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66739868</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15.9065</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28</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NKHEAMITDLEER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39732127.5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13.8121</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29</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NSFREQLEEEEEAKHNLEK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45354579</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16.5778</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30</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NMDPLNDNIATLLHQSSDK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179714034</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47.2576</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31</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NMDPLNDNIATLLHQSSDK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76126952.5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41.6233</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32</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NMDPLNDNIATLLHQSSDKFVSELWK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297652713.4</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68.9045</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33</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NMDPLNDNIATLLHQSSDKFVSELWK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154754524</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68.3237</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34</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NMDPLNDNIATLLHQSSDKFVSELWKDVDR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9758878.75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69.4929</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35</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NMDPLNDNIATLLHQSSDKFVSELWKDVDR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2287592</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69.0012</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36</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LKNKHEAMITDLEER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66607312</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15.0856</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37</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LKNKHEAMITDLEER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9545211.25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13.0824</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38</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LKQVEDEKNSFR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319607768</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11.7709</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39</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LKSMEAEMIQLQEELAAAER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1686558.75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59.8417</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40</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LKSMEAEMIQLQEELAAAER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3967193</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44.8804</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41</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LKSMEAEMIQLQEELAAAER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5592617</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31.7363</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42</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LKDVLLQVDDER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61138708</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24.4278</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43</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LKDVLLQVDDERR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648069528</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19.8844</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44</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IIGLDQVAGMSETALPGAFK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490019952.7</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65.0766</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45</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IIGLDQVAGMSETALPGAFK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249127800.7</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53.9017</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46</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LEGDSTDLSDQIAELQAQIAELK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69.6126</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47</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LRLEVNLQAMK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58615452</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23.1554</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48</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LQQELDDLLVDLDHQR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524056020.3</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55.1441</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49</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LQVELDNVTGLLSQSDSK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528115810.5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53.6716</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50</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IRELESQISELQEDLESER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131554342</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45.6254</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51</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LRLEVNLQAMK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32.457</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52</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IMGIPEEEQMGLLR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265900904.8</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39.7741</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53</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IMGIPEEEQMGLLR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515591668</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48.0046</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54</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VEAQLQELQVK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194074256</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23.1223</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55</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VEEEAAQKNMALK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805446.0625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13.4336</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56</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VEEEEERCQHLQAEK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482167.3125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11.3909</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57</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VIQYLAYVASSHK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991709237.9</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30.8309</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58</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VKLQEMEGTVK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341630000</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15.8695</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59</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TVGQLYKEQLAK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159236216</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16.2213</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60</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TRLQQELDDLLVDLDHQR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49454210.88</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61.9203</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61</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VAAYDKLEK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340929216</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13.3509</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62</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VISGVLQLGNIVFK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259482175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67.0522</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63</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YKASITALEAK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128381300</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16.919</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64</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YLYVDKNFINNPLAQADWAAK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146006098</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53.4926</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65</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YLYVDKNFINNPLAQADWAAKK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6750497.25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46.2598</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66</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VISGVLQLGNIVFKK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811898144</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55.2824</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67</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VRTELADKVTK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147713440</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11.8517</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68</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VSHLLGINVTDFTR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971362070.8</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41.8981</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69</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SGFEPASLKEEVGEEAIVELVENGK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12025212</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61.6111</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70</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SGFEPASLKEEVGEEAIVELVENGKK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142442257</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54.3147</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71</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RALEQQVEEMK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10735801</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14.9936</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72</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RALEQQVEEMKTQLEELEDELQATEDAK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2963340.5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68.0611</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73</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RDLGEELEALKTELEDTLDSTAAQQELR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70.0839</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74</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REQEVNILKK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8035324.5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12.8066</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75</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RHEMPPHIYAITDTAYR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71344846.5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19.4426</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76</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RHEMPPHIYAITDTAYR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24090145.75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17.1271</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77</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RKLEGDSTDLSDQIAELQAQIAELK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117392617.3</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61.6865</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78</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QRYEILTPNSIPK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128556936</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25.2883</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79</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QTLENERGELANEVK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193173600</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16.0719</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80</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QVEDEKNSFR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1587458.781</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10.7682</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81</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RQAQQERDELADEIANSSGK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35449296</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15.8413</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82</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RQLEEAEEEAQR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61454128</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11.3993</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83</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SMEAEMIQLQEELAAAER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282074544</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65.017</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84</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SMEAEMIQLQEELAAAER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37970215.06</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36.2897</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85</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THEAQIQEMR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66240970</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12.164</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86</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TLEEEAKTHEAQIQEMR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118281527</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17.2469</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87</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TEMEDLMSSKDDVGK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37121956.5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11.7743</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88</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TFHIFYYLLSGAGEHLK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204534736.4</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59.9512</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89</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TFHIFYYLLSGAGEHLKTDLLLEPYNK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10279449.5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69.3197</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90</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TEMEDLMSSKDDVGK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39487056</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14.7853</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91</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TLEEEAKTHEAQIQEMR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25809841.75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15.3101</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92</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SMEAEMIQLQEELAAAER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53502710.88</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50.0957</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93</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TEMEDLMSSK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22626608</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14.349</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94</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TEMEDLMSSK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149131456</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19.956</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95</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TDLLLEPYNK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604153408</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31.2507</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96</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TDLLLEPYNKYR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43749538</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27.9458</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97</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TELADKVTK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5292655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11.7309</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98</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TELEDTLDSTAAQQELR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9098247.25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29.7289</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99</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EQADFAIEALAK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622264198</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38.523</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100</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EQLEEEEEAKHNLEK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226003800</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13.6529</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101</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ANLQIDQINTDLNLER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336101031.9</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42.8095</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102</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DELADEIANSSGK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28444590</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19.6681</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103</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DFSALESQLQDTQELLQEENRQK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30383543.19</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58.6339</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104</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ERNTDQASMPDNTAAQK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8277823</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10.9748</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105</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DFSALESQLQDTQELLQEENR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298670844.1</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65.9159</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106</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DLGEELEALK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15428132</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39.4921</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107</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ALELDSNLYR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864697344</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28.5709</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108</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ALEQQVEEMK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316773152</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17.0369</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109</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ALEQQVEEMKTQLEELEDELQATEDAK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22853987.25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56.5532</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110</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ALEQQVEEMKTQLEELEDELQATEDAKLR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1659327.75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69.4202</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111</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DLGEELEALKTELEDTLDSTAAQQELR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24558842.25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72.4766</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112</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ALEQQVEEMKTQLEELEDELQATEDAK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89186782</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69.6422</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113</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EMEAELEDERK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160642104</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13.7712</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114</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EMEAELEDERK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2101215.719</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10.9681</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115</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EMEAELEDERKQR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20945868.13</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12.5582</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116</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EMEAELEDER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85959240</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15.9595</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117</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DLEGLSQRHEEK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39584268.5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12.5062</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118</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FLSNGHVTIPGQQDKDMFQETMEAMR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24849444</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26.7903</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119</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FLSNGHVTIPGQQDKDMFQETMEAMR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41658351.5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35.5079</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120</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FLSNGHVTIPGQQDKDMFQETMEAMR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77353216</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44.3758</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121</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FLSNGHVTIPGQQDK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9948316.75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19.5176</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122</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AQQAADKYLYVDK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356202336</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26.0962</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123</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AQQAADKYLYVDKNFINNPLAQADWAAK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147683014</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59.0975</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124</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AQTKEQADFAIEALAK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28.9436</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125</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FVSELWKDVDR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16629333</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32.2838</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126</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ASREEILAQAK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957201024</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13.6413</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127</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ASREEILAQAKENEK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15470394.5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13.0669</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128</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EEILAQAKENEK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4185414.75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13.6792</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129</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KMQQNIQELEEQLEEEESAR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8888747</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34.2822</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130</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KMQQNIQELEEQLEEEESAR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35458141.5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39.5404</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131</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KRHEMPPHIYAITDTAYR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52496122</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16.2479</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132</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KRHEMPPHIYAITDTAYR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114631535.9</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17.9437</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133</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KQELEEICHDLEAR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2313912.5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22.9984</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134</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EEVGEEAIVELVENGKK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1911282.5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44.0561</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135</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KGAGDGSDEEVDGKADGAEAKPAE</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2801534.25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10.9566</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136</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DMFQETMEAMR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9962245.125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27.2354</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137</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DMFQETMEAMR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19804928</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42.1606</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138</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KKMQQNIQELEEQLEEEESAR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1289583.75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28.3809</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139</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KIRELESQISELQEDLESER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1455771.25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41.7222</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140</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KLEGDSTDLSDQIAELQAQIAELK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184352762.1</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67.9353</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141</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KKVEAQLQELQVK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662425568</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15.9882</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142</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DVDRIIGLDQVAGMSETALPGAFK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3000138.5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63.9394</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143</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DVLLQVDDER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19158944</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25.6892</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144</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DVLLQVDDERR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303776481.5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19.9575</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145</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IAQLEEELEEEQGNTELINDR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198913152</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40.3888</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146</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IAQLEEQLDNETKER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249190836</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18.5672</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147</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IAQLEEQLDNETK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295465568</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20.7192</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148</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KVIQYLAYVASSHK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224887910</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25.1471</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149</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KVEAQLQELQVK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362491552</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18.7026</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150</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KTLEEEAKTHEAQIQEMR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1161704.25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14.5831</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151</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KTLEEEAKTHEAQIQEMR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18321220</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16.4305</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152</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IAEFTTNLTEEEEKSK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421356808</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20.95</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153</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IAEFTTNLTEEEEK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258209792</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26.0309</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154</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HSQAVEELAEQLEQTKR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449698286.8</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27.5302</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155</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HSQAVEELAEQLEQTK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64131566</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32.7135</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156</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ELESQISELQEDLESER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59615696</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47.6963</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157</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AKQTLENERGELANEVK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151699476</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14.5435</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158</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ALEEAMEQKAELER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53977002</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17.9389</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159</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HEAMITDLEER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115833191</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18.2677</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160</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HEAMITDLEER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10550851</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15.6659</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161</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HEMPPHIYAITDTAYR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137754893</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23.4539</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162</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HEMPPHIYAITDTAYR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95539621</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19.834</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163</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KAGKLDPHLVLDQLR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6019671.75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27.983</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164</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KANLQIDQINTDLNLER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307615186</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34.386</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165</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EKQLAAENR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409146.6563</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8.8238</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166</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EQLEEEEEAK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513307.125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11.9193</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167</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DMFQETMEAMR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3324588.25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18.0616</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168</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EMEAELEDERKQR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2248916.938</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10.0559</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169</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EMEAELEDER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22131732</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13.0152</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170</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THEAQIQEMR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1853670.25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9.3845</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171</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KEEELQAALARVEEEAAQK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1359178.875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37.8701</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172</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IMGIPEEEQMGLLR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64267449.75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30.3069</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173</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ALEQQVEEMK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23771716</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13.416</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174</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LEVNLQAMK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144495216</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18.2048</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175</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LEVNLQAMK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496514880</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27.3634</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176</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KLVWVPSDK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421157536</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19.6063</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177</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LQKDLEGLSQR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2924296</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15.2016</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178</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ASITALEAK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738307712</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17.4175</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179</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AQFERDLQGR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969891.5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13.3019</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180</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VEEEAAQKNMALKK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8459175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11.4317</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181</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LVWVPSDK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420033088</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25.3849</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182</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VNKDDIQK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1422248.875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8.8633</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183</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TLEEEAK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1497230.25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10.1028</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184</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ALEEAMEQK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326003808</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14.2532</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185</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YEILTPNSIPK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385342968.3</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32.4931</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186</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KLQAQMKDCMR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2053576.375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12.9992</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187</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RGDLPFVVPR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1033455924</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29.1971</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188</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LQEMEGTVK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272232768</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14.2181</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189</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LQEMEGTVK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2865945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12.4238</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190</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ALEEAMEQK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5413179.688</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13.0585</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191</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SGFEPASLK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26878768</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18.2728</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192</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REQEVNILK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48432667.5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15.2923</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193</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GALALEEKR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39588772</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13.7702</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194</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AQQAADK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291455.75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9.3828</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195</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VEDMAELTCLNEASVLHNLKER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944916.9375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44.2455</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196</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SVHELEK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4398539</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9.2967</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197</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RQQQLTAMK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385272.875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11.0019</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198</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LRNWQWWR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29437970</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30.5123</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199</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NWQWWR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365052097.4</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38.4234</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200</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QACVLMIK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5526447</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35.2988</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201</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EQEVNILKK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334904160</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14.9602</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202</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GDLPFVVPR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186175232</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39.9996</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203</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VMQEQGTHPK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1714762.125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8.6591</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204</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KKLEMDLK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7105649.875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13.1281</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205</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QQQLTAMK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917960.375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9.9753</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206</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QQQLTAMK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5014838</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13.419</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207</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VKPLLQVSR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786716608</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17.0918</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208</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VAAYDK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188578.0469</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9.3029</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209</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VVFQEFR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1123028224</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24.5088</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210</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KLKDVLLQVDDER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7075166</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21.511</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211</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DQGELER</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1619833.625</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10.3789</w:t>
            </w:r>
          </w:p>
        </w:tc>
      </w:tr>
      <w:tr>
        <w:trPr>
          <w:trHeight w:val="320" w:hRule="atLeast"/>
        </w:trPr>
        <w:tc>
          <w:tcPr>
            <w:tcW w:w="1303"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212</w:t>
            </w:r>
          </w:p>
        </w:tc>
        <w:tc>
          <w:tcPr>
            <w:tcW w:w="13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FVSELWK</w:t>
            </w:r>
          </w:p>
        </w:tc>
        <w:tc>
          <w:tcPr>
            <w:tcW w:w="1104"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230304160</w:t>
            </w:r>
          </w:p>
        </w:tc>
        <w:tc>
          <w:tcPr>
            <w:tcW w:w="94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29.6528</w:t>
            </w:r>
          </w:p>
        </w:tc>
      </w:tr>
      <w:tr>
        <w:trPr>
          <w:trHeight w:val="320" w:hRule="atLeast"/>
        </w:trPr>
        <w:tc>
          <w:tcPr>
            <w:tcW w:w="1303" w:type="dxa"/>
            <w:tcBorders>
              <w:top w:val="nil"/>
              <w:left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213</w:t>
            </w:r>
          </w:p>
        </w:tc>
        <w:tc>
          <w:tcPr>
            <w:tcW w:w="1304" w:type="dxa"/>
            <w:tcBorders>
              <w:top w:val="nil"/>
              <w:left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MYH9</w:t>
            </w:r>
          </w:p>
        </w:tc>
        <w:tc>
          <w:tcPr>
            <w:tcW w:w="3405" w:type="dxa"/>
            <w:tcBorders>
              <w:top w:val="nil"/>
              <w:left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KTLEEEAK</w:t>
            </w:r>
          </w:p>
        </w:tc>
        <w:tc>
          <w:tcPr>
            <w:tcW w:w="1104" w:type="dxa"/>
            <w:tcBorders>
              <w:top w:val="nil"/>
              <w:left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234413.4219</w:t>
            </w:r>
          </w:p>
        </w:tc>
        <w:tc>
          <w:tcPr>
            <w:tcW w:w="943" w:type="dxa"/>
            <w:tcBorders>
              <w:top w:val="nil"/>
              <w:left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20"/>
                <w:lang w:val="en-US" w:eastAsia="zh-CN" w:bidi="ar-SA"/>
              </w:rPr>
              <w:t>9.2186</w:t>
            </w:r>
          </w:p>
        </w:tc>
      </w:tr>
    </w:tbl>
    <w:p>
      <w:pPr>
        <w:pStyle w:val="Normal"/>
        <w:spacing w:lineRule="auto" w:line="360"/>
        <w:rPr>
          <w:rFonts w:ascii="Times New Roman" w:hAnsi="Times New Roman" w:cs="Times New Roman"/>
          <w:color w:val="000000"/>
        </w:rPr>
      </w:pPr>
      <w:r>
        <w:rPr>
          <w:rFonts w:cs="Times New Roman" w:ascii="Times New Roman" w:hAnsi="Times New Roman"/>
          <w:color w:val="000000"/>
        </w:rPr>
      </w:r>
    </w:p>
    <w:p>
      <w:pPr>
        <w:pStyle w:val="Normal"/>
        <w:spacing w:lineRule="auto" w:line="360"/>
        <w:rPr>
          <w:rFonts w:ascii="Times New Roman" w:hAnsi="Times New Roman" w:cs="Times New Roman"/>
          <w:color w:val="000000"/>
        </w:rPr>
      </w:pPr>
      <w:r>
        <w:rPr>
          <w:rFonts w:cs="Times New Roman" w:ascii="Times New Roman" w:hAnsi="Times New Roman"/>
          <w:color w:val="000000"/>
        </w:rPr>
      </w:r>
    </w:p>
    <w:p>
      <w:pPr>
        <w:pStyle w:val="Normal"/>
        <w:spacing w:lineRule="auto" w:line="360"/>
        <w:rPr>
          <w:color w:val="000000"/>
        </w:rPr>
      </w:pPr>
      <w:r>
        <w:rPr>
          <w:rFonts w:cs="Times New Roman" w:ascii="Times New Roman" w:hAnsi="Times New Roman"/>
          <w:color w:val="000000"/>
        </w:rPr>
        <w:t>Table S2. Peptides of MYH9_result (~100KDa)</w:t>
      </w:r>
    </w:p>
    <w:p>
      <w:pPr>
        <w:pStyle w:val="Normal"/>
        <w:spacing w:lineRule="auto" w:line="360"/>
        <w:rPr>
          <w:rFonts w:ascii="Times New Roman" w:hAnsi="Times New Roman" w:cs="Times New Roman"/>
          <w:color w:val="000000"/>
        </w:rPr>
      </w:pPr>
      <w:r>
        <w:rPr>
          <w:rFonts w:cs="Times New Roman" w:ascii="Times New Roman" w:hAnsi="Times New Roman"/>
          <w:color w:val="000000"/>
        </w:rPr>
      </w:r>
    </w:p>
    <w:tbl>
      <w:tblPr>
        <w:tblStyle w:val="a3"/>
        <w:tblW w:w="808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216"/>
        <w:gridCol w:w="1335"/>
        <w:gridCol w:w="3403"/>
        <w:gridCol w:w="1275"/>
        <w:gridCol w:w="851"/>
      </w:tblGrid>
      <w:tr>
        <w:trPr>
          <w:trHeight w:val="320" w:hRule="atLeast"/>
        </w:trPr>
        <w:tc>
          <w:tcPr>
            <w:tcW w:w="1216" w:type="dxa"/>
            <w:tcBorders>
              <w:left w:val="nil"/>
              <w:right w:val="nil"/>
            </w:tcBorders>
          </w:tcPr>
          <w:p>
            <w:pPr>
              <w:pStyle w:val="Normal"/>
              <w:spacing w:lineRule="auto" w:line="360" w:before="0" w:after="0"/>
              <w:jc w:val="left"/>
              <w:rPr>
                <w:color w:val="000000"/>
                <w:lang w:val="en-US" w:eastAsia="zh-CN" w:bidi="ar-SA"/>
              </w:rPr>
            </w:pPr>
            <w:r>
              <w:rPr>
                <w:rFonts w:cs="Times New Roman" w:ascii="Times New Roman" w:hAnsi="Times New Roman"/>
                <w:b/>
                <w:bCs/>
                <w:color w:val="000000"/>
                <w:sz w:val="16"/>
                <w:szCs w:val="16"/>
                <w:lang w:val="en-US" w:eastAsia="zh-CN" w:bidi="ar-SA"/>
              </w:rPr>
              <w:t>No.</w:t>
            </w:r>
          </w:p>
        </w:tc>
        <w:tc>
          <w:tcPr>
            <w:tcW w:w="1335" w:type="dxa"/>
            <w:tcBorders>
              <w:left w:val="nil"/>
              <w:right w:val="nil"/>
            </w:tcBorders>
          </w:tcPr>
          <w:p>
            <w:pPr>
              <w:pStyle w:val="Normal"/>
              <w:spacing w:lineRule="auto" w:line="360" w:before="0" w:after="0"/>
              <w:jc w:val="left"/>
              <w:rPr>
                <w:color w:val="000000"/>
                <w:lang w:val="en-US" w:eastAsia="zh-CN" w:bidi="ar-SA"/>
              </w:rPr>
            </w:pPr>
            <w:r>
              <w:rPr>
                <w:rFonts w:cs="Times New Roman" w:ascii="Times New Roman" w:hAnsi="Times New Roman"/>
                <w:b/>
                <w:bCs/>
                <w:color w:val="000000"/>
                <w:sz w:val="16"/>
                <w:szCs w:val="16"/>
                <w:lang w:val="en-US" w:eastAsia="zh-CN" w:bidi="ar-SA"/>
              </w:rPr>
              <w:t>Gene_symbol</w:t>
            </w:r>
          </w:p>
        </w:tc>
        <w:tc>
          <w:tcPr>
            <w:tcW w:w="3403" w:type="dxa"/>
            <w:tcBorders>
              <w:left w:val="nil"/>
              <w:right w:val="nil"/>
            </w:tcBorders>
          </w:tcPr>
          <w:p>
            <w:pPr>
              <w:pStyle w:val="Normal"/>
              <w:spacing w:lineRule="auto" w:line="360" w:before="0" w:after="0"/>
              <w:jc w:val="left"/>
              <w:rPr>
                <w:color w:val="000000"/>
                <w:lang w:val="en-US" w:eastAsia="zh-CN" w:bidi="ar-SA"/>
              </w:rPr>
            </w:pPr>
            <w:r>
              <w:rPr>
                <w:rFonts w:cs="Times New Roman" w:ascii="Times New Roman" w:hAnsi="Times New Roman"/>
                <w:b/>
                <w:bCs/>
                <w:color w:val="000000"/>
                <w:sz w:val="16"/>
                <w:szCs w:val="16"/>
                <w:lang w:val="en-US" w:eastAsia="zh-CN" w:bidi="ar-SA"/>
              </w:rPr>
              <w:t>Sequence</w:t>
            </w:r>
          </w:p>
        </w:tc>
        <w:tc>
          <w:tcPr>
            <w:tcW w:w="1275" w:type="dxa"/>
            <w:tcBorders>
              <w:left w:val="nil"/>
              <w:right w:val="nil"/>
            </w:tcBorders>
          </w:tcPr>
          <w:p>
            <w:pPr>
              <w:pStyle w:val="Normal"/>
              <w:spacing w:lineRule="auto" w:line="360" w:before="0" w:after="0"/>
              <w:jc w:val="left"/>
              <w:rPr>
                <w:color w:val="000000"/>
                <w:lang w:val="en-US" w:eastAsia="zh-CN" w:bidi="ar-SA"/>
              </w:rPr>
            </w:pPr>
            <w:r>
              <w:rPr>
                <w:rFonts w:cs="Times New Roman" w:ascii="Times New Roman" w:hAnsi="Times New Roman"/>
                <w:b/>
                <w:bCs/>
                <w:color w:val="000000"/>
                <w:sz w:val="16"/>
                <w:szCs w:val="16"/>
                <w:lang w:val="en-US" w:eastAsia="zh-CN" w:bidi="ar-SA"/>
              </w:rPr>
              <w:t>Abundance</w:t>
            </w:r>
          </w:p>
        </w:tc>
        <w:tc>
          <w:tcPr>
            <w:tcW w:w="851" w:type="dxa"/>
            <w:tcBorders>
              <w:left w:val="nil"/>
              <w:right w:val="nil"/>
            </w:tcBorders>
          </w:tcPr>
          <w:p>
            <w:pPr>
              <w:pStyle w:val="Normal"/>
              <w:spacing w:lineRule="auto" w:line="360" w:before="0" w:after="0"/>
              <w:jc w:val="left"/>
              <w:rPr>
                <w:color w:val="000000"/>
                <w:lang w:val="en-US" w:eastAsia="zh-CN" w:bidi="ar-SA"/>
              </w:rPr>
            </w:pPr>
            <w:r>
              <w:rPr>
                <w:rFonts w:cs="Times New Roman" w:ascii="Times New Roman" w:hAnsi="Times New Roman"/>
                <w:b/>
                <w:bCs/>
                <w:color w:val="000000"/>
                <w:sz w:val="16"/>
                <w:szCs w:val="16"/>
                <w:lang w:val="en-US" w:eastAsia="zh-CN" w:bidi="ar-SA"/>
              </w:rPr>
              <w:t>RT (min)</w:t>
            </w:r>
          </w:p>
        </w:tc>
      </w:tr>
      <w:tr>
        <w:trPr>
          <w:trHeight w:val="320" w:hRule="atLeast"/>
        </w:trPr>
        <w:tc>
          <w:tcPr>
            <w:tcW w:w="1216" w:type="dxa"/>
            <w:tcBorders>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w:t>
            </w:r>
          </w:p>
        </w:tc>
        <w:tc>
          <w:tcPr>
            <w:tcW w:w="1335" w:type="dxa"/>
            <w:tcBorders>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RGDLPFVVPR</w:t>
            </w:r>
          </w:p>
        </w:tc>
        <w:tc>
          <w:tcPr>
            <w:tcW w:w="1275" w:type="dxa"/>
            <w:tcBorders>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112778264</w:t>
            </w:r>
          </w:p>
        </w:tc>
        <w:tc>
          <w:tcPr>
            <w:tcW w:w="851" w:type="dxa"/>
            <w:tcBorders>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29.3042</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2</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VAAYDKLEK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72107724</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13.125</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3</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ASITALEAK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67612664</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17.284</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4</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LKDVLLQVDDERR</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52436740</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19.5489</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5</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KFDQLLAEEK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44860668</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18.4506</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6</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ALEEAMEQK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44052628</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14.2533</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7</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QIATLHAQVADMK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39701037</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17.8944</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8</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HSQAVEELAEQLEQTKR</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38253548.88</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27.7203</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9</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KKVEAQLQELQVK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35950350.5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16.0684</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10</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LEVNLQAMK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35007656</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27.1076</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11</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LQQELDDLLVDLDHQR</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34355580.31</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54.2213</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12</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FDQLLAEEK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34014500</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20.8459</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13</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ALEQQVEEMK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33462698</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17.0731</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14</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ASREEILAQAK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31149808</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13.6823</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15</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VKLQEMEGTVK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29512945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15.92</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16</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LQVELDNVTGLLSQSDSK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29466344.5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54.0765</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17</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ELEDATETADAMNR</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29272926</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16.8797</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18</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IAQLEEQLDNETK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27222872</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20.8494</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19</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EQEVNILKK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27032908</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15.0159</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20</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LKQVEDEKNSFR</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25061702</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11.7912</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21</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KANLQIDQINTDLNLER</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24288898.5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34.8143</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22</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ANLQIDQINTDLNLER</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23997230</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42.749</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23</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DVLLQVDDERR</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22410389</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20.0764</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24</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VIQYLAYVASSHK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20778929</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30.9083</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25</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VSHLLGINVTDFTR</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20126869</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42.161</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26</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LDPHLVLDQLR</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19829698</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41.5018</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27</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QIATLHAQVADMKK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17965269.5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15.6358</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28</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ALELDSNLYR</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17178034</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28.3582</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29</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VEAQLQELQVK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17107414</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23.1699</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30</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QLEEAEEEAQR</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16990200</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12.7299</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31</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IAQLEEQLDNETKER</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16863862.75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18.612</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32</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AGVLAHLEEER</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16176291.5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17.9945</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33</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VISGVLQLGNIVFKK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16103097.5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55.4379</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34</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EMEAELEDERK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16060900.5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13.8073</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35</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VRTELADKVTK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15637567</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11.8936</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36</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KVEAQLQELQVK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14807660</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18.5479</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37</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EQLEEEEEAKHNLEK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13756219.5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13.5218</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38</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IAQLEEELEEEQGNTELINDR</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13680200.5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40.6357</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39</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TEMEDLMSSK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13511648</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19.8079</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40</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QAQQERDELADEIANSSGK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13085754.5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17.3649</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41</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GALALEEKR</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12118492</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13.7435</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42</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LEVNLQAMK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10981517</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18.251</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43</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DFSALESQLQDTQELLQEENR</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10876560.25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66.0107</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44</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SMEAEMIQLQEELAAAER</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10698615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65.1629</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45</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EQADFAIEALAK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9797859</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38.1401</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46</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QLLQANPILEAFGNAK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8985695.375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62.3107</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47</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LVWVPSDK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8869244</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25.1513</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48</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EMEAELEDER</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8844573</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16.0067</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49</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YEILTPNSIPK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7964719.5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32.7936</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50</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TEMEDLMSSKDDVGK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7860012</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19.1175</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51</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TLEEEAKTHEAQIQEMR</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7698966</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17.2915</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52</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AQQAADKYLYVDK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7105066.5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26.1058</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53</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QRYEILTPNSIPK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6598723.875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25.0814</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54</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RQLEEAEEEAQR</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6354493.5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11.4318</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55</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HSQAVEELAEQLEQTK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5618015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32.9942</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56</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IIGLDQVAGMSETALPGAFK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5434081.125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65.3583</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57</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NFINNPLAQADWAAK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5226387.5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47.329</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58</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DELADEIANSSGK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5203438</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19.7444</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59</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VDYKADEWLMK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4764243.625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27.5295</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60</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ALEEAMEQKAELER</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4753417.75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17.869</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61</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FVSELWK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4630303.5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30.1437</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62</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NLPIYSEEIVEMYK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4270940</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52.8754</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63</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NTDQASMPDNTAAQK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4253418</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12.2694</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64</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AGVLAHLEEERDLK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4192864.75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19.138</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65</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IIGLDQVAGMSETALPGAFK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4090508.125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53.834</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66</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TQLEELEDELQATEDAK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4085148</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45.7926</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67</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YKASITALEAK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3708482.75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16.9645</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68</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VISGVLQLGNIVFK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3572087.5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67.2588</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69</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LRLEVNLQAMK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3377610</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32.6541</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70</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DLEGLSQRHEEK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3106390.75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12.5872</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71</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TEMEDLMSSKDDVGK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3030706.25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14.8406</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72</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KVIQYLAYVASSHK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3023449</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25.3872</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73</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HEMPPHIYAITDTAYR</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2946359.5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23.1471</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74</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LQQLFNHTMFILEQEEYQR</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2864255.75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52.493</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75</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TEMEDLMSSKDDVGK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2790272</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11.7965</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76</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AGKLDPHLVLDQLR</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2579904.75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35.2494</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77</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EMEAELEDER</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2394721.75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13.0663</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78</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NMDPLNDNIATLLHQSSDK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2282497.5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47.6076</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79</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NLPIYSEEIVEMYK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2200801</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43.7977</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80</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NMDPLNDNIATLLHQSSDKFVSELWK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2158739</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68.8529</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81</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TEMEDLMSSK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2061624.625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14.3917</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82</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SMEAEMIQLQEELAAAER</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1790731.625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50.2961</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83</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HEMPPHIYAITDTAYR</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1617644</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20.0206</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84</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DVLLQVDDER</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1609287.25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25.8801</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85</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LQQLFNHTMFILEQEEYQR</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1598108.5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42.7979</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86</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LKDVLLQVDDER</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1360679.875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24.539</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87</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DFSALESQLQDTQELLQEENRQK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1245794.625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58.9753</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88</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TFHIFYYLLSGAGEHLK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1189140.125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61.4835</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89</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TRLQQELDDLLVDLDHQR</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1160140.719</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63.6114</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90</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ALEQQVEEMKTQLEELEDELQATEDAK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978573.3125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69.5851</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91</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SMEAEMIQLQEELAAAER</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953590.5625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36.5755</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92</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SVHELEK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659573.1875</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9.2585</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93</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SMAVAAR</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523953.7813</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11.501</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94</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EMEAELEDERK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496942.3438</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10.9546</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95</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TELADKVTK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308987.9063</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11.7656</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96</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THEAQIQEMR</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177162.6094</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9.4628</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97</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QIATLHAQVADMK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15.3811</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98</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INFDVNGYIVGANIETYLLEK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69.8837</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99</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QIATLHAQVADMKK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13.5288</w:t>
            </w:r>
          </w:p>
        </w:tc>
      </w:tr>
      <w:tr>
        <w:trPr>
          <w:trHeight w:val="320" w:hRule="atLeast"/>
        </w:trPr>
        <w:tc>
          <w:tcPr>
            <w:tcW w:w="1216" w:type="dxa"/>
            <w:tcBorders>
              <w:top w:val="nil"/>
              <w:left w:val="nil"/>
              <w:bottom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100</w:t>
            </w:r>
          </w:p>
        </w:tc>
        <w:tc>
          <w:tcPr>
            <w:tcW w:w="133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AKQTLENERGELANEVK</w:t>
            </w:r>
          </w:p>
        </w:tc>
        <w:tc>
          <w:tcPr>
            <w:tcW w:w="1275"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w:t>
            </w:r>
          </w:p>
        </w:tc>
        <w:tc>
          <w:tcPr>
            <w:tcW w:w="851" w:type="dxa"/>
            <w:tcBorders>
              <w:top w:val="nil"/>
              <w:left w:val="nil"/>
              <w:bottom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14.5976</w:t>
            </w:r>
          </w:p>
        </w:tc>
      </w:tr>
      <w:tr>
        <w:trPr>
          <w:trHeight w:val="320" w:hRule="atLeast"/>
        </w:trPr>
        <w:tc>
          <w:tcPr>
            <w:tcW w:w="1216" w:type="dxa"/>
            <w:tcBorders>
              <w:top w:val="nil"/>
              <w:left w:val="nil"/>
              <w:right w:val="nil"/>
            </w:tcBorders>
            <w:vAlign w:val="center"/>
          </w:tcPr>
          <w:p>
            <w:pPr>
              <w:pStyle w:val="Normal"/>
              <w:spacing w:lineRule="auto" w:line="360" w:before="0" w:after="0"/>
              <w:rPr>
                <w:color w:val="000000"/>
                <w:lang w:val="en-US" w:eastAsia="zh-CN" w:bidi="ar-SA"/>
              </w:rPr>
            </w:pPr>
            <w:r>
              <w:rPr>
                <w:rFonts w:eastAsia="DengXian" w:cs="Times New Roman" w:ascii="Times New Roman" w:hAnsi="Times New Roman"/>
                <w:color w:val="000000"/>
                <w:sz w:val="16"/>
                <w:szCs w:val="16"/>
                <w:lang w:val="en-US" w:eastAsia="zh-CN" w:bidi="ar-SA"/>
              </w:rPr>
              <w:t>101</w:t>
            </w:r>
          </w:p>
        </w:tc>
        <w:tc>
          <w:tcPr>
            <w:tcW w:w="1335" w:type="dxa"/>
            <w:tcBorders>
              <w:top w:val="nil"/>
              <w:left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MYH9</w:t>
            </w:r>
          </w:p>
        </w:tc>
        <w:tc>
          <w:tcPr>
            <w:tcW w:w="3403" w:type="dxa"/>
            <w:tcBorders>
              <w:top w:val="nil"/>
              <w:left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NAEQYKDQADKASTR</w:t>
            </w:r>
          </w:p>
        </w:tc>
        <w:tc>
          <w:tcPr>
            <w:tcW w:w="1275" w:type="dxa"/>
            <w:tcBorders>
              <w:top w:val="nil"/>
              <w:left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w:t>
            </w:r>
          </w:p>
        </w:tc>
        <w:tc>
          <w:tcPr>
            <w:tcW w:w="851" w:type="dxa"/>
            <w:tcBorders>
              <w:top w:val="nil"/>
              <w:left w:val="nil"/>
              <w:right w:val="nil"/>
            </w:tcBorders>
          </w:tcPr>
          <w:p>
            <w:pPr>
              <w:pStyle w:val="Normal"/>
              <w:spacing w:lineRule="auto" w:line="360" w:before="0" w:after="0"/>
              <w:rPr>
                <w:color w:val="000000"/>
                <w:lang w:val="en-US" w:eastAsia="zh-CN" w:bidi="ar-SA"/>
              </w:rPr>
            </w:pPr>
            <w:r>
              <w:rPr>
                <w:rFonts w:cs="Times New Roman" w:ascii="Times New Roman" w:hAnsi="Times New Roman"/>
                <w:color w:val="000000"/>
                <w:sz w:val="16"/>
                <w:szCs w:val="16"/>
                <w:lang w:val="en-US" w:eastAsia="zh-CN" w:bidi="ar-SA"/>
              </w:rPr>
              <w:t>9.7756</w:t>
            </w:r>
          </w:p>
        </w:tc>
      </w:tr>
    </w:tbl>
    <w:p>
      <w:pPr>
        <w:pStyle w:val="Normal"/>
        <w:spacing w:lineRule="auto" w:line="360"/>
        <w:rPr>
          <w:rFonts w:ascii="Times New Roman" w:hAnsi="Times New Roman" w:cs="Times New Roman"/>
          <w:color w:val="000000"/>
        </w:rPr>
      </w:pPr>
      <w:r>
        <w:rPr>
          <w:rFonts w:cs="Times New Roman" w:ascii="Times New Roman" w:hAnsi="Times New Roman"/>
          <w:color w:val="000000"/>
        </w:rPr>
      </w:r>
    </w:p>
    <w:p>
      <w:pPr>
        <w:pStyle w:val="Normal"/>
        <w:spacing w:lineRule="auto" w:line="360"/>
        <w:rPr>
          <w:color w:val="000000"/>
        </w:rPr>
      </w:pPr>
      <w:r>
        <w:rPr>
          <w:rFonts w:cs="Times New Roman" w:ascii="Times New Roman" w:hAnsi="Times New Roman"/>
          <w:b/>
          <w:bCs/>
          <w:color w:val="000000"/>
        </w:rPr>
        <w:t>References</w:t>
      </w:r>
    </w:p>
    <w:p>
      <w:pPr>
        <w:pStyle w:val="EndNoteBibliography1"/>
        <w:spacing w:lineRule="auto" w:line="360"/>
        <w:ind w:hanging="720" w:left="720"/>
        <w:rPr>
          <w:color w:val="000000"/>
        </w:rPr>
      </w:pPr>
      <w:r>
        <w:fldChar w:fldCharType="begin"/>
      </w:r>
      <w:r>
        <w:rPr>
          <w:rFonts w:cs="Times New Roman" w:ascii="Times New Roman" w:hAnsi="Times New Roman"/>
          <w:color w:val="000000"/>
        </w:rPr>
        <w:instrText xml:space="preserve">ADDIN EN.REFLIST</w:instrText>
      </w:r>
      <w:r>
        <w:rPr>
          <w:rFonts w:cs="Times New Roman" w:ascii="Times New Roman" w:hAnsi="Times New Roman"/>
          <w:color w:val="000000"/>
        </w:rPr>
      </w:r>
      <w:r>
        <w:rPr>
          <w:rFonts w:cs="Times New Roman" w:ascii="Times New Roman" w:hAnsi="Times New Roman"/>
          <w:color w:val="000000"/>
        </w:rPr>
        <w:fldChar w:fldCharType="separate"/>
      </w:r>
      <w:r>
        <w:rPr>
          <w:rFonts w:cs="Times New Roman" w:ascii="Times New Roman" w:hAnsi="Times New Roman"/>
          <w:color w:val="000000"/>
        </w:rPr>
        <w:t>1.</w:t>
        <w:tab/>
        <w:t xml:space="preserve">Xu H, Fang B, Du S, Wang S, Li Q, Jia X, Bao C, Ye L, Sui X, Qian L, et al: </w:t>
      </w:r>
      <w:r>
        <w:rPr>
          <w:rFonts w:cs="Times New Roman" w:ascii="Times New Roman" w:hAnsi="Times New Roman"/>
          <w:b/>
          <w:color w:val="000000"/>
        </w:rPr>
        <w:t>Endothelial cell prostaglandin E2 receptor EP4 is essential for blood pressure homeostasis.</w:t>
      </w:r>
      <w:r>
        <w:rPr>
          <w:rFonts w:cs="Times New Roman" w:ascii="Times New Roman" w:hAnsi="Times New Roman"/>
          <w:color w:val="000000"/>
        </w:rPr>
        <w:t xml:space="preserve"> </w:t>
      </w:r>
      <w:r>
        <w:rPr>
          <w:rFonts w:cs="Times New Roman" w:ascii="Times New Roman" w:hAnsi="Times New Roman"/>
          <w:i/>
          <w:color w:val="000000"/>
        </w:rPr>
        <w:t xml:space="preserve">JCI Insight </w:t>
      </w:r>
      <w:r>
        <w:rPr>
          <w:rFonts w:cs="Times New Roman" w:ascii="Times New Roman" w:hAnsi="Times New Roman"/>
          <w:color w:val="000000"/>
        </w:rPr>
        <w:t xml:space="preserve">2020, </w:t>
      </w:r>
      <w:r>
        <w:rPr>
          <w:rFonts w:cs="Times New Roman" w:ascii="Times New Roman" w:hAnsi="Times New Roman"/>
          <w:b/>
          <w:color w:val="000000"/>
        </w:rPr>
        <w:t>5</w:t>
      </w:r>
      <w:r>
        <w:rPr>
          <w:rFonts w:cs="Times New Roman" w:ascii="Times New Roman" w:hAnsi="Times New Roman"/>
          <w:color w:val="000000"/>
        </w:rPr>
        <w:t>.</w:t>
      </w:r>
    </w:p>
    <w:p>
      <w:pPr>
        <w:pStyle w:val="Normal"/>
        <w:spacing w:lineRule="auto" w:line="360"/>
        <w:rPr>
          <w:color w:val="000000"/>
        </w:rPr>
      </w:pPr>
      <w:r/>
      <w:r>
        <w:rPr>
          <w:rFonts w:cs="Times New Roman" w:ascii="Times New Roman" w:hAnsi="Times New Roman"/>
          <w:color w:val="000000"/>
        </w:rPr>
        <w:fldChar w:fldCharType="end"/>
      </w:r>
      <w:r>
        <w:rPr>
          <w:rFonts w:cs="Times New Roman" w:ascii="Times New Roman" w:hAnsi="Times New Roman"/>
          <w:color w:val="000000"/>
        </w:rPr>
      </w:r>
    </w:p>
    <w:p>
      <w:pPr>
        <w:pStyle w:val="Normal"/>
        <w:widowControl/>
        <w:spacing w:lineRule="auto" w:line="360"/>
        <w:jc w:val="left"/>
        <w:rPr>
          <w:rFonts w:ascii="Times New Roman" w:hAnsi="Times New Roman" w:cs="Times New Roman"/>
          <w:color w:val="000000"/>
        </w:rPr>
      </w:pPr>
      <w:r>
        <w:rPr>
          <w:rFonts w:cs="Times New Roman" w:ascii="Times New Roman" w:hAnsi="Times New Roman"/>
          <w:color w:val="000000"/>
        </w:rPr>
      </w:r>
    </w:p>
    <w:sectPr>
      <w:type w:val="nextPage"/>
      <w:pgSz w:w="11906" w:h="16838"/>
      <w:pgMar w:left="1800" w:right="1800" w:gutter="0" w:header="0" w:top="1440" w:footer="0" w:bottom="144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等线">
    <w:charset w:val="00"/>
    <w:family w:val="roman"/>
    <w:pitch w:val="variable"/>
  </w:font>
  <w:font w:name="DengXian">
    <w:charset w:val="00"/>
    <w:family w:val="auto"/>
    <w:pitch w:val="variable"/>
  </w:font>
  <w:font w:name="Liberation Sans">
    <w:altName w:val="Arial"/>
    <w:charset w:val="00"/>
    <w:family w:val="swiss"/>
    <w:pitch w:val="variable"/>
  </w:font>
  <w:font w:name="宋体">
    <w:charset w:val="00"/>
    <w:family w:val="auto"/>
    <w:pitch w:val="variable"/>
  </w:font>
</w:fonts>
</file>

<file path=word/settings.xml><?xml version="1.0" encoding="utf-8"?>
<w:settings xmlns:w="http://schemas.openxmlformats.org/wordprocessingml/2006/main">
  <w:zoom w:percent="123"/>
  <w:defaultTabStop w:val="420"/>
  <w:autoHyphenation w:val="true"/>
  <w:hyphenationZone w:val="0"/>
  <w:compat>
    <w:doNotExpandShiftReturn/>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zh-CN" w:bidi=""/>
  <w:docVars>
    <w:docVar w:name="commondata" w:val="eyJoZGlkIjoiNzY1OWYyNWFhZDQxOTA2ZmM1ZTI5NjE5YTUxYzMxOWEifQ=="/>
    <w:docVar w:name="EN.InstantFormat" w:val="&lt;ENInstantFormat&gt;&lt;Enabled&gt;1&lt;/Enabled&gt;&lt;ScanUnformatted&gt;1&lt;/ScanUnformatted&gt;&lt;ScanChanges&gt;1&lt;/ScanChanges&gt;&lt;Suspended&gt;0&lt;/Suspended&gt;&lt;/ENInstantFormat&gt;"/>
    <w:docVar w:name="EN.Layout" w:val="&lt;ENLayout&gt;&lt;Style&gt;J Translational Medicine&lt;/Style&gt;&lt;LeftDelim&gt;{&lt;/LeftDelim&gt;&lt;RightDelim&gt;}&lt;/RightDelim&gt;&lt;FontName&gt;DengXi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xpf2a2z6dss5yesrauxfveg0drf9e5w9555&quot;&gt;My EndNote Library&lt;record-ids&gt;&lt;item&gt;300&lt;/item&gt;&lt;/record-ids&gt;&lt;/item&gt;&lt;/Libraries&gt;"/>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宋体" w:cs="Times New Roman"/>
        <w:lang w:val="en-US" w:eastAsia="zh-CN"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bidi w:val="0"/>
      <w:spacing w:before="0" w:after="0"/>
      <w:jc w:val="both"/>
    </w:pPr>
    <w:rPr>
      <w:rFonts w:ascii="等线" w:hAnsi="等线" w:eastAsia="等线" w:cs="" w:asciiTheme="minorHAnsi" w:cstheme="minorBidi" w:eastAsiaTheme="minorEastAsia" w:hAnsiTheme="minorHAnsi"/>
      <w:color w:val="auto"/>
      <w:kern w:val="2"/>
      <w:sz w:val="21"/>
      <w:szCs w:val="24"/>
      <w:lang w:val="en-US" w:eastAsia="zh-CN" w:bidi="ar-SA"/>
    </w:rPr>
  </w:style>
  <w:style w:type="character" w:styleId="DefaultParagraphFont" w:default="1">
    <w:name w:val="Default Paragraph Font"/>
    <w:uiPriority w:val="1"/>
    <w:semiHidden/>
    <w:unhideWhenUsed/>
    <w:qFormat/>
    <w:rPr/>
  </w:style>
  <w:style w:type="character" w:styleId="FollowedHyperlink">
    <w:name w:val="FollowedHyperlink"/>
    <w:basedOn w:val="DefaultParagraphFont"/>
    <w:uiPriority w:val="99"/>
    <w:semiHidden/>
    <w:unhideWhenUsed/>
    <w:rPr>
      <w:color w:val="96607D"/>
      <w:u w:val="single"/>
    </w:rPr>
  </w:style>
  <w:style w:type="character" w:styleId="Hyperlink">
    <w:name w:val="Hyperlink"/>
    <w:basedOn w:val="DefaultParagraphFont"/>
    <w:uiPriority w:val="99"/>
    <w:unhideWhenUsed/>
    <w:rPr>
      <w:color w:val="467886"/>
      <w:u w:val="single"/>
    </w:rPr>
  </w:style>
  <w:style w:type="character" w:styleId="EndNoteBibliographyTitle" w:customStyle="1">
    <w:name w:val="EndNote Bibliography Title 字符"/>
    <w:basedOn w:val="DefaultParagraphFont"/>
    <w:link w:val="EndNoteBibliographyTitle1"/>
    <w:qFormat/>
    <w:rsid w:val="004e7245"/>
    <w:rPr>
      <w:rFonts w:ascii="DengXian" w:hAnsi="DengXian" w:eastAsia="DengXian" w:cs="" w:cstheme="minorBidi"/>
      <w:kern w:val="2"/>
      <w:szCs w:val="24"/>
    </w:rPr>
  </w:style>
  <w:style w:type="character" w:styleId="EndNoteBibliography" w:customStyle="1">
    <w:name w:val="EndNote Bibliography 字符"/>
    <w:basedOn w:val="DefaultParagraphFont"/>
    <w:link w:val="EndNoteBibliography1"/>
    <w:qFormat/>
    <w:rsid w:val="004e7245"/>
    <w:rPr>
      <w:rFonts w:ascii="DengXian" w:hAnsi="DengXian" w:eastAsia="DengXian" w:cs="" w:cstheme="minorBidi"/>
      <w:kern w:val="2"/>
      <w:szCs w:val="24"/>
    </w:rPr>
  </w:style>
  <w:style w:type="character" w:styleId="UnresolvedMention">
    <w:name w:val="Unresolved Mention"/>
    <w:basedOn w:val="DefaultParagraphFont"/>
    <w:uiPriority w:val="99"/>
    <w:semiHidden/>
    <w:unhideWhenUsed/>
    <w:qFormat/>
    <w:rsid w:val="004e7245"/>
    <w:rPr>
      <w:color w:val="605E5C"/>
      <w:shd w:fill="E1DFDD" w:val="clear"/>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msonormal" w:customStyle="1">
    <w:name w:val="msonormal"/>
    <w:basedOn w:val="Normal"/>
    <w:qFormat/>
    <w:pPr>
      <w:widowControl/>
      <w:spacing w:beforeAutospacing="1" w:afterAutospacing="1"/>
      <w:jc w:val="left"/>
    </w:pPr>
    <w:rPr>
      <w:rFonts w:ascii="宋体" w:hAnsi="宋体" w:eastAsia="宋体" w:cs="宋体"/>
      <w:kern w:val="0"/>
      <w:sz w:val="24"/>
    </w:rPr>
  </w:style>
  <w:style w:type="paragraph" w:styleId="font5" w:customStyle="1">
    <w:name w:val="font5"/>
    <w:basedOn w:val="Normal"/>
    <w:qFormat/>
    <w:pPr>
      <w:widowControl/>
      <w:spacing w:beforeAutospacing="1" w:afterAutospacing="1"/>
      <w:jc w:val="left"/>
    </w:pPr>
    <w:rPr>
      <w:rFonts w:ascii="DengXian" w:hAnsi="DengXian" w:eastAsia="DengXian" w:cs="宋体"/>
      <w:kern w:val="0"/>
      <w:sz w:val="18"/>
      <w:szCs w:val="18"/>
    </w:rPr>
  </w:style>
  <w:style w:type="paragraph" w:styleId="xl63" w:customStyle="1">
    <w:name w:val="xl63"/>
    <w:basedOn w:val="Normal"/>
    <w:qFormat/>
    <w:pPr>
      <w:widowControl/>
      <w:spacing w:beforeAutospacing="1" w:afterAutospacing="1"/>
      <w:jc w:val="center"/>
    </w:pPr>
    <w:rPr>
      <w:rFonts w:ascii="宋体" w:hAnsi="宋体" w:eastAsia="宋体" w:cs="宋体"/>
      <w:b/>
      <w:bCs/>
      <w:kern w:val="0"/>
      <w:sz w:val="24"/>
    </w:rPr>
  </w:style>
  <w:style w:type="paragraph" w:styleId="EndNoteBibliographyTitle1" w:customStyle="1">
    <w:name w:val="EndNote Bibliography Title"/>
    <w:basedOn w:val="Normal"/>
    <w:link w:val="EndNoteBibliographyTitle"/>
    <w:qFormat/>
    <w:rsid w:val="004e7245"/>
    <w:pPr>
      <w:jc w:val="center"/>
    </w:pPr>
    <w:rPr>
      <w:rFonts w:ascii="DengXian" w:hAnsi="DengXian" w:eastAsia="DengXian"/>
      <w:sz w:val="20"/>
    </w:rPr>
  </w:style>
  <w:style w:type="paragraph" w:styleId="EndNoteBibliography1" w:customStyle="1">
    <w:name w:val="EndNote Bibliography"/>
    <w:basedOn w:val="Normal"/>
    <w:link w:val="EndNoteBibliography"/>
    <w:qFormat/>
    <w:rsid w:val="004e7245"/>
    <w:pPr/>
    <w:rPr>
      <w:rFonts w:ascii="DengXian" w:hAnsi="DengXian" w:eastAsia="DengXian"/>
      <w:sz w:val="20"/>
    </w:rPr>
  </w:style>
  <w:style w:type="paragraph" w:styleId="Revision">
    <w:name w:val="Revision"/>
    <w:uiPriority w:val="99"/>
    <w:unhideWhenUsed/>
    <w:qFormat/>
    <w:rsid w:val="00fa0ae3"/>
    <w:pPr>
      <w:widowControl/>
      <w:bidi w:val="0"/>
      <w:spacing w:before="0" w:after="0"/>
      <w:jc w:val="left"/>
    </w:pPr>
    <w:rPr>
      <w:rFonts w:ascii="等线" w:hAnsi="等线" w:eastAsia="等线" w:cs="" w:asciiTheme="minorHAnsi" w:cstheme="minorBidi" w:eastAsiaTheme="minorEastAsia" w:hAnsiTheme="minorHAnsi"/>
      <w:color w:val="auto"/>
      <w:kern w:val="2"/>
      <w:sz w:val="21"/>
      <w:szCs w:val="24"/>
      <w:lang w:val="en-US" w:eastAsia="zh-CN"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tif"/><Relationship Id="rId3" Type="http://schemas.openxmlformats.org/officeDocument/2006/relationships/image" Target="media/image2.tif"/><Relationship Id="rId4" Type="http://schemas.openxmlformats.org/officeDocument/2006/relationships/image" Target="media/image3.tif"/><Relationship Id="rId5" Type="http://schemas.openxmlformats.org/officeDocument/2006/relationships/image" Target="media/image4.tif"/><Relationship Id="rId6" Type="http://schemas.openxmlformats.org/officeDocument/2006/relationships/image" Target="media/image5.tif"/><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主题​​">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itchFamily="0" charset="1"/>
        <a:ea typeface=""/>
        <a:cs typeface=""/>
      </a:majorFont>
      <a:minorFont>
        <a:latin typeface="等线"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74</TotalTime>
  <Application>LibreOffice/24.8.4.2$Windows_X86_64 LibreOffice_project/bb3cfa12c7b1bf994ecc5649a80400d06cd71002</Application>
  <AppVersion>15.0000</AppVersion>
  <Pages>18</Pages>
  <Words>2816</Words>
  <Characters>18642</Characters>
  <CharactersWithSpaces>19848</CharactersWithSpaces>
  <Paragraphs>1624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2024-11-05T03:12:00Z</dcterms:created>
  <dc:creator>Microsoft Office User</dc:creator>
  <dc:description/>
  <dc:language>en-IN</dc:language>
  <cp:lastModifiedBy/>
  <cp:lastPrinted>2024-11-05T03:12:00Z</cp:lastPrinted>
  <dcterms:modified xsi:type="dcterms:W3CDTF">2025-02-08T15:35:54Z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9C10BAD78AFA050FA65BBD66254F90ED_42</vt:lpwstr>
  </property>
  <property fmtid="{D5CDD505-2E9C-101B-9397-08002B2CF9AE}" pid="3" name="KSOProductBuildVer">
    <vt:lpwstr>2052-6.10.1.8873</vt:lpwstr>
  </property>
</Properties>
</file>