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6BE48" w14:textId="77777777" w:rsidR="00B81667" w:rsidRDefault="00000000">
      <w:pPr>
        <w:spacing w:line="480" w:lineRule="auto"/>
        <w:jc w:val="center"/>
        <w:rPr>
          <w:rFonts w:ascii="Times New Roman" w:eastAsia="宋体" w:hAnsi="Times New Roman" w:cs="Calibri"/>
          <w:b/>
          <w:sz w:val="32"/>
          <w:szCs w:val="32"/>
        </w:rPr>
      </w:pPr>
      <w:r>
        <w:rPr>
          <w:rFonts w:ascii="Times New Roman" w:eastAsia="宋体" w:hAnsi="Times New Roman" w:cs="Calibri"/>
          <w:b/>
          <w:sz w:val="32"/>
          <w:szCs w:val="32"/>
        </w:rPr>
        <w:t>Supplementary Figures</w:t>
      </w:r>
    </w:p>
    <w:p w14:paraId="1C4ED29C" w14:textId="77777777" w:rsidR="00B81667" w:rsidRDefault="00000000">
      <w:pPr>
        <w:spacing w:line="480" w:lineRule="auto"/>
        <w:rPr>
          <w:rFonts w:ascii="Times New Roman" w:eastAsia="宋体" w:hAnsi="Times New Roman" w:cs="Calibri"/>
          <w:b/>
          <w:sz w:val="32"/>
          <w:szCs w:val="32"/>
        </w:rPr>
      </w:pPr>
      <w:r>
        <w:rPr>
          <w:rFonts w:ascii="Times New Roman" w:hAnsi="Times New Roman"/>
          <w:b/>
          <w:sz w:val="24"/>
          <w:szCs w:val="24"/>
        </w:rPr>
        <w:t>Figure S1</w:t>
      </w:r>
    </w:p>
    <w:p w14:paraId="16F2674B"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Cs/>
          <w:noProof/>
          <w:sz w:val="24"/>
          <w:szCs w:val="24"/>
        </w:rPr>
        <w:drawing>
          <wp:inline distT="0" distB="0" distL="0" distR="0" wp14:anchorId="7C2DDE73" wp14:editId="06BBE821">
            <wp:extent cx="5274310" cy="5325110"/>
            <wp:effectExtent l="0" t="0" r="2540" b="8890"/>
            <wp:docPr id="6160542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54293"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325110"/>
                    </a:xfrm>
                    <a:prstGeom prst="rect">
                      <a:avLst/>
                    </a:prstGeom>
                  </pic:spPr>
                </pic:pic>
              </a:graphicData>
            </a:graphic>
          </wp:inline>
        </w:drawing>
      </w:r>
    </w:p>
    <w:p w14:paraId="6C7159B2" w14:textId="77777777" w:rsidR="00B81667" w:rsidRDefault="00000000">
      <w:pPr>
        <w:pStyle w:val="EndNoteBibliography"/>
        <w:spacing w:line="480" w:lineRule="auto"/>
        <w:rPr>
          <w:rFonts w:ascii="Times New Roman" w:hAnsi="Times New Roman"/>
          <w:bCs/>
          <w:sz w:val="24"/>
          <w:szCs w:val="24"/>
        </w:rPr>
        <w:sectPr w:rsidR="00B81667" w:rsidSect="00D369D2">
          <w:footerReference w:type="default" r:id="rId8"/>
          <w:pgSz w:w="11906" w:h="16838"/>
          <w:pgMar w:top="1440" w:right="1800" w:bottom="1440" w:left="1800" w:header="851" w:footer="992" w:gutter="0"/>
          <w:lnNumType w:countBy="1" w:restart="continuous"/>
          <w:cols w:space="425"/>
          <w:docGrid w:type="lines" w:linePitch="312"/>
        </w:sectPr>
      </w:pPr>
      <w:r>
        <w:rPr>
          <w:rFonts w:ascii="Times New Roman" w:hAnsi="Times New Roman"/>
          <w:b/>
          <w:sz w:val="24"/>
          <w:szCs w:val="24"/>
        </w:rPr>
        <w:t xml:space="preserve">Figure S1: Characterization of CTHRC+ fibroblasts. </w:t>
      </w:r>
      <w:r>
        <w:rPr>
          <w:rFonts w:ascii="Times New Roman" w:hAnsi="Times New Roman"/>
          <w:bCs/>
          <w:sz w:val="24"/>
          <w:szCs w:val="24"/>
        </w:rPr>
        <w:t xml:space="preserve">(A) Violin plot indicating that CTHRC1 is a stromal-specific marker in CRC. (B) Feature plot showing that CTHRC1 is primarily expressed in CTHRC+ fibroblasts. (C) GSEA of angiogenesis pathway between CTHRC+ fibroblasts and other fibroblasts. (D) Violin plots showing the differentiation scores of various fibroblast subtypes predicted by </w:t>
      </w:r>
      <w:proofErr w:type="spellStart"/>
      <w:r>
        <w:rPr>
          <w:rFonts w:ascii="Times New Roman" w:hAnsi="Times New Roman"/>
          <w:bCs/>
          <w:sz w:val="24"/>
          <w:szCs w:val="24"/>
        </w:rPr>
        <w:t>CytoTRACE</w:t>
      </w:r>
      <w:proofErr w:type="spellEnd"/>
      <w:r>
        <w:rPr>
          <w:rFonts w:ascii="Times New Roman" w:hAnsi="Times New Roman"/>
          <w:bCs/>
          <w:sz w:val="24"/>
          <w:szCs w:val="24"/>
        </w:rPr>
        <w:t xml:space="preserve">. (E) t-SNE plot illustrating the predicted differentiation potential and distribution of fibroblasts using </w:t>
      </w:r>
      <w:proofErr w:type="spellStart"/>
      <w:r>
        <w:rPr>
          <w:rFonts w:ascii="Times New Roman" w:hAnsi="Times New Roman"/>
          <w:bCs/>
          <w:sz w:val="24"/>
          <w:szCs w:val="24"/>
        </w:rPr>
        <w:t>CytoTRACE</w:t>
      </w:r>
      <w:proofErr w:type="spellEnd"/>
      <w:r>
        <w:rPr>
          <w:rFonts w:ascii="Times New Roman" w:hAnsi="Times New Roman"/>
          <w:bCs/>
          <w:sz w:val="24"/>
          <w:szCs w:val="24"/>
        </w:rPr>
        <w:t>.</w:t>
      </w:r>
    </w:p>
    <w:p w14:paraId="538AFD5F"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
          <w:sz w:val="24"/>
          <w:szCs w:val="24"/>
        </w:rPr>
        <w:lastRenderedPageBreak/>
        <w:t>Figure S2</w:t>
      </w:r>
    </w:p>
    <w:p w14:paraId="1626FB28"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hint="eastAsia"/>
          <w:bCs/>
          <w:noProof/>
          <w:sz w:val="24"/>
          <w:szCs w:val="24"/>
        </w:rPr>
        <w:drawing>
          <wp:inline distT="0" distB="0" distL="0" distR="0" wp14:anchorId="71C4E153" wp14:editId="290514DB">
            <wp:extent cx="5274310" cy="4741545"/>
            <wp:effectExtent l="0" t="0" r="2540" b="1905"/>
            <wp:docPr id="12840389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3894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741545"/>
                    </a:xfrm>
                    <a:prstGeom prst="rect">
                      <a:avLst/>
                    </a:prstGeom>
                  </pic:spPr>
                </pic:pic>
              </a:graphicData>
            </a:graphic>
          </wp:inline>
        </w:drawing>
      </w:r>
    </w:p>
    <w:p w14:paraId="707DF89B" w14:textId="77777777" w:rsidR="00B81667" w:rsidRDefault="00000000">
      <w:pPr>
        <w:pStyle w:val="EndNoteBibliography"/>
        <w:spacing w:line="480" w:lineRule="auto"/>
        <w:rPr>
          <w:rFonts w:ascii="Times New Roman" w:hAnsi="Times New Roman"/>
          <w:bCs/>
          <w:sz w:val="24"/>
          <w:szCs w:val="24"/>
        </w:rPr>
        <w:sectPr w:rsidR="00B81667">
          <w:pgSz w:w="11906" w:h="16838"/>
          <w:pgMar w:top="1440" w:right="1800" w:bottom="1440" w:left="1800" w:header="851" w:footer="992" w:gutter="0"/>
          <w:lnNumType w:countBy="1" w:restart="newSection"/>
          <w:cols w:space="425"/>
          <w:docGrid w:type="lines" w:linePitch="312"/>
        </w:sectPr>
      </w:pPr>
      <w:r>
        <w:rPr>
          <w:rFonts w:ascii="Times New Roman" w:hAnsi="Times New Roman"/>
          <w:b/>
          <w:sz w:val="24"/>
          <w:szCs w:val="24"/>
        </w:rPr>
        <w:t>Figure S2: Characterization of malignant EPC_1.</w:t>
      </w:r>
      <w:r>
        <w:rPr>
          <w:rFonts w:ascii="Times New Roman" w:hAnsi="Times New Roman"/>
          <w:bCs/>
          <w:sz w:val="24"/>
          <w:szCs w:val="24"/>
        </w:rPr>
        <w:t xml:space="preserve"> (A) Bar charts highlighting the clinical characteristics of each malignant cell subtype. (B) Dot plot illustrating the specific expression of KLK10 and CDA in malignant EPC_1. (C) Kaplan–Meier curves showing overall survival analysis of CRC patients with low and high CDA expression. (D) Kaplan–Meier curves showing the favorable survival impact of malignant EPC_6 in CRC patients. (E) Heatmap showing the mean activity of the top differentially activated regulons in each fibroblast subtype inferred by </w:t>
      </w:r>
      <w:proofErr w:type="spellStart"/>
      <w:r>
        <w:rPr>
          <w:rFonts w:ascii="Times New Roman" w:hAnsi="Times New Roman"/>
          <w:bCs/>
          <w:sz w:val="24"/>
          <w:szCs w:val="24"/>
        </w:rPr>
        <w:t>pySCENIC</w:t>
      </w:r>
      <w:proofErr w:type="spellEnd"/>
      <w:r>
        <w:rPr>
          <w:rFonts w:ascii="Times New Roman" w:hAnsi="Times New Roman"/>
          <w:bCs/>
          <w:sz w:val="24"/>
          <w:szCs w:val="24"/>
        </w:rPr>
        <w:t>.</w:t>
      </w:r>
    </w:p>
    <w:p w14:paraId="2BB752AA"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
          <w:sz w:val="24"/>
          <w:szCs w:val="24"/>
        </w:rPr>
        <w:lastRenderedPageBreak/>
        <w:t>Figure S3</w:t>
      </w:r>
    </w:p>
    <w:p w14:paraId="32EAFD14"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hint="eastAsia"/>
          <w:bCs/>
          <w:noProof/>
          <w:sz w:val="24"/>
          <w:szCs w:val="24"/>
        </w:rPr>
        <w:drawing>
          <wp:inline distT="0" distB="0" distL="114300" distR="114300" wp14:anchorId="42FDD805" wp14:editId="1F551614">
            <wp:extent cx="5270500" cy="5687060"/>
            <wp:effectExtent l="0" t="0" r="0" b="2540"/>
            <wp:docPr id="1" name="图片 1"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3"/>
                    <pic:cNvPicPr>
                      <a:picLocks noChangeAspect="1"/>
                    </pic:cNvPicPr>
                  </pic:nvPicPr>
                  <pic:blipFill>
                    <a:blip r:embed="rId10"/>
                    <a:stretch>
                      <a:fillRect/>
                    </a:stretch>
                  </pic:blipFill>
                  <pic:spPr>
                    <a:xfrm>
                      <a:off x="0" y="0"/>
                      <a:ext cx="5270500" cy="5687060"/>
                    </a:xfrm>
                    <a:prstGeom prst="rect">
                      <a:avLst/>
                    </a:prstGeom>
                  </pic:spPr>
                </pic:pic>
              </a:graphicData>
            </a:graphic>
          </wp:inline>
        </w:drawing>
      </w:r>
    </w:p>
    <w:p w14:paraId="7BFBC061" w14:textId="77777777" w:rsidR="00B81667" w:rsidRDefault="00000000">
      <w:pPr>
        <w:pStyle w:val="EndNoteBibliography"/>
        <w:spacing w:line="480" w:lineRule="auto"/>
        <w:rPr>
          <w:rFonts w:ascii="Times New Roman" w:hAnsi="Times New Roman"/>
          <w:bCs/>
          <w:sz w:val="24"/>
          <w:szCs w:val="24"/>
        </w:rPr>
        <w:sectPr w:rsidR="00B81667">
          <w:pgSz w:w="11906" w:h="16838"/>
          <w:pgMar w:top="1440" w:right="1800" w:bottom="1440" w:left="1800" w:header="851" w:footer="992" w:gutter="0"/>
          <w:lnNumType w:countBy="1" w:restart="newSection"/>
          <w:cols w:space="425"/>
          <w:docGrid w:type="lines" w:linePitch="312"/>
        </w:sectPr>
      </w:pPr>
      <w:r>
        <w:rPr>
          <w:rFonts w:ascii="Times New Roman" w:hAnsi="Times New Roman"/>
          <w:b/>
          <w:sz w:val="24"/>
          <w:szCs w:val="24"/>
        </w:rPr>
        <w:t>Figure S3: Close localization of CTHRC1+ fibroblasts and malignant EPC_1.</w:t>
      </w:r>
      <w:r>
        <w:rPr>
          <w:rFonts w:ascii="Times New Roman" w:hAnsi="Times New Roman"/>
          <w:bCs/>
          <w:sz w:val="24"/>
          <w:szCs w:val="24"/>
        </w:rPr>
        <w:t xml:space="preserve"> </w:t>
      </w:r>
      <w:r>
        <w:rPr>
          <w:rFonts w:ascii="Times New Roman" w:hAnsi="Times New Roman"/>
          <w:bCs/>
          <w:color w:val="FF0000"/>
          <w:sz w:val="24"/>
          <w:szCs w:val="24"/>
        </w:rPr>
        <w:t xml:space="preserve">(A) The unsupervised clustering analysis of ST in colorectal cancer. </w:t>
      </w:r>
      <w:r>
        <w:rPr>
          <w:rFonts w:ascii="Times New Roman" w:hAnsi="Times New Roman"/>
          <w:bCs/>
          <w:sz w:val="24"/>
          <w:szCs w:val="24"/>
        </w:rPr>
        <w:t xml:space="preserve">(B) Mapping of </w:t>
      </w:r>
      <w:r>
        <w:rPr>
          <w:rFonts w:ascii="Times New Roman" w:hAnsi="Times New Roman" w:hint="eastAsia"/>
          <w:bCs/>
          <w:sz w:val="24"/>
          <w:szCs w:val="24"/>
        </w:rPr>
        <w:t>spatial</w:t>
      </w:r>
      <w:r>
        <w:rPr>
          <w:rFonts w:ascii="Times New Roman" w:hAnsi="Times New Roman"/>
          <w:bCs/>
          <w:sz w:val="24"/>
          <w:szCs w:val="24"/>
        </w:rPr>
        <w:t xml:space="preserve"> niches in CRC samples. (C) Deconvoluted abundance of malignant EPC_1 and CTHRC+ fibroblasts in a CRC sample. (D) Heatmap illustrating the median standardized importance scores of malignant epithelial cell subtype abundances in predicting fibroblast subtypes within both the immediate (upper part) and extended (lower part) neighborhoods.</w:t>
      </w:r>
      <w:r>
        <w:rPr>
          <w:rFonts w:ascii="Times New Roman" w:hAnsi="Times New Roman" w:hint="eastAsia"/>
          <w:bCs/>
          <w:sz w:val="24"/>
          <w:szCs w:val="24"/>
        </w:rPr>
        <w:t xml:space="preserve"> </w:t>
      </w:r>
      <w:r>
        <w:rPr>
          <w:rFonts w:ascii="Times New Roman" w:hAnsi="Times New Roman"/>
          <w:bCs/>
          <w:sz w:val="24"/>
          <w:szCs w:val="24"/>
        </w:rPr>
        <w:t xml:space="preserve">(E) Representative IF staining of human CRC tissues. </w:t>
      </w:r>
      <w:r>
        <w:rPr>
          <w:rFonts w:ascii="Times New Roman" w:hAnsi="Times New Roman"/>
          <w:bCs/>
          <w:color w:val="FF0000"/>
          <w:sz w:val="24"/>
          <w:szCs w:val="24"/>
        </w:rPr>
        <w:lastRenderedPageBreak/>
        <w:t>DAPI (blue), CTHRC1 (red), KLK10 (green) and EPCAM (yellow) are shown in individual and merged channels. Bar, 100 </w:t>
      </w:r>
      <w:proofErr w:type="spellStart"/>
      <w:r>
        <w:rPr>
          <w:rFonts w:ascii="Times New Roman" w:hAnsi="Times New Roman"/>
          <w:bCs/>
          <w:color w:val="FF0000"/>
          <w:sz w:val="24"/>
          <w:szCs w:val="24"/>
        </w:rPr>
        <w:t>μm</w:t>
      </w:r>
      <w:proofErr w:type="spellEnd"/>
      <w:r>
        <w:rPr>
          <w:rFonts w:ascii="Times New Roman" w:hAnsi="Times New Roman"/>
          <w:bCs/>
          <w:color w:val="FF0000"/>
          <w:sz w:val="24"/>
          <w:szCs w:val="24"/>
        </w:rPr>
        <w:t>.</w:t>
      </w:r>
      <w:r>
        <w:rPr>
          <w:rFonts w:ascii="Times New Roman" w:hAnsi="Times New Roman"/>
          <w:bCs/>
          <w:sz w:val="24"/>
          <w:szCs w:val="24"/>
        </w:rPr>
        <w:t xml:space="preserve"> The experiment was conducted on samples from three independent patients. (</w:t>
      </w:r>
      <w:r>
        <w:rPr>
          <w:rFonts w:ascii="Times New Roman" w:hAnsi="Times New Roman" w:hint="eastAsia"/>
          <w:bCs/>
          <w:sz w:val="24"/>
          <w:szCs w:val="24"/>
        </w:rPr>
        <w:t>F</w:t>
      </w:r>
      <w:r>
        <w:rPr>
          <w:rFonts w:ascii="Times New Roman" w:hAnsi="Times New Roman"/>
          <w:bCs/>
          <w:sz w:val="24"/>
          <w:szCs w:val="24"/>
        </w:rPr>
        <w:t>)</w:t>
      </w:r>
      <w:r>
        <w:t xml:space="preserve"> </w:t>
      </w:r>
      <w:r>
        <w:rPr>
          <w:rFonts w:ascii="Times New Roman" w:hAnsi="Times New Roman"/>
          <w:bCs/>
          <w:sz w:val="24"/>
          <w:szCs w:val="24"/>
        </w:rPr>
        <w:t xml:space="preserve">The correlation between the </w:t>
      </w:r>
      <w:proofErr w:type="spellStart"/>
      <w:r>
        <w:rPr>
          <w:rFonts w:ascii="Times New Roman" w:hAnsi="Times New Roman"/>
          <w:bCs/>
          <w:sz w:val="24"/>
          <w:szCs w:val="24"/>
        </w:rPr>
        <w:t>ssGSEA</w:t>
      </w:r>
      <w:proofErr w:type="spellEnd"/>
      <w:r>
        <w:rPr>
          <w:rFonts w:ascii="Times New Roman" w:hAnsi="Times New Roman"/>
          <w:bCs/>
          <w:sz w:val="24"/>
          <w:szCs w:val="24"/>
        </w:rPr>
        <w:t xml:space="preserve"> score of CTHRC1+ fibroblasts and T-cell exclusion and dysfunction scores in the TCGA-CRC and GSE39582 cohorts.   </w:t>
      </w:r>
    </w:p>
    <w:p w14:paraId="04103A75"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
          <w:sz w:val="24"/>
          <w:szCs w:val="24"/>
        </w:rPr>
        <w:lastRenderedPageBreak/>
        <w:t>Figure S4</w:t>
      </w:r>
    </w:p>
    <w:p w14:paraId="7D9F5FA9"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hint="eastAsia"/>
          <w:bCs/>
          <w:noProof/>
          <w:sz w:val="24"/>
          <w:szCs w:val="24"/>
        </w:rPr>
        <w:drawing>
          <wp:inline distT="0" distB="0" distL="0" distR="0" wp14:anchorId="1E3CC413" wp14:editId="1C3AD955">
            <wp:extent cx="5274310" cy="5748655"/>
            <wp:effectExtent l="0" t="0" r="2540" b="4445"/>
            <wp:docPr id="786693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9388"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748655"/>
                    </a:xfrm>
                    <a:prstGeom prst="rect">
                      <a:avLst/>
                    </a:prstGeom>
                  </pic:spPr>
                </pic:pic>
              </a:graphicData>
            </a:graphic>
          </wp:inline>
        </w:drawing>
      </w:r>
    </w:p>
    <w:p w14:paraId="368E0652"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
          <w:sz w:val="24"/>
          <w:szCs w:val="24"/>
        </w:rPr>
        <w:t>Figure S4: Communication network analysis in spatial niche_4.</w:t>
      </w:r>
      <w:r>
        <w:rPr>
          <w:rFonts w:ascii="Times New Roman" w:hAnsi="Times New Roman"/>
          <w:bCs/>
          <w:sz w:val="24"/>
          <w:szCs w:val="24"/>
        </w:rPr>
        <w:t xml:space="preserve"> (A) Heatmap showing the outgoing communication patterns of cell subtypes in spatial niche_4. </w:t>
      </w:r>
      <w:r>
        <w:rPr>
          <w:rFonts w:ascii="Times New Roman" w:hAnsi="Times New Roman"/>
          <w:bCs/>
          <w:color w:val="FF0000"/>
          <w:sz w:val="24"/>
          <w:szCs w:val="24"/>
        </w:rPr>
        <w:t xml:space="preserve">(B) </w:t>
      </w:r>
      <w:proofErr w:type="spellStart"/>
      <w:r>
        <w:rPr>
          <w:rFonts w:ascii="Times New Roman" w:hAnsi="Times New Roman"/>
          <w:bCs/>
          <w:color w:val="FF0000"/>
          <w:sz w:val="24"/>
          <w:szCs w:val="24"/>
        </w:rPr>
        <w:t>Dotplots</w:t>
      </w:r>
      <w:proofErr w:type="spellEnd"/>
      <w:r>
        <w:rPr>
          <w:rFonts w:ascii="Times New Roman" w:hAnsi="Times New Roman"/>
          <w:bCs/>
          <w:color w:val="FF0000"/>
          <w:sz w:val="24"/>
          <w:szCs w:val="24"/>
        </w:rPr>
        <w:t xml:space="preserve"> showing the expression distribution of WNT5A in the CRC TME.</w:t>
      </w:r>
      <w:r>
        <w:rPr>
          <w:rFonts w:ascii="Times New Roman" w:hAnsi="Times New Roman"/>
          <w:bCs/>
          <w:sz w:val="24"/>
          <w:szCs w:val="24"/>
        </w:rPr>
        <w:t xml:space="preserve"> (C) Heatmap displaying the primary senders, receivers, mediators, and influencers involved in WNT and non-canonical WNT signaling pathways in CRC. (D) Circle plots visualizing the network of WNT and non-canonical WNT signaling pathways. </w:t>
      </w:r>
    </w:p>
    <w:p w14:paraId="4B081E6D" w14:textId="09964FE6" w:rsidR="00D369D2" w:rsidRDefault="00D369D2" w:rsidP="00D369D2">
      <w:pPr>
        <w:pStyle w:val="EndNoteBibliography"/>
        <w:spacing w:line="480" w:lineRule="auto"/>
        <w:rPr>
          <w:rFonts w:ascii="Times New Roman" w:hAnsi="Times New Roman"/>
          <w:b/>
          <w:sz w:val="24"/>
          <w:szCs w:val="24"/>
        </w:rPr>
      </w:pPr>
      <w:r>
        <w:rPr>
          <w:rFonts w:ascii="Times New Roman" w:hAnsi="Times New Roman"/>
          <w:b/>
          <w:sz w:val="24"/>
          <w:szCs w:val="24"/>
        </w:rPr>
        <w:lastRenderedPageBreak/>
        <w:t>Figure S</w:t>
      </w:r>
      <w:r>
        <w:rPr>
          <w:rFonts w:ascii="Times New Roman" w:hAnsi="Times New Roman"/>
          <w:b/>
          <w:sz w:val="24"/>
          <w:szCs w:val="24"/>
        </w:rPr>
        <w:t>5</w:t>
      </w:r>
    </w:p>
    <w:p w14:paraId="11840674" w14:textId="77777777" w:rsidR="00D369D2" w:rsidRDefault="00D369D2" w:rsidP="00D369D2">
      <w:pPr>
        <w:pStyle w:val="EndNoteBibliography"/>
        <w:spacing w:line="480" w:lineRule="auto"/>
        <w:rPr>
          <w:rFonts w:ascii="Times New Roman" w:hAnsi="Times New Roman"/>
          <w:bCs/>
          <w:sz w:val="24"/>
          <w:szCs w:val="24"/>
        </w:rPr>
      </w:pPr>
      <w:r>
        <w:rPr>
          <w:rFonts w:ascii="Times New Roman" w:hAnsi="Times New Roman" w:hint="eastAsia"/>
          <w:bCs/>
          <w:noProof/>
          <w:sz w:val="24"/>
          <w:szCs w:val="24"/>
        </w:rPr>
        <w:drawing>
          <wp:inline distT="0" distB="0" distL="0" distR="0" wp14:anchorId="21EA57AE" wp14:editId="36327E3C">
            <wp:extent cx="5278120" cy="4944745"/>
            <wp:effectExtent l="0" t="0" r="0" b="8255"/>
            <wp:docPr id="20015297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29746" name="图片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4944745"/>
                    </a:xfrm>
                    <a:prstGeom prst="rect">
                      <a:avLst/>
                    </a:prstGeom>
                  </pic:spPr>
                </pic:pic>
              </a:graphicData>
            </a:graphic>
          </wp:inline>
        </w:drawing>
      </w:r>
    </w:p>
    <w:p w14:paraId="64274D1F" w14:textId="01B93C2D" w:rsidR="00D369D2" w:rsidRDefault="00D369D2" w:rsidP="00D369D2">
      <w:pPr>
        <w:pStyle w:val="EndNoteBibliography"/>
        <w:spacing w:line="480" w:lineRule="auto"/>
        <w:rPr>
          <w:rFonts w:ascii="Times New Roman" w:hAnsi="Times New Roman"/>
          <w:bCs/>
          <w:sz w:val="24"/>
          <w:szCs w:val="24"/>
        </w:rPr>
      </w:pPr>
      <w:r>
        <w:rPr>
          <w:rFonts w:ascii="Times New Roman" w:hAnsi="Times New Roman"/>
          <w:b/>
          <w:color w:val="FF0000"/>
          <w:sz w:val="24"/>
          <w:szCs w:val="24"/>
        </w:rPr>
        <w:t>Figure S</w:t>
      </w:r>
      <w:r>
        <w:rPr>
          <w:rFonts w:ascii="Times New Roman" w:hAnsi="Times New Roman"/>
          <w:b/>
          <w:color w:val="FF0000"/>
          <w:sz w:val="24"/>
          <w:szCs w:val="24"/>
        </w:rPr>
        <w:t>5</w:t>
      </w:r>
      <w:r>
        <w:rPr>
          <w:rFonts w:ascii="Times New Roman" w:hAnsi="Times New Roman"/>
          <w:b/>
          <w:color w:val="FF0000"/>
          <w:sz w:val="24"/>
          <w:szCs w:val="24"/>
        </w:rPr>
        <w:t xml:space="preserve">: WNT5A derived from CTHRC1+CAF can upregulate MSLN expression in CRC cells. </w:t>
      </w:r>
      <w:r>
        <w:rPr>
          <w:rFonts w:ascii="Times New Roman" w:hAnsi="Times New Roman"/>
          <w:bCs/>
          <w:color w:val="FF0000"/>
          <w:sz w:val="24"/>
          <w:szCs w:val="24"/>
        </w:rPr>
        <w:t xml:space="preserve">(A) Immunofluorescence staining of α-SMA in CAFs. Scale bar = 100 </w:t>
      </w:r>
      <w:proofErr w:type="spellStart"/>
      <w:r>
        <w:rPr>
          <w:rFonts w:ascii="Times New Roman" w:hAnsi="Times New Roman"/>
          <w:bCs/>
          <w:color w:val="FF0000"/>
          <w:sz w:val="24"/>
          <w:szCs w:val="24"/>
        </w:rPr>
        <w:t>μm</w:t>
      </w:r>
      <w:proofErr w:type="spellEnd"/>
      <w:r>
        <w:rPr>
          <w:rFonts w:ascii="Times New Roman" w:hAnsi="Times New Roman"/>
          <w:bCs/>
          <w:color w:val="FF0000"/>
          <w:sz w:val="24"/>
          <w:szCs w:val="24"/>
        </w:rPr>
        <w:t>. (B)</w:t>
      </w:r>
      <w:r>
        <w:rPr>
          <w:color w:val="FF0000"/>
        </w:rPr>
        <w:t xml:space="preserve"> </w:t>
      </w:r>
      <w:r>
        <w:rPr>
          <w:rFonts w:ascii="Times New Roman" w:hAnsi="Times New Roman"/>
          <w:bCs/>
          <w:color w:val="FF0000"/>
          <w:sz w:val="24"/>
          <w:szCs w:val="24"/>
        </w:rPr>
        <w:t xml:space="preserve">The correlation between CTHRC1 and WNT5A expression levels in CRC patients from the TCGA database. (C) Detection of CTHRC1 transfection efficiency in primary CAFs using </w:t>
      </w:r>
      <w:proofErr w:type="spellStart"/>
      <w:r>
        <w:rPr>
          <w:rFonts w:ascii="Times New Roman" w:hAnsi="Times New Roman"/>
          <w:bCs/>
          <w:color w:val="FF0000"/>
          <w:sz w:val="24"/>
          <w:szCs w:val="24"/>
        </w:rPr>
        <w:t>qRT</w:t>
      </w:r>
      <w:proofErr w:type="spellEnd"/>
      <w:r>
        <w:rPr>
          <w:rFonts w:ascii="Times New Roman" w:hAnsi="Times New Roman"/>
          <w:bCs/>
          <w:color w:val="FF0000"/>
          <w:sz w:val="24"/>
          <w:szCs w:val="24"/>
        </w:rPr>
        <w:t>-PCR and western blot.</w:t>
      </w:r>
      <w:r>
        <w:rPr>
          <w:color w:val="FF0000"/>
        </w:rPr>
        <w:t xml:space="preserve"> </w:t>
      </w:r>
      <w:r>
        <w:rPr>
          <w:rFonts w:ascii="Times New Roman" w:hAnsi="Times New Roman"/>
          <w:bCs/>
          <w:color w:val="FF0000"/>
          <w:sz w:val="24"/>
          <w:szCs w:val="24"/>
        </w:rPr>
        <w:t>(D)</w:t>
      </w:r>
      <w:r>
        <w:rPr>
          <w:color w:val="FF0000"/>
        </w:rPr>
        <w:t xml:space="preserve"> </w:t>
      </w:r>
      <w:r>
        <w:rPr>
          <w:rFonts w:ascii="Times New Roman" w:hAnsi="Times New Roman"/>
          <w:bCs/>
          <w:color w:val="FF0000"/>
          <w:sz w:val="24"/>
          <w:szCs w:val="24"/>
        </w:rPr>
        <w:t>Effect of CTHRC1 knockdown and overexpression in primary CAFs on WNT5A protein expression and secretion levels. (E)</w:t>
      </w:r>
      <w:r>
        <w:rPr>
          <w:color w:val="FF0000"/>
        </w:rPr>
        <w:t xml:space="preserve"> </w:t>
      </w:r>
      <w:r>
        <w:rPr>
          <w:rFonts w:ascii="Times New Roman" w:hAnsi="Times New Roman"/>
          <w:bCs/>
          <w:color w:val="FF0000"/>
          <w:sz w:val="24"/>
          <w:szCs w:val="24"/>
        </w:rPr>
        <w:t xml:space="preserve">During co-culture of CRC cells with CAFs, the WNT5A inhibitor Box5 reversed the effect of CAFs-CTHRC1 on MSLN expression in HCT116 cells, </w:t>
      </w:r>
      <w:r>
        <w:rPr>
          <w:rFonts w:ascii="Times New Roman" w:hAnsi="Times New Roman"/>
          <w:bCs/>
          <w:color w:val="FF0000"/>
          <w:sz w:val="24"/>
          <w:szCs w:val="24"/>
        </w:rPr>
        <w:lastRenderedPageBreak/>
        <w:t xml:space="preserve">while the addition of rhWNT5A reversed the effect of CAFs-shCTHRC1 on MSLN expression in DLD-1 cells. (F) Schematic representation showing the establishment of the </w:t>
      </w:r>
      <w:proofErr w:type="spellStart"/>
      <w:r>
        <w:rPr>
          <w:rFonts w:ascii="Times New Roman" w:hAnsi="Times New Roman"/>
          <w:bCs/>
          <w:color w:val="FF0000"/>
          <w:sz w:val="24"/>
          <w:szCs w:val="24"/>
        </w:rPr>
        <w:t>transwell</w:t>
      </w:r>
      <w:proofErr w:type="spellEnd"/>
      <w:r>
        <w:rPr>
          <w:rFonts w:ascii="Times New Roman" w:hAnsi="Times New Roman"/>
          <w:bCs/>
          <w:color w:val="FF0000"/>
          <w:sz w:val="24"/>
          <w:szCs w:val="24"/>
        </w:rPr>
        <w:t xml:space="preserve"> coculture system. (G) Schematic representation showing that fibroblastic conditioned medium was added to CRC cells in wound healing assays. All data are presented as the means ± SDs of at least three independent experiments. **p &lt; 0.01, and ***p &lt; 0.001.</w:t>
      </w:r>
    </w:p>
    <w:p w14:paraId="5BC8C0EE" w14:textId="77777777" w:rsidR="00D369D2" w:rsidRDefault="00D369D2">
      <w:pPr>
        <w:pStyle w:val="EndNoteBibliography"/>
        <w:spacing w:line="480" w:lineRule="auto"/>
        <w:rPr>
          <w:rFonts w:ascii="Times New Roman" w:hAnsi="Times New Roman"/>
          <w:bCs/>
          <w:sz w:val="24"/>
          <w:szCs w:val="24"/>
        </w:rPr>
      </w:pPr>
    </w:p>
    <w:p w14:paraId="6625C955" w14:textId="77777777" w:rsidR="00D369D2" w:rsidRDefault="00D369D2">
      <w:pPr>
        <w:pStyle w:val="EndNoteBibliography"/>
        <w:spacing w:line="480" w:lineRule="auto"/>
        <w:rPr>
          <w:rFonts w:ascii="Times New Roman" w:hAnsi="Times New Roman"/>
          <w:bCs/>
          <w:sz w:val="24"/>
          <w:szCs w:val="24"/>
        </w:rPr>
        <w:sectPr w:rsidR="00D369D2">
          <w:pgSz w:w="11906" w:h="16838"/>
          <w:pgMar w:top="1440" w:right="1800" w:bottom="1440" w:left="1800" w:header="851" w:footer="992" w:gutter="0"/>
          <w:lnNumType w:countBy="1" w:restart="newSection"/>
          <w:cols w:space="425"/>
          <w:docGrid w:type="lines" w:linePitch="312"/>
        </w:sectPr>
      </w:pPr>
    </w:p>
    <w:p w14:paraId="52A9B44B" w14:textId="22052A01" w:rsidR="00B81667" w:rsidRDefault="00000000">
      <w:pPr>
        <w:pStyle w:val="EndNoteBibliography"/>
        <w:spacing w:line="480" w:lineRule="auto"/>
        <w:rPr>
          <w:rFonts w:ascii="Times New Roman" w:hAnsi="Times New Roman"/>
          <w:bCs/>
          <w:sz w:val="24"/>
          <w:szCs w:val="24"/>
        </w:rPr>
      </w:pPr>
      <w:r>
        <w:rPr>
          <w:rFonts w:ascii="Times New Roman" w:hAnsi="Times New Roman"/>
          <w:b/>
          <w:sz w:val="24"/>
          <w:szCs w:val="24"/>
        </w:rPr>
        <w:lastRenderedPageBreak/>
        <w:t>Figure S</w:t>
      </w:r>
      <w:r w:rsidR="00D369D2">
        <w:rPr>
          <w:rFonts w:ascii="Times New Roman" w:hAnsi="Times New Roman"/>
          <w:b/>
          <w:sz w:val="24"/>
          <w:szCs w:val="24"/>
        </w:rPr>
        <w:t>6</w:t>
      </w:r>
    </w:p>
    <w:p w14:paraId="53768919" w14:textId="77777777" w:rsidR="00B81667" w:rsidRDefault="00000000">
      <w:pPr>
        <w:pStyle w:val="EndNoteBibliography"/>
        <w:spacing w:line="480" w:lineRule="auto"/>
        <w:rPr>
          <w:rFonts w:ascii="Times New Roman" w:hAnsi="Times New Roman"/>
          <w:bCs/>
          <w:sz w:val="24"/>
          <w:szCs w:val="24"/>
        </w:rPr>
      </w:pPr>
      <w:r>
        <w:rPr>
          <w:rFonts w:ascii="Times New Roman" w:hAnsi="Times New Roman"/>
          <w:bCs/>
          <w:noProof/>
          <w:sz w:val="24"/>
          <w:szCs w:val="24"/>
        </w:rPr>
        <w:drawing>
          <wp:inline distT="0" distB="0" distL="0" distR="0" wp14:anchorId="18B04FD9" wp14:editId="3EF3F3A0">
            <wp:extent cx="5274310" cy="6998335"/>
            <wp:effectExtent l="0" t="0" r="2540" b="0"/>
            <wp:docPr id="2351031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03166"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998335"/>
                    </a:xfrm>
                    <a:prstGeom prst="rect">
                      <a:avLst/>
                    </a:prstGeom>
                  </pic:spPr>
                </pic:pic>
              </a:graphicData>
            </a:graphic>
          </wp:inline>
        </w:drawing>
      </w:r>
    </w:p>
    <w:p w14:paraId="26DCB58E" w14:textId="4667E9A4" w:rsidR="00B81667" w:rsidRPr="00D369D2" w:rsidRDefault="00000000">
      <w:pPr>
        <w:pStyle w:val="EndNoteBibliography"/>
        <w:spacing w:line="480" w:lineRule="auto"/>
        <w:rPr>
          <w:rFonts w:hint="eastAsia"/>
        </w:rPr>
      </w:pPr>
      <w:r>
        <w:rPr>
          <w:rFonts w:ascii="Times New Roman" w:hAnsi="Times New Roman"/>
          <w:b/>
          <w:sz w:val="24"/>
          <w:szCs w:val="24"/>
        </w:rPr>
        <w:t>Figure S</w:t>
      </w:r>
      <w:r w:rsidR="00D369D2">
        <w:rPr>
          <w:rFonts w:ascii="Times New Roman" w:hAnsi="Times New Roman"/>
          <w:b/>
          <w:sz w:val="24"/>
          <w:szCs w:val="24"/>
        </w:rPr>
        <w:t>6</w:t>
      </w:r>
      <w:r>
        <w:rPr>
          <w:rFonts w:ascii="Times New Roman" w:hAnsi="Times New Roman"/>
          <w:b/>
          <w:sz w:val="24"/>
          <w:szCs w:val="24"/>
        </w:rPr>
        <w:t xml:space="preserve">: MSLN is correlated with the clinical stage of CRC patients and contributes to the proliferation of CRC cells. </w:t>
      </w:r>
      <w:r>
        <w:rPr>
          <w:rFonts w:ascii="Times New Roman" w:hAnsi="Times New Roman"/>
          <w:bCs/>
          <w:sz w:val="24"/>
          <w:szCs w:val="24"/>
        </w:rPr>
        <w:t xml:space="preserve">(A) Violin plot showing the H-score of MSLN in CRC samples across different stages. (B) Relative expression of MSLN in </w:t>
      </w:r>
      <w:r>
        <w:rPr>
          <w:rFonts w:ascii="Times New Roman" w:hAnsi="Times New Roman"/>
          <w:bCs/>
          <w:sz w:val="24"/>
          <w:szCs w:val="24"/>
        </w:rPr>
        <w:lastRenderedPageBreak/>
        <w:t xml:space="preserve">CRC cell lines and the normal epithelial colon cell line NCM460, detected by </w:t>
      </w:r>
      <w:proofErr w:type="spellStart"/>
      <w:r>
        <w:rPr>
          <w:rFonts w:ascii="Times New Roman" w:hAnsi="Times New Roman"/>
          <w:bCs/>
          <w:sz w:val="24"/>
          <w:szCs w:val="24"/>
        </w:rPr>
        <w:t>qRT</w:t>
      </w:r>
      <w:proofErr w:type="spellEnd"/>
      <w:r>
        <w:rPr>
          <w:rFonts w:ascii="Times New Roman" w:hAnsi="Times New Roman"/>
          <w:bCs/>
          <w:sz w:val="24"/>
          <w:szCs w:val="24"/>
        </w:rPr>
        <w:t xml:space="preserve">-PCR and western blotting. (C) Detection of MSLN transfection efficiency in DLD-1 and HCT-116 cells using </w:t>
      </w:r>
      <w:proofErr w:type="spellStart"/>
      <w:r>
        <w:rPr>
          <w:rFonts w:ascii="Times New Roman" w:hAnsi="Times New Roman"/>
          <w:bCs/>
          <w:sz w:val="24"/>
          <w:szCs w:val="24"/>
        </w:rPr>
        <w:t>qRT</w:t>
      </w:r>
      <w:proofErr w:type="spellEnd"/>
      <w:r>
        <w:rPr>
          <w:rFonts w:ascii="Times New Roman" w:hAnsi="Times New Roman"/>
          <w:bCs/>
          <w:sz w:val="24"/>
          <w:szCs w:val="24"/>
        </w:rPr>
        <w:t>-PCR and western blot.</w:t>
      </w:r>
      <w:r>
        <w:t xml:space="preserve"> </w:t>
      </w:r>
      <w:r>
        <w:rPr>
          <w:rFonts w:ascii="Times New Roman" w:hAnsi="Times New Roman"/>
          <w:bCs/>
          <w:sz w:val="24"/>
          <w:szCs w:val="24"/>
        </w:rPr>
        <w:t>(D) GSEA enrichment analysis of Hallmark pathways between patients with high and low MSLN expression. (E) CCK-8 assays were used to determine the growth curves of MSLN knockdown or overexpression cells.</w:t>
      </w:r>
      <w:r>
        <w:t xml:space="preserve"> </w:t>
      </w:r>
      <w:r>
        <w:rPr>
          <w:rFonts w:ascii="Times New Roman" w:hAnsi="Times New Roman"/>
          <w:bCs/>
          <w:sz w:val="24"/>
          <w:szCs w:val="24"/>
        </w:rPr>
        <w:t>(F, G) Colony formation assays were conducted to assess the proliferation of CRC cells. (H) Representative images of subcutaneous xenograft tumors (n=5 for each group). Tumor size and average weight were observed.</w:t>
      </w:r>
      <w:r>
        <w:t xml:space="preserve"> </w:t>
      </w:r>
      <w:r>
        <w:rPr>
          <w:rFonts w:ascii="Times New Roman" w:hAnsi="Times New Roman"/>
          <w:bCs/>
          <w:sz w:val="24"/>
          <w:szCs w:val="24"/>
        </w:rPr>
        <w:t>All data are presented as the means ± SDs of at least three independent experiments. **p &lt; 0.01, and ***p &lt; 0.001.</w:t>
      </w:r>
      <w:r>
        <w:t xml:space="preserve"> </w:t>
      </w:r>
    </w:p>
    <w:sectPr w:rsidR="00B81667" w:rsidRPr="00D369D2">
      <w:pgSz w:w="11906" w:h="16838"/>
      <w:pgMar w:top="1440" w:right="1797" w:bottom="1440" w:left="1797" w:header="851" w:footer="992" w:gutter="0"/>
      <w:lnNumType w:countBy="1" w:restart="newSection"/>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96E30" w14:textId="77777777" w:rsidR="009F6F43" w:rsidRDefault="009F6F43">
      <w:r>
        <w:separator/>
      </w:r>
    </w:p>
  </w:endnote>
  <w:endnote w:type="continuationSeparator" w:id="0">
    <w:p w14:paraId="2BE9A3E9" w14:textId="77777777" w:rsidR="009F6F43" w:rsidRDefault="009F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049201"/>
      <w:docPartObj>
        <w:docPartGallery w:val="AutoText"/>
      </w:docPartObj>
    </w:sdtPr>
    <w:sdtContent>
      <w:p w14:paraId="799D1813" w14:textId="77777777" w:rsidR="00B81667" w:rsidRDefault="00000000">
        <w:pPr>
          <w:pStyle w:val="a3"/>
          <w:jc w:val="center"/>
        </w:pPr>
        <w:r>
          <w:fldChar w:fldCharType="begin"/>
        </w:r>
        <w:r>
          <w:instrText>PAGE   \* MERGEFORMAT</w:instrText>
        </w:r>
        <w:r>
          <w:fldChar w:fldCharType="separate"/>
        </w:r>
        <w:r>
          <w:rPr>
            <w:lang w:val="zh-CN"/>
          </w:rPr>
          <w:t>2</w:t>
        </w:r>
        <w:r>
          <w:fldChar w:fldCharType="end"/>
        </w:r>
      </w:p>
    </w:sdtContent>
  </w:sdt>
  <w:p w14:paraId="1AB19215" w14:textId="77777777" w:rsidR="00B81667" w:rsidRDefault="00B8166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C9BDA" w14:textId="77777777" w:rsidR="009F6F43" w:rsidRDefault="009F6F43">
      <w:r>
        <w:separator/>
      </w:r>
    </w:p>
  </w:footnote>
  <w:footnote w:type="continuationSeparator" w:id="0">
    <w:p w14:paraId="3E59D3AC" w14:textId="77777777" w:rsidR="009F6F43" w:rsidRDefault="009F6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YxOTQyZmY4MzY2ZjlkZGM2NjYzYjlkZmUzNjM5N2YifQ=="/>
    <w:docVar w:name="KSO_WPS_MARK_KEY" w:val="e8bde4dd-6645-435d-a52c-9fa16486054e"/>
  </w:docVars>
  <w:rsids>
    <w:rsidRoot w:val="0075281B"/>
    <w:rsid w:val="0000790A"/>
    <w:rsid w:val="000F1F75"/>
    <w:rsid w:val="000F3006"/>
    <w:rsid w:val="00110722"/>
    <w:rsid w:val="002476AA"/>
    <w:rsid w:val="002E3355"/>
    <w:rsid w:val="00311C29"/>
    <w:rsid w:val="003C415D"/>
    <w:rsid w:val="00420056"/>
    <w:rsid w:val="00482083"/>
    <w:rsid w:val="005640E8"/>
    <w:rsid w:val="006B7181"/>
    <w:rsid w:val="0075281B"/>
    <w:rsid w:val="00755EAD"/>
    <w:rsid w:val="00800653"/>
    <w:rsid w:val="00877C33"/>
    <w:rsid w:val="008D110C"/>
    <w:rsid w:val="008E38F3"/>
    <w:rsid w:val="00993A7F"/>
    <w:rsid w:val="009D672F"/>
    <w:rsid w:val="009F6F43"/>
    <w:rsid w:val="00A84D37"/>
    <w:rsid w:val="00B81667"/>
    <w:rsid w:val="00C05ABD"/>
    <w:rsid w:val="00D00C58"/>
    <w:rsid w:val="00D369D2"/>
    <w:rsid w:val="00E2651C"/>
    <w:rsid w:val="00EC5050"/>
    <w:rsid w:val="00F34565"/>
    <w:rsid w:val="00F63B66"/>
    <w:rsid w:val="00FD6D22"/>
    <w:rsid w:val="00FE23D1"/>
    <w:rsid w:val="78197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89289"/>
  <w15:docId w15:val="{A6CFDBE0-A262-44AD-A1DF-03F91F9A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b">
    <w:name w:val="line number"/>
    <w:basedOn w:val="a0"/>
    <w:uiPriority w:val="99"/>
    <w:semiHidden/>
    <w:unhideWhenUsed/>
    <w:qFormat/>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EndNoteBibliography">
    <w:name w:val="EndNote Bibliography"/>
    <w:basedOn w:val="a"/>
    <w:link w:val="EndNoteBibliography0"/>
    <w:qFormat/>
    <w:rPr>
      <w:rFonts w:ascii="Calibri" w:eastAsia="宋体" w:hAnsi="Calibri" w:cs="Calibri"/>
      <w:sz w:val="20"/>
      <w:szCs w:val="21"/>
    </w:rPr>
  </w:style>
  <w:style w:type="character" w:customStyle="1" w:styleId="EndNoteBibliography0">
    <w:name w:val="EndNote Bibliography 字符"/>
    <w:basedOn w:val="a0"/>
    <w:link w:val="EndNoteBibliography"/>
    <w:rPr>
      <w:rFonts w:ascii="Calibri" w:eastAsia="宋体" w:hAnsi="Calibri" w:cs="Calibri"/>
      <w:sz w:val="20"/>
      <w:szCs w:val="21"/>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5ABBC-0A71-4AB7-A2A6-54DEB541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9</Pages>
  <Words>682</Words>
  <Characters>3888</Characters>
  <Application>Microsoft Office Word</Application>
  <DocSecurity>0</DocSecurity>
  <Lines>32</Lines>
  <Paragraphs>9</Paragraphs>
  <ScaleCrop>false</ScaleCrop>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云飞 陆</dc:creator>
  <cp:lastModifiedBy>云飞 陆</cp:lastModifiedBy>
  <cp:revision>17</cp:revision>
  <dcterms:created xsi:type="dcterms:W3CDTF">2024-08-15T13:49:00Z</dcterms:created>
  <dcterms:modified xsi:type="dcterms:W3CDTF">2025-01-26T03:42:00Z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E697E0A499A74DA298ABD20711BB9081_12</vt:lpwstr>
  </property>
</Properties>
</file>