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B09EA" w14:textId="77777777" w:rsidR="00493039" w:rsidRPr="00816999" w:rsidRDefault="00493039" w:rsidP="00493039">
      <w:pPr>
        <w:spacing w:line="480" w:lineRule="auto"/>
        <w:rPr>
          <w:rFonts w:ascii="Times New Roman" w:hAnsi="Times New Roman" w:cs="Times New Roman"/>
          <w:b/>
          <w:bCs/>
          <w:sz w:val="24"/>
          <w:szCs w:val="24"/>
        </w:rPr>
      </w:pPr>
      <w:r w:rsidRPr="00816999">
        <w:rPr>
          <w:rFonts w:ascii="Times New Roman" w:hAnsi="Times New Roman" w:cs="Times New Roman"/>
          <w:b/>
          <w:bCs/>
          <w:sz w:val="24"/>
          <w:szCs w:val="24"/>
        </w:rPr>
        <w:t>Figure S1. JMJD6 inhibits mitochondrial depolarization.</w:t>
      </w:r>
    </w:p>
    <w:p w14:paraId="519827AE" w14:textId="0FB601A6" w:rsidR="00493039" w:rsidRPr="008279DE" w:rsidRDefault="00493039" w:rsidP="00493039">
      <w:pPr>
        <w:spacing w:line="480" w:lineRule="auto"/>
        <w:rPr>
          <w:rFonts w:ascii="Times New Roman" w:hAnsi="Times New Roman" w:cs="Times New Roman"/>
          <w:sz w:val="24"/>
          <w:szCs w:val="24"/>
        </w:rPr>
      </w:pPr>
      <w:r w:rsidRPr="00816999">
        <w:rPr>
          <w:rFonts w:ascii="Times New Roman" w:hAnsi="Times New Roman" w:cs="Times New Roman"/>
          <w:sz w:val="24"/>
          <w:szCs w:val="24"/>
        </w:rPr>
        <w:t xml:space="preserve">(A) JC-1 fluorescence was used to detect the degree of mitochondrial depolarization in H460 cells after overexpression of JMJD6. </w:t>
      </w:r>
      <w:r w:rsidR="003A4EA8" w:rsidRPr="003A4EA8">
        <w:rPr>
          <w:rFonts w:ascii="Times New Roman" w:hAnsi="Times New Roman" w:cs="Times New Roman"/>
          <w:sz w:val="24"/>
          <w:szCs w:val="24"/>
        </w:rPr>
        <w:t>Representative images are shown on the left and statistical data analysis on the right.</w:t>
      </w:r>
      <w:r w:rsidRPr="00816999">
        <w:rPr>
          <w:rFonts w:ascii="Times New Roman" w:hAnsi="Times New Roman" w:cs="Times New Roman"/>
          <w:sz w:val="24"/>
          <w:szCs w:val="24"/>
        </w:rPr>
        <w:t xml:space="preserve"> The scale bars represent 50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 xml:space="preserve">. (B) JC-1 fluorescence was used to detect the degree of mitochondrial depolarization in H157 cells after JMJD6 knockdown. </w:t>
      </w:r>
      <w:r w:rsidR="003A4EA8" w:rsidRPr="003A4EA8">
        <w:rPr>
          <w:rFonts w:ascii="Times New Roman" w:hAnsi="Times New Roman" w:cs="Times New Roman"/>
          <w:sz w:val="24"/>
          <w:szCs w:val="24"/>
        </w:rPr>
        <w:t>Representative images are shown on the left and statistical data analysis on the right.</w:t>
      </w:r>
      <w:r w:rsidRPr="00816999">
        <w:rPr>
          <w:rFonts w:ascii="Times New Roman" w:hAnsi="Times New Roman" w:cs="Times New Roman"/>
          <w:sz w:val="24"/>
          <w:szCs w:val="24"/>
        </w:rPr>
        <w:t xml:space="preserve"> The scale bars represent 50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 xml:space="preserve">. </w:t>
      </w:r>
      <w:r w:rsidR="003A4EA8" w:rsidRPr="003A4EA8">
        <w:rPr>
          <w:rFonts w:ascii="Times New Roman" w:hAnsi="Times New Roman" w:cs="Times New Roman"/>
          <w:color w:val="FF0000"/>
          <w:sz w:val="24"/>
          <w:szCs w:val="24"/>
        </w:rPr>
        <w:t xml:space="preserve">(C) The effect of JMJD6 inhibitor SKLB325 on the proliferation of H1299 cells was detected by CCK-8 cell proliferation assay. (D) </w:t>
      </w:r>
      <w:proofErr w:type="spellStart"/>
      <w:r w:rsidR="003A4EA8" w:rsidRPr="003A4EA8">
        <w:rPr>
          <w:rFonts w:ascii="Times New Roman" w:hAnsi="Times New Roman" w:cs="Times New Roman"/>
          <w:color w:val="FF0000"/>
          <w:sz w:val="24"/>
          <w:szCs w:val="24"/>
        </w:rPr>
        <w:t>Transwell</w:t>
      </w:r>
      <w:proofErr w:type="spellEnd"/>
      <w:r w:rsidR="003A4EA8" w:rsidRPr="003A4EA8">
        <w:rPr>
          <w:rFonts w:ascii="Times New Roman" w:hAnsi="Times New Roman" w:cs="Times New Roman"/>
          <w:color w:val="FF0000"/>
          <w:sz w:val="24"/>
          <w:szCs w:val="24"/>
        </w:rPr>
        <w:t xml:space="preserve"> assay was used to detect the effect of JMJD6 inhibitor SKLB325 on the migration and invasion of H1299 cells.</w:t>
      </w:r>
      <w:r w:rsidR="003A4EA8" w:rsidRPr="00816999">
        <w:rPr>
          <w:rFonts w:ascii="Times New Roman" w:hAnsi="Times New Roman" w:cs="Times New Roman"/>
          <w:sz w:val="24"/>
          <w:szCs w:val="24"/>
        </w:rPr>
        <w:t xml:space="preserve"> Data are presented as mean ± standard deviation.</w:t>
      </w:r>
      <w:r w:rsidR="003A4EA8">
        <w:rPr>
          <w:rFonts w:ascii="Times New Roman" w:hAnsi="Times New Roman" w:cs="Times New Roman" w:hint="eastAsia"/>
          <w:sz w:val="24"/>
          <w:szCs w:val="24"/>
        </w:rPr>
        <w:t xml:space="preserve">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0.05;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0.01;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p &lt; 0.001.</w:t>
      </w:r>
    </w:p>
    <w:p w14:paraId="55371799" w14:textId="77777777" w:rsidR="00493039" w:rsidRPr="00816999" w:rsidRDefault="00493039" w:rsidP="00493039">
      <w:pPr>
        <w:spacing w:line="480" w:lineRule="auto"/>
        <w:rPr>
          <w:rFonts w:ascii="Times New Roman" w:hAnsi="Times New Roman" w:cs="Times New Roman"/>
          <w:sz w:val="24"/>
          <w:szCs w:val="24"/>
        </w:rPr>
      </w:pPr>
      <w:bookmarkStart w:id="0" w:name="OLE_LINK1"/>
      <w:r w:rsidRPr="00816999">
        <w:rPr>
          <w:rFonts w:ascii="Times New Roman" w:hAnsi="Times New Roman" w:cs="Times New Roman"/>
          <w:b/>
          <w:bCs/>
          <w:sz w:val="24"/>
          <w:szCs w:val="24"/>
        </w:rPr>
        <w:t>Figure S2.</w:t>
      </w:r>
      <w:r w:rsidRPr="00816999">
        <w:rPr>
          <w:rFonts w:ascii="Times New Roman" w:hAnsi="Times New Roman" w:cs="Times New Roman"/>
        </w:rPr>
        <w:t xml:space="preserve"> </w:t>
      </w:r>
      <w:r w:rsidRPr="00816999">
        <w:rPr>
          <w:rFonts w:ascii="Times New Roman" w:hAnsi="Times New Roman" w:cs="Times New Roman"/>
          <w:b/>
          <w:bCs/>
          <w:sz w:val="24"/>
          <w:szCs w:val="24"/>
        </w:rPr>
        <w:t>PCAF promotes the acetylation of JMJD6.</w:t>
      </w:r>
    </w:p>
    <w:p w14:paraId="3D913D2C" w14:textId="77777777" w:rsidR="00493039" w:rsidRPr="00816999" w:rsidRDefault="00493039" w:rsidP="00493039">
      <w:pPr>
        <w:spacing w:line="480" w:lineRule="auto"/>
        <w:rPr>
          <w:rFonts w:ascii="Times New Roman" w:hAnsi="Times New Roman" w:cs="Times New Roman"/>
          <w:sz w:val="24"/>
          <w:szCs w:val="24"/>
        </w:rPr>
      </w:pPr>
      <w:r w:rsidRPr="00816999">
        <w:rPr>
          <w:rFonts w:ascii="Times New Roman" w:hAnsi="Times New Roman" w:cs="Times New Roman"/>
          <w:sz w:val="24"/>
          <w:szCs w:val="24"/>
        </w:rPr>
        <w:t xml:space="preserve">(A) After knocking down PCAF, A549 cells were incubated with JMJD6-acK375 specific antibody, and the acetylation level of JMJD6 was detected by immunofluorescence and fluorescence intensity. Representative pictures are shown on the left and statistical data analysis on the right. The scale bars represent 50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 xml:space="preserve">. (B) PCAF was overexpressed in H1299 cells, and immunofluorescence assay was performed using JMJD6-ack357 specific antibody. The fluorescence intensity represents the level of JMJD6 acetylation. Representative pictures are shown on the left and statistical data analysis on the right. The scale bars represent 50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 xml:space="preserve">. (C) Laser confocal microscopy was used to detect the co-localization of PCAF (green) and JMJD6 (red). Nuclei were stained with DAPI (blue). Scale bars represent 20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w:t>
      </w:r>
      <w:bookmarkEnd w:id="0"/>
      <w:r w:rsidRPr="00816999">
        <w:rPr>
          <w:rFonts w:ascii="Times New Roman" w:hAnsi="Times New Roman" w:cs="Times New Roman"/>
          <w:sz w:val="24"/>
          <w:szCs w:val="24"/>
        </w:rPr>
        <w:t xml:space="preserve"> Data </w:t>
      </w:r>
      <w:r w:rsidRPr="00816999">
        <w:rPr>
          <w:rFonts w:ascii="Times New Roman" w:hAnsi="Times New Roman" w:cs="Times New Roman"/>
          <w:sz w:val="24"/>
          <w:szCs w:val="24"/>
        </w:rPr>
        <w:lastRenderedPageBreak/>
        <w:t xml:space="preserve">are presented as mean ± standard deviation.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0.05;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0.01;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p &lt; 0.001.</w:t>
      </w:r>
    </w:p>
    <w:p w14:paraId="07E48CBE" w14:textId="77777777" w:rsidR="00493039" w:rsidRPr="00816999" w:rsidRDefault="00493039" w:rsidP="00493039">
      <w:pPr>
        <w:spacing w:line="480" w:lineRule="auto"/>
        <w:rPr>
          <w:rFonts w:ascii="Times New Roman" w:hAnsi="Times New Roman" w:cs="Times New Roman"/>
          <w:b/>
          <w:bCs/>
          <w:sz w:val="24"/>
          <w:szCs w:val="24"/>
        </w:rPr>
      </w:pPr>
      <w:r w:rsidRPr="00816999">
        <w:rPr>
          <w:rFonts w:ascii="Times New Roman" w:hAnsi="Times New Roman" w:cs="Times New Roman"/>
          <w:b/>
          <w:bCs/>
          <w:sz w:val="24"/>
          <w:szCs w:val="24"/>
        </w:rPr>
        <w:t>Figure S3.</w:t>
      </w:r>
      <w:r w:rsidRPr="00816999">
        <w:rPr>
          <w:rFonts w:ascii="Times New Roman" w:hAnsi="Times New Roman" w:cs="Times New Roman"/>
          <w:b/>
          <w:bCs/>
        </w:rPr>
        <w:t xml:space="preserve"> </w:t>
      </w:r>
      <w:r w:rsidRPr="00816999">
        <w:rPr>
          <w:rFonts w:ascii="Times New Roman" w:hAnsi="Times New Roman" w:cs="Times New Roman"/>
          <w:b/>
          <w:bCs/>
          <w:sz w:val="24"/>
          <w:szCs w:val="24"/>
        </w:rPr>
        <w:t>JMJD6 acetylation inhibits NSCLC progression by promoting ferroptosis.</w:t>
      </w:r>
    </w:p>
    <w:p w14:paraId="65F7FAA3" w14:textId="77777777" w:rsidR="00493039" w:rsidRPr="00EF593A" w:rsidRDefault="00493039" w:rsidP="00493039">
      <w:pPr>
        <w:spacing w:line="480" w:lineRule="auto"/>
        <w:rPr>
          <w:rFonts w:ascii="Times New Roman" w:hAnsi="Times New Roman" w:cs="Times New Roman"/>
          <w:b/>
          <w:bCs/>
          <w:sz w:val="24"/>
          <w:szCs w:val="24"/>
        </w:rPr>
      </w:pPr>
      <w:r w:rsidRPr="00816999">
        <w:rPr>
          <w:rFonts w:ascii="Times New Roman" w:hAnsi="Times New Roman" w:cs="Times New Roman"/>
          <w:sz w:val="24"/>
          <w:szCs w:val="24"/>
        </w:rPr>
        <w:t xml:space="preserve">(A) </w:t>
      </w:r>
      <w:proofErr w:type="spellStart"/>
      <w:r w:rsidRPr="00816999">
        <w:rPr>
          <w:rFonts w:ascii="Times New Roman" w:hAnsi="Times New Roman" w:cs="Times New Roman"/>
          <w:sz w:val="24"/>
          <w:szCs w:val="24"/>
        </w:rPr>
        <w:t>EdU</w:t>
      </w:r>
      <w:proofErr w:type="spellEnd"/>
      <w:r w:rsidRPr="00816999">
        <w:rPr>
          <w:rFonts w:ascii="Times New Roman" w:hAnsi="Times New Roman" w:cs="Times New Roman"/>
          <w:sz w:val="24"/>
          <w:szCs w:val="24"/>
        </w:rPr>
        <w:t xml:space="preserve"> assay was used to detect the effect of JMJD6-WT, JMJD6-K37R and JMJD6-K375Q expressions on the proliferation of A549 cells. (B) JC-1 was used to detect the effect of JMJD6 acetylation on mitochondrial polarization. Representative pictures are shown on the left and statistical data analysis on the right. The scale bars represent 50 </w:t>
      </w:r>
      <w:proofErr w:type="spellStart"/>
      <w:r w:rsidRPr="00816999">
        <w:rPr>
          <w:rFonts w:ascii="Times New Roman" w:hAnsi="Times New Roman" w:cs="Times New Roman"/>
          <w:sz w:val="24"/>
          <w:szCs w:val="24"/>
        </w:rPr>
        <w:t>μm</w:t>
      </w:r>
      <w:proofErr w:type="spellEnd"/>
      <w:r w:rsidRPr="00816999">
        <w:rPr>
          <w:rFonts w:ascii="Times New Roman" w:hAnsi="Times New Roman" w:cs="Times New Roman"/>
          <w:sz w:val="24"/>
          <w:szCs w:val="24"/>
        </w:rPr>
        <w:t xml:space="preserve">. Data are presented as mean ± standard deviation.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0.05;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 xml:space="preserve">p &lt; 0.01; </w:t>
      </w:r>
      <w:r w:rsidRPr="00816999">
        <w:rPr>
          <w:rFonts w:ascii="Times New Roman" w:eastAsia="MS Gothic" w:hAnsi="Times New Roman" w:cs="Times New Roman"/>
          <w:sz w:val="24"/>
          <w:szCs w:val="24"/>
        </w:rPr>
        <w:t>***</w:t>
      </w:r>
      <w:r w:rsidRPr="00816999">
        <w:rPr>
          <w:rFonts w:ascii="Times New Roman" w:hAnsi="Times New Roman" w:cs="Times New Roman"/>
          <w:sz w:val="24"/>
          <w:szCs w:val="24"/>
        </w:rPr>
        <w:t>p &lt; 0.001.</w:t>
      </w:r>
    </w:p>
    <w:p w14:paraId="35414E14" w14:textId="4527A84E" w:rsidR="00BB51FE" w:rsidRPr="007E5C6B" w:rsidRDefault="00BB51FE" w:rsidP="00BB51FE">
      <w:pPr>
        <w:spacing w:line="480" w:lineRule="auto"/>
        <w:rPr>
          <w:rFonts w:ascii="Times New Roman" w:hAnsi="Times New Roman" w:cs="Times New Roman"/>
          <w:b/>
          <w:bCs/>
          <w:color w:val="FF0000"/>
          <w:sz w:val="24"/>
          <w:szCs w:val="24"/>
        </w:rPr>
      </w:pPr>
      <w:r w:rsidRPr="007E5C6B">
        <w:rPr>
          <w:rFonts w:ascii="Times New Roman" w:hAnsi="Times New Roman" w:cs="Times New Roman"/>
          <w:b/>
          <w:bCs/>
          <w:color w:val="FF0000"/>
          <w:sz w:val="24"/>
          <w:szCs w:val="24"/>
        </w:rPr>
        <w:t>Figure S</w:t>
      </w:r>
      <w:r w:rsidRPr="007E5C6B">
        <w:rPr>
          <w:rFonts w:ascii="Times New Roman" w:hAnsi="Times New Roman" w:cs="Times New Roman" w:hint="eastAsia"/>
          <w:b/>
          <w:bCs/>
          <w:color w:val="FF0000"/>
          <w:sz w:val="24"/>
          <w:szCs w:val="24"/>
        </w:rPr>
        <w:t>4</w:t>
      </w:r>
      <w:r w:rsidRPr="007E5C6B">
        <w:rPr>
          <w:rFonts w:ascii="Times New Roman" w:hAnsi="Times New Roman" w:cs="Times New Roman"/>
          <w:b/>
          <w:bCs/>
          <w:color w:val="FF0000"/>
          <w:sz w:val="24"/>
          <w:szCs w:val="24"/>
        </w:rPr>
        <w:t>.</w:t>
      </w:r>
      <w:r w:rsidRPr="007E5C6B">
        <w:rPr>
          <w:rFonts w:ascii="Times New Roman" w:hAnsi="Times New Roman" w:cs="Times New Roman"/>
          <w:b/>
          <w:bCs/>
          <w:color w:val="FF0000"/>
        </w:rPr>
        <w:t xml:space="preserve"> </w:t>
      </w:r>
      <w:r w:rsidRPr="007E5C6B">
        <w:rPr>
          <w:rFonts w:ascii="Times New Roman" w:hAnsi="Times New Roman" w:cs="Times New Roman"/>
          <w:b/>
          <w:bCs/>
          <w:color w:val="FF0000"/>
          <w:sz w:val="24"/>
          <w:szCs w:val="24"/>
        </w:rPr>
        <w:t>METTL14 mediates m6A modification of SLC3A2 mRNA, reducing its stability and expression.</w:t>
      </w:r>
    </w:p>
    <w:p w14:paraId="255D35ED" w14:textId="6AA8EF7A" w:rsidR="00BB51FE" w:rsidRPr="007E5C6B" w:rsidRDefault="00BB51FE" w:rsidP="00BB51FE">
      <w:pPr>
        <w:spacing w:line="480" w:lineRule="auto"/>
        <w:rPr>
          <w:rFonts w:ascii="Times New Roman" w:hAnsi="Times New Roman" w:cs="Times New Roman"/>
          <w:color w:val="FF0000"/>
          <w:sz w:val="24"/>
          <w:szCs w:val="24"/>
        </w:rPr>
      </w:pPr>
      <w:r w:rsidRPr="007E5C6B">
        <w:rPr>
          <w:rFonts w:ascii="Times New Roman" w:hAnsi="Times New Roman" w:cs="Times New Roman"/>
          <w:color w:val="FF0000"/>
          <w:sz w:val="24"/>
          <w:szCs w:val="24"/>
        </w:rPr>
        <w:t xml:space="preserve">(A) </w:t>
      </w:r>
      <w:r w:rsidR="002964B1" w:rsidRPr="007E5C6B">
        <w:rPr>
          <w:rFonts w:ascii="Times New Roman" w:hAnsi="Times New Roman" w:cs="Times New Roman"/>
          <w:color w:val="FF0000"/>
          <w:sz w:val="24"/>
          <w:szCs w:val="24"/>
        </w:rPr>
        <w:t>The effects of JMJD6 and METTL14 on SLC3A2 expression were verified by detecting the mRNA stability of si-JMJD6 group, METTL14 overexpression group and si-JMJD6/si-METTL14 group.</w:t>
      </w:r>
      <w:r w:rsidRPr="007E5C6B">
        <w:rPr>
          <w:rFonts w:ascii="Times New Roman" w:hAnsi="Times New Roman" w:cs="Times New Roman"/>
          <w:color w:val="FF0000"/>
          <w:sz w:val="24"/>
          <w:szCs w:val="24"/>
        </w:rPr>
        <w:t xml:space="preserve"> (B) </w:t>
      </w:r>
      <w:r w:rsidR="002964B1" w:rsidRPr="007E5C6B">
        <w:rPr>
          <w:rFonts w:ascii="Times New Roman" w:hAnsi="Times New Roman" w:cs="Times New Roman"/>
          <w:color w:val="FF0000"/>
          <w:sz w:val="24"/>
          <w:szCs w:val="24"/>
        </w:rPr>
        <w:t>The effects of JMJD6 and METTL14 on SLC3A2 expression were verified by detecting the stability of SLC3A2 mRNA in JMJD6 overexpression group, si-METTL14 group and Flag-JMJD6/Flag-METTL14 group.</w:t>
      </w:r>
      <w:r w:rsidRPr="007E5C6B">
        <w:rPr>
          <w:rFonts w:ascii="Times New Roman" w:hAnsi="Times New Roman" w:cs="Times New Roman"/>
          <w:color w:val="FF0000"/>
          <w:sz w:val="24"/>
          <w:szCs w:val="24"/>
        </w:rPr>
        <w:t xml:space="preserve"> </w:t>
      </w:r>
      <w:r w:rsidR="002964B1" w:rsidRPr="007E5C6B">
        <w:rPr>
          <w:rFonts w:ascii="Times New Roman" w:hAnsi="Times New Roman" w:cs="Times New Roman"/>
          <w:color w:val="FF0000"/>
          <w:sz w:val="24"/>
          <w:szCs w:val="24"/>
        </w:rPr>
        <w:t>(</w:t>
      </w:r>
      <w:r w:rsidR="00E91296">
        <w:rPr>
          <w:rFonts w:ascii="Times New Roman" w:hAnsi="Times New Roman" w:cs="Times New Roman"/>
          <w:color w:val="FF0000"/>
          <w:sz w:val="24"/>
          <w:szCs w:val="24"/>
        </w:rPr>
        <w:t>C</w:t>
      </w:r>
      <w:r w:rsidR="002964B1" w:rsidRPr="007E5C6B">
        <w:rPr>
          <w:rFonts w:ascii="Times New Roman" w:hAnsi="Times New Roman" w:cs="Times New Roman"/>
          <w:color w:val="FF0000"/>
          <w:sz w:val="24"/>
          <w:szCs w:val="24"/>
        </w:rPr>
        <w:t>) Luciferase activity of wild-type SLC3A2-WT and mutant SLC3A2-Mut1 and SLC3A2-Mut2 plasmids was measured in H1299 cells with or without METTL14 knockdown.</w:t>
      </w:r>
      <w:r w:rsidR="002964B1" w:rsidRPr="007E5C6B">
        <w:rPr>
          <w:color w:val="FF0000"/>
        </w:rPr>
        <w:t xml:space="preserve"> </w:t>
      </w:r>
      <w:r w:rsidR="002964B1" w:rsidRPr="007E5C6B">
        <w:rPr>
          <w:rFonts w:ascii="Times New Roman" w:hAnsi="Times New Roman" w:cs="Times New Roman"/>
          <w:color w:val="FF0000"/>
          <w:sz w:val="24"/>
          <w:szCs w:val="24"/>
        </w:rPr>
        <w:t>(</w:t>
      </w:r>
      <w:r w:rsidR="00E91296">
        <w:rPr>
          <w:rFonts w:ascii="Times New Roman" w:hAnsi="Times New Roman" w:cs="Times New Roman"/>
          <w:color w:val="FF0000"/>
          <w:sz w:val="24"/>
          <w:szCs w:val="24"/>
        </w:rPr>
        <w:t>D</w:t>
      </w:r>
      <w:r w:rsidR="002964B1" w:rsidRPr="007E5C6B">
        <w:rPr>
          <w:rFonts w:ascii="Times New Roman" w:hAnsi="Times New Roman" w:cs="Times New Roman"/>
          <w:color w:val="FF0000"/>
          <w:sz w:val="24"/>
          <w:szCs w:val="24"/>
        </w:rPr>
        <w:t xml:space="preserve">) </w:t>
      </w:r>
      <w:proofErr w:type="spellStart"/>
      <w:r w:rsidR="002964B1" w:rsidRPr="007E5C6B">
        <w:rPr>
          <w:rFonts w:ascii="Times New Roman" w:hAnsi="Times New Roman" w:cs="Times New Roman"/>
          <w:color w:val="FF0000"/>
          <w:sz w:val="24"/>
          <w:szCs w:val="24"/>
        </w:rPr>
        <w:t>MeRIP</w:t>
      </w:r>
      <w:proofErr w:type="spellEnd"/>
      <w:r w:rsidR="002964B1" w:rsidRPr="007E5C6B">
        <w:rPr>
          <w:rFonts w:ascii="Times New Roman" w:hAnsi="Times New Roman" w:cs="Times New Roman"/>
          <w:color w:val="FF0000"/>
          <w:sz w:val="24"/>
          <w:szCs w:val="24"/>
        </w:rPr>
        <w:t xml:space="preserve"> was used to detect the effect of knocking down the acetylation of METTL14 and JMJD6 K375 on the m6A modification of SLC3A2 mRNA.</w:t>
      </w:r>
      <w:r w:rsidR="002964B1" w:rsidRPr="007E5C6B">
        <w:rPr>
          <w:rFonts w:ascii="Times New Roman" w:hAnsi="Times New Roman" w:cs="Times New Roman" w:hint="eastAsia"/>
          <w:color w:val="FF0000"/>
          <w:sz w:val="24"/>
          <w:szCs w:val="24"/>
        </w:rPr>
        <w:t xml:space="preserve"> </w:t>
      </w:r>
      <w:r w:rsidRPr="007E5C6B">
        <w:rPr>
          <w:rFonts w:ascii="Times New Roman" w:hAnsi="Times New Roman" w:cs="Times New Roman"/>
          <w:color w:val="FF0000"/>
          <w:sz w:val="24"/>
          <w:szCs w:val="24"/>
        </w:rPr>
        <w:t xml:space="preserve">Data are presented as mean ± standard deviation. </w:t>
      </w:r>
      <w:r w:rsidRPr="007E5C6B">
        <w:rPr>
          <w:rFonts w:ascii="Times New Roman" w:eastAsia="MS Gothic" w:hAnsi="Times New Roman" w:cs="Times New Roman"/>
          <w:color w:val="FF0000"/>
          <w:sz w:val="24"/>
          <w:szCs w:val="24"/>
        </w:rPr>
        <w:t>*</w:t>
      </w:r>
      <w:r w:rsidRPr="007E5C6B">
        <w:rPr>
          <w:rFonts w:ascii="Times New Roman" w:hAnsi="Times New Roman" w:cs="Times New Roman"/>
          <w:color w:val="FF0000"/>
          <w:sz w:val="24"/>
          <w:szCs w:val="24"/>
        </w:rPr>
        <w:t xml:space="preserve">p &lt; 0.05; </w:t>
      </w:r>
      <w:r w:rsidRPr="007E5C6B">
        <w:rPr>
          <w:rFonts w:ascii="Times New Roman" w:eastAsia="MS Gothic" w:hAnsi="Times New Roman" w:cs="Times New Roman"/>
          <w:color w:val="FF0000"/>
          <w:sz w:val="24"/>
          <w:szCs w:val="24"/>
        </w:rPr>
        <w:t>**</w:t>
      </w:r>
      <w:r w:rsidRPr="007E5C6B">
        <w:rPr>
          <w:rFonts w:ascii="Times New Roman" w:hAnsi="Times New Roman" w:cs="Times New Roman"/>
          <w:color w:val="FF0000"/>
          <w:sz w:val="24"/>
          <w:szCs w:val="24"/>
        </w:rPr>
        <w:t xml:space="preserve">p &lt; 0.01; </w:t>
      </w:r>
      <w:r w:rsidRPr="007E5C6B">
        <w:rPr>
          <w:rFonts w:ascii="Times New Roman" w:eastAsia="MS Gothic" w:hAnsi="Times New Roman" w:cs="Times New Roman"/>
          <w:color w:val="FF0000"/>
          <w:sz w:val="24"/>
          <w:szCs w:val="24"/>
        </w:rPr>
        <w:t>***</w:t>
      </w:r>
      <w:r w:rsidRPr="007E5C6B">
        <w:rPr>
          <w:rFonts w:ascii="Times New Roman" w:hAnsi="Times New Roman" w:cs="Times New Roman"/>
          <w:color w:val="FF0000"/>
          <w:sz w:val="24"/>
          <w:szCs w:val="24"/>
        </w:rPr>
        <w:t>p &lt; 0.001.</w:t>
      </w:r>
    </w:p>
    <w:p w14:paraId="34EDD4F7" w14:textId="14777707" w:rsidR="00CD34DF" w:rsidRPr="007E5C6B" w:rsidRDefault="00CD34DF" w:rsidP="00CD34DF">
      <w:pPr>
        <w:spacing w:line="480" w:lineRule="auto"/>
        <w:rPr>
          <w:rFonts w:ascii="Times New Roman" w:hAnsi="Times New Roman" w:cs="Times New Roman"/>
          <w:b/>
          <w:bCs/>
          <w:color w:val="FF0000"/>
          <w:sz w:val="24"/>
          <w:szCs w:val="24"/>
        </w:rPr>
      </w:pPr>
      <w:r w:rsidRPr="007E5C6B">
        <w:rPr>
          <w:rFonts w:ascii="Times New Roman" w:hAnsi="Times New Roman" w:cs="Times New Roman"/>
          <w:b/>
          <w:bCs/>
          <w:color w:val="FF0000"/>
          <w:sz w:val="24"/>
          <w:szCs w:val="24"/>
        </w:rPr>
        <w:lastRenderedPageBreak/>
        <w:t>Figure S</w:t>
      </w:r>
      <w:r>
        <w:rPr>
          <w:rFonts w:ascii="Times New Roman" w:hAnsi="Times New Roman" w:cs="Times New Roman" w:hint="eastAsia"/>
          <w:b/>
          <w:bCs/>
          <w:color w:val="FF0000"/>
          <w:sz w:val="24"/>
          <w:szCs w:val="24"/>
        </w:rPr>
        <w:t>5</w:t>
      </w:r>
      <w:r w:rsidRPr="007E5C6B">
        <w:rPr>
          <w:rFonts w:ascii="Times New Roman" w:hAnsi="Times New Roman" w:cs="Times New Roman"/>
          <w:b/>
          <w:bCs/>
          <w:color w:val="FF0000"/>
          <w:sz w:val="24"/>
          <w:szCs w:val="24"/>
        </w:rPr>
        <w:t>.</w:t>
      </w:r>
      <w:r w:rsidRPr="007E5C6B">
        <w:rPr>
          <w:rFonts w:ascii="Times New Roman" w:hAnsi="Times New Roman" w:cs="Times New Roman"/>
          <w:b/>
          <w:bCs/>
          <w:color w:val="FF0000"/>
        </w:rPr>
        <w:t xml:space="preserve"> </w:t>
      </w:r>
      <w:r w:rsidRPr="00CD34DF">
        <w:rPr>
          <w:rFonts w:ascii="Times New Roman" w:hAnsi="Times New Roman" w:cs="Times New Roman"/>
          <w:b/>
          <w:bCs/>
          <w:color w:val="FF0000"/>
          <w:sz w:val="24"/>
          <w:szCs w:val="24"/>
        </w:rPr>
        <w:t>Single-cell RNA sequencing reveals JMJD6 expression in different subgroups of NSCLC</w:t>
      </w:r>
      <w:r w:rsidRPr="007E5C6B">
        <w:rPr>
          <w:rFonts w:ascii="Times New Roman" w:hAnsi="Times New Roman" w:cs="Times New Roman"/>
          <w:b/>
          <w:bCs/>
          <w:color w:val="FF0000"/>
          <w:sz w:val="24"/>
          <w:szCs w:val="24"/>
        </w:rPr>
        <w:t>.</w:t>
      </w:r>
    </w:p>
    <w:p w14:paraId="26E951FC" w14:textId="596975C2" w:rsidR="00740ABF" w:rsidRDefault="00CD34DF" w:rsidP="00CD34DF">
      <w:pPr>
        <w:spacing w:line="480" w:lineRule="auto"/>
        <w:rPr>
          <w:rFonts w:ascii="Times New Roman" w:hAnsi="Times New Roman" w:cs="Times New Roman"/>
          <w:sz w:val="24"/>
          <w:szCs w:val="24"/>
        </w:rPr>
      </w:pPr>
      <w:r w:rsidRPr="007E5C6B">
        <w:rPr>
          <w:rFonts w:ascii="Times New Roman" w:hAnsi="Times New Roman" w:cs="Times New Roman"/>
          <w:color w:val="FF0000"/>
          <w:sz w:val="24"/>
          <w:szCs w:val="24"/>
        </w:rPr>
        <w:t xml:space="preserve">(A) </w:t>
      </w:r>
      <w:r>
        <w:rPr>
          <w:rFonts w:ascii="Times New Roman" w:hAnsi="Times New Roman" w:cs="Times New Roman"/>
          <w:color w:val="FF0000"/>
          <w:sz w:val="24"/>
          <w:szCs w:val="24"/>
        </w:rPr>
        <w:t>P</w:t>
      </w:r>
      <w:r w:rsidRPr="00CD34DF">
        <w:rPr>
          <w:rFonts w:ascii="Times New Roman" w:hAnsi="Times New Roman" w:cs="Times New Roman"/>
          <w:color w:val="FF0000"/>
          <w:sz w:val="24"/>
          <w:szCs w:val="24"/>
        </w:rPr>
        <w:t xml:space="preserve">rincipal component analysis, the horizontal and vertical coordinates represent the two dimensions of principal component analysis downscaling, and the points of different </w:t>
      </w:r>
      <w:proofErr w:type="spellStart"/>
      <w:r w:rsidRPr="00CD34DF">
        <w:rPr>
          <w:rFonts w:ascii="Times New Roman" w:hAnsi="Times New Roman" w:cs="Times New Roman"/>
          <w:color w:val="FF0000"/>
          <w:sz w:val="24"/>
          <w:szCs w:val="24"/>
        </w:rPr>
        <w:t>colours</w:t>
      </w:r>
      <w:proofErr w:type="spellEnd"/>
      <w:r w:rsidRPr="00CD34DF">
        <w:rPr>
          <w:rFonts w:ascii="Times New Roman" w:hAnsi="Times New Roman" w:cs="Times New Roman"/>
          <w:color w:val="FF0000"/>
          <w:sz w:val="24"/>
          <w:szCs w:val="24"/>
        </w:rPr>
        <w:t xml:space="preserve"> represent the cells of different samples.</w:t>
      </w:r>
      <w:r w:rsidRPr="007E5C6B">
        <w:rPr>
          <w:rFonts w:ascii="Times New Roman" w:hAnsi="Times New Roman" w:cs="Times New Roman"/>
          <w:color w:val="FF0000"/>
          <w:sz w:val="24"/>
          <w:szCs w:val="24"/>
        </w:rPr>
        <w:t xml:space="preserve"> (B) </w:t>
      </w:r>
      <w:r w:rsidRPr="00CD34DF">
        <w:rPr>
          <w:rFonts w:ascii="Times New Roman" w:hAnsi="Times New Roman" w:cs="Times New Roman"/>
          <w:color w:val="FF0000"/>
          <w:sz w:val="24"/>
          <w:szCs w:val="24"/>
        </w:rPr>
        <w:t>Available dimensionality screening, the horizontal axis represents the different dimensions of principal component analysis, and the vertical axis represents the degree of explanation of the overall degree of variation of the data by the different principal component dimensions.</w:t>
      </w:r>
      <w:r w:rsidRPr="007E5C6B">
        <w:rPr>
          <w:rFonts w:ascii="Times New Roman" w:hAnsi="Times New Roman" w:cs="Times New Roman"/>
          <w:color w:val="FF0000"/>
          <w:sz w:val="24"/>
          <w:szCs w:val="24"/>
        </w:rPr>
        <w:t xml:space="preserve"> (C) </w:t>
      </w:r>
      <w:r w:rsidR="004B0B0D" w:rsidRPr="004B0B0D">
        <w:rPr>
          <w:rFonts w:ascii="Times New Roman" w:hAnsi="Times New Roman" w:cs="Times New Roman"/>
          <w:color w:val="FF0000"/>
          <w:sz w:val="24"/>
          <w:szCs w:val="24"/>
        </w:rPr>
        <w:t xml:space="preserve">Cell clustering t-SNE plot, points represented by different </w:t>
      </w:r>
      <w:proofErr w:type="spellStart"/>
      <w:r w:rsidR="004B0B0D" w:rsidRPr="004B0B0D">
        <w:rPr>
          <w:rFonts w:ascii="Times New Roman" w:hAnsi="Times New Roman" w:cs="Times New Roman"/>
          <w:color w:val="FF0000"/>
          <w:sz w:val="24"/>
          <w:szCs w:val="24"/>
        </w:rPr>
        <w:t>colours</w:t>
      </w:r>
      <w:proofErr w:type="spellEnd"/>
      <w:r w:rsidR="004B0B0D" w:rsidRPr="004B0B0D">
        <w:rPr>
          <w:rFonts w:ascii="Times New Roman" w:hAnsi="Times New Roman" w:cs="Times New Roman"/>
          <w:color w:val="FF0000"/>
          <w:sz w:val="24"/>
          <w:szCs w:val="24"/>
        </w:rPr>
        <w:t xml:space="preserve"> represent different cell clusters clustered out.</w:t>
      </w:r>
      <w:r w:rsidR="00817E6A" w:rsidRPr="00817E6A">
        <w:rPr>
          <w:rFonts w:ascii="Times New Roman" w:hAnsi="Times New Roman" w:cs="Times New Roman"/>
          <w:color w:val="FF0000"/>
          <w:sz w:val="24"/>
          <w:szCs w:val="24"/>
        </w:rPr>
        <w:t xml:space="preserve"> </w:t>
      </w:r>
      <w:r w:rsidRPr="007E5C6B">
        <w:rPr>
          <w:rFonts w:ascii="Times New Roman" w:hAnsi="Times New Roman" w:cs="Times New Roman"/>
          <w:color w:val="FF0000"/>
          <w:sz w:val="24"/>
          <w:szCs w:val="24"/>
        </w:rPr>
        <w:t xml:space="preserve">(D) </w:t>
      </w:r>
      <w:r w:rsidR="008B2E8D" w:rsidRPr="008B2E8D">
        <w:rPr>
          <w:rFonts w:ascii="Times New Roman" w:hAnsi="Times New Roman" w:cs="Times New Roman"/>
          <w:color w:val="FF0000"/>
          <w:sz w:val="24"/>
          <w:szCs w:val="24"/>
        </w:rPr>
        <w:t>Heatmap showing the expression of significantly upregulated top5 marker genes across cell types.</w:t>
      </w:r>
      <w:r w:rsidR="008B2E8D" w:rsidRPr="007E5C6B">
        <w:rPr>
          <w:color w:val="FF0000"/>
        </w:rPr>
        <w:t xml:space="preserve"> </w:t>
      </w:r>
      <w:r w:rsidR="008B2E8D" w:rsidRPr="007E5C6B">
        <w:rPr>
          <w:rFonts w:ascii="Times New Roman" w:hAnsi="Times New Roman" w:cs="Times New Roman"/>
          <w:color w:val="FF0000"/>
          <w:sz w:val="24"/>
          <w:szCs w:val="24"/>
        </w:rPr>
        <w:t>(</w:t>
      </w:r>
      <w:r w:rsidR="00650270">
        <w:rPr>
          <w:rFonts w:ascii="Times New Roman" w:hAnsi="Times New Roman" w:cs="Times New Roman"/>
          <w:color w:val="FF0000"/>
          <w:sz w:val="24"/>
          <w:szCs w:val="24"/>
        </w:rPr>
        <w:t>E</w:t>
      </w:r>
      <w:r w:rsidR="008B2E8D" w:rsidRPr="007E5C6B">
        <w:rPr>
          <w:rFonts w:ascii="Times New Roman" w:hAnsi="Times New Roman" w:cs="Times New Roman"/>
          <w:color w:val="FF0000"/>
          <w:sz w:val="24"/>
          <w:szCs w:val="24"/>
        </w:rPr>
        <w:t xml:space="preserve">) </w:t>
      </w:r>
      <w:r w:rsidR="008B2E8D" w:rsidRPr="008B2E8D">
        <w:rPr>
          <w:rFonts w:ascii="Times New Roman" w:hAnsi="Times New Roman" w:cs="Times New Roman"/>
          <w:color w:val="FF0000"/>
          <w:sz w:val="24"/>
          <w:szCs w:val="24"/>
        </w:rPr>
        <w:t xml:space="preserve">Expression of differentially expressed marker genes in various </w:t>
      </w:r>
      <w:proofErr w:type="spellStart"/>
      <w:r w:rsidR="008B2E8D" w:rsidRPr="008B2E8D">
        <w:rPr>
          <w:rFonts w:ascii="Times New Roman" w:hAnsi="Times New Roman" w:cs="Times New Roman"/>
          <w:color w:val="FF0000"/>
          <w:sz w:val="24"/>
          <w:szCs w:val="24"/>
        </w:rPr>
        <w:t>tumour</w:t>
      </w:r>
      <w:proofErr w:type="spellEnd"/>
      <w:r w:rsidR="008B2E8D" w:rsidRPr="008B2E8D">
        <w:rPr>
          <w:rFonts w:ascii="Times New Roman" w:hAnsi="Times New Roman" w:cs="Times New Roman"/>
          <w:color w:val="FF0000"/>
          <w:sz w:val="24"/>
          <w:szCs w:val="24"/>
        </w:rPr>
        <w:t xml:space="preserve"> cell subgroups</w:t>
      </w:r>
      <w:r w:rsidR="00650270">
        <w:rPr>
          <w:rFonts w:ascii="Times New Roman" w:hAnsi="Times New Roman" w:cs="Times New Roman" w:hint="eastAsia"/>
          <w:color w:val="FF0000"/>
          <w:sz w:val="24"/>
          <w:szCs w:val="24"/>
        </w:rPr>
        <w:t>.</w:t>
      </w:r>
      <w:r w:rsidR="00650270" w:rsidRPr="00650270">
        <w:rPr>
          <w:rFonts w:ascii="Times New Roman" w:hAnsi="Times New Roman" w:cs="Times New Roman"/>
          <w:color w:val="FF0000"/>
          <w:sz w:val="24"/>
          <w:szCs w:val="24"/>
        </w:rPr>
        <w:t xml:space="preserve"> </w:t>
      </w:r>
      <w:r w:rsidR="00650270" w:rsidRPr="007E5C6B">
        <w:rPr>
          <w:rFonts w:ascii="Times New Roman" w:hAnsi="Times New Roman" w:cs="Times New Roman"/>
          <w:color w:val="FF0000"/>
          <w:sz w:val="24"/>
          <w:szCs w:val="24"/>
        </w:rPr>
        <w:t>(</w:t>
      </w:r>
      <w:r w:rsidR="00650270">
        <w:rPr>
          <w:rFonts w:ascii="Times New Roman" w:hAnsi="Times New Roman" w:cs="Times New Roman"/>
          <w:color w:val="FF0000"/>
          <w:sz w:val="24"/>
          <w:szCs w:val="24"/>
        </w:rPr>
        <w:t>F</w:t>
      </w:r>
      <w:r w:rsidR="00650270" w:rsidRPr="007E5C6B">
        <w:rPr>
          <w:rFonts w:ascii="Times New Roman" w:hAnsi="Times New Roman" w:cs="Times New Roman"/>
          <w:color w:val="FF0000"/>
          <w:sz w:val="24"/>
          <w:szCs w:val="24"/>
        </w:rPr>
        <w:t xml:space="preserve">) </w:t>
      </w:r>
      <w:r w:rsidR="00650270" w:rsidRPr="00650270">
        <w:rPr>
          <w:rFonts w:ascii="Times New Roman" w:hAnsi="Times New Roman" w:cs="Times New Roman"/>
          <w:color w:val="FF0000"/>
          <w:sz w:val="24"/>
          <w:szCs w:val="24"/>
        </w:rPr>
        <w:t xml:space="preserve">Bubble plots showing JMJD6 gene expression in various </w:t>
      </w:r>
      <w:proofErr w:type="spellStart"/>
      <w:r w:rsidR="00650270" w:rsidRPr="00650270">
        <w:rPr>
          <w:rFonts w:ascii="Times New Roman" w:hAnsi="Times New Roman" w:cs="Times New Roman"/>
          <w:color w:val="FF0000"/>
          <w:sz w:val="24"/>
          <w:szCs w:val="24"/>
        </w:rPr>
        <w:t>tumour</w:t>
      </w:r>
      <w:proofErr w:type="spellEnd"/>
      <w:r w:rsidR="00650270" w:rsidRPr="00650270">
        <w:rPr>
          <w:rFonts w:ascii="Times New Roman" w:hAnsi="Times New Roman" w:cs="Times New Roman"/>
          <w:color w:val="FF0000"/>
          <w:sz w:val="24"/>
          <w:szCs w:val="24"/>
        </w:rPr>
        <w:t xml:space="preserve"> cell subgroups.</w:t>
      </w:r>
    </w:p>
    <w:p w14:paraId="230DB80C" w14:textId="605A786D" w:rsidR="00CD34DF" w:rsidRDefault="00CD34DF" w:rsidP="00CD34DF">
      <w:pPr>
        <w:rPr>
          <w:rFonts w:ascii="Times New Roman" w:hAnsi="Times New Roman" w:cs="Times New Roman"/>
          <w:sz w:val="24"/>
          <w:szCs w:val="24"/>
        </w:rPr>
      </w:pPr>
    </w:p>
    <w:p w14:paraId="09CAE629" w14:textId="47EC7056" w:rsidR="00CD34DF" w:rsidRDefault="00CD34DF" w:rsidP="00CD34DF">
      <w:pPr>
        <w:rPr>
          <w:rFonts w:ascii="Times New Roman" w:hAnsi="Times New Roman" w:cs="Times New Roman"/>
          <w:sz w:val="24"/>
          <w:szCs w:val="24"/>
        </w:rPr>
      </w:pPr>
    </w:p>
    <w:p w14:paraId="549E6AFB" w14:textId="5C7B13EC" w:rsidR="00CD34DF" w:rsidRDefault="00CD34DF" w:rsidP="00CD34DF">
      <w:pPr>
        <w:rPr>
          <w:rFonts w:ascii="Times New Roman" w:hAnsi="Times New Roman" w:cs="Times New Roman"/>
          <w:sz w:val="24"/>
          <w:szCs w:val="24"/>
        </w:rPr>
      </w:pPr>
    </w:p>
    <w:p w14:paraId="78B81E6C" w14:textId="4A73FF55" w:rsidR="00CD34DF" w:rsidRDefault="00CD34DF" w:rsidP="00CD34DF">
      <w:pPr>
        <w:rPr>
          <w:rFonts w:ascii="Times New Roman" w:hAnsi="Times New Roman" w:cs="Times New Roman"/>
          <w:sz w:val="24"/>
          <w:szCs w:val="24"/>
        </w:rPr>
      </w:pPr>
    </w:p>
    <w:p w14:paraId="5F174182" w14:textId="1A390C11" w:rsidR="00CD34DF" w:rsidRDefault="00CD34DF" w:rsidP="00CD34DF">
      <w:pPr>
        <w:rPr>
          <w:rFonts w:ascii="Times New Roman" w:hAnsi="Times New Roman" w:cs="Times New Roman"/>
          <w:sz w:val="24"/>
          <w:szCs w:val="24"/>
        </w:rPr>
      </w:pPr>
    </w:p>
    <w:p w14:paraId="1990BAF9" w14:textId="6061B148" w:rsidR="00CD34DF" w:rsidRDefault="00CD34DF" w:rsidP="00CD34DF">
      <w:pPr>
        <w:rPr>
          <w:rFonts w:ascii="Times New Roman" w:hAnsi="Times New Roman" w:cs="Times New Roman"/>
          <w:sz w:val="24"/>
          <w:szCs w:val="24"/>
        </w:rPr>
      </w:pPr>
    </w:p>
    <w:p w14:paraId="1EDAF44B" w14:textId="50DAB29E" w:rsidR="00CD34DF" w:rsidRDefault="00CD34DF" w:rsidP="00CD34DF">
      <w:pPr>
        <w:rPr>
          <w:rFonts w:ascii="Times New Roman" w:hAnsi="Times New Roman" w:cs="Times New Roman"/>
          <w:sz w:val="24"/>
          <w:szCs w:val="24"/>
        </w:rPr>
      </w:pPr>
    </w:p>
    <w:p w14:paraId="71033B46" w14:textId="2405F181" w:rsidR="00CD34DF" w:rsidRDefault="00CD34DF" w:rsidP="00CD34DF">
      <w:pPr>
        <w:rPr>
          <w:rFonts w:ascii="Times New Roman" w:hAnsi="Times New Roman" w:cs="Times New Roman"/>
          <w:sz w:val="24"/>
          <w:szCs w:val="24"/>
        </w:rPr>
      </w:pPr>
    </w:p>
    <w:p w14:paraId="130EAC1F" w14:textId="77777777" w:rsidR="00CD34DF" w:rsidRPr="00CD34DF" w:rsidRDefault="00CD34DF" w:rsidP="00CD34DF">
      <w:pPr>
        <w:rPr>
          <w:rFonts w:ascii="Times New Roman" w:hAnsi="Times New Roman" w:cs="Times New Roman"/>
          <w:sz w:val="24"/>
          <w:szCs w:val="24"/>
        </w:rPr>
      </w:pPr>
    </w:p>
    <w:sectPr w:rsidR="00CD34DF" w:rsidRPr="00CD34DF" w:rsidSect="008E64E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E48B" w14:textId="77777777" w:rsidR="00C86274" w:rsidRDefault="00C86274">
      <w:r>
        <w:separator/>
      </w:r>
    </w:p>
  </w:endnote>
  <w:endnote w:type="continuationSeparator" w:id="0">
    <w:p w14:paraId="0904D1E4" w14:textId="77777777" w:rsidR="00C86274" w:rsidRDefault="00C8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002562"/>
      <w:docPartObj>
        <w:docPartGallery w:val="Page Numbers (Bottom of Page)"/>
        <w:docPartUnique/>
      </w:docPartObj>
    </w:sdtPr>
    <w:sdtEndPr/>
    <w:sdtContent>
      <w:sdt>
        <w:sdtPr>
          <w:id w:val="1728636285"/>
          <w:docPartObj>
            <w:docPartGallery w:val="Page Numbers (Top of Page)"/>
            <w:docPartUnique/>
          </w:docPartObj>
        </w:sdtPr>
        <w:sdtEndPr/>
        <w:sdtContent>
          <w:p w14:paraId="75572018" w14:textId="77777777" w:rsidR="003E4779" w:rsidRDefault="00493039">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2A77339A" w14:textId="77777777" w:rsidR="003E4779" w:rsidRDefault="00C8627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1309" w14:textId="77777777" w:rsidR="00C86274" w:rsidRDefault="00C86274">
      <w:r>
        <w:separator/>
      </w:r>
    </w:p>
  </w:footnote>
  <w:footnote w:type="continuationSeparator" w:id="0">
    <w:p w14:paraId="1FB004CB" w14:textId="77777777" w:rsidR="00C86274" w:rsidRDefault="00C86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93039"/>
    <w:rsid w:val="002964B1"/>
    <w:rsid w:val="003906E2"/>
    <w:rsid w:val="003A4EA8"/>
    <w:rsid w:val="00493039"/>
    <w:rsid w:val="004B0B0D"/>
    <w:rsid w:val="00650270"/>
    <w:rsid w:val="00703C59"/>
    <w:rsid w:val="00740ABF"/>
    <w:rsid w:val="007E5C6B"/>
    <w:rsid w:val="00817E6A"/>
    <w:rsid w:val="008B2E8D"/>
    <w:rsid w:val="008B61D6"/>
    <w:rsid w:val="00BB51FE"/>
    <w:rsid w:val="00C05D5B"/>
    <w:rsid w:val="00C86274"/>
    <w:rsid w:val="00CD34DF"/>
    <w:rsid w:val="00CF2450"/>
    <w:rsid w:val="00E91296"/>
    <w:rsid w:val="00FB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BA94"/>
  <w15:chartTrackingRefBased/>
  <w15:docId w15:val="{45C19543-EE81-44E6-B896-84D46F1C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4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3039"/>
    <w:pPr>
      <w:tabs>
        <w:tab w:val="center" w:pos="4153"/>
        <w:tab w:val="right" w:pos="8306"/>
      </w:tabs>
      <w:snapToGrid w:val="0"/>
      <w:jc w:val="left"/>
    </w:pPr>
    <w:rPr>
      <w:sz w:val="18"/>
      <w:szCs w:val="18"/>
    </w:rPr>
  </w:style>
  <w:style w:type="character" w:customStyle="1" w:styleId="a4">
    <w:name w:val="页脚 字符"/>
    <w:basedOn w:val="a0"/>
    <w:link w:val="a3"/>
    <w:uiPriority w:val="99"/>
    <w:rsid w:val="00493039"/>
    <w:rPr>
      <w:sz w:val="18"/>
      <w:szCs w:val="18"/>
    </w:rPr>
  </w:style>
  <w:style w:type="paragraph" w:styleId="a5">
    <w:name w:val="header"/>
    <w:basedOn w:val="a"/>
    <w:link w:val="a6"/>
    <w:uiPriority w:val="99"/>
    <w:unhideWhenUsed/>
    <w:rsid w:val="003A4EA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A4E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3</cp:revision>
  <dcterms:created xsi:type="dcterms:W3CDTF">2025-01-21T12:01:00Z</dcterms:created>
  <dcterms:modified xsi:type="dcterms:W3CDTF">2025-02-01T16:18:00Z</dcterms:modified>
</cp:coreProperties>
</file>