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F555" w14:textId="77777777" w:rsidR="00ED07AA" w:rsidRPr="00C6569A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87BCA9" w14:textId="76D02B7D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2EAB18" wp14:editId="191CC32B">
            <wp:extent cx="5274310" cy="4185920"/>
            <wp:effectExtent l="0" t="0" r="2540" b="5080"/>
            <wp:docPr id="494305928" name="图片 4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305928" name="图片 4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8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 1. Metabolic-pathways subtype determination in discovery cohort.</w:t>
      </w:r>
    </w:p>
    <w:p w14:paraId="4C5D5FC2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 xml:space="preserve">(A) Unsupervised clustering of 85 metabolic pathways showed distinct expression status between tumor samples and non-tumor samples. </w:t>
      </w:r>
    </w:p>
    <w:p w14:paraId="352F7071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(B) Unified manifold approximation and projection show tumors and non-tumor tissues had different enrichment score of metabolic pathways.</w:t>
      </w:r>
    </w:p>
    <w:p w14:paraId="77F96628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(C) Cluster-consensus is the average pairwise item-consensus in a consensus cluster.</w:t>
      </w:r>
    </w:p>
    <w:p w14:paraId="35D0F4D5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(D) The proportion of ambiguous clustering score when k=2-9.</w:t>
      </w:r>
    </w:p>
    <w:p w14:paraId="2C4D633A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Consensus matrixes when k=2 (E), 3 (F) and 4 (G) were generated.</w:t>
      </w:r>
    </w:p>
    <w:p w14:paraId="2FE4655D" w14:textId="77777777" w:rsidR="00ED07AA" w:rsidRPr="007D3EF8" w:rsidRDefault="00ED07AA" w:rsidP="00ED07AA">
      <w:pPr>
        <w:rPr>
          <w:rFonts w:ascii="Times New Roman" w:hAnsi="Times New Roman" w:cs="Times New Roman"/>
          <w:b/>
          <w:bCs/>
        </w:rPr>
      </w:pPr>
      <w:r w:rsidRPr="007D3EF8">
        <w:rPr>
          <w:rFonts w:ascii="Times New Roman" w:hAnsi="Times New Roman" w:cs="Times New Roman" w:hint="eastAsia"/>
          <w:b/>
          <w:bCs/>
        </w:rPr>
        <w:t xml:space="preserve"> </w:t>
      </w:r>
    </w:p>
    <w:p w14:paraId="68116A96" w14:textId="40EF21DC" w:rsidR="00ED07AA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7009A1B" wp14:editId="6507650C">
            <wp:extent cx="5274310" cy="4327525"/>
            <wp:effectExtent l="0" t="0" r="2540" b="0"/>
            <wp:docPr id="329774547" name="图片 3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774547" name="图片 3" descr="文本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2F978" w14:textId="77777777" w:rsidR="00ED07AA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96FE5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 2. Metabolic-Pathway-Based Stratification of HCCs</w:t>
      </w:r>
    </w:p>
    <w:p w14:paraId="56669568" w14:textId="77777777" w:rsidR="00ED07AA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 xml:space="preserve">Metabolic-pathway-based clustering results of HCC samples in the </w:t>
      </w:r>
      <w:r>
        <w:rPr>
          <w:rFonts w:ascii="Times New Roman" w:hAnsi="Times New Roman" w:cs="Times New Roman" w:hint="eastAsia"/>
          <w:sz w:val="24"/>
          <w:szCs w:val="24"/>
        </w:rPr>
        <w:t>TCGA</w:t>
      </w:r>
      <w:r w:rsidRPr="000C6DD9">
        <w:rPr>
          <w:rFonts w:ascii="Times New Roman" w:hAnsi="Times New Roman" w:cs="Times New Roman" w:hint="eastAsia"/>
          <w:sz w:val="24"/>
          <w:szCs w:val="24"/>
        </w:rPr>
        <w:t xml:space="preserve"> cohort.</w:t>
      </w:r>
    </w:p>
    <w:p w14:paraId="387EA23B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22770A" w14:textId="77777777" w:rsidR="00ED07AA" w:rsidRPr="007D3EF8" w:rsidRDefault="00ED07AA" w:rsidP="00ED07AA">
      <w:pPr>
        <w:rPr>
          <w:rFonts w:ascii="Times New Roman" w:hAnsi="Times New Roman" w:cs="Times New Roman"/>
          <w:b/>
          <w:bCs/>
        </w:rPr>
      </w:pPr>
    </w:p>
    <w:p w14:paraId="5E3DB105" w14:textId="15ABFB50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F528146" wp14:editId="11A92F1E">
            <wp:extent cx="5274310" cy="2757805"/>
            <wp:effectExtent l="0" t="0" r="2540" b="4445"/>
            <wp:docPr id="389979394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979394" name="图片 2" descr="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Prediction performance of glycan-lipid metabolism </w:t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polarization score for subtypes determination.</w:t>
      </w:r>
    </w:p>
    <w:p w14:paraId="7FBCE65A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 xml:space="preserve">Receiver operating characteristic (ROC) curves show high prediction performance of our gene signature for subtypes determination in TCGA (A), ICGC (B), CPTAC (C) and in-house (D) cohorts. </w:t>
      </w:r>
    </w:p>
    <w:p w14:paraId="0CDE0D39" w14:textId="77777777" w:rsidR="00ED07AA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Calibration curves show gene signature show good agreements between gene signature and metabolic subtypes based on high-throughput data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C6DD9">
        <w:rPr>
          <w:rFonts w:ascii="Times New Roman" w:hAnsi="Times New Roman" w:cs="Times New Roman" w:hint="eastAsia"/>
          <w:sz w:val="24"/>
          <w:szCs w:val="24"/>
        </w:rPr>
        <w:t>in TCGA (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0C6DD9">
        <w:rPr>
          <w:rFonts w:ascii="Times New Roman" w:hAnsi="Times New Roman" w:cs="Times New Roman" w:hint="eastAsia"/>
          <w:sz w:val="24"/>
          <w:szCs w:val="24"/>
        </w:rPr>
        <w:t>), ICGC (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0C6DD9">
        <w:rPr>
          <w:rFonts w:ascii="Times New Roman" w:hAnsi="Times New Roman" w:cs="Times New Roman" w:hint="eastAsia"/>
          <w:sz w:val="24"/>
          <w:szCs w:val="24"/>
        </w:rPr>
        <w:t>), CPTAC (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 w:rsidRPr="000C6DD9">
        <w:rPr>
          <w:rFonts w:ascii="Times New Roman" w:hAnsi="Times New Roman" w:cs="Times New Roman" w:hint="eastAsia"/>
          <w:sz w:val="24"/>
          <w:szCs w:val="24"/>
        </w:rPr>
        <w:t>) and in-house (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0C6DD9">
        <w:rPr>
          <w:rFonts w:ascii="Times New Roman" w:hAnsi="Times New Roman" w:cs="Times New Roman" w:hint="eastAsia"/>
          <w:sz w:val="24"/>
          <w:szCs w:val="24"/>
        </w:rPr>
        <w:t xml:space="preserve">) cohorts. </w:t>
      </w:r>
    </w:p>
    <w:p w14:paraId="3DAE075E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5D7BCF" w14:textId="77777777" w:rsidR="00ED07AA" w:rsidRPr="007D3EF8" w:rsidRDefault="00ED07AA" w:rsidP="00ED07AA">
      <w:pPr>
        <w:rPr>
          <w:rFonts w:ascii="Times New Roman" w:hAnsi="Times New Roman" w:cs="Times New Roman"/>
          <w:b/>
          <w:bCs/>
        </w:rPr>
      </w:pPr>
    </w:p>
    <w:p w14:paraId="1563AC2A" w14:textId="5A827A13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C48660E" wp14:editId="2445E15F">
            <wp:extent cx="5274310" cy="2757805"/>
            <wp:effectExtent l="0" t="0" r="2540" b="4445"/>
            <wp:docPr id="1326935343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935343" name="图片 1" descr="图表, 折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0C6DD9">
        <w:rPr>
          <w:rFonts w:ascii="Times New Roman" w:hAnsi="Times New Roman" w:cs="Times New Roman" w:hint="eastAsia"/>
          <w:b/>
          <w:bCs/>
          <w:sz w:val="24"/>
          <w:szCs w:val="24"/>
        </w:rPr>
        <w:t>. Diagnostic performance of serum AFP levels for metabolic subtypes.</w:t>
      </w:r>
    </w:p>
    <w:p w14:paraId="2BD07351" w14:textId="77777777" w:rsidR="00ED07AA" w:rsidRPr="000C6DD9" w:rsidRDefault="00ED07AA" w:rsidP="00ED07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6DD9">
        <w:rPr>
          <w:rFonts w:ascii="Times New Roman" w:hAnsi="Times New Roman" w:cs="Times New Roman" w:hint="eastAsia"/>
          <w:sz w:val="24"/>
          <w:szCs w:val="24"/>
        </w:rPr>
        <w:t>In-house (A) and CPTAC (B) cohorts.</w:t>
      </w:r>
    </w:p>
    <w:p w14:paraId="25C97C11" w14:textId="77777777" w:rsidR="00354555" w:rsidRPr="00ED07AA" w:rsidRDefault="00354555">
      <w:pPr>
        <w:rPr>
          <w:rFonts w:hint="eastAsia"/>
        </w:rPr>
      </w:pPr>
    </w:p>
    <w:sectPr w:rsidR="00354555" w:rsidRPr="00ED07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A065B" w14:textId="77777777" w:rsidR="00B90F57" w:rsidRDefault="00B90F57" w:rsidP="00ED07AA">
      <w:pPr>
        <w:rPr>
          <w:rFonts w:hint="eastAsia"/>
        </w:rPr>
      </w:pPr>
      <w:r>
        <w:separator/>
      </w:r>
    </w:p>
  </w:endnote>
  <w:endnote w:type="continuationSeparator" w:id="0">
    <w:p w14:paraId="5A9C0090" w14:textId="77777777" w:rsidR="00B90F57" w:rsidRDefault="00B90F57" w:rsidP="00ED07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37D2D" w14:textId="77777777" w:rsidR="00B90F57" w:rsidRDefault="00B90F57" w:rsidP="00ED07AA">
      <w:pPr>
        <w:rPr>
          <w:rFonts w:hint="eastAsia"/>
        </w:rPr>
      </w:pPr>
      <w:r>
        <w:separator/>
      </w:r>
    </w:p>
  </w:footnote>
  <w:footnote w:type="continuationSeparator" w:id="0">
    <w:p w14:paraId="00241BA9" w14:textId="77777777" w:rsidR="00B90F57" w:rsidRDefault="00B90F57" w:rsidP="00ED07A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7C"/>
    <w:rsid w:val="00354555"/>
    <w:rsid w:val="00852F50"/>
    <w:rsid w:val="00A20A9C"/>
    <w:rsid w:val="00A8287C"/>
    <w:rsid w:val="00B90F57"/>
    <w:rsid w:val="00C9760D"/>
    <w:rsid w:val="00D9394C"/>
    <w:rsid w:val="00ED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2767"/>
  <w15:chartTrackingRefBased/>
  <w15:docId w15:val="{949506EC-039A-4B58-85BD-35CB9C24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7A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28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28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287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287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287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287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287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287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287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2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2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287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287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8287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28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28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287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28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28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28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28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28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28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287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2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287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287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D07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D07A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D0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D07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 林</dc:creator>
  <cp:keywords/>
  <dc:description/>
  <cp:lastModifiedBy>鹏 林</cp:lastModifiedBy>
  <cp:revision>2</cp:revision>
  <dcterms:created xsi:type="dcterms:W3CDTF">2025-02-24T19:21:00Z</dcterms:created>
  <dcterms:modified xsi:type="dcterms:W3CDTF">2025-02-24T19:23:00Z</dcterms:modified>
</cp:coreProperties>
</file>