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9B156" w14:textId="541CA052" w:rsidR="00B9785F" w:rsidRPr="00266C3B" w:rsidRDefault="00E2379A" w:rsidP="00E2379A">
      <w:pPr>
        <w:spacing w:before="100" w:beforeAutospacing="1" w:after="100" w:afterAutospacing="1" w:line="240" w:lineRule="auto"/>
        <w:rPr>
          <w:rFonts w:ascii="Times New Roman" w:eastAsia="Times New Roman" w:hAnsi="Times New Roman" w:cs="Times New Roman"/>
          <w:b/>
          <w:kern w:val="0"/>
          <w:sz w:val="24"/>
          <w:szCs w:val="24"/>
          <w:lang w:eastAsia="es-ES"/>
          <w14:ligatures w14:val="none"/>
        </w:rPr>
      </w:pPr>
      <w:r w:rsidRPr="00266C3B">
        <w:rPr>
          <w:rFonts w:ascii="Times New Roman" w:eastAsia="Times New Roman" w:hAnsi="Times New Roman" w:cs="Times New Roman"/>
          <w:b/>
          <w:kern w:val="0"/>
          <w:sz w:val="24"/>
          <w:szCs w:val="24"/>
          <w:lang w:eastAsia="es-ES"/>
          <w14:ligatures w14:val="none"/>
        </w:rPr>
        <w:t>Supplementary Material</w:t>
      </w:r>
    </w:p>
    <w:p w14:paraId="5023D041" w14:textId="3AB76859" w:rsidR="00255ABF" w:rsidRPr="00266C3B" w:rsidRDefault="00255ABF" w:rsidP="007B5E2D">
      <w:pPr>
        <w:jc w:val="both"/>
        <w:rPr>
          <w:rFonts w:cstheme="minorHAnsi"/>
          <w:b/>
          <w:lang w:val="en-US"/>
        </w:rPr>
      </w:pPr>
    </w:p>
    <w:p w14:paraId="11177E4E" w14:textId="599626B0" w:rsidR="00373003" w:rsidRDefault="00373003" w:rsidP="00373003">
      <w:pPr>
        <w:jc w:val="center"/>
        <w:rPr>
          <w:rFonts w:cstheme="minorHAnsi"/>
          <w:b/>
          <w:lang w:val="en-US"/>
        </w:rPr>
      </w:pPr>
      <w:r>
        <w:rPr>
          <w:rFonts w:cstheme="minorHAnsi"/>
          <w:b/>
          <w:noProof/>
          <w:lang w:val="en-GB" w:eastAsia="en-GB"/>
        </w:rPr>
        <w:drawing>
          <wp:inline distT="0" distB="0" distL="0" distR="0" wp14:anchorId="70570BE5" wp14:editId="7D4BA37D">
            <wp:extent cx="5260623" cy="4567167"/>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65535" cy="4571431"/>
                    </a:xfrm>
                    <a:prstGeom prst="rect">
                      <a:avLst/>
                    </a:prstGeom>
                  </pic:spPr>
                </pic:pic>
              </a:graphicData>
            </a:graphic>
          </wp:inline>
        </w:drawing>
      </w:r>
    </w:p>
    <w:p w14:paraId="4134D6A8" w14:textId="0D3D59E6" w:rsidR="007B5E2D" w:rsidRPr="00266C3B" w:rsidRDefault="007B5E2D" w:rsidP="007B5E2D">
      <w:pPr>
        <w:jc w:val="both"/>
        <w:rPr>
          <w:rFonts w:cstheme="minorHAnsi"/>
          <w:bCs/>
          <w:lang w:val="en-GB"/>
        </w:rPr>
      </w:pPr>
      <w:r w:rsidRPr="00266C3B">
        <w:rPr>
          <w:rFonts w:cstheme="minorHAnsi"/>
          <w:b/>
          <w:lang w:val="en-US"/>
        </w:rPr>
        <w:t>Figure S1. Patients and samples</w:t>
      </w:r>
      <w:r w:rsidRPr="00266C3B">
        <w:rPr>
          <w:rFonts w:cstheme="minorHAnsi"/>
          <w:lang w:val="en-US"/>
        </w:rPr>
        <w:t xml:space="preserve">. A) Scheme of </w:t>
      </w:r>
      <w:r w:rsidR="005B370A" w:rsidRPr="00266C3B">
        <w:rPr>
          <w:rFonts w:cstheme="minorHAnsi"/>
          <w:lang w:val="en-US"/>
        </w:rPr>
        <w:t xml:space="preserve">the three </w:t>
      </w:r>
      <w:r w:rsidRPr="00266C3B">
        <w:rPr>
          <w:rFonts w:cstheme="minorHAnsi"/>
          <w:lang w:val="en-US"/>
        </w:rPr>
        <w:t xml:space="preserve">HR+/HER2- stage IV BC </w:t>
      </w:r>
      <w:r w:rsidR="00F207F1" w:rsidRPr="00266C3B">
        <w:rPr>
          <w:rFonts w:cstheme="minorHAnsi"/>
          <w:lang w:val="en-US"/>
        </w:rPr>
        <w:t>patient’s cohorts</w:t>
      </w:r>
      <w:r w:rsidRPr="00266C3B">
        <w:rPr>
          <w:rFonts w:cstheme="minorHAnsi"/>
          <w:lang w:val="en-US"/>
        </w:rPr>
        <w:t>. A total of 5</w:t>
      </w:r>
      <w:r w:rsidR="00EC6A05" w:rsidRPr="00266C3B">
        <w:rPr>
          <w:rFonts w:cstheme="minorHAnsi"/>
          <w:lang w:val="en-US"/>
        </w:rPr>
        <w:t>3</w:t>
      </w:r>
      <w:r w:rsidRPr="00266C3B">
        <w:rPr>
          <w:rFonts w:cstheme="minorHAnsi"/>
          <w:lang w:val="en-US"/>
        </w:rPr>
        <w:t xml:space="preserve"> patients were included. The cohort 1 included 25</w:t>
      </w:r>
      <w:r w:rsidR="005B370A" w:rsidRPr="00266C3B">
        <w:rPr>
          <w:rFonts w:cstheme="minorHAnsi"/>
          <w:lang w:val="en-US"/>
        </w:rPr>
        <w:t xml:space="preserve"> </w:t>
      </w:r>
      <w:r w:rsidRPr="00266C3B">
        <w:rPr>
          <w:rFonts w:cstheme="minorHAnsi"/>
          <w:lang w:val="en-US"/>
        </w:rPr>
        <w:t>HR+/HER2- stage IV BC patients. The cohort 2 is an internal validation cohort formed by 1</w:t>
      </w:r>
      <w:r w:rsidR="00EC6A05" w:rsidRPr="00266C3B">
        <w:rPr>
          <w:rFonts w:cstheme="minorHAnsi"/>
          <w:lang w:val="en-US"/>
        </w:rPr>
        <w:t>2</w:t>
      </w:r>
      <w:r w:rsidRPr="00266C3B">
        <w:rPr>
          <w:rFonts w:cstheme="minorHAnsi"/>
          <w:lang w:val="en-US"/>
        </w:rPr>
        <w:t xml:space="preserve"> HR+/HER2-stage IV BC patients. The cohort 3 is an external validation cohort that includes 16 patients whose CTCs were isolated with Adna</w:t>
      </w:r>
      <w:r w:rsidR="00F207F1" w:rsidRPr="00266C3B">
        <w:rPr>
          <w:rFonts w:cstheme="minorHAnsi"/>
          <w:lang w:val="en-US"/>
        </w:rPr>
        <w:t xml:space="preserve"> </w:t>
      </w:r>
      <w:r w:rsidR="005B370A" w:rsidRPr="00266C3B">
        <w:rPr>
          <w:rFonts w:cstheme="minorHAnsi"/>
          <w:lang w:val="en-US"/>
        </w:rPr>
        <w:t>T</w:t>
      </w:r>
      <w:r w:rsidRPr="00266C3B">
        <w:rPr>
          <w:rFonts w:cstheme="minorHAnsi"/>
          <w:lang w:val="en-US"/>
        </w:rPr>
        <w:t xml:space="preserve">est instead of RosetteSep. B) Blood sample collection and patient classification considering </w:t>
      </w:r>
      <w:r w:rsidR="00A05D19" w:rsidRPr="00266C3B">
        <w:rPr>
          <w:rFonts w:cstheme="minorHAnsi"/>
          <w:lang w:val="en-US"/>
        </w:rPr>
        <w:t>progression-free survival</w:t>
      </w:r>
      <w:r w:rsidRPr="00266C3B">
        <w:rPr>
          <w:rFonts w:cstheme="minorHAnsi"/>
          <w:lang w:val="en-US"/>
        </w:rPr>
        <w:t>. Blood samples were collected when the stage IV disease was diagnosed (visit 1), after one</w:t>
      </w:r>
      <w:r w:rsidR="00F52D5E" w:rsidRPr="00266C3B">
        <w:rPr>
          <w:rFonts w:cstheme="minorHAnsi"/>
          <w:lang w:val="en-US"/>
        </w:rPr>
        <w:t xml:space="preserve"> </w:t>
      </w:r>
      <w:r w:rsidRPr="00266C3B">
        <w:rPr>
          <w:rFonts w:cstheme="minorHAnsi"/>
          <w:lang w:val="en-US"/>
        </w:rPr>
        <w:t xml:space="preserve">cycle </w:t>
      </w:r>
      <w:r w:rsidR="005B370A" w:rsidRPr="00266C3B">
        <w:rPr>
          <w:rFonts w:cstheme="minorHAnsi"/>
          <w:lang w:val="en-US"/>
        </w:rPr>
        <w:t xml:space="preserve">of </w:t>
      </w:r>
      <w:r w:rsidRPr="00266C3B">
        <w:rPr>
          <w:rFonts w:cstheme="minorHAnsi"/>
          <w:lang w:val="en-US"/>
        </w:rPr>
        <w:t xml:space="preserve">therapy (visit 2) and at progression (visit 3). </w:t>
      </w:r>
      <w:r w:rsidR="00A05D19" w:rsidRPr="00266C3B">
        <w:rPr>
          <w:rFonts w:cstheme="minorHAnsi"/>
          <w:lang w:val="en-US"/>
        </w:rPr>
        <w:t>Patients with a PFS &lt; 180 days were defined as non-responders, patients with a PFS between 180 and 730 days as initial responders and patients with a PFS</w:t>
      </w:r>
      <w:r w:rsidR="00793AC6">
        <w:rPr>
          <w:rFonts w:cstheme="minorHAnsi"/>
          <w:lang w:val="en-US"/>
        </w:rPr>
        <w:t xml:space="preserve"> </w:t>
      </w:r>
      <w:bookmarkStart w:id="0" w:name="_GoBack"/>
      <w:bookmarkEnd w:id="0"/>
      <w:r w:rsidR="00A05D19" w:rsidRPr="00266C3B">
        <w:rPr>
          <w:rFonts w:cstheme="minorHAnsi"/>
          <w:lang w:val="en-US"/>
        </w:rPr>
        <w:t xml:space="preserve">&gt;730 days as long responders. </w:t>
      </w:r>
    </w:p>
    <w:p w14:paraId="1158D035" w14:textId="77A1F9E6" w:rsidR="00735769" w:rsidRPr="00266C3B" w:rsidRDefault="00735769" w:rsidP="00555112">
      <w:pPr>
        <w:jc w:val="center"/>
        <w:rPr>
          <w:rFonts w:cstheme="minorHAnsi"/>
          <w:b/>
          <w:bCs/>
          <w:lang w:val="en-GB"/>
        </w:rPr>
      </w:pPr>
    </w:p>
    <w:p w14:paraId="36FF4180" w14:textId="5437901A" w:rsidR="00255ABF" w:rsidRPr="00266C3B" w:rsidRDefault="00255ABF" w:rsidP="008E0DB5">
      <w:pPr>
        <w:jc w:val="both"/>
        <w:rPr>
          <w:rFonts w:cstheme="minorHAnsi"/>
          <w:b/>
          <w:bCs/>
          <w:lang w:val="en-GB"/>
        </w:rPr>
      </w:pPr>
      <w:r w:rsidRPr="00266C3B">
        <w:rPr>
          <w:rFonts w:cstheme="minorHAnsi"/>
          <w:b/>
          <w:bCs/>
          <w:noProof/>
          <w:lang w:val="en-GB" w:eastAsia="en-GB"/>
        </w:rPr>
        <w:lastRenderedPageBreak/>
        <w:drawing>
          <wp:inline distT="0" distB="0" distL="0" distR="0" wp14:anchorId="72A0058A" wp14:editId="557EAC67">
            <wp:extent cx="5399116" cy="139653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S2.jpg"/>
                    <pic:cNvPicPr/>
                  </pic:nvPicPr>
                  <pic:blipFill>
                    <a:blip r:embed="rId9">
                      <a:extLst>
                        <a:ext uri="{28A0092B-C50C-407E-A947-70E740481C1C}">
                          <a14:useLocalDpi xmlns:a14="http://schemas.microsoft.com/office/drawing/2010/main" val="0"/>
                        </a:ext>
                      </a:extLst>
                    </a:blip>
                    <a:stretch>
                      <a:fillRect/>
                    </a:stretch>
                  </pic:blipFill>
                  <pic:spPr>
                    <a:xfrm>
                      <a:off x="0" y="0"/>
                      <a:ext cx="5399116" cy="1396538"/>
                    </a:xfrm>
                    <a:prstGeom prst="rect">
                      <a:avLst/>
                    </a:prstGeom>
                  </pic:spPr>
                </pic:pic>
              </a:graphicData>
            </a:graphic>
          </wp:inline>
        </w:drawing>
      </w:r>
    </w:p>
    <w:p w14:paraId="6E83EF22" w14:textId="5618C4B6" w:rsidR="009F2463" w:rsidRPr="00266C3B" w:rsidRDefault="009F2463" w:rsidP="008E0DB5">
      <w:pPr>
        <w:jc w:val="both"/>
        <w:rPr>
          <w:rFonts w:cstheme="minorHAnsi"/>
          <w:u w:val="single"/>
          <w:lang w:val="en-GB"/>
        </w:rPr>
      </w:pPr>
      <w:r w:rsidRPr="00266C3B">
        <w:rPr>
          <w:rFonts w:cstheme="minorHAnsi"/>
          <w:b/>
          <w:bCs/>
          <w:lang w:val="en-GB"/>
        </w:rPr>
        <w:t>Figure S2</w:t>
      </w:r>
      <w:r w:rsidRPr="00266C3B">
        <w:rPr>
          <w:rFonts w:cstheme="minorHAnsi"/>
          <w:lang w:val="en-GB"/>
        </w:rPr>
        <w:t>.</w:t>
      </w:r>
      <w:r w:rsidR="00735769" w:rsidRPr="00266C3B">
        <w:rPr>
          <w:lang w:val="en-GB"/>
        </w:rPr>
        <w:t xml:space="preserve"> Normalized gene expression in CTCs of the depicted genes </w:t>
      </w:r>
      <w:r w:rsidR="00F12939" w:rsidRPr="00266C3B">
        <w:rPr>
          <w:lang w:val="en-GB"/>
        </w:rPr>
        <w:t>analysed</w:t>
      </w:r>
      <w:r w:rsidR="00735769" w:rsidRPr="00266C3B">
        <w:rPr>
          <w:lang w:val="en-GB"/>
        </w:rPr>
        <w:t xml:space="preserve"> by RT-qPCR at visit 1. A) </w:t>
      </w:r>
      <w:r w:rsidR="00735769" w:rsidRPr="00266C3B">
        <w:rPr>
          <w:i/>
          <w:lang w:val="en-GB"/>
        </w:rPr>
        <w:t>CDK4</w:t>
      </w:r>
      <w:r w:rsidR="00735769" w:rsidRPr="00266C3B">
        <w:rPr>
          <w:lang w:val="en-GB"/>
        </w:rPr>
        <w:t xml:space="preserve"> expression from non-responder (</w:t>
      </w:r>
      <w:r w:rsidR="00575170" w:rsidRPr="00266C3B">
        <w:rPr>
          <w:lang w:val="en-GB"/>
        </w:rPr>
        <w:t xml:space="preserve">NR, </w:t>
      </w:r>
      <w:r w:rsidR="00735769" w:rsidRPr="00266C3B">
        <w:rPr>
          <w:lang w:val="en-GB"/>
        </w:rPr>
        <w:t>n=5) and long responder (</w:t>
      </w:r>
      <w:r w:rsidR="00575170" w:rsidRPr="00266C3B">
        <w:rPr>
          <w:lang w:val="en-GB"/>
        </w:rPr>
        <w:t xml:space="preserve">LR, </w:t>
      </w:r>
      <w:r w:rsidR="00735769" w:rsidRPr="00266C3B">
        <w:rPr>
          <w:lang w:val="en-GB"/>
        </w:rPr>
        <w:t xml:space="preserve">n=7) patients. B) </w:t>
      </w:r>
      <w:r w:rsidR="00735769" w:rsidRPr="00266C3B">
        <w:rPr>
          <w:i/>
          <w:iCs/>
          <w:lang w:val="en-GB"/>
        </w:rPr>
        <w:t>CCND1</w:t>
      </w:r>
      <w:r w:rsidR="00735769" w:rsidRPr="00266C3B">
        <w:rPr>
          <w:lang w:val="en-GB"/>
        </w:rPr>
        <w:t xml:space="preserve"> expression</w:t>
      </w:r>
      <w:r w:rsidR="008738CB" w:rsidRPr="00266C3B">
        <w:rPr>
          <w:lang w:val="en-GB"/>
        </w:rPr>
        <w:t xml:space="preserve"> from </w:t>
      </w:r>
      <w:r w:rsidR="008738CB" w:rsidRPr="00266C3B">
        <w:rPr>
          <w:i/>
          <w:iCs/>
          <w:lang w:val="en-GB"/>
        </w:rPr>
        <w:t xml:space="preserve">initial </w:t>
      </w:r>
      <w:r w:rsidR="008738CB" w:rsidRPr="00266C3B">
        <w:rPr>
          <w:lang w:val="en-GB"/>
        </w:rPr>
        <w:t>(</w:t>
      </w:r>
      <w:r w:rsidR="00575170" w:rsidRPr="00266C3B">
        <w:rPr>
          <w:lang w:val="en-GB"/>
        </w:rPr>
        <w:t xml:space="preserve">IR, </w:t>
      </w:r>
      <w:r w:rsidR="008738CB" w:rsidRPr="00266C3B">
        <w:rPr>
          <w:lang w:val="en-GB"/>
        </w:rPr>
        <w:t xml:space="preserve">n=9) and </w:t>
      </w:r>
      <w:r w:rsidR="008738CB" w:rsidRPr="00266C3B">
        <w:rPr>
          <w:i/>
          <w:iCs/>
          <w:lang w:val="en-GB"/>
        </w:rPr>
        <w:t xml:space="preserve">long </w:t>
      </w:r>
      <w:r w:rsidR="008738CB" w:rsidRPr="00266C3B">
        <w:rPr>
          <w:lang w:val="en-GB"/>
        </w:rPr>
        <w:t>responder (</w:t>
      </w:r>
      <w:r w:rsidR="00575170" w:rsidRPr="00266C3B">
        <w:rPr>
          <w:lang w:val="en-GB"/>
        </w:rPr>
        <w:t xml:space="preserve">LR, </w:t>
      </w:r>
      <w:r w:rsidR="008738CB" w:rsidRPr="00266C3B">
        <w:rPr>
          <w:lang w:val="en-GB"/>
        </w:rPr>
        <w:t>n=7) patients.</w:t>
      </w:r>
      <w:r w:rsidR="00575170" w:rsidRPr="00266C3B">
        <w:rPr>
          <w:lang w:val="en-GB"/>
        </w:rPr>
        <w:t xml:space="preserve"> </w:t>
      </w:r>
      <w:r w:rsidR="00735769" w:rsidRPr="00266C3B">
        <w:rPr>
          <w:lang w:val="en-GB"/>
        </w:rPr>
        <w:t>C</w:t>
      </w:r>
      <w:r w:rsidR="008738CB" w:rsidRPr="00266C3B">
        <w:rPr>
          <w:lang w:val="en-GB"/>
        </w:rPr>
        <w:t xml:space="preserve">) </w:t>
      </w:r>
      <w:r w:rsidR="008738CB" w:rsidRPr="00266C3B">
        <w:rPr>
          <w:i/>
          <w:iCs/>
          <w:lang w:val="en-GB"/>
        </w:rPr>
        <w:t>DUSP5</w:t>
      </w:r>
      <w:r w:rsidR="00735769" w:rsidRPr="00266C3B">
        <w:rPr>
          <w:i/>
          <w:iCs/>
          <w:lang w:val="en-GB"/>
        </w:rPr>
        <w:t xml:space="preserve"> </w:t>
      </w:r>
      <w:r w:rsidR="00735769" w:rsidRPr="00266C3B">
        <w:rPr>
          <w:lang w:val="en-GB"/>
        </w:rPr>
        <w:t xml:space="preserve">expression from </w:t>
      </w:r>
      <w:r w:rsidR="00735769" w:rsidRPr="00266C3B">
        <w:rPr>
          <w:i/>
          <w:iCs/>
          <w:lang w:val="en-GB"/>
        </w:rPr>
        <w:t xml:space="preserve">initial </w:t>
      </w:r>
      <w:r w:rsidR="00735769" w:rsidRPr="00266C3B">
        <w:rPr>
          <w:lang w:val="en-GB"/>
        </w:rPr>
        <w:t>(</w:t>
      </w:r>
      <w:r w:rsidR="00575170" w:rsidRPr="00266C3B">
        <w:rPr>
          <w:lang w:val="en-GB"/>
        </w:rPr>
        <w:t xml:space="preserve">IR, </w:t>
      </w:r>
      <w:r w:rsidR="00735769" w:rsidRPr="00266C3B">
        <w:rPr>
          <w:lang w:val="en-GB"/>
        </w:rPr>
        <w:t xml:space="preserve">n=9) and </w:t>
      </w:r>
      <w:r w:rsidR="00735769" w:rsidRPr="00266C3B">
        <w:rPr>
          <w:i/>
          <w:iCs/>
          <w:lang w:val="en-GB"/>
        </w:rPr>
        <w:t xml:space="preserve">long </w:t>
      </w:r>
      <w:r w:rsidR="00735769" w:rsidRPr="00266C3B">
        <w:rPr>
          <w:lang w:val="en-GB"/>
        </w:rPr>
        <w:t>responder (</w:t>
      </w:r>
      <w:r w:rsidR="00575170" w:rsidRPr="00266C3B">
        <w:rPr>
          <w:lang w:val="en-GB"/>
        </w:rPr>
        <w:t xml:space="preserve">LR, </w:t>
      </w:r>
      <w:r w:rsidR="00735769" w:rsidRPr="00266C3B">
        <w:rPr>
          <w:lang w:val="en-GB"/>
        </w:rPr>
        <w:t>n=7) patients</w:t>
      </w:r>
      <w:r w:rsidR="008738CB" w:rsidRPr="00266C3B">
        <w:rPr>
          <w:i/>
          <w:iCs/>
          <w:lang w:val="en-GB"/>
        </w:rPr>
        <w:t xml:space="preserve">. </w:t>
      </w:r>
      <w:r w:rsidR="008738CB" w:rsidRPr="00266C3B">
        <w:rPr>
          <w:lang w:val="en-GB"/>
        </w:rPr>
        <w:t>CTC gene expression was analy</w:t>
      </w:r>
      <w:r w:rsidR="00D4783D" w:rsidRPr="00266C3B">
        <w:rPr>
          <w:lang w:val="en-GB"/>
        </w:rPr>
        <w:t>s</w:t>
      </w:r>
      <w:r w:rsidR="008738CB" w:rsidRPr="00266C3B">
        <w:rPr>
          <w:lang w:val="en-GB"/>
        </w:rPr>
        <w:t xml:space="preserve">ed by RT-qPCR and normalized to </w:t>
      </w:r>
      <w:r w:rsidR="008738CB" w:rsidRPr="00266C3B">
        <w:rPr>
          <w:i/>
          <w:iCs/>
          <w:lang w:val="en-GB"/>
        </w:rPr>
        <w:t xml:space="preserve">B2M </w:t>
      </w:r>
      <w:r w:rsidR="008738CB" w:rsidRPr="00266C3B">
        <w:rPr>
          <w:lang w:val="en-GB"/>
        </w:rPr>
        <w:t xml:space="preserve">and </w:t>
      </w:r>
      <w:r w:rsidR="00B124E4" w:rsidRPr="00266C3B">
        <w:rPr>
          <w:lang w:val="en-GB"/>
        </w:rPr>
        <w:t>matched</w:t>
      </w:r>
      <w:r w:rsidR="008738CB" w:rsidRPr="00266C3B">
        <w:rPr>
          <w:lang w:val="en-GB"/>
        </w:rPr>
        <w:t xml:space="preserve"> PBMCs</w:t>
      </w:r>
      <w:r w:rsidR="00D4783D" w:rsidRPr="00266C3B">
        <w:rPr>
          <w:lang w:val="en-GB"/>
        </w:rPr>
        <w:t xml:space="preserve"> (</w:t>
      </w:r>
      <w:r w:rsidR="008738CB" w:rsidRPr="00266C3B">
        <w:rPr>
          <w:lang w:val="en-GB"/>
        </w:rPr>
        <w:t>Wilcoxon test (p-value &lt; 0.05 (*)</w:t>
      </w:r>
      <w:r w:rsidR="00D4783D" w:rsidRPr="00266C3B">
        <w:rPr>
          <w:lang w:val="en-GB"/>
        </w:rPr>
        <w:t xml:space="preserve">). </w:t>
      </w:r>
    </w:p>
    <w:p w14:paraId="7DD4C8F3" w14:textId="47974A1B" w:rsidR="00681E10" w:rsidRPr="00266C3B" w:rsidRDefault="00681E10" w:rsidP="00681E10">
      <w:pPr>
        <w:spacing w:line="360" w:lineRule="auto"/>
        <w:jc w:val="both"/>
        <w:rPr>
          <w:rFonts w:ascii="Calibri" w:eastAsia="Calibri" w:hAnsi="Calibri" w:cs="Calibri"/>
          <w:b/>
          <w:lang w:val="en-GB"/>
        </w:rPr>
      </w:pPr>
      <w:r w:rsidRPr="00266C3B">
        <w:rPr>
          <w:rFonts w:ascii="Calibri" w:eastAsia="Calibri" w:hAnsi="Calibri" w:cs="Calibri"/>
          <w:b/>
          <w:lang w:val="en-GB"/>
        </w:rPr>
        <w:t xml:space="preserve">STAT-3 </w:t>
      </w:r>
      <w:r w:rsidR="004D5812" w:rsidRPr="00266C3B">
        <w:rPr>
          <w:rFonts w:ascii="Calibri" w:eastAsia="Calibri" w:hAnsi="Calibri" w:cs="Calibri"/>
          <w:b/>
          <w:lang w:val="en-GB"/>
        </w:rPr>
        <w:t xml:space="preserve">induction </w:t>
      </w:r>
      <w:r w:rsidRPr="00266C3B">
        <w:rPr>
          <w:rFonts w:ascii="Calibri" w:eastAsia="Calibri" w:hAnsi="Calibri" w:cs="Calibri"/>
          <w:b/>
          <w:lang w:val="en-GB"/>
        </w:rPr>
        <w:t>in luminal breast cancer cells</w:t>
      </w:r>
    </w:p>
    <w:p w14:paraId="672E1ACB" w14:textId="28A65688" w:rsidR="00681E10" w:rsidRPr="00266C3B" w:rsidRDefault="00681E10" w:rsidP="00681E10">
      <w:pPr>
        <w:spacing w:line="360" w:lineRule="auto"/>
        <w:jc w:val="both"/>
        <w:rPr>
          <w:rFonts w:ascii="Calibri" w:eastAsia="Calibri" w:hAnsi="Calibri" w:cs="Calibri"/>
          <w:color w:val="FF0000"/>
          <w:lang w:val="en-GB"/>
        </w:rPr>
      </w:pPr>
      <w:r w:rsidRPr="00266C3B">
        <w:rPr>
          <w:rFonts w:ascii="Calibri" w:eastAsia="Calibri" w:hAnsi="Calibri" w:cs="Calibri"/>
          <w:lang w:val="en-GB"/>
        </w:rPr>
        <w:t>To simulate the increased gene expression of STAT-3 in CTCs from patients with luminal metastatic breast cancer resistant to combined therapy with CDK4/6 inhibitors, we aimed to obtain a cellular model that presents the activated STAT-3 gene. IL-6 is a key cytokine involved in the activation of the oncogenic STAT-3 pathway. Therefore, to induce STAT-3 activation, the luminal breast cancer cell line MCF7 was treated with IL-6. MCF7 cells were treated with IL-6 at 20 ng/mL for 4 and 8 days, with dose renewal every 2 days, at concentrations previously described in the literature</w:t>
      </w:r>
      <w:r w:rsidR="001744A3" w:rsidRPr="00266C3B">
        <w:rPr>
          <w:rFonts w:ascii="Calibri" w:eastAsia="Calibri" w:hAnsi="Calibri" w:cs="Calibri"/>
          <w:lang w:val="en-GB"/>
        </w:rPr>
        <w:fldChar w:fldCharType="begin" w:fldLock="1"/>
      </w:r>
      <w:r w:rsidR="001744A3" w:rsidRPr="00266C3B">
        <w:rPr>
          <w:rFonts w:ascii="Calibri" w:eastAsia="Calibri" w:hAnsi="Calibri" w:cs="Calibri"/>
          <w:lang w:val="en-GB"/>
        </w:rPr>
        <w:instrText>ADDIN CSL_CITATION {"citationItems":[{"id":"ITEM-1","itemData":{"DOI":"10.1111/acel.13632","ISSN":"14749726","abstract":"Cellular senescence is characterized by a stable proliferation arrest in response to stresses and the acquisition of a senescence-associated secretory phenotype, called SASP, composed of numerous factors including pro-inflammatory molecules, proteases, and growth factors. The SASP affects the environment of senescent cells, especially during aging, by inducing and modulating various phenotypes such as paracrine senescence, immune cell activity, and extracellular matrix deposition and organization, which critically impact various pathophysiological situations, including fibrosis and cancer. Here, we uncover a novel paracrine effect of the SASP: the neuroendocrine transdifferentiation (NED) of some epithelial cancer cells, evidenced both in the breast and prostate. Mechanistically, this effect is mediated by NF-κB-dependent SASP factors, and leads to an increase in intracellular Ca2+ levels. Consistently, buffering Ca2+ by overexpressing the CALB1 buffering protein partly reverts SASP-induced NED, suggesting that the SASP promotes NED through a SASP-induced Ca2+ signaling. Human breast cancer dataset analyses support that NED occurs mainly in p53 WT tumors and in older patients, in line with a role of senescent cells and its secretome, as they are increasing during aging. In conclusion, our work, uncovering SASP-induced NED in some cancer cells, paves the way for future studies aiming at better understanding the functional link between senescent cell accumulation during aging, NED and clinical patient outcome.","author":[{"dropping-particle":"","family":"Raynard","given":"Clotilde","non-dropping-particle":"","parse-names":false,"suffix":""},{"dropping-particle":"","family":"Ma","given":"Xingjie","non-dropping-particle":"","parse-names":false,"suffix":""},{"dropping-particle":"","family":"Huna","given":"Anda","non-dropping-particle":"","parse-names":false,"suffix":""},{"dropping-particle":"","family":"Tessier","given":"Nolwenn","non-dropping-particle":"","parse-names":false,"suffix":""},{"dropping-particle":"","family":"Massemin","given":"Amélie","non-dropping-particle":"","parse-names":false,"suffix":""},{"dropping-particle":"","family":"Zhu","given":"Kexin","non-dropping-particle":"","parse-names":false,"suffix":""},{"dropping-particle":"","family":"Flaman","given":"Jean Michel","non-dropping-particle":"","parse-names":false,"suffix":""},{"dropping-particle":"","family":"Moulin","given":"Florentin","non-dropping-particle":"","parse-names":false,"suffix":""},{"dropping-particle":"","family":"Goehrig","given":"Delphine","non-dropping-particle":"","parse-names":false,"suffix":""},{"dropping-particle":"","family":"Medard","given":"Jean Jacques","non-dropping-particle":"","parse-names":false,"suffix":""},{"dropping-particle":"","family":"Vindrieux","given":"David","non-dropping-particle":"","parse-names":false,"suffix":""},{"dropping-particle":"","family":"Treilleux","given":"Isabelle","non-dropping-particle":"","parse-names":false,"suffix":""},{"dropping-particle":"","family":"Hernandez-Vargas","given":"Hector","non-dropping-particle":"","parse-names":false,"suffix":""},{"dropping-particle":"","family":"Ducreux","given":"Sylvie","non-dropping-particle":"","parse-names":false,"suffix":""},{"dropping-particle":"","family":"Martin","given":"Nadine","non-dropping-particle":"","parse-names":false,"suffix":""},{"dropping-particle":"","family":"Bernard","given":"David","non-dropping-particle":"","parse-names":false,"suffix":""}],"container-title":"Aging Cell","id":"ITEM-1","issue":"7","issued":{"date-parts":[["2022"]]},"title":"NF-κB-dependent secretome of senescent cells can trigger neuroendocrine transdifferentiation of breast cancer cells","type":"article-journal","volume":"21"},"uris":["http://www.mendeley.com/documents/?uuid=f261e535-005b-34bb-b740-d62e621ae6df"]}],"mendeley":{"formattedCitation":"(1)","plainTextFormattedCitation":"(1)","previouslyFormattedCitation":"(&lt;i&gt;1&lt;/i&gt;)"},"properties":{"noteIndex":0},"schema":"https://github.com/citation-style-language/schema/raw/master/csl-citation.json"}</w:instrText>
      </w:r>
      <w:r w:rsidR="001744A3" w:rsidRPr="00266C3B">
        <w:rPr>
          <w:rFonts w:ascii="Calibri" w:eastAsia="Calibri" w:hAnsi="Calibri" w:cs="Calibri"/>
          <w:lang w:val="en-GB"/>
        </w:rPr>
        <w:fldChar w:fldCharType="separate"/>
      </w:r>
      <w:r w:rsidR="001744A3" w:rsidRPr="00266C3B">
        <w:rPr>
          <w:rFonts w:ascii="Calibri" w:eastAsia="Calibri" w:hAnsi="Calibri" w:cs="Calibri"/>
          <w:noProof/>
          <w:lang w:val="en-GB"/>
        </w:rPr>
        <w:t>(1)</w:t>
      </w:r>
      <w:r w:rsidR="001744A3" w:rsidRPr="00266C3B">
        <w:rPr>
          <w:rFonts w:ascii="Calibri" w:eastAsia="Calibri" w:hAnsi="Calibri" w:cs="Calibri"/>
          <w:lang w:val="en-GB"/>
        </w:rPr>
        <w:fldChar w:fldCharType="end"/>
      </w:r>
      <w:r w:rsidRPr="00266C3B">
        <w:rPr>
          <w:rFonts w:ascii="Calibri" w:eastAsia="Calibri" w:hAnsi="Calibri" w:cs="Calibri"/>
          <w:lang w:val="en-GB"/>
        </w:rPr>
        <w:t xml:space="preserve">. Untreated MCF7 cells were also used as a negative control at the same time points, and MDA-MB-231 cells were used as a positive control. After 4 and 8 days, total protein was extracted from each of the cellular conditions, and </w:t>
      </w:r>
      <w:r w:rsidR="008A060F" w:rsidRPr="00266C3B">
        <w:rPr>
          <w:rFonts w:ascii="Calibri" w:eastAsia="Calibri" w:hAnsi="Calibri" w:cs="Calibri"/>
          <w:lang w:val="en-GB"/>
        </w:rPr>
        <w:t xml:space="preserve">Western Blot analyzed </w:t>
      </w:r>
      <w:r w:rsidRPr="00266C3B">
        <w:rPr>
          <w:rFonts w:ascii="Calibri" w:eastAsia="Calibri" w:hAnsi="Calibri" w:cs="Calibri"/>
          <w:lang w:val="en-GB"/>
        </w:rPr>
        <w:t>STAT-3 and p-STAT-3. The results confirm that IL-6 activates the phosphorylation of STAT-3 through the IL-6/STAT-3 pathway in the treated tumor cells</w:t>
      </w:r>
      <w:r w:rsidR="00B96348" w:rsidRPr="00266C3B">
        <w:rPr>
          <w:rFonts w:ascii="Calibri" w:eastAsia="Calibri" w:hAnsi="Calibri" w:cs="Calibri"/>
          <w:lang w:val="en-GB"/>
        </w:rPr>
        <w:t xml:space="preserve"> (Figure S3</w:t>
      </w:r>
      <w:r w:rsidR="00FE4A26" w:rsidRPr="00266C3B">
        <w:rPr>
          <w:rFonts w:ascii="Calibri" w:eastAsia="Calibri" w:hAnsi="Calibri" w:cs="Calibri"/>
          <w:lang w:val="en-GB"/>
        </w:rPr>
        <w:t>A</w:t>
      </w:r>
      <w:r w:rsidR="001744A3" w:rsidRPr="00266C3B">
        <w:rPr>
          <w:rFonts w:ascii="Calibri" w:eastAsia="Calibri" w:hAnsi="Calibri" w:cs="Calibri"/>
          <w:lang w:val="en-GB"/>
        </w:rPr>
        <w:t>).</w:t>
      </w:r>
    </w:p>
    <w:p w14:paraId="6286450C" w14:textId="4B7477BF" w:rsidR="00B96348" w:rsidRPr="00266C3B" w:rsidRDefault="00B96348" w:rsidP="00B96348">
      <w:pPr>
        <w:spacing w:line="360" w:lineRule="auto"/>
        <w:jc w:val="both"/>
        <w:rPr>
          <w:rFonts w:ascii="Calibri" w:eastAsia="Calibri" w:hAnsi="Calibri" w:cs="Calibri"/>
          <w:lang w:val="en-GB"/>
        </w:rPr>
      </w:pPr>
      <w:r w:rsidRPr="00266C3B">
        <w:rPr>
          <w:rFonts w:ascii="Calibri" w:eastAsia="Calibri" w:hAnsi="Calibri" w:cs="Calibri"/>
          <w:lang w:val="en-GB"/>
        </w:rPr>
        <w:t>Subsequently, we wanted to verify if STAT-3 induction affect</w:t>
      </w:r>
      <w:r w:rsidR="008A060F" w:rsidRPr="00266C3B">
        <w:rPr>
          <w:rFonts w:ascii="Calibri" w:eastAsia="Calibri" w:hAnsi="Calibri" w:cs="Calibri"/>
          <w:lang w:val="en-GB"/>
        </w:rPr>
        <w:t>ed</w:t>
      </w:r>
      <w:r w:rsidRPr="00266C3B">
        <w:rPr>
          <w:rFonts w:ascii="Calibri" w:eastAsia="Calibri" w:hAnsi="Calibri" w:cs="Calibri"/>
          <w:lang w:val="en-GB"/>
        </w:rPr>
        <w:t xml:space="preserve"> cell proliferation. To assess the effect of IL-6 on the proliferation of MCF7 cell line cells, they were treated with IL-6 at 20 ng/mL for 4 and 8 days, renewing the dose every 2 days. Cell viability was determined using an MTT assay, and</w:t>
      </w:r>
      <w:r w:rsidR="00FE4A26" w:rsidRPr="00266C3B">
        <w:rPr>
          <w:rFonts w:ascii="Calibri" w:eastAsia="Calibri" w:hAnsi="Calibri" w:cs="Calibri"/>
          <w:lang w:val="en-GB"/>
        </w:rPr>
        <w:t xml:space="preserve"> was observed </w:t>
      </w:r>
      <w:r w:rsidRPr="00266C3B">
        <w:rPr>
          <w:rFonts w:ascii="Calibri" w:eastAsia="Calibri" w:hAnsi="Calibri" w:cs="Calibri"/>
          <w:lang w:val="en-GB"/>
        </w:rPr>
        <w:t>an increase in cell viability of 26% at 8 days (Figure S3</w:t>
      </w:r>
      <w:r w:rsidR="001744A3" w:rsidRPr="00266C3B">
        <w:rPr>
          <w:rFonts w:ascii="Calibri" w:eastAsia="Calibri" w:hAnsi="Calibri" w:cs="Calibri"/>
          <w:lang w:val="en-GB"/>
        </w:rPr>
        <w:t>B</w:t>
      </w:r>
      <w:r w:rsidRPr="00266C3B">
        <w:rPr>
          <w:rFonts w:ascii="Calibri" w:eastAsia="Calibri" w:hAnsi="Calibri" w:cs="Calibri"/>
          <w:lang w:val="en-GB"/>
        </w:rPr>
        <w:t>) compared to control MCF7 cells</w:t>
      </w:r>
      <w:r w:rsidR="00FE4A26" w:rsidRPr="00266C3B">
        <w:rPr>
          <w:rFonts w:ascii="Calibri" w:eastAsia="Calibri" w:hAnsi="Calibri" w:cs="Calibri"/>
          <w:lang w:val="en-GB"/>
        </w:rPr>
        <w:t xml:space="preserve"> (</w:t>
      </w:r>
      <w:r w:rsidR="00FE4A26" w:rsidRPr="00266C3B">
        <w:rPr>
          <w:rFonts w:ascii="Calibri" w:eastAsia="Calibri" w:hAnsi="Calibri" w:cs="Calibri"/>
          <w:i/>
          <w:lang w:val="en-GB"/>
        </w:rPr>
        <w:t>p-value</w:t>
      </w:r>
      <w:r w:rsidR="00FE4A26" w:rsidRPr="00266C3B">
        <w:rPr>
          <w:rFonts w:ascii="Calibri" w:eastAsia="Calibri" w:hAnsi="Calibri" w:cs="Calibri"/>
          <w:lang w:val="en-GB"/>
        </w:rPr>
        <w:t>= 0.028)</w:t>
      </w:r>
      <w:r w:rsidRPr="00266C3B">
        <w:rPr>
          <w:rFonts w:ascii="Calibri" w:eastAsia="Calibri" w:hAnsi="Calibri" w:cs="Calibri"/>
          <w:lang w:val="en-GB"/>
        </w:rPr>
        <w:t xml:space="preserve">. </w:t>
      </w:r>
    </w:p>
    <w:p w14:paraId="34956667" w14:textId="77777777" w:rsidR="00B96348" w:rsidRPr="00266C3B" w:rsidRDefault="00B96348" w:rsidP="00681E10">
      <w:pPr>
        <w:spacing w:line="360" w:lineRule="auto"/>
        <w:jc w:val="both"/>
        <w:rPr>
          <w:rFonts w:ascii="Calibri" w:eastAsia="Calibri" w:hAnsi="Calibri" w:cs="Calibri"/>
          <w:lang w:val="en-GB"/>
        </w:rPr>
      </w:pPr>
    </w:p>
    <w:p w14:paraId="6EC6DC26" w14:textId="3CF34855" w:rsidR="00681E10" w:rsidRPr="00266C3B" w:rsidRDefault="00681E10" w:rsidP="00681E10">
      <w:pPr>
        <w:spacing w:line="360" w:lineRule="auto"/>
        <w:jc w:val="both"/>
        <w:rPr>
          <w:rFonts w:ascii="Calibri" w:eastAsia="Calibri" w:hAnsi="Calibri" w:cs="Calibri"/>
          <w:lang w:val="en-GB"/>
        </w:rPr>
      </w:pPr>
    </w:p>
    <w:p w14:paraId="22884A71" w14:textId="77777777" w:rsidR="00681E10" w:rsidRPr="00266C3B" w:rsidRDefault="00681E10" w:rsidP="00681E10">
      <w:pPr>
        <w:spacing w:line="360" w:lineRule="auto"/>
        <w:jc w:val="both"/>
        <w:rPr>
          <w:rFonts w:ascii="Calibri" w:eastAsia="Calibri" w:hAnsi="Calibri" w:cs="Calibri"/>
          <w:lang w:val="en-GB"/>
        </w:rPr>
      </w:pPr>
    </w:p>
    <w:p w14:paraId="41A23D9F" w14:textId="77777777" w:rsidR="00681E10" w:rsidRPr="00266C3B" w:rsidRDefault="00681E10" w:rsidP="00681E10">
      <w:pPr>
        <w:spacing w:line="360" w:lineRule="auto"/>
        <w:jc w:val="both"/>
        <w:rPr>
          <w:rFonts w:ascii="Calibri" w:eastAsia="Calibri" w:hAnsi="Calibri" w:cs="Calibri"/>
          <w:lang w:val="en-GB"/>
        </w:rPr>
      </w:pPr>
    </w:p>
    <w:p w14:paraId="0822D003" w14:textId="074FE02F" w:rsidR="00681E10" w:rsidRPr="00266C3B" w:rsidRDefault="00681E10" w:rsidP="00681E10">
      <w:pPr>
        <w:jc w:val="both"/>
        <w:rPr>
          <w:rFonts w:ascii="Calibri" w:eastAsia="Calibri" w:hAnsi="Calibri" w:cs="Calibri"/>
          <w:lang w:val="en-GB"/>
        </w:rPr>
      </w:pPr>
    </w:p>
    <w:p w14:paraId="2B86978F" w14:textId="46E93642" w:rsidR="009F7AF3" w:rsidRPr="00266C3B" w:rsidRDefault="009F7AF3" w:rsidP="00B96348">
      <w:pPr>
        <w:spacing w:line="360" w:lineRule="auto"/>
        <w:jc w:val="both"/>
        <w:rPr>
          <w:rFonts w:ascii="Calibri" w:eastAsia="Calibri" w:hAnsi="Calibri" w:cs="Calibri"/>
          <w:sz w:val="16"/>
          <w:szCs w:val="16"/>
          <w:lang w:val="en-GB"/>
        </w:rPr>
      </w:pPr>
    </w:p>
    <w:p w14:paraId="02ACD513" w14:textId="19A9B893" w:rsidR="0056548B" w:rsidRPr="00266C3B" w:rsidRDefault="0056548B" w:rsidP="00B96348">
      <w:pPr>
        <w:spacing w:line="360" w:lineRule="auto"/>
        <w:jc w:val="both"/>
        <w:rPr>
          <w:rFonts w:cstheme="minorHAnsi"/>
          <w:b/>
          <w:bCs/>
          <w:lang w:val="en-GB"/>
        </w:rPr>
      </w:pPr>
      <w:r w:rsidRPr="00266C3B">
        <w:rPr>
          <w:rFonts w:cstheme="minorHAnsi"/>
          <w:b/>
          <w:bCs/>
          <w:noProof/>
          <w:lang w:val="en-GB" w:eastAsia="en-GB"/>
        </w:rPr>
        <w:drawing>
          <wp:inline distT="0" distB="0" distL="0" distR="0" wp14:anchorId="1F1A9D12" wp14:editId="43F035F4">
            <wp:extent cx="5400040" cy="4413250"/>
            <wp:effectExtent l="0" t="0" r="0" b="6350"/>
            <wp:docPr id="11726183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18344" name="Picture 117261834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4413250"/>
                    </a:xfrm>
                    <a:prstGeom prst="rect">
                      <a:avLst/>
                    </a:prstGeom>
                  </pic:spPr>
                </pic:pic>
              </a:graphicData>
            </a:graphic>
          </wp:inline>
        </w:drawing>
      </w:r>
    </w:p>
    <w:p w14:paraId="3A92AF00" w14:textId="7045B254" w:rsidR="00681E10" w:rsidRPr="00266C3B" w:rsidRDefault="00B96348" w:rsidP="00373003">
      <w:pPr>
        <w:jc w:val="both"/>
        <w:rPr>
          <w:rFonts w:cstheme="minorHAnsi"/>
          <w:bCs/>
          <w:lang w:val="en-GB"/>
        </w:rPr>
      </w:pPr>
      <w:r w:rsidRPr="00266C3B">
        <w:rPr>
          <w:rFonts w:cstheme="minorHAnsi"/>
          <w:b/>
          <w:bCs/>
          <w:lang w:val="en-GB"/>
        </w:rPr>
        <w:t>Figure S3.</w:t>
      </w:r>
      <w:r w:rsidRPr="00266C3B">
        <w:rPr>
          <w:rFonts w:cstheme="minorHAnsi"/>
          <w:bCs/>
          <w:lang w:val="en-GB"/>
        </w:rPr>
        <w:t xml:space="preserve"> Induction of STAT3 in MCF7 tumor cells by IL-6. A) Detection of STAT-3 and p-STAT-3 in treated (+) MCF7 cells for 4 and 8 days with IL-6 20 ng/mL and untreated cells (-). A sample from the MDA-MB-231 line was included as a positive control. B) </w:t>
      </w:r>
      <w:r w:rsidR="00681E10" w:rsidRPr="00266C3B">
        <w:rPr>
          <w:rFonts w:cstheme="minorHAnsi"/>
          <w:bCs/>
          <w:lang w:val="en-GB"/>
        </w:rPr>
        <w:t xml:space="preserve">Effect of IL-6 on the cell viability of MCF7. </w:t>
      </w:r>
      <w:r w:rsidRPr="00266C3B">
        <w:rPr>
          <w:rFonts w:cstheme="minorHAnsi"/>
          <w:bCs/>
          <w:lang w:val="en-GB"/>
        </w:rPr>
        <w:t xml:space="preserve">Representation of the </w:t>
      </w:r>
      <w:r w:rsidR="00681E10" w:rsidRPr="00266C3B">
        <w:rPr>
          <w:rFonts w:cstheme="minorHAnsi"/>
          <w:bCs/>
          <w:lang w:val="en-GB"/>
        </w:rPr>
        <w:t xml:space="preserve">cell viability </w:t>
      </w:r>
      <w:r w:rsidRPr="00266C3B">
        <w:rPr>
          <w:rFonts w:cstheme="minorHAnsi"/>
          <w:bCs/>
          <w:lang w:val="en-GB"/>
        </w:rPr>
        <w:t xml:space="preserve">(%) </w:t>
      </w:r>
      <w:r w:rsidR="00681E10" w:rsidRPr="00266C3B">
        <w:rPr>
          <w:rFonts w:cstheme="minorHAnsi"/>
          <w:bCs/>
          <w:lang w:val="en-GB"/>
        </w:rPr>
        <w:t>in the MCF7</w:t>
      </w:r>
      <w:r w:rsidRPr="00266C3B">
        <w:rPr>
          <w:rFonts w:cstheme="minorHAnsi"/>
          <w:bCs/>
          <w:vertAlign w:val="superscript"/>
          <w:lang w:val="en-GB"/>
        </w:rPr>
        <w:t>∆STAT3</w:t>
      </w:r>
      <w:r w:rsidRPr="00266C3B">
        <w:rPr>
          <w:rFonts w:cstheme="minorHAnsi"/>
          <w:bCs/>
          <w:lang w:val="en-GB"/>
        </w:rPr>
        <w:t xml:space="preserve"> (</w:t>
      </w:r>
      <w:r w:rsidR="00681E10" w:rsidRPr="00266C3B">
        <w:rPr>
          <w:rFonts w:cstheme="minorHAnsi"/>
          <w:bCs/>
          <w:lang w:val="en-GB"/>
        </w:rPr>
        <w:t>treated for 8 days with IL-6 at 20 ng/mL</w:t>
      </w:r>
      <w:r w:rsidRPr="00266C3B">
        <w:rPr>
          <w:rFonts w:cstheme="minorHAnsi"/>
          <w:bCs/>
          <w:lang w:val="en-GB"/>
        </w:rPr>
        <w:t>) and MCF7 cell line (n=4)</w:t>
      </w:r>
      <w:r w:rsidR="00681E10" w:rsidRPr="00266C3B">
        <w:rPr>
          <w:rFonts w:cstheme="minorHAnsi"/>
          <w:bCs/>
          <w:lang w:val="en-GB"/>
        </w:rPr>
        <w:t>.</w:t>
      </w:r>
      <w:r w:rsidR="00681E10" w:rsidRPr="00373003">
        <w:rPr>
          <w:rFonts w:cstheme="minorHAnsi"/>
          <w:bCs/>
          <w:lang w:val="en-GB"/>
        </w:rPr>
        <w:t xml:space="preserve"> </w:t>
      </w:r>
      <w:r w:rsidR="0056548B" w:rsidRPr="00373003">
        <w:rPr>
          <w:rFonts w:cstheme="minorHAnsi"/>
          <w:bCs/>
          <w:lang w:val="en-GB"/>
        </w:rPr>
        <w:t xml:space="preserve">C) Cell viability (%) of </w:t>
      </w:r>
      <w:r w:rsidR="0056548B" w:rsidRPr="00373003">
        <w:rPr>
          <w:rFonts w:cstheme="minorHAnsi"/>
          <w:lang w:val="en-GB"/>
        </w:rPr>
        <w:t>MCF7 and MCF7</w:t>
      </w:r>
      <w:r w:rsidR="0056548B" w:rsidRPr="00373003">
        <w:rPr>
          <w:rFonts w:cstheme="minorHAnsi"/>
          <w:vertAlign w:val="superscript"/>
        </w:rPr>
        <w:t>Δ</w:t>
      </w:r>
      <w:r w:rsidR="0056548B" w:rsidRPr="00373003">
        <w:rPr>
          <w:rFonts w:cstheme="minorHAnsi"/>
          <w:vertAlign w:val="superscript"/>
          <w:lang w:val="en-GB"/>
        </w:rPr>
        <w:t>STAT-3</w:t>
      </w:r>
      <w:r w:rsidR="0056548B" w:rsidRPr="00373003">
        <w:rPr>
          <w:rFonts w:cstheme="minorHAnsi"/>
          <w:lang w:val="en-GB"/>
        </w:rPr>
        <w:t xml:space="preserve"> cells (induced for 8 days with IL-6 at 20 ng/mL) treated with Letrozole</w:t>
      </w:r>
      <w:r w:rsidR="00BB79FF" w:rsidRPr="00373003">
        <w:rPr>
          <w:rFonts w:cstheme="minorHAnsi"/>
          <w:lang w:val="en-GB"/>
        </w:rPr>
        <w:t xml:space="preserve"> (</w:t>
      </w:r>
      <w:r w:rsidR="00BB79FF" w:rsidRPr="00373003">
        <w:rPr>
          <w:rFonts w:cstheme="minorHAnsi"/>
          <w:i/>
          <w:iCs/>
          <w:lang w:val="en-GB"/>
        </w:rPr>
        <w:t>p-value</w:t>
      </w:r>
      <w:r w:rsidR="00BB79FF" w:rsidRPr="00373003">
        <w:rPr>
          <w:rFonts w:cstheme="minorHAnsi"/>
          <w:lang w:val="en-GB"/>
        </w:rPr>
        <w:t xml:space="preserve"> = 0.11)</w:t>
      </w:r>
      <w:r w:rsidR="0056548B" w:rsidRPr="00373003">
        <w:rPr>
          <w:rFonts w:cstheme="minorHAnsi"/>
          <w:lang w:val="en-GB"/>
        </w:rPr>
        <w:t xml:space="preserve">, Palbociclib </w:t>
      </w:r>
      <w:r w:rsidR="00BB79FF" w:rsidRPr="00373003">
        <w:rPr>
          <w:rFonts w:cstheme="minorHAnsi"/>
          <w:lang w:val="en-GB"/>
        </w:rPr>
        <w:t>(</w:t>
      </w:r>
      <w:r w:rsidR="00BB79FF" w:rsidRPr="00373003">
        <w:rPr>
          <w:rFonts w:cstheme="minorHAnsi"/>
          <w:i/>
          <w:iCs/>
          <w:lang w:val="en-GB"/>
        </w:rPr>
        <w:t>p-value</w:t>
      </w:r>
      <w:r w:rsidR="00BB79FF" w:rsidRPr="00373003">
        <w:rPr>
          <w:rFonts w:cstheme="minorHAnsi"/>
          <w:lang w:val="en-GB"/>
        </w:rPr>
        <w:t xml:space="preserve"> =0.028) </w:t>
      </w:r>
      <w:r w:rsidR="0056548B" w:rsidRPr="00373003">
        <w:rPr>
          <w:rFonts w:cstheme="minorHAnsi"/>
          <w:lang w:val="en-GB"/>
        </w:rPr>
        <w:t>or polytherapy (PT</w:t>
      </w:r>
      <w:r w:rsidR="00A526AB" w:rsidRPr="00373003">
        <w:rPr>
          <w:rFonts w:cstheme="minorHAnsi"/>
          <w:lang w:val="en-GB"/>
        </w:rPr>
        <w:t>: Letrozole plus Palbociclib</w:t>
      </w:r>
      <w:r w:rsidR="0056548B" w:rsidRPr="00373003">
        <w:rPr>
          <w:rFonts w:cstheme="minorHAnsi"/>
          <w:lang w:val="en-GB"/>
        </w:rPr>
        <w:t xml:space="preserve">) </w:t>
      </w:r>
      <w:r w:rsidR="00BB79FF" w:rsidRPr="00373003">
        <w:rPr>
          <w:rFonts w:cstheme="minorHAnsi"/>
          <w:lang w:val="en-GB"/>
        </w:rPr>
        <w:t>(</w:t>
      </w:r>
      <w:r w:rsidR="00BB79FF" w:rsidRPr="00373003">
        <w:rPr>
          <w:rFonts w:cstheme="minorHAnsi"/>
          <w:i/>
          <w:iCs/>
          <w:lang w:val="en-GB"/>
        </w:rPr>
        <w:t>p-value</w:t>
      </w:r>
      <w:r w:rsidR="00BB79FF" w:rsidRPr="00373003">
        <w:rPr>
          <w:rFonts w:cstheme="minorHAnsi"/>
          <w:lang w:val="en-GB"/>
        </w:rPr>
        <w:t xml:space="preserve"> = 0.028) </w:t>
      </w:r>
      <w:r w:rsidR="0056548B" w:rsidRPr="00373003">
        <w:rPr>
          <w:rFonts w:cstheme="minorHAnsi"/>
          <w:lang w:val="en-GB"/>
        </w:rPr>
        <w:t>(n=4)</w:t>
      </w:r>
      <w:r w:rsidR="00A526AB" w:rsidRPr="00373003">
        <w:rPr>
          <w:rFonts w:cstheme="minorHAnsi"/>
          <w:lang w:val="en-GB"/>
        </w:rPr>
        <w:t xml:space="preserve"> normalized to cells without treatment</w:t>
      </w:r>
      <w:r w:rsidR="0056548B" w:rsidRPr="00373003">
        <w:rPr>
          <w:rFonts w:cstheme="minorHAnsi"/>
          <w:lang w:val="en-GB"/>
        </w:rPr>
        <w:t>.</w:t>
      </w:r>
      <w:r w:rsidR="006F6580" w:rsidRPr="00373003">
        <w:rPr>
          <w:rFonts w:cstheme="minorHAnsi"/>
          <w:lang w:val="en-GB"/>
        </w:rPr>
        <w:t xml:space="preserve"> </w:t>
      </w:r>
      <w:r w:rsidRPr="00266C3B">
        <w:rPr>
          <w:rFonts w:cstheme="minorHAnsi"/>
          <w:bCs/>
          <w:lang w:val="en-GB"/>
        </w:rPr>
        <w:t>Wilcoxon test</w:t>
      </w:r>
      <w:r w:rsidR="00FE4A26" w:rsidRPr="00266C3B">
        <w:rPr>
          <w:rFonts w:cstheme="minorHAnsi"/>
          <w:bCs/>
          <w:lang w:val="en-GB"/>
        </w:rPr>
        <w:t xml:space="preserve">, </w:t>
      </w:r>
      <w:r w:rsidRPr="00266C3B">
        <w:rPr>
          <w:rFonts w:cstheme="minorHAnsi"/>
          <w:bCs/>
          <w:lang w:val="en-GB"/>
        </w:rPr>
        <w:t>p-value &lt; 0.05 (*).</w:t>
      </w:r>
    </w:p>
    <w:p w14:paraId="3033698C" w14:textId="331AD3BB" w:rsidR="00CC2D9C" w:rsidRPr="00266C3B" w:rsidRDefault="00CC2D9C" w:rsidP="00B96348">
      <w:pPr>
        <w:spacing w:line="360" w:lineRule="auto"/>
        <w:jc w:val="both"/>
        <w:rPr>
          <w:rFonts w:cstheme="minorHAnsi"/>
          <w:b/>
          <w:bCs/>
          <w:lang w:val="en-GB"/>
        </w:rPr>
      </w:pPr>
      <w:r w:rsidRPr="00266C3B">
        <w:rPr>
          <w:rFonts w:cstheme="minorHAnsi"/>
          <w:b/>
          <w:bCs/>
          <w:lang w:val="en-GB"/>
        </w:rPr>
        <w:t>Supplementary methods</w:t>
      </w:r>
    </w:p>
    <w:p w14:paraId="5204A723" w14:textId="4F4E3A74" w:rsidR="00CC2D9C" w:rsidRPr="00266C3B" w:rsidRDefault="00CC2D9C" w:rsidP="00CC2D9C">
      <w:pPr>
        <w:spacing w:line="360" w:lineRule="auto"/>
        <w:jc w:val="both"/>
        <w:rPr>
          <w:rFonts w:cstheme="minorHAnsi"/>
          <w:bCs/>
          <w:u w:val="single"/>
          <w:lang w:val="en-GB"/>
        </w:rPr>
      </w:pPr>
      <w:r w:rsidRPr="00266C3B">
        <w:rPr>
          <w:rFonts w:cstheme="minorHAnsi"/>
          <w:bCs/>
          <w:u w:val="single"/>
          <w:lang w:val="en-GB"/>
        </w:rPr>
        <w:t>Protein Extraction and Western Blot</w:t>
      </w:r>
    </w:p>
    <w:p w14:paraId="178CCFD8" w14:textId="6BB2D2AC" w:rsidR="00CC2D9C" w:rsidRPr="00266C3B" w:rsidRDefault="00CC2D9C" w:rsidP="00CC2D9C">
      <w:pPr>
        <w:spacing w:line="360" w:lineRule="auto"/>
        <w:jc w:val="both"/>
        <w:rPr>
          <w:rFonts w:cstheme="minorHAnsi"/>
          <w:bCs/>
          <w:lang w:val="en-GB"/>
        </w:rPr>
      </w:pPr>
      <w:r w:rsidRPr="00266C3B">
        <w:rPr>
          <w:rFonts w:cstheme="minorHAnsi"/>
          <w:bCs/>
          <w:lang w:val="en-GB"/>
        </w:rPr>
        <w:t xml:space="preserve">Cell pellets were thawed, and a cocktail containing 1X RIPA Buffer (150mM NaCl, 10mM Tris-HCl pH 7.5, 0.1% SDS, 1% Triton X100, 5mM EDTA pH 8.0, deoxycholate, and sodium salt 1%) and protease inhibitors (1mM sodium orthovanadate, 1mM PMSF, 1mM DTT, and 4mM NaF) was added, homogenized with a vortex for 30 seconds and shaken on a rotary shaker for 30 minutes at 4ºC. Next, it was centrifuged for 10 minutes at 14,000 rpm, and the supernatant was collected. </w:t>
      </w:r>
      <w:r w:rsidRPr="00266C3B">
        <w:rPr>
          <w:rFonts w:cstheme="minorHAnsi"/>
          <w:bCs/>
          <w:lang w:val="en-GB"/>
        </w:rPr>
        <w:lastRenderedPageBreak/>
        <w:t>Quantification was performed using the Micro BCA kit (Thermo Scientific) following the manufacturer's instructions. The samples were stored at -80ºC for further experiments.</w:t>
      </w:r>
    </w:p>
    <w:p w14:paraId="273978D6" w14:textId="32454D23" w:rsidR="00CC2D9C" w:rsidRPr="00266C3B" w:rsidRDefault="00CC2D9C" w:rsidP="00CC2D9C">
      <w:pPr>
        <w:spacing w:line="360" w:lineRule="auto"/>
        <w:jc w:val="both"/>
        <w:rPr>
          <w:rFonts w:cstheme="minorHAnsi"/>
          <w:bCs/>
          <w:lang w:val="en-GB"/>
        </w:rPr>
      </w:pPr>
      <w:r w:rsidRPr="00266C3B">
        <w:rPr>
          <w:rFonts w:cstheme="minorHAnsi"/>
          <w:bCs/>
          <w:lang w:val="en-GB"/>
        </w:rPr>
        <w:t xml:space="preserve">Protein samples (30 </w:t>
      </w:r>
      <w:r w:rsidR="00675829" w:rsidRPr="00266C3B">
        <w:rPr>
          <w:rFonts w:cstheme="minorHAnsi"/>
          <w:bCs/>
          <w:lang w:val="en-GB"/>
        </w:rPr>
        <w:t>µg/µL</w:t>
      </w:r>
      <w:r w:rsidRPr="00266C3B">
        <w:rPr>
          <w:rFonts w:cstheme="minorHAnsi"/>
          <w:bCs/>
          <w:lang w:val="en-GB"/>
        </w:rPr>
        <w:t>) was mixed with 6X Sample Buffer (Thermo Scientific) and were heated to 95ºC for 5 minutes. Electrophoresis was performed using 10 % bisacrylamide (Bio-Rad) Running gels and then were transferred to nitrocellulose membranes. The membranes were washed with TBST and blocked with 5% Skim Milk Powder (Sigma Aldrich) for 1 hour and incubated with primary antibodies overnight at 4ºC with shaking</w:t>
      </w:r>
      <w:r w:rsidR="00675829" w:rsidRPr="00266C3B">
        <w:rPr>
          <w:rFonts w:cstheme="minorHAnsi"/>
          <w:bCs/>
          <w:lang w:val="en-GB"/>
        </w:rPr>
        <w:t xml:space="preserve"> (Anti-STAT3 [ARC0045] (A306989), 1:200 (Antibodies); Anti-Phospho-Stat3 (Tyr705) (D3A7), 1:100 (Cell signalling); Anti-β-Actin, 1:1000 (abcam))</w:t>
      </w:r>
      <w:r w:rsidRPr="00266C3B">
        <w:rPr>
          <w:rFonts w:cstheme="minorHAnsi"/>
          <w:bCs/>
          <w:lang w:val="en-GB"/>
        </w:rPr>
        <w:t>. The next day, the membranes were washed with TBST and incubated with secondary antibodies for 1 hour</w:t>
      </w:r>
      <w:r w:rsidR="00675829" w:rsidRPr="00266C3B">
        <w:rPr>
          <w:rFonts w:cstheme="minorHAnsi"/>
          <w:bCs/>
          <w:lang w:val="en-GB"/>
        </w:rPr>
        <w:t xml:space="preserve"> (</w:t>
      </w:r>
      <w:r w:rsidRPr="00266C3B">
        <w:rPr>
          <w:rFonts w:cstheme="minorHAnsi"/>
          <w:bCs/>
          <w:lang w:val="en-GB"/>
        </w:rPr>
        <w:t>Anti-Mouse-HRP or Anti-Rabbit-HRP</w:t>
      </w:r>
      <w:r w:rsidR="00675829" w:rsidRPr="00266C3B">
        <w:rPr>
          <w:rFonts w:cstheme="minorHAnsi"/>
          <w:bCs/>
          <w:lang w:val="en-GB"/>
        </w:rPr>
        <w:t>, 1:5000 (Jackson)</w:t>
      </w:r>
      <w:r w:rsidRPr="00266C3B">
        <w:rPr>
          <w:rFonts w:cstheme="minorHAnsi"/>
          <w:bCs/>
          <w:lang w:val="en-GB"/>
        </w:rPr>
        <w:t xml:space="preserve">). </w:t>
      </w:r>
      <w:r w:rsidR="005B1694" w:rsidRPr="00266C3B">
        <w:rPr>
          <w:rFonts w:cstheme="minorHAnsi"/>
          <w:bCs/>
          <w:lang w:val="en-GB"/>
        </w:rPr>
        <w:t xml:space="preserve">After membranes were washed </w:t>
      </w:r>
      <w:r w:rsidR="00675829" w:rsidRPr="00266C3B">
        <w:rPr>
          <w:rFonts w:cstheme="minorHAnsi"/>
          <w:bCs/>
          <w:lang w:val="en-GB"/>
        </w:rPr>
        <w:t>four</w:t>
      </w:r>
      <w:r w:rsidRPr="00266C3B">
        <w:rPr>
          <w:rFonts w:cstheme="minorHAnsi"/>
          <w:bCs/>
          <w:lang w:val="en-GB"/>
        </w:rPr>
        <w:t xml:space="preserve"> </w:t>
      </w:r>
      <w:r w:rsidR="005B1694" w:rsidRPr="00266C3B">
        <w:rPr>
          <w:rFonts w:cstheme="minorHAnsi"/>
          <w:bCs/>
          <w:lang w:val="en-GB"/>
        </w:rPr>
        <w:t xml:space="preserve">times </w:t>
      </w:r>
      <w:r w:rsidRPr="00266C3B">
        <w:rPr>
          <w:rFonts w:cstheme="minorHAnsi"/>
          <w:bCs/>
          <w:lang w:val="en-GB"/>
        </w:rPr>
        <w:t>with TBST for 10 minutes, a 1:1 mixture of Peroxide Solution (Thermo Scientific)</w:t>
      </w:r>
      <w:r w:rsidR="00675829" w:rsidRPr="00266C3B">
        <w:rPr>
          <w:rFonts w:cstheme="minorHAnsi"/>
          <w:bCs/>
          <w:lang w:val="en-GB"/>
        </w:rPr>
        <w:t xml:space="preserve"> </w:t>
      </w:r>
      <w:r w:rsidR="005B1694" w:rsidRPr="00266C3B">
        <w:rPr>
          <w:rFonts w:cstheme="minorHAnsi"/>
          <w:bCs/>
          <w:lang w:val="en-GB"/>
        </w:rPr>
        <w:t xml:space="preserve">and Luminol Enhancer Solution (Thermoscientific) was added and incubated for 5 min. The membranes were then developed using a chemiluminescence detection system (ChemiDoc). </w:t>
      </w:r>
    </w:p>
    <w:p w14:paraId="0D7D459C" w14:textId="4EF7184C" w:rsidR="00400F2E" w:rsidRPr="00266C3B" w:rsidRDefault="007B5E2D" w:rsidP="00400F2E">
      <w:pPr>
        <w:pStyle w:val="1TITULO"/>
        <w:numPr>
          <w:ilvl w:val="0"/>
          <w:numId w:val="0"/>
        </w:numPr>
        <w:spacing w:after="0" w:afterAutospacing="0" w:line="276" w:lineRule="auto"/>
        <w:jc w:val="both"/>
        <w:rPr>
          <w:rFonts w:asciiTheme="minorHAnsi" w:hAnsiTheme="minorHAnsi" w:cstheme="minorHAnsi"/>
          <w:color w:val="auto"/>
          <w:sz w:val="22"/>
          <w:szCs w:val="22"/>
        </w:rPr>
      </w:pPr>
      <w:r w:rsidRPr="00266C3B">
        <w:rPr>
          <w:rFonts w:asciiTheme="minorHAnsi" w:hAnsiTheme="minorHAnsi" w:cstheme="minorHAnsi"/>
          <w:color w:val="auto"/>
          <w:sz w:val="22"/>
          <w:szCs w:val="22"/>
        </w:rPr>
        <w:t>Obtaining a CDK4/6i resistant cell line</w:t>
      </w:r>
    </w:p>
    <w:p w14:paraId="4C18D6F7" w14:textId="77777777" w:rsidR="007B5E2D" w:rsidRPr="00266C3B" w:rsidRDefault="007B5E2D" w:rsidP="003317A1">
      <w:pPr>
        <w:spacing w:after="0" w:line="276" w:lineRule="auto"/>
        <w:jc w:val="both"/>
        <w:rPr>
          <w:rFonts w:cstheme="minorHAnsi"/>
          <w:lang w:val="en-US"/>
        </w:rPr>
      </w:pPr>
    </w:p>
    <w:p w14:paraId="2BFFB8A6" w14:textId="6D87239E" w:rsidR="003317A1" w:rsidRPr="00266C3B" w:rsidRDefault="003317A1" w:rsidP="00373003">
      <w:pPr>
        <w:spacing w:after="0" w:line="360" w:lineRule="auto"/>
        <w:jc w:val="both"/>
        <w:rPr>
          <w:rFonts w:cstheme="minorHAnsi"/>
          <w:lang w:val="en-US"/>
        </w:rPr>
      </w:pPr>
      <w:r w:rsidRPr="00266C3B">
        <w:rPr>
          <w:rFonts w:cstheme="minorHAnsi"/>
          <w:lang w:val="en-US"/>
        </w:rPr>
        <w:t xml:space="preserve">Two luminal cell lines were </w:t>
      </w:r>
      <w:r w:rsidR="007B5E2D" w:rsidRPr="00266C3B">
        <w:rPr>
          <w:rFonts w:cstheme="minorHAnsi"/>
          <w:lang w:val="en-US"/>
        </w:rPr>
        <w:t xml:space="preserve">cultured </w:t>
      </w:r>
      <w:r w:rsidRPr="00266C3B">
        <w:rPr>
          <w:rFonts w:cstheme="minorHAnsi"/>
          <w:lang w:val="en-US"/>
        </w:rPr>
        <w:t>with CDK4/6</w:t>
      </w:r>
      <w:r w:rsidR="00576C4C" w:rsidRPr="00266C3B">
        <w:rPr>
          <w:rFonts w:cstheme="minorHAnsi"/>
          <w:lang w:val="en-US"/>
        </w:rPr>
        <w:t xml:space="preserve"> inhibitors</w:t>
      </w:r>
      <w:r w:rsidRPr="00266C3B">
        <w:rPr>
          <w:rFonts w:cstheme="minorHAnsi"/>
          <w:lang w:val="en-US"/>
        </w:rPr>
        <w:t xml:space="preserve"> </w:t>
      </w:r>
      <w:r w:rsidR="00576C4C" w:rsidRPr="00266C3B">
        <w:rPr>
          <w:rFonts w:cstheme="minorHAnsi"/>
          <w:lang w:val="en-US"/>
        </w:rPr>
        <w:t xml:space="preserve">(CDK4/6i) </w:t>
      </w:r>
      <w:r w:rsidRPr="00266C3B">
        <w:rPr>
          <w:rFonts w:cstheme="minorHAnsi"/>
          <w:lang w:val="en-US"/>
        </w:rPr>
        <w:t xml:space="preserve">(Selleckchem) to generate resistant cell lines. The MCF7 cell line was cultured in DMEM with Palbociclib, while the T47D cell line </w:t>
      </w:r>
      <w:r w:rsidR="007B5E2D" w:rsidRPr="00266C3B">
        <w:rPr>
          <w:rFonts w:cstheme="minorHAnsi"/>
          <w:lang w:val="en-US"/>
        </w:rPr>
        <w:t xml:space="preserve">was </w:t>
      </w:r>
      <w:r w:rsidR="00576C4C" w:rsidRPr="00266C3B">
        <w:rPr>
          <w:rFonts w:cstheme="minorHAnsi"/>
          <w:lang w:val="en-US"/>
        </w:rPr>
        <w:t xml:space="preserve">cultured </w:t>
      </w:r>
      <w:r w:rsidRPr="00266C3B">
        <w:rPr>
          <w:rFonts w:cstheme="minorHAnsi"/>
          <w:lang w:val="en-US"/>
        </w:rPr>
        <w:t xml:space="preserve">in RPMI with </w:t>
      </w:r>
      <w:r w:rsidR="00400F2E" w:rsidRPr="00266C3B">
        <w:rPr>
          <w:rFonts w:cstheme="minorHAnsi"/>
          <w:lang w:val="en-US"/>
        </w:rPr>
        <w:t>Ribociclib</w:t>
      </w:r>
      <w:r w:rsidRPr="00266C3B">
        <w:rPr>
          <w:rFonts w:cstheme="minorHAnsi"/>
          <w:lang w:val="en-US"/>
        </w:rPr>
        <w:t xml:space="preserve">. </w:t>
      </w:r>
    </w:p>
    <w:p w14:paraId="24780EEA" w14:textId="77777777" w:rsidR="007B5E2D" w:rsidRPr="00266C3B" w:rsidRDefault="007B5E2D" w:rsidP="00400F2E">
      <w:pPr>
        <w:spacing w:after="0" w:line="276" w:lineRule="auto"/>
        <w:jc w:val="both"/>
        <w:rPr>
          <w:rFonts w:cstheme="minorHAnsi"/>
          <w:bCs/>
          <w:i/>
          <w:iCs/>
          <w:lang w:val="en-US"/>
        </w:rPr>
      </w:pPr>
    </w:p>
    <w:p w14:paraId="49826725" w14:textId="2DEEF3B6" w:rsidR="00400F2E" w:rsidRPr="00266C3B" w:rsidRDefault="003317A1" w:rsidP="00373003">
      <w:pPr>
        <w:spacing w:after="0" w:line="360" w:lineRule="auto"/>
        <w:jc w:val="both"/>
        <w:rPr>
          <w:rFonts w:cstheme="minorHAnsi"/>
          <w:lang w:val="en-US"/>
        </w:rPr>
      </w:pPr>
      <w:r w:rsidRPr="00266C3B">
        <w:rPr>
          <w:rFonts w:cstheme="minorHAnsi"/>
          <w:bCs/>
          <w:i/>
          <w:iCs/>
          <w:lang w:val="en-US"/>
        </w:rPr>
        <w:t>IC50 concentration calculation</w:t>
      </w:r>
      <w:r w:rsidRPr="00266C3B">
        <w:rPr>
          <w:rFonts w:cstheme="minorHAnsi"/>
          <w:bCs/>
          <w:lang w:val="en-US"/>
        </w:rPr>
        <w:t xml:space="preserve">: </w:t>
      </w:r>
      <w:r w:rsidR="00400F2E" w:rsidRPr="00266C3B">
        <w:rPr>
          <w:rFonts w:cstheme="minorHAnsi"/>
          <w:bCs/>
          <w:lang w:val="en-US"/>
        </w:rPr>
        <w:t xml:space="preserve">The IC50 concentration </w:t>
      </w:r>
      <w:r w:rsidRPr="00266C3B">
        <w:rPr>
          <w:rFonts w:cstheme="minorHAnsi"/>
          <w:bCs/>
          <w:lang w:val="en-US"/>
        </w:rPr>
        <w:t xml:space="preserve">of both drugs </w:t>
      </w:r>
      <w:r w:rsidR="00400F2E" w:rsidRPr="00266C3B">
        <w:rPr>
          <w:rFonts w:cstheme="minorHAnsi"/>
          <w:bCs/>
          <w:lang w:val="en-US"/>
        </w:rPr>
        <w:t>w</w:t>
      </w:r>
      <w:r w:rsidRPr="00266C3B">
        <w:rPr>
          <w:rFonts w:cstheme="minorHAnsi"/>
          <w:bCs/>
          <w:lang w:val="en-US"/>
        </w:rPr>
        <w:t>as</w:t>
      </w:r>
      <w:r w:rsidR="00400F2E" w:rsidRPr="00266C3B">
        <w:rPr>
          <w:rFonts w:cstheme="minorHAnsi"/>
          <w:bCs/>
          <w:lang w:val="en-US"/>
        </w:rPr>
        <w:t xml:space="preserve"> evaluated using the proliferative assays </w:t>
      </w:r>
      <w:r w:rsidR="00400F2E" w:rsidRPr="00266C3B">
        <w:rPr>
          <w:rFonts w:cstheme="minorHAnsi"/>
          <w:lang w:val="en-US"/>
        </w:rPr>
        <w:t>Thiazolyn Blue Tetrazolium Bromide (MTT) (Sigma)</w:t>
      </w:r>
      <w:r w:rsidR="00400F2E" w:rsidRPr="00266C3B">
        <w:rPr>
          <w:rFonts w:cstheme="minorHAnsi"/>
          <w:bCs/>
          <w:lang w:val="en-US"/>
        </w:rPr>
        <w:t xml:space="preserve">. MCF7 cells (5000 cells per well) and T47D cells (10000 cells per well) were plated in 96-well plates. After 24 hours, escalating concentrations of Palbociclib (0.05 µM, 0.1 µM, 0.2 µM, 0.5 µM, and 0.7 µM) and Ribociclib (0.5 µM, 1 µM, 2 µM, 4 µM, and 6 µM) were added to each well. </w:t>
      </w:r>
      <w:r w:rsidR="00400F2E" w:rsidRPr="00266C3B">
        <w:rPr>
          <w:rFonts w:cstheme="minorHAnsi"/>
          <w:lang w:val="en-US"/>
        </w:rPr>
        <w:t xml:space="preserve">In both cases, CDK4/6i was </w:t>
      </w:r>
      <w:r w:rsidR="00842FB3" w:rsidRPr="00266C3B">
        <w:rPr>
          <w:rFonts w:cstheme="minorHAnsi"/>
          <w:lang w:val="en-US"/>
        </w:rPr>
        <w:t>refreshed</w:t>
      </w:r>
      <w:r w:rsidR="00400F2E" w:rsidRPr="00266C3B">
        <w:rPr>
          <w:rFonts w:cstheme="minorHAnsi"/>
          <w:lang w:val="en-US"/>
        </w:rPr>
        <w:t xml:space="preserve"> every 2 days. After 15 days, drugs were removed and cell proliferation was measured using an MTT assay, following the manufacturer’s instructions. </w:t>
      </w:r>
      <w:r w:rsidR="00EF48B8" w:rsidRPr="00266C3B">
        <w:rPr>
          <w:rFonts w:cstheme="minorHAnsi"/>
          <w:lang w:val="en-US"/>
        </w:rPr>
        <w:t>The IC50 was 0.2 μM for Pal</w:t>
      </w:r>
      <w:r w:rsidR="00F87455" w:rsidRPr="00266C3B">
        <w:rPr>
          <w:rFonts w:cstheme="minorHAnsi"/>
          <w:lang w:val="en-US"/>
        </w:rPr>
        <w:t>b</w:t>
      </w:r>
      <w:r w:rsidR="00EF48B8" w:rsidRPr="00266C3B">
        <w:rPr>
          <w:rFonts w:cstheme="minorHAnsi"/>
          <w:lang w:val="en-US"/>
        </w:rPr>
        <w:t xml:space="preserve">ociclib and 4 μM for Ribociclib. </w:t>
      </w:r>
    </w:p>
    <w:p w14:paraId="2CE0EE0B" w14:textId="77777777" w:rsidR="007B5E2D" w:rsidRPr="00266C3B" w:rsidRDefault="007B5E2D" w:rsidP="003317A1">
      <w:pPr>
        <w:jc w:val="both"/>
        <w:rPr>
          <w:rFonts w:cstheme="minorHAnsi"/>
          <w:i/>
          <w:iCs/>
          <w:lang w:val="en-US"/>
        </w:rPr>
      </w:pPr>
    </w:p>
    <w:p w14:paraId="3EB19C24" w14:textId="77777777" w:rsidR="00373003" w:rsidRDefault="00400F2E" w:rsidP="00373003">
      <w:pPr>
        <w:spacing w:line="360" w:lineRule="auto"/>
        <w:jc w:val="both"/>
        <w:rPr>
          <w:rFonts w:cstheme="minorHAnsi"/>
          <w:lang w:val="en-US"/>
        </w:rPr>
      </w:pPr>
      <w:r w:rsidRPr="00266C3B">
        <w:rPr>
          <w:rFonts w:cstheme="minorHAnsi"/>
          <w:i/>
          <w:iCs/>
          <w:lang w:val="en-US"/>
        </w:rPr>
        <w:t xml:space="preserve">Generation of </w:t>
      </w:r>
      <w:r w:rsidR="003317A1" w:rsidRPr="00266C3B">
        <w:rPr>
          <w:rFonts w:cstheme="minorHAnsi"/>
          <w:i/>
          <w:iCs/>
          <w:lang w:val="en-US"/>
        </w:rPr>
        <w:t>CDK4/6i</w:t>
      </w:r>
      <w:r w:rsidRPr="00266C3B">
        <w:rPr>
          <w:rFonts w:cstheme="minorHAnsi"/>
          <w:i/>
          <w:iCs/>
          <w:lang w:val="en-US"/>
        </w:rPr>
        <w:t>-resistant cell line</w:t>
      </w:r>
      <w:r w:rsidR="003317A1" w:rsidRPr="00266C3B">
        <w:rPr>
          <w:rFonts w:cstheme="minorHAnsi"/>
          <w:i/>
          <w:iCs/>
          <w:lang w:val="en-US"/>
        </w:rPr>
        <w:t xml:space="preserve">: </w:t>
      </w:r>
      <w:r w:rsidRPr="00266C3B">
        <w:rPr>
          <w:rFonts w:cstheme="minorHAnsi"/>
          <w:lang w:val="en-US"/>
        </w:rPr>
        <w:t xml:space="preserve">MCF7 and T47D cell lines were treated with </w:t>
      </w:r>
      <w:r w:rsidR="003317A1" w:rsidRPr="00266C3B">
        <w:rPr>
          <w:rFonts w:cstheme="minorHAnsi"/>
          <w:lang w:val="en-US"/>
        </w:rPr>
        <w:t>the corresponding CDK4/6i</w:t>
      </w:r>
      <w:r w:rsidRPr="00266C3B">
        <w:rPr>
          <w:rFonts w:cstheme="minorHAnsi"/>
          <w:lang w:val="en-US"/>
        </w:rPr>
        <w:t xml:space="preserve"> for 5 months to generate resistant cell lines as depicted </w:t>
      </w:r>
      <w:r w:rsidR="00680363" w:rsidRPr="00266C3B">
        <w:rPr>
          <w:rFonts w:cstheme="minorHAnsi"/>
          <w:lang w:val="en-US"/>
        </w:rPr>
        <w:t>below</w:t>
      </w:r>
      <w:r w:rsidRPr="00266C3B">
        <w:rPr>
          <w:rFonts w:cstheme="minorHAnsi"/>
          <w:lang w:val="en-US"/>
        </w:rPr>
        <w:t>.</w:t>
      </w:r>
    </w:p>
    <w:p w14:paraId="7C850573" w14:textId="3EBFDFE7" w:rsidR="00680363" w:rsidRPr="00266C3B" w:rsidRDefault="00F709AE" w:rsidP="00373003">
      <w:pPr>
        <w:spacing w:line="360" w:lineRule="auto"/>
        <w:jc w:val="both"/>
        <w:rPr>
          <w:rFonts w:cstheme="minorHAnsi"/>
          <w:b/>
          <w:bCs/>
          <w:lang w:val="en-US"/>
        </w:rPr>
      </w:pPr>
      <w:r w:rsidRPr="00266C3B">
        <w:rPr>
          <w:rFonts w:cstheme="minorHAnsi"/>
          <w:noProof/>
          <w:lang w:val="en-GB" w:eastAsia="en-GB"/>
        </w:rPr>
        <w:lastRenderedPageBreak/>
        <w:drawing>
          <wp:anchor distT="0" distB="0" distL="114300" distR="114300" simplePos="0" relativeHeight="251659264" behindDoc="0" locked="0" layoutInCell="1" allowOverlap="1" wp14:anchorId="27266F4C" wp14:editId="0691FF1D">
            <wp:simplePos x="0" y="0"/>
            <wp:positionH relativeFrom="margin">
              <wp:align>left</wp:align>
            </wp:positionH>
            <wp:positionV relativeFrom="paragraph">
              <wp:posOffset>285115</wp:posOffset>
            </wp:positionV>
            <wp:extent cx="5588000" cy="174244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8000" cy="1742440"/>
                    </a:xfrm>
                    <a:prstGeom prst="rect">
                      <a:avLst/>
                    </a:prstGeom>
                    <a:noFill/>
                  </pic:spPr>
                </pic:pic>
              </a:graphicData>
            </a:graphic>
            <wp14:sizeRelH relativeFrom="page">
              <wp14:pctWidth>0</wp14:pctWidth>
            </wp14:sizeRelH>
            <wp14:sizeRelV relativeFrom="page">
              <wp14:pctHeight>0</wp14:pctHeight>
            </wp14:sizeRelV>
          </wp:anchor>
        </w:drawing>
      </w:r>
    </w:p>
    <w:p w14:paraId="29F4B9CD" w14:textId="77777777" w:rsidR="00373003" w:rsidRDefault="00373003" w:rsidP="00373003">
      <w:pPr>
        <w:spacing w:line="360" w:lineRule="auto"/>
        <w:jc w:val="both"/>
        <w:rPr>
          <w:rFonts w:cstheme="minorHAnsi"/>
          <w:b/>
          <w:bCs/>
          <w:lang w:val="en-US"/>
        </w:rPr>
      </w:pPr>
    </w:p>
    <w:p w14:paraId="162EF6F4" w14:textId="61BD3127" w:rsidR="00680363" w:rsidRPr="00266C3B" w:rsidRDefault="00680363" w:rsidP="00373003">
      <w:pPr>
        <w:spacing w:line="360" w:lineRule="auto"/>
        <w:jc w:val="both"/>
        <w:rPr>
          <w:rFonts w:cstheme="minorHAnsi"/>
          <w:bCs/>
          <w:lang w:val="en-US"/>
        </w:rPr>
      </w:pPr>
      <w:r w:rsidRPr="00266C3B">
        <w:rPr>
          <w:rFonts w:cstheme="minorHAnsi"/>
          <w:b/>
          <w:bCs/>
          <w:lang w:val="en-US"/>
        </w:rPr>
        <w:t xml:space="preserve">Workflow to generate cell lines resistant to CDK4/6i. </w:t>
      </w:r>
      <w:r w:rsidRPr="00266C3B">
        <w:rPr>
          <w:rFonts w:cstheme="minorHAnsi"/>
          <w:bCs/>
          <w:lang w:val="en-US"/>
        </w:rPr>
        <w:t xml:space="preserve">Cell lines were treated with the IC50 of CDK4/6i for 2 weeks. Then, cells were cultured with fresh-DMEM for another 2 weeks to avoid senescence phenotype. After </w:t>
      </w:r>
      <w:r w:rsidR="00373003">
        <w:rPr>
          <w:rFonts w:cstheme="minorHAnsi"/>
          <w:bCs/>
          <w:lang w:val="en-US"/>
        </w:rPr>
        <w:t>recovery</w:t>
      </w:r>
      <w:r w:rsidRPr="00266C3B">
        <w:rPr>
          <w:rFonts w:cstheme="minorHAnsi"/>
          <w:bCs/>
          <w:lang w:val="en-US"/>
        </w:rPr>
        <w:t xml:space="preserve">, cell lines were treated again with the IC50 of CDK4/6i for 2 weeks. This process was repeated once </w:t>
      </w:r>
      <w:r w:rsidR="00373003">
        <w:rPr>
          <w:rFonts w:cstheme="minorHAnsi"/>
          <w:bCs/>
          <w:lang w:val="en-US"/>
        </w:rPr>
        <w:t>the CDK4/6i dose was escalated to double the</w:t>
      </w:r>
      <w:r w:rsidRPr="00266C3B">
        <w:rPr>
          <w:rFonts w:cstheme="minorHAnsi"/>
          <w:bCs/>
          <w:lang w:val="en-US"/>
        </w:rPr>
        <w:t xml:space="preserve"> value of the IC50.</w:t>
      </w:r>
    </w:p>
    <w:p w14:paraId="7FE20677" w14:textId="0B2E0A05" w:rsidR="00400F2E" w:rsidRPr="00266C3B" w:rsidRDefault="00400F2E" w:rsidP="00373003">
      <w:pPr>
        <w:spacing w:line="360" w:lineRule="auto"/>
        <w:jc w:val="both"/>
        <w:rPr>
          <w:rFonts w:cstheme="minorHAnsi"/>
          <w:lang w:val="en-US"/>
        </w:rPr>
      </w:pPr>
      <w:r w:rsidRPr="00266C3B">
        <w:rPr>
          <w:rFonts w:cstheme="minorHAnsi"/>
          <w:lang w:val="en-US"/>
        </w:rPr>
        <w:t>These cells were seeded in 150 cm</w:t>
      </w:r>
      <w:r w:rsidRPr="00266C3B">
        <w:rPr>
          <w:rFonts w:cstheme="minorHAnsi"/>
          <w:vertAlign w:val="superscript"/>
          <w:lang w:val="en-US"/>
        </w:rPr>
        <w:t xml:space="preserve">2 </w:t>
      </w:r>
      <w:r w:rsidRPr="00266C3B">
        <w:rPr>
          <w:rFonts w:cstheme="minorHAnsi"/>
          <w:lang w:val="en-US"/>
        </w:rPr>
        <w:t>plates (3.5-4x10</w:t>
      </w:r>
      <w:r w:rsidRPr="00266C3B">
        <w:rPr>
          <w:rFonts w:cstheme="minorHAnsi"/>
          <w:vertAlign w:val="superscript"/>
          <w:lang w:val="en-US"/>
        </w:rPr>
        <w:t xml:space="preserve">6 </w:t>
      </w:r>
      <w:r w:rsidRPr="00266C3B">
        <w:rPr>
          <w:rFonts w:cstheme="minorHAnsi"/>
          <w:lang w:val="en-US"/>
        </w:rPr>
        <w:t xml:space="preserve">cells per plate). After 24 hours, when cells were over 60-70 % confluence, Palbociclib or Ribociclib was added for 2 weeks, being </w:t>
      </w:r>
      <w:r w:rsidR="00842FB3" w:rsidRPr="00266C3B">
        <w:rPr>
          <w:rFonts w:cstheme="minorHAnsi"/>
          <w:lang w:val="en-US"/>
        </w:rPr>
        <w:t>refreshed</w:t>
      </w:r>
      <w:r w:rsidRPr="00266C3B">
        <w:rPr>
          <w:rFonts w:cstheme="minorHAnsi"/>
          <w:lang w:val="en-US"/>
        </w:rPr>
        <w:t xml:space="preserve"> every 2 days. Then, cells were cultured without the drug for the other 2 weeks. This process was repeated with the IC50 value and then, with the double of the IC50 to generate a stable population of cells growing with CDK inhibitors. Parental cells were grown in parallel and exposed to DMSO as a control, mimicking the amount of CDK4/6i used in the treated plates.  </w:t>
      </w:r>
    </w:p>
    <w:p w14:paraId="6CD8AA63" w14:textId="2D9F3277" w:rsidR="002F3256" w:rsidRPr="00266C3B" w:rsidRDefault="00F709AE" w:rsidP="008E0DB5">
      <w:pPr>
        <w:spacing w:line="276" w:lineRule="auto"/>
        <w:jc w:val="center"/>
        <w:rPr>
          <w:rFonts w:cstheme="minorHAnsi"/>
          <w:bCs/>
          <w:lang w:val="en-US"/>
        </w:rPr>
      </w:pPr>
      <w:r w:rsidRPr="00266C3B">
        <w:rPr>
          <w:rFonts w:cstheme="minorHAnsi"/>
          <w:bCs/>
          <w:noProof/>
          <w:lang w:val="en-GB" w:eastAsia="en-GB"/>
        </w:rPr>
        <w:drawing>
          <wp:inline distT="0" distB="0" distL="0" distR="0" wp14:anchorId="4F5FBE8B" wp14:editId="6E48A704">
            <wp:extent cx="3375378" cy="2796742"/>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S3.jpg"/>
                    <pic:cNvPicPr/>
                  </pic:nvPicPr>
                  <pic:blipFill>
                    <a:blip r:embed="rId12">
                      <a:extLst>
                        <a:ext uri="{28A0092B-C50C-407E-A947-70E740481C1C}">
                          <a14:useLocalDpi xmlns:a14="http://schemas.microsoft.com/office/drawing/2010/main" val="0"/>
                        </a:ext>
                      </a:extLst>
                    </a:blip>
                    <a:stretch>
                      <a:fillRect/>
                    </a:stretch>
                  </pic:blipFill>
                  <pic:spPr>
                    <a:xfrm>
                      <a:off x="0" y="0"/>
                      <a:ext cx="3378726" cy="2799516"/>
                    </a:xfrm>
                    <a:prstGeom prst="rect">
                      <a:avLst/>
                    </a:prstGeom>
                  </pic:spPr>
                </pic:pic>
              </a:graphicData>
            </a:graphic>
          </wp:inline>
        </w:drawing>
      </w:r>
    </w:p>
    <w:p w14:paraId="1C1DA4EF" w14:textId="743C46FA" w:rsidR="001C0746" w:rsidRPr="00266C3B" w:rsidRDefault="002F3256" w:rsidP="00373003">
      <w:pPr>
        <w:rPr>
          <w:rFonts w:cstheme="minorHAnsi"/>
          <w:b/>
          <w:bCs/>
          <w:lang w:val="en-US"/>
        </w:rPr>
      </w:pPr>
      <w:r w:rsidRPr="00266C3B">
        <w:rPr>
          <w:rFonts w:cstheme="minorHAnsi"/>
          <w:b/>
          <w:bCs/>
          <w:lang w:val="en-US"/>
        </w:rPr>
        <w:t>Figure S</w:t>
      </w:r>
      <w:r w:rsidR="00F709AE" w:rsidRPr="00266C3B">
        <w:rPr>
          <w:rFonts w:cstheme="minorHAnsi"/>
          <w:b/>
          <w:bCs/>
          <w:lang w:val="en-US"/>
        </w:rPr>
        <w:t>4</w:t>
      </w:r>
      <w:r w:rsidRPr="00266C3B">
        <w:rPr>
          <w:rFonts w:cstheme="minorHAnsi"/>
          <w:b/>
          <w:bCs/>
          <w:lang w:val="en-US"/>
        </w:rPr>
        <w:t>.</w:t>
      </w:r>
      <w:r w:rsidRPr="00266C3B">
        <w:rPr>
          <w:rFonts w:cstheme="minorHAnsi"/>
          <w:bCs/>
          <w:lang w:val="en-US"/>
        </w:rPr>
        <w:t xml:space="preserve"> </w:t>
      </w:r>
      <w:r w:rsidRPr="00266C3B">
        <w:rPr>
          <w:rFonts w:cstheme="minorHAnsi"/>
          <w:lang w:val="en-GB"/>
        </w:rPr>
        <w:t>Gene expression of the depicted genes in T47D luminal parental (</w:t>
      </w:r>
      <w:r w:rsidR="00F52D5E" w:rsidRPr="00266C3B">
        <w:rPr>
          <w:rFonts w:cstheme="minorHAnsi"/>
          <w:lang w:val="en-GB"/>
        </w:rPr>
        <w:t>black</w:t>
      </w:r>
      <w:r w:rsidRPr="00266C3B">
        <w:rPr>
          <w:rFonts w:cstheme="minorHAnsi"/>
          <w:lang w:val="en-GB"/>
        </w:rPr>
        <w:t>) and resistant to Ribociclib (green) cell line</w:t>
      </w:r>
      <w:r w:rsidR="00F52D5E" w:rsidRPr="00266C3B">
        <w:rPr>
          <w:rFonts w:cstheme="minorHAnsi"/>
          <w:lang w:val="en-GB"/>
        </w:rPr>
        <w:t>s</w:t>
      </w:r>
      <w:r w:rsidRPr="00266C3B">
        <w:rPr>
          <w:rFonts w:cstheme="minorHAnsi"/>
          <w:lang w:val="en-GB"/>
        </w:rPr>
        <w:t>.</w:t>
      </w:r>
    </w:p>
    <w:p w14:paraId="13C277FE" w14:textId="1AF4AFB3" w:rsidR="00920475" w:rsidRPr="00266C3B" w:rsidRDefault="00DE3C2C" w:rsidP="00887DB4">
      <w:pPr>
        <w:jc w:val="center"/>
        <w:rPr>
          <w:rFonts w:cstheme="minorHAnsi"/>
          <w:b/>
          <w:bCs/>
          <w:lang w:val="en-US"/>
        </w:rPr>
      </w:pPr>
      <w:r w:rsidRPr="00266C3B">
        <w:rPr>
          <w:rFonts w:cstheme="minorHAnsi"/>
          <w:b/>
          <w:bCs/>
          <w:noProof/>
          <w:lang w:val="en-GB" w:eastAsia="en-GB"/>
        </w:rPr>
        <w:lastRenderedPageBreak/>
        <w:drawing>
          <wp:inline distT="0" distB="0" distL="0" distR="0" wp14:anchorId="38053082" wp14:editId="27DDCFC7">
            <wp:extent cx="5710927" cy="1460638"/>
            <wp:effectExtent l="0" t="0" r="4445" b="6350"/>
            <wp:docPr id="13264317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431763" name="Picture 132643176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13019" cy="1461173"/>
                    </a:xfrm>
                    <a:prstGeom prst="rect">
                      <a:avLst/>
                    </a:prstGeom>
                  </pic:spPr>
                </pic:pic>
              </a:graphicData>
            </a:graphic>
          </wp:inline>
        </w:drawing>
      </w:r>
    </w:p>
    <w:p w14:paraId="49C2D2A7" w14:textId="77777777" w:rsidR="00373003" w:rsidRDefault="000D3E47" w:rsidP="00B842AD">
      <w:pPr>
        <w:jc w:val="both"/>
        <w:rPr>
          <w:lang w:val="en-GB"/>
        </w:rPr>
      </w:pPr>
      <w:r w:rsidRPr="00266C3B">
        <w:rPr>
          <w:rFonts w:cstheme="minorHAnsi"/>
          <w:b/>
          <w:bCs/>
          <w:lang w:val="en-US"/>
        </w:rPr>
        <w:t>Figure S</w:t>
      </w:r>
      <w:r w:rsidR="00F709AE" w:rsidRPr="00266C3B">
        <w:rPr>
          <w:rFonts w:cstheme="minorHAnsi"/>
          <w:b/>
          <w:bCs/>
          <w:lang w:val="en-US"/>
        </w:rPr>
        <w:t>5</w:t>
      </w:r>
      <w:r w:rsidRPr="00266C3B">
        <w:rPr>
          <w:rFonts w:cstheme="minorHAnsi"/>
          <w:b/>
          <w:bCs/>
          <w:lang w:val="en-US"/>
        </w:rPr>
        <w:t xml:space="preserve">. </w:t>
      </w:r>
      <w:r w:rsidRPr="00266C3B">
        <w:rPr>
          <w:b/>
          <w:lang w:val="en-GB"/>
        </w:rPr>
        <w:t>CTC gene expression associated with patients’ outcomes (n=21).</w:t>
      </w:r>
      <w:r w:rsidRPr="00266C3B">
        <w:rPr>
          <w:lang w:val="en-GB"/>
        </w:rPr>
        <w:t xml:space="preserve"> Kaplan-Meier plot for A) </w:t>
      </w:r>
      <w:r w:rsidR="009C302B" w:rsidRPr="00266C3B">
        <w:rPr>
          <w:lang w:val="en-GB"/>
        </w:rPr>
        <w:t>Progression</w:t>
      </w:r>
      <w:r w:rsidR="0081236A" w:rsidRPr="00266C3B">
        <w:rPr>
          <w:lang w:val="en-GB"/>
        </w:rPr>
        <w:t>-</w:t>
      </w:r>
      <w:r w:rsidR="009C302B" w:rsidRPr="00266C3B">
        <w:rPr>
          <w:lang w:val="en-GB"/>
        </w:rPr>
        <w:t xml:space="preserve">Free Survival of </w:t>
      </w:r>
      <w:r w:rsidR="00F87455" w:rsidRPr="00266C3B">
        <w:rPr>
          <w:lang w:val="en-GB"/>
        </w:rPr>
        <w:t xml:space="preserve">patients </w:t>
      </w:r>
      <w:r w:rsidR="000412DF" w:rsidRPr="00266C3B">
        <w:rPr>
          <w:rFonts w:cstheme="minorHAnsi"/>
          <w:lang w:val="en-GB"/>
        </w:rPr>
        <w:t xml:space="preserve">categorized by their CTC </w:t>
      </w:r>
      <w:r w:rsidRPr="00266C3B">
        <w:rPr>
          <w:i/>
          <w:iCs/>
          <w:lang w:val="en-GB"/>
        </w:rPr>
        <w:t>CDK4</w:t>
      </w:r>
      <w:r w:rsidR="009C302B" w:rsidRPr="00266C3B">
        <w:rPr>
          <w:i/>
          <w:iCs/>
          <w:vertAlign w:val="superscript"/>
          <w:lang w:val="en-GB"/>
        </w:rPr>
        <w:t>low</w:t>
      </w:r>
      <w:r w:rsidR="009C302B" w:rsidRPr="00266C3B">
        <w:rPr>
          <w:i/>
          <w:iCs/>
          <w:lang w:val="en-GB"/>
        </w:rPr>
        <w:t>STAT3</w:t>
      </w:r>
      <w:r w:rsidR="009C302B" w:rsidRPr="00266C3B">
        <w:rPr>
          <w:i/>
          <w:iCs/>
          <w:vertAlign w:val="superscript"/>
          <w:lang w:val="en-GB"/>
        </w:rPr>
        <w:t>high</w:t>
      </w:r>
      <w:r w:rsidRPr="00266C3B">
        <w:rPr>
          <w:lang w:val="en-GB"/>
        </w:rPr>
        <w:t xml:space="preserve"> </w:t>
      </w:r>
      <w:r w:rsidR="001C0746" w:rsidRPr="00266C3B">
        <w:rPr>
          <w:lang w:val="en-GB"/>
        </w:rPr>
        <w:t xml:space="preserve">status </w:t>
      </w:r>
      <w:r w:rsidR="000412DF" w:rsidRPr="00266C3B">
        <w:rPr>
          <w:lang w:val="en-GB"/>
        </w:rPr>
        <w:t xml:space="preserve">at visit 1. </w:t>
      </w:r>
      <w:r w:rsidR="000412DF" w:rsidRPr="00266C3B">
        <w:rPr>
          <w:rFonts w:cstheme="minorHAnsi"/>
          <w:lang w:val="en-GB"/>
        </w:rPr>
        <w:t xml:space="preserve">Patients exhibiting this expression </w:t>
      </w:r>
      <w:r w:rsidR="00B10ABB" w:rsidRPr="00266C3B">
        <w:rPr>
          <w:rFonts w:cstheme="minorHAnsi"/>
          <w:lang w:val="en-GB"/>
        </w:rPr>
        <w:t xml:space="preserve">(Yes) </w:t>
      </w:r>
      <w:r w:rsidR="000412DF" w:rsidRPr="00266C3B">
        <w:rPr>
          <w:rFonts w:cstheme="minorHAnsi"/>
          <w:lang w:val="en-GB"/>
        </w:rPr>
        <w:t xml:space="preserve">are denoted in blue, while those not manifesting it </w:t>
      </w:r>
      <w:r w:rsidR="00B10ABB" w:rsidRPr="00266C3B">
        <w:rPr>
          <w:rFonts w:cstheme="minorHAnsi"/>
          <w:lang w:val="en-GB"/>
        </w:rPr>
        <w:t xml:space="preserve">(No) </w:t>
      </w:r>
      <w:r w:rsidR="000412DF" w:rsidRPr="00266C3B">
        <w:rPr>
          <w:rFonts w:cstheme="minorHAnsi"/>
          <w:lang w:val="en-GB"/>
        </w:rPr>
        <w:t xml:space="preserve">are depicted in red. </w:t>
      </w:r>
      <w:r w:rsidRPr="00266C3B">
        <w:rPr>
          <w:lang w:val="en-GB"/>
        </w:rPr>
        <w:t xml:space="preserve">B) </w:t>
      </w:r>
      <w:r w:rsidR="009C302B" w:rsidRPr="00266C3B">
        <w:rPr>
          <w:lang w:val="en-GB"/>
        </w:rPr>
        <w:t xml:space="preserve">Overall Survival of </w:t>
      </w:r>
      <w:r w:rsidR="00F87455" w:rsidRPr="00266C3B">
        <w:rPr>
          <w:lang w:val="en-GB"/>
        </w:rPr>
        <w:t xml:space="preserve">patients </w:t>
      </w:r>
      <w:r w:rsidR="00F87455" w:rsidRPr="00373003">
        <w:rPr>
          <w:lang w:val="en-GB"/>
        </w:rPr>
        <w:t xml:space="preserve">regarding </w:t>
      </w:r>
      <w:r w:rsidRPr="00373003">
        <w:rPr>
          <w:lang w:val="en-GB"/>
        </w:rPr>
        <w:t xml:space="preserve">CTC </w:t>
      </w:r>
      <w:r w:rsidR="009C302B" w:rsidRPr="00373003">
        <w:rPr>
          <w:i/>
          <w:iCs/>
          <w:lang w:val="en-GB"/>
        </w:rPr>
        <w:t xml:space="preserve">PALB2 </w:t>
      </w:r>
      <w:r w:rsidRPr="00373003">
        <w:rPr>
          <w:lang w:val="en-GB"/>
        </w:rPr>
        <w:t>expression at visit 1</w:t>
      </w:r>
      <w:r w:rsidR="009C302B" w:rsidRPr="00373003">
        <w:rPr>
          <w:lang w:val="en-GB"/>
        </w:rPr>
        <w:t>.</w:t>
      </w:r>
      <w:r w:rsidR="0081236A" w:rsidRPr="00373003">
        <w:rPr>
          <w:lang w:val="en-GB"/>
        </w:rPr>
        <w:t>C) Progression-free survival based on CTC signature (</w:t>
      </w:r>
      <w:r w:rsidR="0081236A" w:rsidRPr="00373003">
        <w:rPr>
          <w:i/>
          <w:iCs/>
          <w:lang w:val="en-GB"/>
        </w:rPr>
        <w:t>STAT3</w:t>
      </w:r>
      <w:r w:rsidR="0081236A" w:rsidRPr="00373003">
        <w:rPr>
          <w:vertAlign w:val="superscript"/>
          <w:lang w:val="en-GB"/>
        </w:rPr>
        <w:t>high</w:t>
      </w:r>
      <w:r w:rsidR="0081236A" w:rsidRPr="00373003">
        <w:rPr>
          <w:i/>
          <w:iCs/>
          <w:lang w:val="en-GB"/>
        </w:rPr>
        <w:t>PRKCB</w:t>
      </w:r>
      <w:r w:rsidR="0081236A" w:rsidRPr="00373003">
        <w:rPr>
          <w:vertAlign w:val="superscript"/>
          <w:lang w:val="en-GB"/>
        </w:rPr>
        <w:t>high</w:t>
      </w:r>
      <w:r w:rsidR="0081236A" w:rsidRPr="00373003">
        <w:rPr>
          <w:i/>
          <w:iCs/>
          <w:lang w:val="en-GB"/>
        </w:rPr>
        <w:t>CDK6</w:t>
      </w:r>
      <w:r w:rsidR="0081236A" w:rsidRPr="00373003">
        <w:rPr>
          <w:vertAlign w:val="superscript"/>
          <w:lang w:val="en-GB"/>
        </w:rPr>
        <w:t>low</w:t>
      </w:r>
      <w:r w:rsidR="0081236A" w:rsidRPr="00373003">
        <w:rPr>
          <w:lang w:val="en-GB"/>
        </w:rPr>
        <w:t xml:space="preserve">) </w:t>
      </w:r>
      <w:r w:rsidR="00AA362F" w:rsidRPr="00373003">
        <w:rPr>
          <w:lang w:val="en-GB"/>
        </w:rPr>
        <w:t xml:space="preserve">status </w:t>
      </w:r>
      <w:r w:rsidR="0081236A" w:rsidRPr="00373003">
        <w:rPr>
          <w:lang w:val="en-GB"/>
        </w:rPr>
        <w:t xml:space="preserve">comparing signature-positive versus signature-negative patients. </w:t>
      </w:r>
      <w:r w:rsidRPr="00373003">
        <w:rPr>
          <w:lang w:val="en-GB"/>
        </w:rPr>
        <w:t xml:space="preserve">Statistics </w:t>
      </w:r>
      <w:r w:rsidRPr="00266C3B">
        <w:rPr>
          <w:lang w:val="en-GB"/>
        </w:rPr>
        <w:t xml:space="preserve">were performed by log-rank test. </w:t>
      </w:r>
      <w:r w:rsidR="000F7F7B" w:rsidRPr="00266C3B">
        <w:rPr>
          <w:lang w:val="en-GB"/>
        </w:rPr>
        <w:t>St</w:t>
      </w:r>
      <w:r w:rsidRPr="00266C3B">
        <w:rPr>
          <w:lang w:val="en-GB"/>
        </w:rPr>
        <w:t>rat</w:t>
      </w:r>
      <w:r w:rsidR="00F87455" w:rsidRPr="00266C3B">
        <w:rPr>
          <w:lang w:val="en-GB"/>
        </w:rPr>
        <w:t>ification</w:t>
      </w:r>
      <w:r w:rsidR="000F7F7B" w:rsidRPr="00266C3B">
        <w:rPr>
          <w:lang w:val="en-GB"/>
        </w:rPr>
        <w:t xml:space="preserve"> </w:t>
      </w:r>
      <w:r w:rsidR="00F87455" w:rsidRPr="00266C3B">
        <w:rPr>
          <w:lang w:val="en-GB"/>
        </w:rPr>
        <w:t>was</w:t>
      </w:r>
      <w:r w:rsidRPr="00266C3B">
        <w:rPr>
          <w:lang w:val="en-GB"/>
        </w:rPr>
        <w:t xml:space="preserve"> performed considering the median </w:t>
      </w:r>
      <w:r w:rsidR="00373003">
        <w:rPr>
          <w:lang w:val="en-GB"/>
        </w:rPr>
        <w:t>expression value</w:t>
      </w:r>
      <w:r w:rsidRPr="00266C3B">
        <w:rPr>
          <w:lang w:val="en-GB"/>
        </w:rPr>
        <w:t xml:space="preserve"> for each gene to define high/low levels</w:t>
      </w:r>
      <w:r w:rsidR="00373003">
        <w:rPr>
          <w:lang w:val="en-GB"/>
        </w:rPr>
        <w:t>.</w:t>
      </w:r>
    </w:p>
    <w:p w14:paraId="1FA30ABA" w14:textId="52183AC4" w:rsidR="00F709AE" w:rsidRPr="00266C3B" w:rsidRDefault="00F709AE" w:rsidP="00B842AD">
      <w:pPr>
        <w:jc w:val="both"/>
        <w:rPr>
          <w:rFonts w:cstheme="minorHAnsi"/>
          <w:b/>
          <w:lang w:val="en-GB"/>
        </w:rPr>
      </w:pPr>
      <w:r w:rsidRPr="00266C3B">
        <w:rPr>
          <w:rFonts w:cstheme="minorHAnsi"/>
          <w:b/>
          <w:noProof/>
          <w:lang w:val="en-GB" w:eastAsia="en-GB"/>
        </w:rPr>
        <w:drawing>
          <wp:inline distT="0" distB="0" distL="0" distR="0" wp14:anchorId="253D6D7B" wp14:editId="595AEEE3">
            <wp:extent cx="4247804" cy="3499658"/>
            <wp:effectExtent l="0" t="0" r="635"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S5.jpg"/>
                    <pic:cNvPicPr/>
                  </pic:nvPicPr>
                  <pic:blipFill>
                    <a:blip r:embed="rId14">
                      <a:extLst>
                        <a:ext uri="{28A0092B-C50C-407E-A947-70E740481C1C}">
                          <a14:useLocalDpi xmlns:a14="http://schemas.microsoft.com/office/drawing/2010/main" val="0"/>
                        </a:ext>
                      </a:extLst>
                    </a:blip>
                    <a:stretch>
                      <a:fillRect/>
                    </a:stretch>
                  </pic:blipFill>
                  <pic:spPr>
                    <a:xfrm>
                      <a:off x="0" y="0"/>
                      <a:ext cx="4247804" cy="3499658"/>
                    </a:xfrm>
                    <a:prstGeom prst="rect">
                      <a:avLst/>
                    </a:prstGeom>
                  </pic:spPr>
                </pic:pic>
              </a:graphicData>
            </a:graphic>
          </wp:inline>
        </w:drawing>
      </w:r>
    </w:p>
    <w:p w14:paraId="02D61835" w14:textId="3EF32C65" w:rsidR="002F3256" w:rsidRPr="00266C3B" w:rsidRDefault="00832883" w:rsidP="00F709AE">
      <w:pPr>
        <w:jc w:val="both"/>
        <w:rPr>
          <w:lang w:val="en-US"/>
        </w:rPr>
      </w:pPr>
      <w:r w:rsidRPr="00266C3B">
        <w:rPr>
          <w:rFonts w:cstheme="minorHAnsi"/>
          <w:b/>
          <w:lang w:val="en-GB"/>
        </w:rPr>
        <w:t>Figure S</w:t>
      </w:r>
      <w:r w:rsidR="00F709AE" w:rsidRPr="00266C3B">
        <w:rPr>
          <w:rFonts w:cstheme="minorHAnsi"/>
          <w:b/>
          <w:lang w:val="en-GB"/>
        </w:rPr>
        <w:t>6</w:t>
      </w:r>
      <w:r w:rsidRPr="00266C3B">
        <w:rPr>
          <w:rFonts w:cstheme="minorHAnsi"/>
          <w:b/>
          <w:lang w:val="en-GB"/>
        </w:rPr>
        <w:t>.</w:t>
      </w:r>
      <w:r w:rsidRPr="00266C3B">
        <w:rPr>
          <w:rFonts w:cstheme="minorHAnsi"/>
          <w:lang w:val="en-GB"/>
        </w:rPr>
        <w:t xml:space="preserve"> </w:t>
      </w:r>
      <w:r w:rsidR="00B842AD" w:rsidRPr="00266C3B">
        <w:rPr>
          <w:i/>
          <w:iCs/>
          <w:lang w:val="en-US"/>
        </w:rPr>
        <w:t>PIK3CA</w:t>
      </w:r>
      <w:r w:rsidR="00B842AD" w:rsidRPr="00266C3B">
        <w:rPr>
          <w:lang w:val="en-US"/>
        </w:rPr>
        <w:t xml:space="preserve"> mutational status at visit 3 associates with expression levels of CTC at disease progression. The heatmap shows the gene expression profiles of the depicted genes analyzed by RT-qPCR (normalized to </w:t>
      </w:r>
      <w:r w:rsidR="00B842AD" w:rsidRPr="00266C3B">
        <w:rPr>
          <w:i/>
          <w:iCs/>
          <w:lang w:val="en-US"/>
        </w:rPr>
        <w:t>B2M</w:t>
      </w:r>
      <w:r w:rsidR="00B842AD" w:rsidRPr="00266C3B">
        <w:rPr>
          <w:lang w:val="en-US"/>
        </w:rPr>
        <w:t xml:space="preserve"> and matched PBMCs, n=20). Mutant </w:t>
      </w:r>
      <w:r w:rsidR="00B842AD" w:rsidRPr="00266C3B">
        <w:rPr>
          <w:i/>
          <w:lang w:val="en-US"/>
        </w:rPr>
        <w:t>PIK3CA</w:t>
      </w:r>
      <w:r w:rsidR="00B842AD" w:rsidRPr="00266C3B">
        <w:rPr>
          <w:lang w:val="en-US"/>
        </w:rPr>
        <w:t xml:space="preserve"> status is depicted in light green, while wild-type status is indicated in dark green.</w:t>
      </w:r>
      <w:r w:rsidR="003E0B50" w:rsidRPr="00266C3B">
        <w:rPr>
          <w:lang w:val="en-US"/>
        </w:rPr>
        <w:t xml:space="preserve"> White box refers to not available data.</w:t>
      </w:r>
      <w:r w:rsidR="00B842AD" w:rsidRPr="00266C3B">
        <w:rPr>
          <w:lang w:val="en-US"/>
        </w:rPr>
        <w:t xml:space="preserve"> </w:t>
      </w:r>
      <w:r w:rsidR="00842FB3" w:rsidRPr="00266C3B">
        <w:rPr>
          <w:lang w:val="en-US"/>
        </w:rPr>
        <w:t>The Heatmapper tool was utilized to generate the heatmap.</w:t>
      </w:r>
      <w:r w:rsidR="003E0B50" w:rsidRPr="00266C3B">
        <w:rPr>
          <w:lang w:val="en-US"/>
        </w:rPr>
        <w:t xml:space="preserve"> </w:t>
      </w:r>
    </w:p>
    <w:p w14:paraId="08588231" w14:textId="57617543" w:rsidR="001744A3" w:rsidRPr="00266C3B" w:rsidRDefault="001744A3" w:rsidP="00F709AE">
      <w:pPr>
        <w:jc w:val="both"/>
        <w:rPr>
          <w:b/>
          <w:lang w:val="en-US"/>
        </w:rPr>
      </w:pPr>
      <w:r w:rsidRPr="00266C3B">
        <w:rPr>
          <w:b/>
          <w:lang w:val="en-US"/>
        </w:rPr>
        <w:t>References</w:t>
      </w:r>
    </w:p>
    <w:p w14:paraId="50DC663A" w14:textId="32137DCF" w:rsidR="001744A3" w:rsidRPr="001744A3" w:rsidRDefault="001744A3" w:rsidP="00373003">
      <w:pPr>
        <w:widowControl w:val="0"/>
        <w:autoSpaceDE w:val="0"/>
        <w:autoSpaceDN w:val="0"/>
        <w:adjustRightInd w:val="0"/>
        <w:spacing w:line="240" w:lineRule="auto"/>
        <w:ind w:left="640" w:hanging="640"/>
        <w:rPr>
          <w:rFonts w:cstheme="minorHAnsi"/>
          <w:b/>
          <w:lang w:val="en-GB"/>
        </w:rPr>
      </w:pPr>
      <w:r w:rsidRPr="00266C3B">
        <w:rPr>
          <w:rFonts w:cstheme="minorHAnsi"/>
          <w:b/>
          <w:lang w:val="en-GB"/>
        </w:rPr>
        <w:fldChar w:fldCharType="begin" w:fldLock="1"/>
      </w:r>
      <w:r w:rsidRPr="00266C3B">
        <w:rPr>
          <w:rFonts w:cstheme="minorHAnsi"/>
          <w:b/>
          <w:lang w:val="en-GB"/>
        </w:rPr>
        <w:instrText xml:space="preserve">ADDIN Mendeley Bibliography CSL_BIBLIOGRAPHY </w:instrText>
      </w:r>
      <w:r w:rsidRPr="00266C3B">
        <w:rPr>
          <w:rFonts w:cstheme="minorHAnsi"/>
          <w:b/>
          <w:lang w:val="en-GB"/>
        </w:rPr>
        <w:fldChar w:fldCharType="separate"/>
      </w:r>
      <w:r w:rsidRPr="00266C3B">
        <w:rPr>
          <w:rFonts w:ascii="Calibri" w:hAnsi="Calibri" w:cs="Calibri"/>
          <w:noProof/>
          <w:szCs w:val="24"/>
          <w:lang w:val="en-GB"/>
        </w:rPr>
        <w:t xml:space="preserve">1. </w:t>
      </w:r>
      <w:r w:rsidRPr="00266C3B">
        <w:rPr>
          <w:rFonts w:ascii="Calibri" w:hAnsi="Calibri" w:cs="Calibri"/>
          <w:noProof/>
          <w:szCs w:val="24"/>
          <w:lang w:val="en-GB"/>
        </w:rPr>
        <w:tab/>
        <w:t>Raynard C, Ma X, Huna A, Tessier N, Massemin A, Zhu K, et al. NF-</w:t>
      </w:r>
      <w:r w:rsidRPr="00266C3B">
        <w:rPr>
          <w:rFonts w:ascii="Calibri" w:hAnsi="Calibri" w:cs="Calibri"/>
          <w:noProof/>
          <w:szCs w:val="24"/>
        </w:rPr>
        <w:t>κ</w:t>
      </w:r>
      <w:r w:rsidRPr="00266C3B">
        <w:rPr>
          <w:rFonts w:ascii="Calibri" w:hAnsi="Calibri" w:cs="Calibri"/>
          <w:noProof/>
          <w:szCs w:val="24"/>
          <w:lang w:val="en-GB"/>
        </w:rPr>
        <w:t xml:space="preserve">B-dependent secretome of senescent cells can trigger neuroendocrine transdifferentiation of breast cancer cells. </w:t>
      </w:r>
      <w:r w:rsidRPr="00266C3B">
        <w:rPr>
          <w:rFonts w:ascii="Calibri" w:hAnsi="Calibri" w:cs="Calibri"/>
          <w:noProof/>
          <w:szCs w:val="24"/>
        </w:rPr>
        <w:t xml:space="preserve">Aging Cell. 2022;21(7). </w:t>
      </w:r>
      <w:r w:rsidRPr="00266C3B">
        <w:rPr>
          <w:rFonts w:cstheme="minorHAnsi"/>
          <w:b/>
          <w:lang w:val="en-GB"/>
        </w:rPr>
        <w:fldChar w:fldCharType="end"/>
      </w:r>
    </w:p>
    <w:sectPr w:rsidR="001744A3" w:rsidRPr="001744A3" w:rsidSect="00266C3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1ECC5" w14:textId="77777777" w:rsidR="004F66D1" w:rsidRDefault="004F66D1" w:rsidP="00615845">
      <w:pPr>
        <w:spacing w:after="0" w:line="240" w:lineRule="auto"/>
      </w:pPr>
      <w:r>
        <w:separator/>
      </w:r>
    </w:p>
  </w:endnote>
  <w:endnote w:type="continuationSeparator" w:id="0">
    <w:p w14:paraId="1ECD7082" w14:textId="77777777" w:rsidR="004F66D1" w:rsidRDefault="004F66D1" w:rsidP="0061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9F294" w14:textId="77777777" w:rsidR="004F66D1" w:rsidRDefault="004F66D1" w:rsidP="00615845">
      <w:pPr>
        <w:spacing w:after="0" w:line="240" w:lineRule="auto"/>
      </w:pPr>
      <w:r>
        <w:separator/>
      </w:r>
    </w:p>
  </w:footnote>
  <w:footnote w:type="continuationSeparator" w:id="0">
    <w:p w14:paraId="51358112" w14:textId="77777777" w:rsidR="004F66D1" w:rsidRDefault="004F66D1" w:rsidP="006158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04417"/>
    <w:multiLevelType w:val="multilevel"/>
    <w:tmpl w:val="DA04780E"/>
    <w:lvl w:ilvl="0">
      <w:start w:val="1"/>
      <w:numFmt w:val="decimal"/>
      <w:pStyle w:val="1TITULO"/>
      <w:lvlText w:val="%1."/>
      <w:lvlJc w:val="left"/>
      <w:pPr>
        <w:ind w:left="644" w:hanging="360"/>
      </w:pPr>
      <w:rPr>
        <w:rFonts w:hint="default"/>
        <w:sz w:val="24"/>
        <w:szCs w:val="24"/>
      </w:rPr>
    </w:lvl>
    <w:lvl w:ilvl="1">
      <w:start w:val="1"/>
      <w:numFmt w:val="decimal"/>
      <w:pStyle w:val="11TITULO"/>
      <w:isLgl/>
      <w:lvlText w:val="%1.%2."/>
      <w:lvlJc w:val="left"/>
      <w:pPr>
        <w:ind w:left="6881" w:hanging="360"/>
      </w:pPr>
      <w:rPr>
        <w:b/>
        <w:bCs/>
        <w:i w:val="0"/>
        <w:iCs w:val="0"/>
      </w:rPr>
    </w:lvl>
    <w:lvl w:ilvl="2">
      <w:start w:val="1"/>
      <w:numFmt w:val="decimal"/>
      <w:pStyle w:val="111Titulo"/>
      <w:isLgl/>
      <w:lvlText w:val="%1.%2.%3."/>
      <w:lvlJc w:val="left"/>
      <w:pPr>
        <w:ind w:left="4754" w:hanging="720"/>
      </w:pPr>
      <w:rPr>
        <w:rFonts w:hint="default"/>
        <w:b w:val="0"/>
        <w:bCs w:val="0"/>
        <w:i w:val="0"/>
        <w:iCs w:val="0"/>
      </w:rPr>
    </w:lvl>
    <w:lvl w:ilvl="3">
      <w:start w:val="1"/>
      <w:numFmt w:val="decimal"/>
      <w:pStyle w:val="111Titulo"/>
      <w:isLgl/>
      <w:lvlText w:val="%1.%2.%3.%4."/>
      <w:lvlJc w:val="left"/>
      <w:pPr>
        <w:ind w:left="360" w:hanging="720"/>
      </w:pPr>
      <w:rPr>
        <w:rFonts w:hint="default"/>
        <w:b w:val="0"/>
        <w:bCs w:val="0"/>
      </w:rPr>
    </w:lvl>
    <w:lvl w:ilvl="4">
      <w:start w:val="1"/>
      <w:numFmt w:val="decimal"/>
      <w:isLgl/>
      <w:lvlText w:val="%1.%2.%3.%4.%5."/>
      <w:lvlJc w:val="left"/>
      <w:pPr>
        <w:ind w:left="720" w:hanging="1080"/>
      </w:pPr>
      <w:rPr>
        <w:rFonts w:hint="default"/>
      </w:rPr>
    </w:lvl>
    <w:lvl w:ilvl="5">
      <w:start w:val="1"/>
      <w:numFmt w:val="decimal"/>
      <w:isLgl/>
      <w:lvlText w:val="%1.%2.%3.%4.%5.%6."/>
      <w:lvlJc w:val="left"/>
      <w:pPr>
        <w:ind w:left="72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14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595"/>
    <w:rsid w:val="00011C56"/>
    <w:rsid w:val="0001295C"/>
    <w:rsid w:val="000412DF"/>
    <w:rsid w:val="00051F36"/>
    <w:rsid w:val="000C58D7"/>
    <w:rsid w:val="000D3E47"/>
    <w:rsid w:val="000E6C83"/>
    <w:rsid w:val="000F1EFD"/>
    <w:rsid w:val="000F7F7B"/>
    <w:rsid w:val="00110C03"/>
    <w:rsid w:val="0015304B"/>
    <w:rsid w:val="0017386C"/>
    <w:rsid w:val="001744A3"/>
    <w:rsid w:val="001C0746"/>
    <w:rsid w:val="001C1C55"/>
    <w:rsid w:val="001D7595"/>
    <w:rsid w:val="001D770C"/>
    <w:rsid w:val="00221F86"/>
    <w:rsid w:val="002410BF"/>
    <w:rsid w:val="00255895"/>
    <w:rsid w:val="00255ABF"/>
    <w:rsid w:val="00266C3B"/>
    <w:rsid w:val="00287B0F"/>
    <w:rsid w:val="00296654"/>
    <w:rsid w:val="002A54EA"/>
    <w:rsid w:val="002F3256"/>
    <w:rsid w:val="00301F2F"/>
    <w:rsid w:val="003049A7"/>
    <w:rsid w:val="003107DD"/>
    <w:rsid w:val="003317A1"/>
    <w:rsid w:val="00373003"/>
    <w:rsid w:val="00397DE1"/>
    <w:rsid w:val="003E0B50"/>
    <w:rsid w:val="00400F2E"/>
    <w:rsid w:val="00441CA1"/>
    <w:rsid w:val="0045311F"/>
    <w:rsid w:val="00487432"/>
    <w:rsid w:val="004B7A2E"/>
    <w:rsid w:val="004D5812"/>
    <w:rsid w:val="004E204F"/>
    <w:rsid w:val="004F66D1"/>
    <w:rsid w:val="0053653F"/>
    <w:rsid w:val="00555112"/>
    <w:rsid w:val="0056548B"/>
    <w:rsid w:val="00575170"/>
    <w:rsid w:val="00576C4C"/>
    <w:rsid w:val="005B1694"/>
    <w:rsid w:val="005B370A"/>
    <w:rsid w:val="005B3C5C"/>
    <w:rsid w:val="00607BF0"/>
    <w:rsid w:val="00611683"/>
    <w:rsid w:val="00615845"/>
    <w:rsid w:val="00675829"/>
    <w:rsid w:val="00680363"/>
    <w:rsid w:val="00681E10"/>
    <w:rsid w:val="006956F0"/>
    <w:rsid w:val="006A29E8"/>
    <w:rsid w:val="006F4D99"/>
    <w:rsid w:val="006F6580"/>
    <w:rsid w:val="00735769"/>
    <w:rsid w:val="00742BAE"/>
    <w:rsid w:val="007470CA"/>
    <w:rsid w:val="00793AC6"/>
    <w:rsid w:val="007B5E2D"/>
    <w:rsid w:val="007D0563"/>
    <w:rsid w:val="00805514"/>
    <w:rsid w:val="00805B3C"/>
    <w:rsid w:val="0081236A"/>
    <w:rsid w:val="008268FA"/>
    <w:rsid w:val="00831F9C"/>
    <w:rsid w:val="00832883"/>
    <w:rsid w:val="008356FB"/>
    <w:rsid w:val="00842FB3"/>
    <w:rsid w:val="0085043B"/>
    <w:rsid w:val="00863BBE"/>
    <w:rsid w:val="008738CB"/>
    <w:rsid w:val="00887DB4"/>
    <w:rsid w:val="00891160"/>
    <w:rsid w:val="008A060F"/>
    <w:rsid w:val="008C32B8"/>
    <w:rsid w:val="008E0DB5"/>
    <w:rsid w:val="008E649F"/>
    <w:rsid w:val="00900696"/>
    <w:rsid w:val="00920475"/>
    <w:rsid w:val="00975A43"/>
    <w:rsid w:val="00983CC5"/>
    <w:rsid w:val="00990183"/>
    <w:rsid w:val="009A5315"/>
    <w:rsid w:val="009C302B"/>
    <w:rsid w:val="009C558B"/>
    <w:rsid w:val="009F2463"/>
    <w:rsid w:val="009F7AF3"/>
    <w:rsid w:val="009F7C8E"/>
    <w:rsid w:val="00A05D19"/>
    <w:rsid w:val="00A41444"/>
    <w:rsid w:val="00A526AB"/>
    <w:rsid w:val="00AA362F"/>
    <w:rsid w:val="00AA6F62"/>
    <w:rsid w:val="00AB79A3"/>
    <w:rsid w:val="00AC4094"/>
    <w:rsid w:val="00B10ABB"/>
    <w:rsid w:val="00B124E4"/>
    <w:rsid w:val="00B26DA5"/>
    <w:rsid w:val="00B45F02"/>
    <w:rsid w:val="00B6314A"/>
    <w:rsid w:val="00B842AD"/>
    <w:rsid w:val="00B96348"/>
    <w:rsid w:val="00B9785F"/>
    <w:rsid w:val="00BB79FF"/>
    <w:rsid w:val="00BE5842"/>
    <w:rsid w:val="00C2689B"/>
    <w:rsid w:val="00C54542"/>
    <w:rsid w:val="00C65A12"/>
    <w:rsid w:val="00CC2D9C"/>
    <w:rsid w:val="00D4783D"/>
    <w:rsid w:val="00D85493"/>
    <w:rsid w:val="00D907FA"/>
    <w:rsid w:val="00DD3DBA"/>
    <w:rsid w:val="00DE3C2C"/>
    <w:rsid w:val="00DE579D"/>
    <w:rsid w:val="00E049B8"/>
    <w:rsid w:val="00E2379A"/>
    <w:rsid w:val="00E455F0"/>
    <w:rsid w:val="00E5285E"/>
    <w:rsid w:val="00EB37E8"/>
    <w:rsid w:val="00EC6A05"/>
    <w:rsid w:val="00ED62B7"/>
    <w:rsid w:val="00EF3407"/>
    <w:rsid w:val="00EF48B8"/>
    <w:rsid w:val="00F12939"/>
    <w:rsid w:val="00F207F1"/>
    <w:rsid w:val="00F208C1"/>
    <w:rsid w:val="00F41EE6"/>
    <w:rsid w:val="00F52D5E"/>
    <w:rsid w:val="00F61535"/>
    <w:rsid w:val="00F709AE"/>
    <w:rsid w:val="00F87455"/>
    <w:rsid w:val="00FD5CF1"/>
    <w:rsid w:val="00FE4A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4B22B3"/>
  <w15:docId w15:val="{3C071754-3402-477B-8DF5-7756D4D39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829"/>
  </w:style>
  <w:style w:type="paragraph" w:styleId="Ttulo3">
    <w:name w:val="heading 3"/>
    <w:basedOn w:val="Normal"/>
    <w:next w:val="Normal"/>
    <w:link w:val="Ttulo3Car"/>
    <w:uiPriority w:val="9"/>
    <w:semiHidden/>
    <w:unhideWhenUsed/>
    <w:qFormat/>
    <w:rsid w:val="00400F2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1D7595"/>
    <w:rPr>
      <w:sz w:val="16"/>
      <w:szCs w:val="16"/>
    </w:rPr>
  </w:style>
  <w:style w:type="paragraph" w:styleId="Textocomentario">
    <w:name w:val="annotation text"/>
    <w:basedOn w:val="Normal"/>
    <w:link w:val="TextocomentarioCar"/>
    <w:uiPriority w:val="99"/>
    <w:unhideWhenUsed/>
    <w:rsid w:val="001D7595"/>
    <w:pPr>
      <w:spacing w:line="240" w:lineRule="auto"/>
    </w:pPr>
    <w:rPr>
      <w:kern w:val="0"/>
      <w:sz w:val="20"/>
      <w:szCs w:val="20"/>
      <w14:ligatures w14:val="none"/>
    </w:rPr>
  </w:style>
  <w:style w:type="character" w:customStyle="1" w:styleId="TextocomentarioCar">
    <w:name w:val="Texto comentario Car"/>
    <w:basedOn w:val="Fuentedeprrafopredeter"/>
    <w:link w:val="Textocomentario"/>
    <w:uiPriority w:val="99"/>
    <w:rsid w:val="001D7595"/>
    <w:rPr>
      <w:kern w:val="0"/>
      <w:sz w:val="20"/>
      <w:szCs w:val="20"/>
      <w14:ligatures w14:val="none"/>
    </w:rPr>
  </w:style>
  <w:style w:type="character" w:styleId="Hipervnculo">
    <w:name w:val="Hyperlink"/>
    <w:basedOn w:val="Fuentedeprrafopredeter"/>
    <w:uiPriority w:val="99"/>
    <w:unhideWhenUsed/>
    <w:rsid w:val="001D7595"/>
    <w:rPr>
      <w:color w:val="0000FF"/>
      <w:u w:val="single"/>
    </w:rPr>
  </w:style>
  <w:style w:type="paragraph" w:styleId="Descripcin">
    <w:name w:val="caption"/>
    <w:basedOn w:val="Normal"/>
    <w:next w:val="Normal"/>
    <w:uiPriority w:val="35"/>
    <w:unhideWhenUsed/>
    <w:qFormat/>
    <w:rsid w:val="001D7595"/>
    <w:pPr>
      <w:spacing w:after="200" w:line="240" w:lineRule="auto"/>
    </w:pPr>
    <w:rPr>
      <w:i/>
      <w:iCs/>
      <w:color w:val="44546A" w:themeColor="text2"/>
      <w:kern w:val="0"/>
      <w:sz w:val="18"/>
      <w:szCs w:val="18"/>
      <w14:ligatures w14:val="none"/>
    </w:rPr>
  </w:style>
  <w:style w:type="paragraph" w:styleId="NormalWeb">
    <w:name w:val="Normal (Web)"/>
    <w:basedOn w:val="Normal"/>
    <w:uiPriority w:val="99"/>
    <w:unhideWhenUsed/>
    <w:rsid w:val="00611683"/>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customStyle="1" w:styleId="1TITULO">
    <w:name w:val="1. TITULO"/>
    <w:basedOn w:val="Ttulo3"/>
    <w:link w:val="1TITULOCar"/>
    <w:qFormat/>
    <w:rsid w:val="00400F2E"/>
    <w:pPr>
      <w:keepNext w:val="0"/>
      <w:keepLines w:val="0"/>
      <w:numPr>
        <w:numId w:val="1"/>
      </w:numPr>
      <w:tabs>
        <w:tab w:val="num" w:pos="360"/>
      </w:tabs>
      <w:spacing w:before="100" w:beforeAutospacing="1" w:after="100" w:afterAutospacing="1" w:line="240" w:lineRule="auto"/>
      <w:ind w:left="0" w:firstLine="0"/>
      <w:jc w:val="right"/>
    </w:pPr>
    <w:rPr>
      <w:rFonts w:ascii="Times New Roman" w:eastAsia="Times New Roman" w:hAnsi="Times New Roman" w:cs="Times New Roman"/>
      <w:b/>
      <w:bCs/>
      <w:kern w:val="0"/>
      <w:sz w:val="30"/>
      <w:szCs w:val="30"/>
      <w:lang w:val="en-US" w:eastAsia="es-ES"/>
      <w14:ligatures w14:val="none"/>
    </w:rPr>
  </w:style>
  <w:style w:type="paragraph" w:customStyle="1" w:styleId="11TITULO">
    <w:name w:val="1.1. TITULO"/>
    <w:basedOn w:val="Ttulo3"/>
    <w:qFormat/>
    <w:rsid w:val="00400F2E"/>
    <w:pPr>
      <w:keepNext w:val="0"/>
      <w:keepLines w:val="0"/>
      <w:numPr>
        <w:ilvl w:val="1"/>
        <w:numId w:val="1"/>
      </w:numPr>
      <w:spacing w:before="100" w:beforeAutospacing="1" w:after="100" w:afterAutospacing="1" w:line="240" w:lineRule="auto"/>
      <w:ind w:left="6663"/>
      <w:jc w:val="both"/>
    </w:pPr>
    <w:rPr>
      <w:rFonts w:ascii="Times New Roman" w:eastAsia="Times New Roman" w:hAnsi="Times New Roman" w:cs="Times New Roman"/>
      <w:b/>
      <w:bCs/>
      <w:kern w:val="0"/>
      <w:lang w:val="en-US" w:eastAsia="es-ES"/>
      <w14:ligatures w14:val="none"/>
    </w:rPr>
  </w:style>
  <w:style w:type="paragraph" w:customStyle="1" w:styleId="111Titulo">
    <w:name w:val="1.1.1. Titulo"/>
    <w:basedOn w:val="Prrafodelista"/>
    <w:qFormat/>
    <w:rsid w:val="00400F2E"/>
    <w:pPr>
      <w:numPr>
        <w:ilvl w:val="3"/>
        <w:numId w:val="1"/>
      </w:numPr>
      <w:tabs>
        <w:tab w:val="num" w:pos="360"/>
      </w:tabs>
      <w:autoSpaceDE w:val="0"/>
      <w:autoSpaceDN w:val="0"/>
      <w:adjustRightInd w:val="0"/>
      <w:spacing w:after="0" w:line="276" w:lineRule="auto"/>
      <w:ind w:left="425" w:firstLine="0"/>
      <w:jc w:val="both"/>
    </w:pPr>
    <w:rPr>
      <w:rFonts w:ascii="Times New Roman" w:eastAsia="Times New Roman" w:hAnsi="Times New Roman" w:cs="Times New Roman"/>
      <w:b/>
      <w:bCs/>
      <w:kern w:val="0"/>
      <w:sz w:val="24"/>
      <w:szCs w:val="24"/>
      <w:lang w:val="en-US" w:eastAsia="es-ES"/>
      <w14:ligatures w14:val="none"/>
    </w:rPr>
  </w:style>
  <w:style w:type="character" w:customStyle="1" w:styleId="1TITULOCar">
    <w:name w:val="1. TITULO Car"/>
    <w:basedOn w:val="Ttulo3Car"/>
    <w:link w:val="1TITULO"/>
    <w:rsid w:val="00400F2E"/>
    <w:rPr>
      <w:rFonts w:ascii="Times New Roman" w:eastAsia="Times New Roman" w:hAnsi="Times New Roman" w:cs="Times New Roman"/>
      <w:b/>
      <w:bCs/>
      <w:color w:val="1F3763" w:themeColor="accent1" w:themeShade="7F"/>
      <w:kern w:val="0"/>
      <w:sz w:val="30"/>
      <w:szCs w:val="30"/>
      <w:lang w:val="en-US" w:eastAsia="es-ES"/>
      <w14:ligatures w14:val="none"/>
    </w:rPr>
  </w:style>
  <w:style w:type="character" w:customStyle="1" w:styleId="Ttulo3Car">
    <w:name w:val="Título 3 Car"/>
    <w:basedOn w:val="Fuentedeprrafopredeter"/>
    <w:link w:val="Ttulo3"/>
    <w:uiPriority w:val="9"/>
    <w:semiHidden/>
    <w:rsid w:val="00400F2E"/>
    <w:rPr>
      <w:rFonts w:asciiTheme="majorHAnsi" w:eastAsiaTheme="majorEastAsia" w:hAnsiTheme="majorHAnsi" w:cstheme="majorBidi"/>
      <w:color w:val="1F3763" w:themeColor="accent1" w:themeShade="7F"/>
      <w:sz w:val="24"/>
      <w:szCs w:val="24"/>
    </w:rPr>
  </w:style>
  <w:style w:type="paragraph" w:styleId="Prrafodelista">
    <w:name w:val="List Paragraph"/>
    <w:basedOn w:val="Normal"/>
    <w:uiPriority w:val="34"/>
    <w:qFormat/>
    <w:rsid w:val="00400F2E"/>
    <w:pPr>
      <w:ind w:left="720"/>
      <w:contextualSpacing/>
    </w:pPr>
  </w:style>
  <w:style w:type="paragraph" w:styleId="Encabezado">
    <w:name w:val="header"/>
    <w:basedOn w:val="Normal"/>
    <w:link w:val="EncabezadoCar"/>
    <w:uiPriority w:val="99"/>
    <w:unhideWhenUsed/>
    <w:rsid w:val="0061584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15845"/>
  </w:style>
  <w:style w:type="paragraph" w:styleId="Piedepgina">
    <w:name w:val="footer"/>
    <w:basedOn w:val="Normal"/>
    <w:link w:val="PiedepginaCar"/>
    <w:uiPriority w:val="99"/>
    <w:unhideWhenUsed/>
    <w:rsid w:val="0061584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5845"/>
  </w:style>
  <w:style w:type="paragraph" w:styleId="Textodeglobo">
    <w:name w:val="Balloon Text"/>
    <w:basedOn w:val="Normal"/>
    <w:link w:val="TextodegloboCar"/>
    <w:uiPriority w:val="99"/>
    <w:semiHidden/>
    <w:unhideWhenUsed/>
    <w:rsid w:val="00C545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4542"/>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7B5E2D"/>
    <w:rPr>
      <w:b/>
      <w:bCs/>
      <w:kern w:val="2"/>
      <w14:ligatures w14:val="standardContextual"/>
    </w:rPr>
  </w:style>
  <w:style w:type="character" w:customStyle="1" w:styleId="AsuntodelcomentarioCar">
    <w:name w:val="Asunto del comentario Car"/>
    <w:basedOn w:val="TextocomentarioCar"/>
    <w:link w:val="Asuntodelcomentario"/>
    <w:uiPriority w:val="99"/>
    <w:semiHidden/>
    <w:rsid w:val="007B5E2D"/>
    <w:rPr>
      <w:b/>
      <w:bCs/>
      <w:kern w:val="0"/>
      <w:sz w:val="20"/>
      <w:szCs w:val="20"/>
      <w14:ligatures w14:val="none"/>
    </w:rPr>
  </w:style>
  <w:style w:type="paragraph" w:styleId="Revisin">
    <w:name w:val="Revision"/>
    <w:hidden/>
    <w:uiPriority w:val="99"/>
    <w:semiHidden/>
    <w:rsid w:val="00EC6A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58771">
      <w:bodyDiv w:val="1"/>
      <w:marLeft w:val="0"/>
      <w:marRight w:val="0"/>
      <w:marTop w:val="0"/>
      <w:marBottom w:val="0"/>
      <w:divBdr>
        <w:top w:val="none" w:sz="0" w:space="0" w:color="auto"/>
        <w:left w:val="none" w:sz="0" w:space="0" w:color="auto"/>
        <w:bottom w:val="none" w:sz="0" w:space="0" w:color="auto"/>
        <w:right w:val="none" w:sz="0" w:space="0" w:color="auto"/>
      </w:divBdr>
    </w:div>
    <w:div w:id="449278033">
      <w:bodyDiv w:val="1"/>
      <w:marLeft w:val="0"/>
      <w:marRight w:val="0"/>
      <w:marTop w:val="0"/>
      <w:marBottom w:val="0"/>
      <w:divBdr>
        <w:top w:val="none" w:sz="0" w:space="0" w:color="auto"/>
        <w:left w:val="none" w:sz="0" w:space="0" w:color="auto"/>
        <w:bottom w:val="none" w:sz="0" w:space="0" w:color="auto"/>
        <w:right w:val="none" w:sz="0" w:space="0" w:color="auto"/>
      </w:divBdr>
    </w:div>
    <w:div w:id="554900864">
      <w:bodyDiv w:val="1"/>
      <w:marLeft w:val="0"/>
      <w:marRight w:val="0"/>
      <w:marTop w:val="0"/>
      <w:marBottom w:val="0"/>
      <w:divBdr>
        <w:top w:val="none" w:sz="0" w:space="0" w:color="auto"/>
        <w:left w:val="none" w:sz="0" w:space="0" w:color="auto"/>
        <w:bottom w:val="none" w:sz="0" w:space="0" w:color="auto"/>
        <w:right w:val="none" w:sz="0" w:space="0" w:color="auto"/>
      </w:divBdr>
    </w:div>
    <w:div w:id="1116218594">
      <w:bodyDiv w:val="1"/>
      <w:marLeft w:val="0"/>
      <w:marRight w:val="0"/>
      <w:marTop w:val="0"/>
      <w:marBottom w:val="0"/>
      <w:divBdr>
        <w:top w:val="none" w:sz="0" w:space="0" w:color="auto"/>
        <w:left w:val="none" w:sz="0" w:space="0" w:color="auto"/>
        <w:bottom w:val="none" w:sz="0" w:space="0" w:color="auto"/>
        <w:right w:val="none" w:sz="0" w:space="0" w:color="auto"/>
      </w:divBdr>
    </w:div>
    <w:div w:id="1138492214">
      <w:bodyDiv w:val="1"/>
      <w:marLeft w:val="0"/>
      <w:marRight w:val="0"/>
      <w:marTop w:val="0"/>
      <w:marBottom w:val="0"/>
      <w:divBdr>
        <w:top w:val="none" w:sz="0" w:space="0" w:color="auto"/>
        <w:left w:val="none" w:sz="0" w:space="0" w:color="auto"/>
        <w:bottom w:val="none" w:sz="0" w:space="0" w:color="auto"/>
        <w:right w:val="none" w:sz="0" w:space="0" w:color="auto"/>
      </w:divBdr>
      <w:divsChild>
        <w:div w:id="1604610417">
          <w:marLeft w:val="0"/>
          <w:marRight w:val="0"/>
          <w:marTop w:val="0"/>
          <w:marBottom w:val="0"/>
          <w:divBdr>
            <w:top w:val="none" w:sz="0" w:space="0" w:color="auto"/>
            <w:left w:val="none" w:sz="0" w:space="0" w:color="auto"/>
            <w:bottom w:val="none" w:sz="0" w:space="0" w:color="auto"/>
            <w:right w:val="none" w:sz="0" w:space="0" w:color="auto"/>
          </w:divBdr>
        </w:div>
        <w:div w:id="1700667627">
          <w:marLeft w:val="0"/>
          <w:marRight w:val="0"/>
          <w:marTop w:val="0"/>
          <w:marBottom w:val="0"/>
          <w:divBdr>
            <w:top w:val="single" w:sz="2" w:space="0" w:color="E3E3E3"/>
            <w:left w:val="single" w:sz="2" w:space="0" w:color="E3E3E3"/>
            <w:bottom w:val="single" w:sz="2" w:space="0" w:color="E3E3E3"/>
            <w:right w:val="single" w:sz="2" w:space="0" w:color="E3E3E3"/>
          </w:divBdr>
          <w:divsChild>
            <w:div w:id="659120050">
              <w:marLeft w:val="0"/>
              <w:marRight w:val="0"/>
              <w:marTop w:val="0"/>
              <w:marBottom w:val="0"/>
              <w:divBdr>
                <w:top w:val="single" w:sz="2" w:space="0" w:color="E3E3E3"/>
                <w:left w:val="single" w:sz="2" w:space="0" w:color="E3E3E3"/>
                <w:bottom w:val="single" w:sz="2" w:space="0" w:color="E3E3E3"/>
                <w:right w:val="single" w:sz="2" w:space="0" w:color="E3E3E3"/>
              </w:divBdr>
              <w:divsChild>
                <w:div w:id="818307687">
                  <w:marLeft w:val="0"/>
                  <w:marRight w:val="0"/>
                  <w:marTop w:val="0"/>
                  <w:marBottom w:val="0"/>
                  <w:divBdr>
                    <w:top w:val="single" w:sz="2" w:space="0" w:color="E3E3E3"/>
                    <w:left w:val="single" w:sz="2" w:space="0" w:color="E3E3E3"/>
                    <w:bottom w:val="single" w:sz="2" w:space="0" w:color="E3E3E3"/>
                    <w:right w:val="single" w:sz="2" w:space="0" w:color="E3E3E3"/>
                  </w:divBdr>
                  <w:divsChild>
                    <w:div w:id="1580167260">
                      <w:marLeft w:val="0"/>
                      <w:marRight w:val="0"/>
                      <w:marTop w:val="0"/>
                      <w:marBottom w:val="0"/>
                      <w:divBdr>
                        <w:top w:val="single" w:sz="2" w:space="0" w:color="E3E3E3"/>
                        <w:left w:val="single" w:sz="2" w:space="0" w:color="E3E3E3"/>
                        <w:bottom w:val="single" w:sz="2" w:space="0" w:color="E3E3E3"/>
                        <w:right w:val="single" w:sz="2" w:space="0" w:color="E3E3E3"/>
                      </w:divBdr>
                      <w:divsChild>
                        <w:div w:id="1298412513">
                          <w:marLeft w:val="0"/>
                          <w:marRight w:val="0"/>
                          <w:marTop w:val="0"/>
                          <w:marBottom w:val="0"/>
                          <w:divBdr>
                            <w:top w:val="single" w:sz="2" w:space="0" w:color="E3E3E3"/>
                            <w:left w:val="single" w:sz="2" w:space="0" w:color="E3E3E3"/>
                            <w:bottom w:val="single" w:sz="2" w:space="0" w:color="E3E3E3"/>
                            <w:right w:val="single" w:sz="2" w:space="0" w:color="E3E3E3"/>
                          </w:divBdr>
                          <w:divsChild>
                            <w:div w:id="1917783727">
                              <w:marLeft w:val="0"/>
                              <w:marRight w:val="0"/>
                              <w:marTop w:val="0"/>
                              <w:marBottom w:val="0"/>
                              <w:divBdr>
                                <w:top w:val="single" w:sz="2" w:space="0" w:color="E3E3E3"/>
                                <w:left w:val="single" w:sz="2" w:space="0" w:color="E3E3E3"/>
                                <w:bottom w:val="single" w:sz="2" w:space="0" w:color="E3E3E3"/>
                                <w:right w:val="single" w:sz="2" w:space="0" w:color="E3E3E3"/>
                              </w:divBdr>
                              <w:divsChild>
                                <w:div w:id="565188929">
                                  <w:marLeft w:val="0"/>
                                  <w:marRight w:val="0"/>
                                  <w:marTop w:val="100"/>
                                  <w:marBottom w:val="100"/>
                                  <w:divBdr>
                                    <w:top w:val="single" w:sz="2" w:space="0" w:color="E3E3E3"/>
                                    <w:left w:val="single" w:sz="2" w:space="0" w:color="E3E3E3"/>
                                    <w:bottom w:val="single" w:sz="2" w:space="0" w:color="E3E3E3"/>
                                    <w:right w:val="single" w:sz="2" w:space="0" w:color="E3E3E3"/>
                                  </w:divBdr>
                                  <w:divsChild>
                                    <w:div w:id="1090807496">
                                      <w:marLeft w:val="0"/>
                                      <w:marRight w:val="0"/>
                                      <w:marTop w:val="0"/>
                                      <w:marBottom w:val="0"/>
                                      <w:divBdr>
                                        <w:top w:val="single" w:sz="2" w:space="0" w:color="E3E3E3"/>
                                        <w:left w:val="single" w:sz="2" w:space="0" w:color="E3E3E3"/>
                                        <w:bottom w:val="single" w:sz="2" w:space="0" w:color="E3E3E3"/>
                                        <w:right w:val="single" w:sz="2" w:space="0" w:color="E3E3E3"/>
                                      </w:divBdr>
                                      <w:divsChild>
                                        <w:div w:id="1054961293">
                                          <w:marLeft w:val="0"/>
                                          <w:marRight w:val="0"/>
                                          <w:marTop w:val="0"/>
                                          <w:marBottom w:val="0"/>
                                          <w:divBdr>
                                            <w:top w:val="single" w:sz="2" w:space="0" w:color="E3E3E3"/>
                                            <w:left w:val="single" w:sz="2" w:space="0" w:color="E3E3E3"/>
                                            <w:bottom w:val="single" w:sz="2" w:space="0" w:color="E3E3E3"/>
                                            <w:right w:val="single" w:sz="2" w:space="0" w:color="E3E3E3"/>
                                          </w:divBdr>
                                          <w:divsChild>
                                            <w:div w:id="1460801192">
                                              <w:marLeft w:val="0"/>
                                              <w:marRight w:val="0"/>
                                              <w:marTop w:val="0"/>
                                              <w:marBottom w:val="0"/>
                                              <w:divBdr>
                                                <w:top w:val="single" w:sz="2" w:space="0" w:color="E3E3E3"/>
                                                <w:left w:val="single" w:sz="2" w:space="0" w:color="E3E3E3"/>
                                                <w:bottom w:val="single" w:sz="2" w:space="0" w:color="E3E3E3"/>
                                                <w:right w:val="single" w:sz="2" w:space="0" w:color="E3E3E3"/>
                                              </w:divBdr>
                                              <w:divsChild>
                                                <w:div w:id="1878854882">
                                                  <w:marLeft w:val="0"/>
                                                  <w:marRight w:val="0"/>
                                                  <w:marTop w:val="0"/>
                                                  <w:marBottom w:val="0"/>
                                                  <w:divBdr>
                                                    <w:top w:val="single" w:sz="2" w:space="0" w:color="E3E3E3"/>
                                                    <w:left w:val="single" w:sz="2" w:space="0" w:color="E3E3E3"/>
                                                    <w:bottom w:val="single" w:sz="2" w:space="0" w:color="E3E3E3"/>
                                                    <w:right w:val="single" w:sz="2" w:space="0" w:color="E3E3E3"/>
                                                  </w:divBdr>
                                                  <w:divsChild>
                                                    <w:div w:id="1555582551">
                                                      <w:marLeft w:val="0"/>
                                                      <w:marRight w:val="0"/>
                                                      <w:marTop w:val="0"/>
                                                      <w:marBottom w:val="0"/>
                                                      <w:divBdr>
                                                        <w:top w:val="single" w:sz="2" w:space="0" w:color="E3E3E3"/>
                                                        <w:left w:val="single" w:sz="2" w:space="0" w:color="E3E3E3"/>
                                                        <w:bottom w:val="single" w:sz="2" w:space="0" w:color="E3E3E3"/>
                                                        <w:right w:val="single" w:sz="2" w:space="0" w:color="E3E3E3"/>
                                                      </w:divBdr>
                                                      <w:divsChild>
                                                        <w:div w:id="5809435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41113112">
      <w:bodyDiv w:val="1"/>
      <w:marLeft w:val="0"/>
      <w:marRight w:val="0"/>
      <w:marTop w:val="0"/>
      <w:marBottom w:val="0"/>
      <w:divBdr>
        <w:top w:val="none" w:sz="0" w:space="0" w:color="auto"/>
        <w:left w:val="none" w:sz="0" w:space="0" w:color="auto"/>
        <w:bottom w:val="none" w:sz="0" w:space="0" w:color="auto"/>
        <w:right w:val="none" w:sz="0" w:space="0" w:color="auto"/>
      </w:divBdr>
    </w:div>
    <w:div w:id="1444375877">
      <w:bodyDiv w:val="1"/>
      <w:marLeft w:val="0"/>
      <w:marRight w:val="0"/>
      <w:marTop w:val="0"/>
      <w:marBottom w:val="0"/>
      <w:divBdr>
        <w:top w:val="none" w:sz="0" w:space="0" w:color="auto"/>
        <w:left w:val="none" w:sz="0" w:space="0" w:color="auto"/>
        <w:bottom w:val="none" w:sz="0" w:space="0" w:color="auto"/>
        <w:right w:val="none" w:sz="0" w:space="0" w:color="auto"/>
      </w:divBdr>
    </w:div>
    <w:div w:id="1795827477">
      <w:bodyDiv w:val="1"/>
      <w:marLeft w:val="0"/>
      <w:marRight w:val="0"/>
      <w:marTop w:val="0"/>
      <w:marBottom w:val="0"/>
      <w:divBdr>
        <w:top w:val="none" w:sz="0" w:space="0" w:color="auto"/>
        <w:left w:val="none" w:sz="0" w:space="0" w:color="auto"/>
        <w:bottom w:val="none" w:sz="0" w:space="0" w:color="auto"/>
        <w:right w:val="none" w:sz="0" w:space="0" w:color="auto"/>
      </w:divBdr>
    </w:div>
    <w:div w:id="1878160328">
      <w:bodyDiv w:val="1"/>
      <w:marLeft w:val="0"/>
      <w:marRight w:val="0"/>
      <w:marTop w:val="0"/>
      <w:marBottom w:val="0"/>
      <w:divBdr>
        <w:top w:val="none" w:sz="0" w:space="0" w:color="auto"/>
        <w:left w:val="none" w:sz="0" w:space="0" w:color="auto"/>
        <w:bottom w:val="none" w:sz="0" w:space="0" w:color="auto"/>
        <w:right w:val="none" w:sz="0" w:space="0" w:color="auto"/>
      </w:divBdr>
    </w:div>
    <w:div w:id="188405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1914A-8238-45F5-9683-CDFDDE1CA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2077</Words>
  <Characters>11030</Characters>
  <Application>Microsoft Office Word</Application>
  <DocSecurity>0</DocSecurity>
  <Lines>193</Lines>
  <Paragraphs>38</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González Conde</dc:creator>
  <cp:keywords/>
  <dc:description/>
  <cp:lastModifiedBy>Cuenta Microsoft</cp:lastModifiedBy>
  <cp:revision>6</cp:revision>
  <dcterms:created xsi:type="dcterms:W3CDTF">2025-02-12T08:52:00Z</dcterms:created>
  <dcterms:modified xsi:type="dcterms:W3CDTF">2025-03-18T20:55:00Z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aeafe877b56f5c2df0cc96ff87e57b5d1a3cc2d2fe13f9f7cc2c8a846ca27050</vt:lpwstr>
  </property>
  <property fmtid="{D5CDD505-2E9C-101B-9397-08002B2CF9AE}" pid="3" name="Mendeley Document_1">
    <vt:lpwstr>True</vt:lpwstr>
  </property>
  <property fmtid="{D5CDD505-2E9C-101B-9397-08002B2CF9AE}" pid="4" name="Mendeley Unique User Id_1">
    <vt:lpwstr>873acf2b-8fb9-3199-ae6f-fbcc7e4ae9df</vt:lpwstr>
  </property>
  <property fmtid="{D5CDD505-2E9C-101B-9397-08002B2CF9AE}" pid="5" name="Mendeley Citation Style_1">
    <vt:lpwstr>http://www.zotero.org/styles/vancouver</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http://www.zotero.org/styles/science</vt:lpwstr>
  </property>
  <property fmtid="{D5CDD505-2E9C-101B-9397-08002B2CF9AE}" pid="21" name="Mendeley Recent Style Name 7_1">
    <vt:lpwstr>Science</vt:lpwstr>
  </property>
  <property fmtid="{D5CDD505-2E9C-101B-9397-08002B2CF9AE}" pid="22" name="Mendeley Recent Style Id 8_1">
    <vt:lpwstr>http://www.zotero.org/styles/science-without-titles</vt:lpwstr>
  </property>
  <property fmtid="{D5CDD505-2E9C-101B-9397-08002B2CF9AE}" pid="23" name="Mendeley Recent Style Name 8_1">
    <vt:lpwstr>Science (without titles)</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