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4B0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Table S1: Percentage of missing data in the primary cohort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8"/>
        <w:gridCol w:w="4148"/>
      </w:tblGrid>
      <w:tr w14:paraId="20240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1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AF64F12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Variables</w:t>
            </w:r>
          </w:p>
        </w:tc>
        <w:tc>
          <w:tcPr>
            <w:tcW w:w="414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6442AA0">
            <w:pPr>
              <w:spacing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 = 586</w:t>
            </w:r>
          </w:p>
        </w:tc>
      </w:tr>
      <w:tr w14:paraId="5C23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20635953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Blood urea nitrogen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1E66785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 (4.8%)</w:t>
            </w:r>
          </w:p>
        </w:tc>
      </w:tr>
      <w:tr w14:paraId="0EA23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475D78B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Calcium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67ED1DEE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 (12.8%)</w:t>
            </w:r>
          </w:p>
        </w:tc>
      </w:tr>
      <w:tr w14:paraId="64D3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7FA4D26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Chloride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1299F5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 (2.4%)</w:t>
            </w:r>
          </w:p>
        </w:tc>
      </w:tr>
      <w:tr w14:paraId="2488E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0FCCC27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Creatinine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D4BEB26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(4.6%)</w:t>
            </w:r>
          </w:p>
        </w:tc>
      </w:tr>
      <w:tr w14:paraId="3747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341D07E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Glucose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58C5CC9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 (6.0%)</w:t>
            </w:r>
          </w:p>
        </w:tc>
      </w:tr>
      <w:tr w14:paraId="07220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4D4946A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Sodium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0F27DBA5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 (1.2%)</w:t>
            </w:r>
          </w:p>
        </w:tc>
      </w:tr>
      <w:tr w14:paraId="47E90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3FC6108F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Potassium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2C760D4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(1.4%)</w:t>
            </w:r>
          </w:p>
        </w:tc>
      </w:tr>
      <w:tr w14:paraId="1E9A3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515173C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Magnesium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CD3A629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(0.3%)</w:t>
            </w:r>
          </w:p>
        </w:tc>
      </w:tr>
      <w:tr w14:paraId="2364E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1D87BC1D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Systolic blood pressure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7B486558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 (7.8%)</w:t>
            </w:r>
          </w:p>
        </w:tc>
      </w:tr>
      <w:tr w14:paraId="47831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</w:tcPr>
          <w:p w14:paraId="70CE7EC4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Neutrophil rate</w:t>
            </w:r>
          </w:p>
        </w:tc>
        <w:tc>
          <w:tcPr>
            <w:tcW w:w="4148" w:type="dxa"/>
            <w:tcBorders>
              <w:top w:val="nil"/>
              <w:left w:val="nil"/>
              <w:bottom w:val="nil"/>
              <w:right w:val="nil"/>
            </w:tcBorders>
          </w:tcPr>
          <w:p w14:paraId="3CE20FC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(1.7%)</w:t>
            </w:r>
          </w:p>
        </w:tc>
      </w:tr>
      <w:tr w14:paraId="7E07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C21E8E0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Lactate </w:t>
            </w:r>
          </w:p>
        </w:tc>
        <w:tc>
          <w:tcPr>
            <w:tcW w:w="414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BEF7FD1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 (6.3%)</w:t>
            </w:r>
          </w:p>
        </w:tc>
      </w:tr>
    </w:tbl>
    <w:p w14:paraId="3AF603A3">
      <w:pPr>
        <w:spacing w:line="240" w:lineRule="auto"/>
      </w:pPr>
    </w:p>
    <w:p w14:paraId="3721CA88">
      <w:pPr>
        <w:spacing w:line="240" w:lineRule="auto"/>
      </w:pPr>
    </w:p>
    <w:p w14:paraId="538C2E7A">
      <w:pPr>
        <w:spacing w:line="240" w:lineRule="auto"/>
      </w:pPr>
    </w:p>
    <w:p w14:paraId="7D68EF15">
      <w:pPr>
        <w:spacing w:line="240" w:lineRule="auto"/>
      </w:pPr>
    </w:p>
    <w:p w14:paraId="13063BAB">
      <w:pPr>
        <w:spacing w:line="240" w:lineRule="auto"/>
      </w:pPr>
    </w:p>
    <w:p w14:paraId="37E08D3A">
      <w:pPr>
        <w:spacing w:line="240" w:lineRule="auto"/>
      </w:pPr>
    </w:p>
    <w:p w14:paraId="7EE69350">
      <w:pPr>
        <w:spacing w:line="240" w:lineRule="auto"/>
      </w:pPr>
    </w:p>
    <w:p w14:paraId="3338173A">
      <w:pPr>
        <w:spacing w:line="240" w:lineRule="auto"/>
      </w:pPr>
    </w:p>
    <w:p w14:paraId="6C75B978">
      <w:pPr>
        <w:spacing w:line="240" w:lineRule="auto"/>
      </w:pPr>
    </w:p>
    <w:p w14:paraId="28304E2B">
      <w:pPr>
        <w:spacing w:line="240" w:lineRule="auto"/>
      </w:pPr>
    </w:p>
    <w:p w14:paraId="3495A245">
      <w:pPr>
        <w:spacing w:line="240" w:lineRule="auto"/>
      </w:pPr>
    </w:p>
    <w:p w14:paraId="00EC9953">
      <w:pPr>
        <w:spacing w:line="240" w:lineRule="auto"/>
      </w:pPr>
    </w:p>
    <w:p w14:paraId="3A7CDDD2">
      <w:pPr>
        <w:spacing w:line="240" w:lineRule="auto"/>
      </w:pPr>
    </w:p>
    <w:p w14:paraId="0A553C1D">
      <w:pPr>
        <w:spacing w:line="240" w:lineRule="auto"/>
      </w:pPr>
    </w:p>
    <w:p w14:paraId="4752B059">
      <w:pPr>
        <w:spacing w:line="240" w:lineRule="auto"/>
      </w:pPr>
    </w:p>
    <w:p w14:paraId="30B5F621">
      <w:pPr>
        <w:spacing w:line="240" w:lineRule="auto"/>
      </w:pPr>
    </w:p>
    <w:p w14:paraId="31DD373C">
      <w:pPr>
        <w:spacing w:line="240" w:lineRule="auto"/>
      </w:pPr>
    </w:p>
    <w:p w14:paraId="3088F18E">
      <w:pPr>
        <w:spacing w:line="240" w:lineRule="auto"/>
      </w:pPr>
    </w:p>
    <w:p w14:paraId="072CB334">
      <w:pPr>
        <w:spacing w:line="240" w:lineRule="auto"/>
      </w:pPr>
    </w:p>
    <w:p w14:paraId="2A41272D">
      <w:pPr>
        <w:spacing w:line="240" w:lineRule="auto"/>
      </w:pPr>
    </w:p>
    <w:p w14:paraId="39337FEE">
      <w:pPr>
        <w:spacing w:line="240" w:lineRule="auto"/>
      </w:pPr>
    </w:p>
    <w:p w14:paraId="5D7C7269">
      <w:pPr>
        <w:spacing w:line="240" w:lineRule="auto"/>
      </w:pPr>
    </w:p>
    <w:p w14:paraId="0BF625A8">
      <w:pPr>
        <w:spacing w:line="240" w:lineRule="auto"/>
      </w:pPr>
    </w:p>
    <w:p w14:paraId="4FA29ACE">
      <w:pPr>
        <w:spacing w:line="240" w:lineRule="auto"/>
      </w:pPr>
    </w:p>
    <w:p w14:paraId="6E3A1197">
      <w:pPr>
        <w:spacing w:line="240" w:lineRule="auto"/>
      </w:pPr>
    </w:p>
    <w:p w14:paraId="55425E4A">
      <w:pPr>
        <w:spacing w:line="240" w:lineRule="auto"/>
      </w:pPr>
    </w:p>
    <w:p w14:paraId="1297ED69">
      <w:pPr>
        <w:spacing w:line="240" w:lineRule="auto"/>
      </w:pPr>
    </w:p>
    <w:p w14:paraId="41C51DFD">
      <w:pPr>
        <w:spacing w:line="240" w:lineRule="auto"/>
      </w:pPr>
    </w:p>
    <w:p w14:paraId="513804C0">
      <w:pPr>
        <w:spacing w:line="240" w:lineRule="auto"/>
      </w:pPr>
    </w:p>
    <w:p w14:paraId="44FEC02E">
      <w:pPr>
        <w:spacing w:line="240" w:lineRule="auto"/>
      </w:pPr>
    </w:p>
    <w:p w14:paraId="5EEABD08">
      <w:pPr>
        <w:spacing w:line="240" w:lineRule="auto"/>
      </w:pPr>
    </w:p>
    <w:p w14:paraId="5E5B959B">
      <w:pPr>
        <w:spacing w:line="240" w:lineRule="auto"/>
      </w:pPr>
    </w:p>
    <w:p w14:paraId="321FACAF">
      <w:pPr>
        <w:spacing w:line="240" w:lineRule="auto"/>
      </w:pPr>
    </w:p>
    <w:p w14:paraId="51885A64">
      <w:pPr>
        <w:spacing w:line="240" w:lineRule="auto"/>
      </w:pPr>
    </w:p>
    <w:p w14:paraId="363EE26F">
      <w:pPr>
        <w:spacing w:line="240" w:lineRule="auto"/>
        <w:rPr>
          <w:rFonts w:hint="eastAsia"/>
        </w:rPr>
      </w:pPr>
    </w:p>
    <w:p w14:paraId="7439C256">
      <w:pPr>
        <w:spacing w:line="240" w:lineRule="auto"/>
        <w:jc w:val="both"/>
        <w:rPr>
          <w:rFonts w:ascii="Times New Roman" w:hAnsi="Times New Roman"/>
        </w:rPr>
      </w:pPr>
      <w:r>
        <w:rPr>
          <w:rFonts w:hint="eastAsia" w:ascii="Times New Roman" w:hAnsi="Times New Roman" w:cs="Times New Roman"/>
          <w:sz w:val="24"/>
          <w:szCs w:val="24"/>
        </w:rPr>
        <w:t>Table S2 Baseline characteristics before and after propensity score matching</w:t>
      </w:r>
    </w:p>
    <w:tbl>
      <w:tblPr>
        <w:tblStyle w:val="2"/>
        <w:tblW w:w="1052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051"/>
        <w:gridCol w:w="1051"/>
        <w:gridCol w:w="1051"/>
        <w:gridCol w:w="1055"/>
        <w:gridCol w:w="1051"/>
        <w:gridCol w:w="1051"/>
        <w:gridCol w:w="1051"/>
        <w:gridCol w:w="1060"/>
      </w:tblGrid>
      <w:tr w14:paraId="656FD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vMerge w:val="restart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BC3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Variables</w:t>
            </w:r>
          </w:p>
        </w:tc>
        <w:tc>
          <w:tcPr>
            <w:tcW w:w="1051" w:type="dxa"/>
            <w:vMerge w:val="restart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B2FE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57" w:type="dxa"/>
            <w:gridSpan w:val="3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A60AD">
            <w:pPr>
              <w:widowControl/>
              <w:spacing w:before="20" w:after="20" w:line="240" w:lineRule="auto"/>
              <w:ind w:left="20" w:right="2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Before Matching</w:t>
            </w:r>
          </w:p>
        </w:tc>
        <w:tc>
          <w:tcPr>
            <w:tcW w:w="1051" w:type="dxa"/>
            <w:vMerge w:val="restart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BB4ED">
            <w:pPr>
              <w:widowControl/>
              <w:spacing w:before="20" w:after="20" w:line="240" w:lineRule="auto"/>
              <w:ind w:left="20" w:right="2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62" w:type="dxa"/>
            <w:gridSpan w:val="3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8A71D">
            <w:pPr>
              <w:widowControl/>
              <w:spacing w:before="20" w:after="20" w:line="240" w:lineRule="auto"/>
              <w:ind w:left="20" w:right="2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After Matching</w:t>
            </w:r>
          </w:p>
        </w:tc>
      </w:tr>
      <w:tr w14:paraId="68941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vMerge w:val="continue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vAlign w:val="center"/>
          </w:tcPr>
          <w:p w14:paraId="0E2AED7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vMerge w:val="continue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vAlign w:val="center"/>
          </w:tcPr>
          <w:p w14:paraId="1FE45CB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BD6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Rate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16C5058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Control</w:t>
            </w: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22FB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Rhythm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Control</w:t>
            </w:r>
          </w:p>
        </w:tc>
        <w:tc>
          <w:tcPr>
            <w:tcW w:w="1055" w:type="dxa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C4162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SMD</w:t>
            </w:r>
          </w:p>
        </w:tc>
        <w:tc>
          <w:tcPr>
            <w:tcW w:w="1051" w:type="dxa"/>
            <w:vMerge w:val="continue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vAlign w:val="center"/>
          </w:tcPr>
          <w:p w14:paraId="5785539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B984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Rate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30E5E0E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Control</w:t>
            </w: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546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Rhythm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Control</w:t>
            </w:r>
          </w:p>
        </w:tc>
        <w:tc>
          <w:tcPr>
            <w:tcW w:w="1060" w:type="dxa"/>
            <w:tcBorders>
              <w:top w:val="single" w:color="666666" w:sz="18" w:space="0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001DC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SMD</w:t>
            </w:r>
          </w:p>
        </w:tc>
      </w:tr>
      <w:tr w14:paraId="40C71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04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DAED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8261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B54D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459</w:t>
            </w: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1C2C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127</w:t>
            </w:r>
          </w:p>
        </w:tc>
        <w:tc>
          <w:tcPr>
            <w:tcW w:w="1055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E308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451F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A5DE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171</w:t>
            </w:r>
          </w:p>
        </w:tc>
        <w:tc>
          <w:tcPr>
            <w:tcW w:w="1051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597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106</w:t>
            </w:r>
          </w:p>
        </w:tc>
        <w:tc>
          <w:tcPr>
            <w:tcW w:w="1060" w:type="dxa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DFFB2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14:paraId="5FCB0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EA6F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Age (mean (SD))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7AF5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E682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76.91 (12.17)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DBDC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71.82 (12.48)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6B54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-0.407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4C51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304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73.48 (13.23)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B696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73.42 (11.83)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7DBE2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0.061</w:t>
            </w:r>
          </w:p>
        </w:tc>
      </w:tr>
      <w:tr w14:paraId="4B582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5FEB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Gender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A59E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Male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949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250 (54.5)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476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82 (64.6)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755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0.211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62BF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0DCA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95 (55.6)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E92B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67 (63.2)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72D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0.118</w:t>
            </w:r>
          </w:p>
        </w:tc>
      </w:tr>
      <w:tr w14:paraId="6495B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6727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1C5D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Female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F08E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209 (45.5)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4F98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45 (35.4)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6978D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-0.211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C37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8158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76 (44.4)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DA8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39 (36.8)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037B3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-0.118</w:t>
            </w:r>
          </w:p>
        </w:tc>
      </w:tr>
      <w:tr w14:paraId="06E70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B7AE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Cardiac Surgery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19B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1FF2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452 (98.5)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6898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120 (94.5)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704BD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-0.175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DBAC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412C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168 (98.2)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140F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103 (97.2)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763A8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-0.041</w:t>
            </w:r>
          </w:p>
        </w:tc>
      </w:tr>
      <w:tr w14:paraId="46BFD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F928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5BBC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1C6F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 (1.5)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ACD5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 (5.5)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6E9B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0.175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19E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ACA6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 (1.8)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4FA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 (2.8)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252D0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0.041</w:t>
            </w:r>
          </w:p>
        </w:tc>
      </w:tr>
      <w:tr w14:paraId="5BD82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DFBE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Heart Failure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5C94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8568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145 (31.6)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C64C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54 (42.5)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37ADD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0.221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D563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04A7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63 (36.8)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5F86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42 (39.6)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1EDF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0.076</w:t>
            </w:r>
          </w:p>
        </w:tc>
      </w:tr>
      <w:tr w14:paraId="7F765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289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1E3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E2A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314 (68.4)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DE81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73 (57.5)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FEB6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-0.221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475D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99E4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108 (63.2)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92C0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64 (60.4)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C0C73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-0.076</w:t>
            </w:r>
          </w:p>
        </w:tc>
      </w:tr>
      <w:tr w14:paraId="2DE95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A16E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Renal Failure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C7E3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2108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170 (37.0)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755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23 (18.1)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6458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-0.491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3351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9C61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38 (22.2)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16CC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22 (20.8)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AA8A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</w:tr>
      <w:tr w14:paraId="63362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AC76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0175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CB13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289 (63.0)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826F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104 (81.9)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B6EE1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0.491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97A8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EE0F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133 (77.8)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4B1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84 (79.2)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FE36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-0.012</w:t>
            </w:r>
          </w:p>
        </w:tc>
      </w:tr>
      <w:tr w14:paraId="267AB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AF4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Respiratory Failure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EAD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76FE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239 (52.1)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B7A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45 (35.4)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C6D38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-0.348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6E37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1628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68 (39.8)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09D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38 (35.8)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C88DA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-0.049</w:t>
            </w:r>
          </w:p>
        </w:tc>
      </w:tr>
      <w:tr w14:paraId="44084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2F61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6A55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2F40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220 (47.9)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83AB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82 (64.6)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20CC0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0.348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FDC0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977F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103 (60.2)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C6D7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68 (64.2)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382E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0.049</w:t>
            </w:r>
          </w:p>
        </w:tc>
      </w:tr>
      <w:tr w14:paraId="77A7B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0BC5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cs="Times New Roman"/>
                <w:bCs/>
                <w:sz w:val="16"/>
                <w:szCs w:val="16"/>
              </w:rPr>
              <w:t>Need for</w:t>
            </w: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CRRT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608B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DCF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442 (96.3)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11DF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111 (87.4)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1FF1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-0.268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E40C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7350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160 (93.6)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621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96 (90.6)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20CA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-0.028</w:t>
            </w:r>
          </w:p>
        </w:tc>
      </w:tr>
      <w:tr w14:paraId="7FDCC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5AAA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C93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71E0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17 (3.7)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773F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16 (12.6)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8B5E1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0.268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648D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51A3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 (6.4)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CE14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 (9.4)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BE34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0.028</w:t>
            </w:r>
          </w:p>
        </w:tc>
      </w:tr>
      <w:tr w14:paraId="0E6BE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5B92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Need for mechanical ventilation</w:t>
            </w:r>
          </w:p>
          <w:p w14:paraId="53DB881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14E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E86C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302 (65.8)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58E9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36 (28.3)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BC17F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-0.831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AF70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3DC3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67 (39.2)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378C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36 (34.0)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50FE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</w:tr>
      <w:tr w14:paraId="71D37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3A61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8521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1447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157 (34.2)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97D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91 (71.7)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9202A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0.831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3D33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9897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104 (60.8)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85F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70 (66.0)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1833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-0.010</w:t>
            </w:r>
          </w:p>
        </w:tc>
      </w:tr>
      <w:tr w14:paraId="0C7CA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EB8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eed for vasopressors (%)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FB4E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ACCB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191 (41.6)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D66E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 (8.7)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33AB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-1.172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4E8F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D86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20 (11.7)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D8F2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 (10.4)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9EF42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0.034</w:t>
            </w:r>
          </w:p>
        </w:tc>
      </w:tr>
      <w:tr w14:paraId="47B83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7F1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7D9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Dopamine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98A0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 (1.7)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302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 (6.3)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9E82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0.188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BB5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4CC5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 (3.5)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FA1C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5 (4.7)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E6BBD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14:paraId="45C20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4AB7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FD6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Phenylephrine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2E26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87 (19.0)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3C08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18 (14.2)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D458C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-0.137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1CB2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C437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33 (19.3)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A01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18 (17.0)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CA851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14:paraId="7F204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E8AD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1300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Norepinephrine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D235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154 (33.6)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07D9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68 (53.5)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04C8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0.401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A561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52CF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94 (55.0)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B92B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59 (55.7)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8682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-0.019</w:t>
            </w:r>
          </w:p>
        </w:tc>
      </w:tr>
      <w:tr w14:paraId="064AC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DB07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7DC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Vasopressin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D46D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14 (3.1)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40F0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15 (11.8)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28193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0.271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1B70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82E9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13 (7.6)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FC0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9 (8.5)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4F58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-0.015</w:t>
            </w:r>
          </w:p>
        </w:tc>
      </w:tr>
      <w:tr w14:paraId="08680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9857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1CD5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Dobutamine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7BE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 (0.7)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19CC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4 (3.1)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0676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0.143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CAEF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1FCB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3 (1.8)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A075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 (1.9)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D01E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14:paraId="45925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6B7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7574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Epinephrine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1EF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FFF6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(0.8)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74262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0.064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633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D4F5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9509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65D9F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0.000</w:t>
            </w:r>
          </w:p>
        </w:tc>
      </w:tr>
      <w:tr w14:paraId="4BDFC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83ED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FEBD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Milrinone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85FB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(0.2)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DC96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 (1.6)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5266E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0.109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FF68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20F41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02BE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 (0.9)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DC3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0.038</w:t>
            </w:r>
          </w:p>
        </w:tc>
      </w:tr>
      <w:tr w14:paraId="69C01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E343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SOFA (mean (SD))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50A2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43A0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6.56 (3.73)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3557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10.10 (3.80)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1B8A7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0.931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A805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C15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8.82 (3.87)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5652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9.48 (3.69)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63947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-0.007</w:t>
            </w:r>
          </w:p>
        </w:tc>
      </w:tr>
      <w:tr w14:paraId="67B45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D6A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Creatinine (mean (SD))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34199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8534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1.42 (0.94)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1286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1.87 (1.11)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668B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0.403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BD34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1772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1.58 (1.01)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1434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1.75 (1.06)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F1D4F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0.071</w:t>
            </w:r>
          </w:p>
        </w:tc>
      </w:tr>
      <w:tr w14:paraId="727C5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05404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Systolic Blood Pressure (mean (SD))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3D77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D20E3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119.14 (22.66)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34A3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109.89 (20.64)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381E5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-0.448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AEB1B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5E8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112.12 (22.55)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195C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112.40 (20.45)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1B57D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0.066</w:t>
            </w:r>
          </w:p>
        </w:tc>
      </w:tr>
      <w:tr w14:paraId="02561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04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76287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Lactate (mean (SD))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9568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F91BF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2.05 (1.23)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7137E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2.61 (1.64)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3B113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0.343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CF9C0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5F80A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2.23 (1.45)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87CD">
            <w:pPr>
              <w:widowControl/>
              <w:spacing w:before="20" w:after="20" w:line="240" w:lineRule="auto"/>
              <w:ind w:left="20" w:right="20"/>
              <w:jc w:val="lef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2.45 (1.54)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666666" w:sz="1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B9A2A">
            <w:pPr>
              <w:widowControl/>
              <w:spacing w:before="20" w:after="20" w:line="240" w:lineRule="auto"/>
              <w:ind w:left="20" w:right="20"/>
              <w:jc w:val="right"/>
              <w:rPr>
                <w:rFonts w:hint="default" w:ascii="Times New Roman" w:hAnsi="Times New Roman" w:eastAsia="等线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0.079</w:t>
            </w:r>
          </w:p>
        </w:tc>
      </w:tr>
      <w:tr w14:paraId="5768A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10525" w:type="dxa"/>
            <w:gridSpan w:val="9"/>
            <w:tcBorders>
              <w:top w:val="single" w:color="666666" w:sz="1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7F0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>SD, standard deviation; SMD, standardized mean difference. CRRT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renal replacement therapy, SOFA, sequential organ failure assessment</w:t>
            </w:r>
          </w:p>
          <w:p w14:paraId="41ABF62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EAB317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46474929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081F3AC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3AA952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C18374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0C69A49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09D563B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06315A0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0B4825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6D7D76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2F481E5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6F0A4DF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353521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54974360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5D606A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9C60608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6806C75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6852E4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17D89D4E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5D14926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0C88983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46C939A5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839D55C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8C488D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677D75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5C41A7FA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775D7A75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  <w:p w14:paraId="3CA9C147">
            <w:pPr>
              <w:widowControl/>
              <w:spacing w:before="20" w:after="20" w:line="240" w:lineRule="auto"/>
              <w:ind w:right="20"/>
              <w:jc w:val="left"/>
              <w:rPr>
                <w:rFonts w:hint="default" w:ascii="Times New Roman" w:hAnsi="Times New Roman" w:eastAsia="DejaVu Sans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4D7F1343">
      <w:pPr>
        <w:spacing w:line="240" w:lineRule="auto"/>
        <w:ind w:firstLine="1921" w:firstLineChars="800"/>
        <w:rPr>
          <w:rFonts w:ascii="Times New Roman" w:hAnsi="Times New Roman"/>
          <w:b/>
          <w:bCs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Table S3: Details of the medicine administration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5C14F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8D88D84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6"/>
                <w:szCs w:val="16"/>
                <w14:ligatures w14:val="none"/>
              </w:rPr>
              <w:t xml:space="preserve">Type </w:t>
            </w:r>
          </w:p>
        </w:tc>
        <w:tc>
          <w:tcPr>
            <w:tcW w:w="2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16B9CB5C">
            <w:pPr>
              <w:widowControl/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6"/>
                <w:szCs w:val="16"/>
                <w14:ligatures w14:val="none"/>
              </w:rPr>
              <w:t>Unmatched</w:t>
            </w:r>
          </w:p>
        </w:tc>
        <w:tc>
          <w:tcPr>
            <w:tcW w:w="27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70BB4A0E">
            <w:pPr>
              <w:widowControl/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olor w:val="000000"/>
                <w:kern w:val="0"/>
                <w:sz w:val="16"/>
                <w:szCs w:val="16"/>
                <w14:ligatures w14:val="none"/>
              </w:rPr>
              <w:t>Matched</w:t>
            </w:r>
          </w:p>
        </w:tc>
      </w:tr>
      <w:tr w14:paraId="4DCF0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CA58FDF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Rate Control </w:t>
            </w:r>
          </w:p>
        </w:tc>
        <w:tc>
          <w:tcPr>
            <w:tcW w:w="2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668D2D49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N = 459</w:t>
            </w:r>
          </w:p>
        </w:tc>
        <w:tc>
          <w:tcPr>
            <w:tcW w:w="27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510F2A1A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N = 171</w:t>
            </w:r>
          </w:p>
        </w:tc>
      </w:tr>
      <w:tr w14:paraId="5ED2C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1A377645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β-blocker except Sotalol</w:t>
            </w:r>
          </w:p>
        </w:tc>
        <w:tc>
          <w:tcPr>
            <w:tcW w:w="276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CC0FEA5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349 (76.0%)</w:t>
            </w:r>
          </w:p>
        </w:tc>
        <w:tc>
          <w:tcPr>
            <w:tcW w:w="2766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2F5E804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129 (75.4%)</w:t>
            </w:r>
          </w:p>
        </w:tc>
      </w:tr>
      <w:tr w14:paraId="60BB1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571FCA21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Digoxin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799A4307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36 (7.8%)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2E0A6B17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17 (9.9%)</w:t>
            </w:r>
          </w:p>
        </w:tc>
      </w:tr>
      <w:tr w14:paraId="26D30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05194A00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Diltiazem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6388418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71 (15.5%)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313058FF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25 (19.7%)</w:t>
            </w:r>
          </w:p>
        </w:tc>
      </w:tr>
      <w:tr w14:paraId="4660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874C7F2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Verapamil</w:t>
            </w:r>
          </w:p>
        </w:tc>
        <w:tc>
          <w:tcPr>
            <w:tcW w:w="276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3273FB2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3 (0.7%)</w:t>
            </w:r>
          </w:p>
        </w:tc>
        <w:tc>
          <w:tcPr>
            <w:tcW w:w="276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3C34CA9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</w:tr>
      <w:tr w14:paraId="3426E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3807743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Rhythm Control</w:t>
            </w:r>
          </w:p>
        </w:tc>
        <w:tc>
          <w:tcPr>
            <w:tcW w:w="2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726BED59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 = 127 </w:t>
            </w:r>
          </w:p>
        </w:tc>
        <w:tc>
          <w:tcPr>
            <w:tcW w:w="27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317D6F63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N = 106</w:t>
            </w:r>
          </w:p>
        </w:tc>
      </w:tr>
      <w:tr w14:paraId="5A57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4565087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Amiodarone</w:t>
            </w:r>
          </w:p>
        </w:tc>
        <w:tc>
          <w:tcPr>
            <w:tcW w:w="276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0E5C3AC4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125 (98.4%)</w:t>
            </w:r>
          </w:p>
        </w:tc>
        <w:tc>
          <w:tcPr>
            <w:tcW w:w="2766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03471E04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104 (98.1%)</w:t>
            </w:r>
          </w:p>
        </w:tc>
      </w:tr>
      <w:tr w14:paraId="54506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5C1BFF39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Dronedarone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91B17F5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5F72DB35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</w:tr>
      <w:tr w14:paraId="7C14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C465DBE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Dofetilide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28709CF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 (0.8%)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318FFE20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 (0.9%)</w:t>
            </w:r>
          </w:p>
        </w:tc>
      </w:tr>
      <w:tr w14:paraId="7736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48E4EE0D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Flecainide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118D3946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71DAF005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</w:tr>
      <w:tr w14:paraId="5109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0DA92F59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Propafenon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2E8A2474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04A535AF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</w:tr>
      <w:tr w14:paraId="64879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68667853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Sotalol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</w:tcPr>
          <w:p w14:paraId="3E22EC55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 (0.0%)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5CD14D19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1 (0.9%)</w:t>
            </w:r>
          </w:p>
        </w:tc>
      </w:tr>
      <w:tr w14:paraId="3EFF0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0E7518B">
            <w:pPr>
              <w:widowControl/>
              <w:spacing w:line="240" w:lineRule="auto"/>
              <w:ind w:firstLine="320" w:firstLineChars="200"/>
              <w:jc w:val="left"/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kern w:val="0"/>
                <w:sz w:val="16"/>
                <w:szCs w:val="16"/>
                <w14:ligatures w14:val="none"/>
              </w:rPr>
              <w:t>Ibutilide</w:t>
            </w:r>
          </w:p>
        </w:tc>
        <w:tc>
          <w:tcPr>
            <w:tcW w:w="276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53019FE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(0.8%)</w:t>
            </w:r>
          </w:p>
        </w:tc>
        <w:tc>
          <w:tcPr>
            <w:tcW w:w="276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161C63E">
            <w:pPr>
              <w:widowControl/>
              <w:spacing w:line="240" w:lineRule="auto"/>
              <w:jc w:val="left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eastAsia="宋体" w:cs="Times New Roman"/>
                <w:b w:val="0"/>
                <w:bCs/>
                <w:color w:val="000000"/>
                <w:kern w:val="0"/>
                <w:sz w:val="16"/>
                <w:szCs w:val="16"/>
                <w14:ligatures w14:val="none"/>
              </w:rPr>
              <w:t>0 (0.0%)</w:t>
            </w:r>
          </w:p>
        </w:tc>
      </w:tr>
    </w:tbl>
    <w:p w14:paraId="0CB8B2EB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04D4D8D4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24979EAC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0C0055DC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101DD9D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25D875F9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AE3BADD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6134ACA1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515C953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CFD5A96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394A733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18B6CB9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8065779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2AA41110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6C28E2D0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5ABDBF8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6EF9CE6A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45E7D23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34B5A76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42F5364A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0431E391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56C191D8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6A5C1473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500282C9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0601BC72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5B9DC8E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3FB4D32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4B9A2298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1B00C101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2482BA46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45D76F6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DB762C5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79F9ACB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71A3AF94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5C1C8EAD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33EE58B6">
      <w:pPr>
        <w:spacing w:line="240" w:lineRule="auto"/>
        <w:ind w:firstLine="1680" w:firstLineChars="800"/>
        <w:rPr>
          <w:rFonts w:hint="eastAsia" w:ascii="Times New Roman" w:hAnsi="Times New Roman"/>
        </w:rPr>
      </w:pPr>
    </w:p>
    <w:p w14:paraId="414B2DDF"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Cardioversion rate after matched</w:t>
      </w:r>
    </w:p>
    <w:tbl>
      <w:tblPr>
        <w:tblStyle w:val="3"/>
        <w:tblW w:w="0" w:type="auto"/>
        <w:tblInd w:w="149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784"/>
        <w:gridCol w:w="2054"/>
        <w:gridCol w:w="2010"/>
      </w:tblGrid>
      <w:tr w14:paraId="7324D9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bottom w:val="single" w:color="auto" w:sz="4" w:space="0"/>
            </w:tcBorders>
          </w:tcPr>
          <w:p w14:paraId="5BC71A8B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Borders>
              <w:bottom w:val="single" w:color="auto" w:sz="4" w:space="0"/>
            </w:tcBorders>
          </w:tcPr>
          <w:p w14:paraId="2E7AE7A6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6h</w:t>
            </w:r>
          </w:p>
        </w:tc>
        <w:tc>
          <w:tcPr>
            <w:tcW w:w="2054" w:type="dxa"/>
            <w:tcBorders>
              <w:bottom w:val="single" w:color="auto" w:sz="4" w:space="0"/>
            </w:tcBorders>
          </w:tcPr>
          <w:p w14:paraId="3F281EEA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12h</w:t>
            </w:r>
          </w:p>
        </w:tc>
        <w:tc>
          <w:tcPr>
            <w:tcW w:w="2010" w:type="dxa"/>
            <w:tcBorders>
              <w:bottom w:val="single" w:color="auto" w:sz="4" w:space="0"/>
            </w:tcBorders>
          </w:tcPr>
          <w:p w14:paraId="27F76D0F">
            <w:pPr>
              <w:spacing w:line="240" w:lineRule="auto"/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16"/>
              </w:rPr>
              <w:t>24h</w:t>
            </w:r>
          </w:p>
        </w:tc>
      </w:tr>
      <w:tr w14:paraId="5E1F22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  <w:tcBorders>
              <w:top w:val="single" w:color="auto" w:sz="4" w:space="0"/>
            </w:tcBorders>
          </w:tcPr>
          <w:p w14:paraId="17882750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Rate Control</w:t>
            </w:r>
          </w:p>
        </w:tc>
        <w:tc>
          <w:tcPr>
            <w:tcW w:w="1784" w:type="dxa"/>
            <w:tcBorders>
              <w:top w:val="single" w:color="auto" w:sz="4" w:space="0"/>
            </w:tcBorders>
          </w:tcPr>
          <w:p w14:paraId="29E2DB6F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83/169 (49.1%)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2054" w:type="dxa"/>
            <w:tcBorders>
              <w:top w:val="single" w:color="auto" w:sz="4" w:space="0"/>
            </w:tcBorders>
          </w:tcPr>
          <w:p w14:paraId="0FC12317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87/166 (52.4%)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010" w:type="dxa"/>
            <w:tcBorders>
              <w:top w:val="single" w:color="auto" w:sz="4" w:space="0"/>
            </w:tcBorders>
          </w:tcPr>
          <w:p w14:paraId="2251FFED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83/156 (53.2%)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</w:tr>
      <w:tr w14:paraId="721175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0975355A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Rhythm Control</w:t>
            </w:r>
          </w:p>
        </w:tc>
        <w:tc>
          <w:tcPr>
            <w:tcW w:w="1784" w:type="dxa"/>
          </w:tcPr>
          <w:p w14:paraId="7D3783FD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73/106 (68.9%)</w:t>
            </w:r>
          </w:p>
        </w:tc>
        <w:tc>
          <w:tcPr>
            <w:tcW w:w="2054" w:type="dxa"/>
          </w:tcPr>
          <w:p w14:paraId="579477FE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vertAlign w:val="superscript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74/104 (71.1%)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  <w:lang w:val="en-US" w:eastAsia="zh-CN"/>
              </w:rPr>
              <w:t>4</w:t>
            </w:r>
          </w:p>
        </w:tc>
        <w:tc>
          <w:tcPr>
            <w:tcW w:w="2010" w:type="dxa"/>
          </w:tcPr>
          <w:p w14:paraId="022615F6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vertAlign w:val="superscript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72/99 (72.7%)</w:t>
            </w:r>
            <w:r>
              <w:rPr>
                <w:rFonts w:hint="default" w:ascii="Times New Roman" w:hAnsi="Times New Roman" w:cs="Times New Roman"/>
                <w:sz w:val="16"/>
                <w:szCs w:val="16"/>
                <w:vertAlign w:val="superscript"/>
                <w:lang w:val="en-US" w:eastAsia="zh-CN"/>
              </w:rPr>
              <w:t>5</w:t>
            </w:r>
          </w:p>
        </w:tc>
      </w:tr>
      <w:tr w14:paraId="6113FB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609BE711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OR</w:t>
            </w:r>
          </w:p>
        </w:tc>
        <w:tc>
          <w:tcPr>
            <w:tcW w:w="1784" w:type="dxa"/>
          </w:tcPr>
          <w:p w14:paraId="6AC14618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2.29(1.3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-3.8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）</w:t>
            </w:r>
          </w:p>
        </w:tc>
        <w:tc>
          <w:tcPr>
            <w:tcW w:w="2054" w:type="dxa"/>
          </w:tcPr>
          <w:p w14:paraId="726AEB54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2.24（1.3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-3.3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）</w:t>
            </w:r>
          </w:p>
        </w:tc>
        <w:tc>
          <w:tcPr>
            <w:tcW w:w="2010" w:type="dxa"/>
          </w:tcPr>
          <w:p w14:paraId="2EC12101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2.3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（1.3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-4.0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）</w:t>
            </w:r>
          </w:p>
        </w:tc>
      </w:tr>
      <w:tr w14:paraId="74B5E7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8" w:type="dxa"/>
          </w:tcPr>
          <w:p w14:paraId="76F5CDC2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P</w:t>
            </w:r>
          </w:p>
        </w:tc>
        <w:tc>
          <w:tcPr>
            <w:tcW w:w="1784" w:type="dxa"/>
          </w:tcPr>
          <w:p w14:paraId="06AD883D">
            <w:pPr>
              <w:spacing w:line="240" w:lineRule="auto"/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0.001</w:t>
            </w:r>
          </w:p>
        </w:tc>
        <w:tc>
          <w:tcPr>
            <w:tcW w:w="2054" w:type="dxa"/>
          </w:tcPr>
          <w:p w14:paraId="06EA5E79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0.002</w:t>
            </w:r>
          </w:p>
        </w:tc>
        <w:tc>
          <w:tcPr>
            <w:tcW w:w="2010" w:type="dxa"/>
          </w:tcPr>
          <w:p w14:paraId="7F9EE537"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0.002</w:t>
            </w:r>
          </w:p>
        </w:tc>
      </w:tr>
    </w:tbl>
    <w:p w14:paraId="0C00BCC5">
      <w:pPr>
        <w:spacing w:line="240" w:lineRule="auto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hint="default" w:ascii="Times New Roman" w:hAnsi="Times New Roman" w:cs="Times New Roman"/>
          <w:sz w:val="18"/>
          <w:szCs w:val="18"/>
        </w:rPr>
        <w:t>2 patients’ records were missing;</w:t>
      </w:r>
      <w:r>
        <w:rPr>
          <w:rFonts w:hint="default"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hint="default" w:ascii="Times New Roman" w:hAnsi="Times New Roman" w:cs="Times New Roman"/>
          <w:sz w:val="18"/>
          <w:szCs w:val="18"/>
        </w:rPr>
        <w:t>5 patients’ records were missing;</w:t>
      </w:r>
      <w:r>
        <w:rPr>
          <w:rFonts w:hint="default" w:ascii="Times New Roman" w:hAnsi="Times New Roman" w:cs="Times New Roman"/>
          <w:sz w:val="18"/>
          <w:szCs w:val="18"/>
          <w:vertAlign w:val="superscript"/>
        </w:rPr>
        <w:t>3</w:t>
      </w:r>
      <w:r>
        <w:rPr>
          <w:rFonts w:hint="default" w:ascii="Times New Roman" w:hAnsi="Times New Roman" w:cs="Times New Roman"/>
          <w:sz w:val="18"/>
          <w:szCs w:val="18"/>
        </w:rPr>
        <w:t>15 patients’ records were missing;</w:t>
      </w:r>
    </w:p>
    <w:p w14:paraId="18B17931">
      <w:pPr>
        <w:spacing w:line="240" w:lineRule="auto"/>
        <w:rPr>
          <w:rFonts w:hint="eastAsia" w:ascii="Times New Roman" w:hAnsi="Times New Roman"/>
        </w:rPr>
      </w:pPr>
      <w:r>
        <w:rPr>
          <w:rFonts w:hint="default" w:ascii="Times New Roman" w:hAnsi="Times New Roman" w:cs="Times New Roman"/>
          <w:sz w:val="18"/>
          <w:szCs w:val="18"/>
          <w:vertAlign w:val="superscript"/>
        </w:rPr>
        <w:t>5</w:t>
      </w:r>
      <w:r>
        <w:rPr>
          <w:rFonts w:hint="default" w:ascii="Times New Roman" w:hAnsi="Times New Roman" w:cs="Times New Roman"/>
          <w:sz w:val="18"/>
          <w:szCs w:val="18"/>
        </w:rPr>
        <w:t>2 patients’ records were missing;</w:t>
      </w:r>
      <w:r>
        <w:rPr>
          <w:rFonts w:hint="default" w:ascii="Times New Roman" w:hAnsi="Times New Roman" w:cs="Times New Roman"/>
          <w:sz w:val="18"/>
          <w:szCs w:val="18"/>
          <w:vertAlign w:val="superscript"/>
        </w:rPr>
        <w:t>6</w:t>
      </w:r>
      <w:r>
        <w:rPr>
          <w:rFonts w:hint="default" w:ascii="Times New Roman" w:hAnsi="Times New Roman" w:cs="Times New Roman"/>
          <w:sz w:val="18"/>
          <w:szCs w:val="18"/>
        </w:rPr>
        <w:t>7 patients’ records were missing</w:t>
      </w:r>
      <w:r>
        <w:t>;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/>
        </w:rPr>
        <w:t>OR Odds Ratio,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jaVu Sans">
    <w:altName w:val="Verdan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xNTU0M2JhYmZmNDA4NmFhZGMxNGFlN2ZjMjc0MTkifQ=="/>
  </w:docVars>
  <w:rsids>
    <w:rsidRoot w:val="00A4567E"/>
    <w:rsid w:val="001D7E33"/>
    <w:rsid w:val="00201219"/>
    <w:rsid w:val="00207CF6"/>
    <w:rsid w:val="003579A0"/>
    <w:rsid w:val="00361331"/>
    <w:rsid w:val="00374BB8"/>
    <w:rsid w:val="003F00E1"/>
    <w:rsid w:val="004F796F"/>
    <w:rsid w:val="009A795E"/>
    <w:rsid w:val="00A4567E"/>
    <w:rsid w:val="00B77BBD"/>
    <w:rsid w:val="00C3648D"/>
    <w:rsid w:val="00D146EE"/>
    <w:rsid w:val="00D752DC"/>
    <w:rsid w:val="00E5470E"/>
    <w:rsid w:val="00F514A3"/>
    <w:rsid w:val="19BE5FBE"/>
    <w:rsid w:val="1E401CC4"/>
    <w:rsid w:val="26ED65B2"/>
    <w:rsid w:val="375B5EE8"/>
    <w:rsid w:val="3D836AC6"/>
    <w:rsid w:val="41124178"/>
    <w:rsid w:val="4575000B"/>
    <w:rsid w:val="5943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uiPriority w:val="99"/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452</Words>
  <Characters>2186</Characters>
  <Lines>22</Lines>
  <Paragraphs>6</Paragraphs>
  <TotalTime>9</TotalTime>
  <ScaleCrop>false</ScaleCrop>
  <LinksUpToDate>false</LinksUpToDate>
  <CharactersWithSpaces>2396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2024-07-25T08:44:00Z</dcterms:created>
  <dc:creator>8613606031594</dc:creator>
  <cp:lastModifiedBy>weng</cp:lastModifiedBy>
  <dcterms:modified xsi:type="dcterms:W3CDTF">2025-03-06T07:39:22Z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A8980421A1B044F7B6887715ACF5FA49_13</vt:lpwstr>
  </property>
  <property fmtid="{D5CDD505-2E9C-101B-9397-08002B2CF9AE}" pid="4" name="KSOTemplateDocerSaveRecord">
    <vt:lpwstr>eyJoZGlkIjoiMmIxNTU0M2JhYmZmNDA4NmFhZGMxNGFlN2ZjMjc0MTkiLCJ1c2VySWQiOiI3OTY5NDcwNzgifQ==</vt:lpwstr>
  </property>
</Properties>
</file>