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23E51" w14:textId="77777777" w:rsidR="005E55E8" w:rsidRPr="002B509D" w:rsidRDefault="005E55E8" w:rsidP="005E55E8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szCs w:val="21"/>
        </w:rPr>
      </w:pPr>
      <w:r w:rsidRPr="002B509D">
        <w:rPr>
          <w:noProof/>
        </w:rPr>
        <w:drawing>
          <wp:inline distT="0" distB="0" distL="0" distR="0" wp14:anchorId="2A0E61BA" wp14:editId="04C7DC43">
            <wp:extent cx="5274310" cy="1487805"/>
            <wp:effectExtent l="0" t="0" r="2540" b="0"/>
            <wp:docPr id="48536340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D7D91" w14:textId="77777777" w:rsidR="005E55E8" w:rsidRPr="002B509D" w:rsidRDefault="005E55E8" w:rsidP="005E55E8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18"/>
        </w:rPr>
      </w:pP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18"/>
        </w:rPr>
        <w:t>Supplementary Fig.1 PRDX2 is Significantly Positively Correlated with the Expression of Migration and Invasion Genes in TNBC.</w:t>
      </w:r>
    </w:p>
    <w:p w14:paraId="3EF72334" w14:textId="77777777" w:rsidR="005E55E8" w:rsidRPr="002B509D" w:rsidRDefault="005E55E8" w:rsidP="005E55E8">
      <w:pPr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sz w:val="18"/>
          <w:szCs w:val="16"/>
        </w:rPr>
      </w:pP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A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 PRDX2 gene expression in tumor and normal tissues of TNBC patients from the TCGA database. 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B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) Heatmap showing the correlation between PRDXs (PRDX1, 3, 4, 5, 6) and the expression of tumor migration and invasion-related genes in tumor tissues of TNBC patients from the TCGA database. Red indicates a positive correlation, and blue indicates a negative correlation. Data are presented as mean ± standard error (Mean ± SEM). 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 values and significance were determined using two-tailed unpaired t-tests 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A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), *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≤ 0.05; **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≤ 0.01; ***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≤ 0.001.</w:t>
      </w:r>
    </w:p>
    <w:p w14:paraId="78AE3493" w14:textId="75DB3215" w:rsidR="00D54E6B" w:rsidRDefault="00D54E6B"/>
    <w:p w14:paraId="7C4DE102" w14:textId="77777777" w:rsidR="005E55E8" w:rsidRPr="002B509D" w:rsidRDefault="005E55E8" w:rsidP="005E55E8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noProof/>
          <w:color w:val="000000" w:themeColor="text1"/>
          <w:sz w:val="20"/>
          <w:szCs w:val="18"/>
        </w:rPr>
      </w:pPr>
      <w:r w:rsidRPr="002B509D">
        <w:rPr>
          <w:noProof/>
        </w:rPr>
        <w:drawing>
          <wp:inline distT="0" distB="0" distL="0" distR="0" wp14:anchorId="391A1006" wp14:editId="37E59424">
            <wp:extent cx="5274310" cy="1178560"/>
            <wp:effectExtent l="0" t="0" r="2540" b="2540"/>
            <wp:docPr id="15237095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E0163" w14:textId="77777777" w:rsidR="005E55E8" w:rsidRPr="002B509D" w:rsidRDefault="005E55E8" w:rsidP="005E55E8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noProof/>
          <w:color w:val="000000" w:themeColor="text1"/>
          <w:sz w:val="20"/>
          <w:szCs w:val="18"/>
        </w:rPr>
      </w:pPr>
      <w:r w:rsidRPr="002B509D">
        <w:rPr>
          <w:rFonts w:ascii="Times New Roman" w:eastAsia="SimSun" w:hAnsi="Times New Roman" w:cs="Times New Roman"/>
          <w:b/>
          <w:bCs/>
          <w:noProof/>
          <w:color w:val="000000" w:themeColor="text1"/>
          <w:sz w:val="20"/>
          <w:szCs w:val="18"/>
        </w:rPr>
        <w:t xml:space="preserve">Supplementary Fig. 2 Statistical charts of cell scratch assay and Transwell assay. </w:t>
      </w:r>
    </w:p>
    <w:p w14:paraId="5E480FF3" w14:textId="77777777" w:rsidR="005E55E8" w:rsidRPr="002B509D" w:rsidRDefault="005E55E8" w:rsidP="005E55E8">
      <w:pPr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sz w:val="18"/>
          <w:szCs w:val="16"/>
        </w:rPr>
      </w:pP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A-B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) Statistical bar charts of cell scratch assay and </w:t>
      </w:r>
      <w:proofErr w:type="spellStart"/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Transwell</w:t>
      </w:r>
      <w:proofErr w:type="spellEnd"/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 invasion assay for MDA-MB-231 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A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 and MDA-MB-468 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B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 cells.</w:t>
      </w:r>
      <w:r w:rsidRPr="002B509D">
        <w:rPr>
          <w:rFonts w:ascii="Times New Roman" w:eastAsia="SimSun" w:hAnsi="Times New Roman" w:cs="Times New Roman" w:hint="eastAsia"/>
          <w:color w:val="000000" w:themeColor="text1"/>
          <w:sz w:val="18"/>
          <w:szCs w:val="16"/>
        </w:rPr>
        <w:t xml:space="preserve"> 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Data are presented as mean ± standard error (Mean ± SEM). Statistical significance was determined using two-tailed unpaired t-tests 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A-B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). **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 ≤ 0.01; ***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 ≤ 0.001; ****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 ≤ 0.0001.</w:t>
      </w:r>
    </w:p>
    <w:p w14:paraId="3C78DD4E" w14:textId="03CEC0D2" w:rsidR="00C2099A" w:rsidRDefault="00C2099A" w:rsidP="00C2099A">
      <w:pPr>
        <w:spacing w:after="0" w:line="240" w:lineRule="auto"/>
        <w:jc w:val="both"/>
        <w:rPr>
          <w:noProof/>
        </w:rPr>
      </w:pPr>
    </w:p>
    <w:p w14:paraId="2DC7F6B5" w14:textId="77777777" w:rsidR="00C2099A" w:rsidRDefault="00C2099A" w:rsidP="00C2099A">
      <w:pPr>
        <w:spacing w:after="0" w:line="240" w:lineRule="auto"/>
        <w:jc w:val="both"/>
        <w:rPr>
          <w:noProof/>
        </w:rPr>
      </w:pPr>
    </w:p>
    <w:p w14:paraId="5C79FD44" w14:textId="6EA96D44" w:rsidR="00C2099A" w:rsidRPr="002B509D" w:rsidRDefault="00C2099A" w:rsidP="00C2099A">
      <w:pPr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sz w:val="18"/>
          <w:szCs w:val="16"/>
        </w:rPr>
      </w:pPr>
      <w:r w:rsidRPr="002B509D">
        <w:rPr>
          <w:noProof/>
        </w:rPr>
        <w:drawing>
          <wp:inline distT="0" distB="0" distL="0" distR="0" wp14:anchorId="4EF60320" wp14:editId="4EE2D244">
            <wp:extent cx="5274310" cy="3395345"/>
            <wp:effectExtent l="0" t="0" r="2540" b="0"/>
            <wp:docPr id="10078461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09D">
        <w:rPr>
          <w:rFonts w:ascii="Times New Roman" w:eastAsia="SimSun" w:hAnsi="Times New Roman" w:cs="Times New Roman"/>
          <w:b/>
          <w:bCs/>
          <w:noProof/>
          <w:color w:val="000000" w:themeColor="text1"/>
          <w:sz w:val="20"/>
          <w:szCs w:val="18"/>
        </w:rPr>
        <w:t xml:space="preserve"> Supplementary Fig.3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18"/>
        </w:rPr>
        <w:t xml:space="preserve"> Si-RNA Screening. 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A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 Screening of SI-FN1, SI-COL6A2, and ITGB3.</w:t>
      </w:r>
      <w:r w:rsidRPr="002B509D">
        <w:rPr>
          <w:rFonts w:ascii="Times New Roman" w:eastAsia="SimSun" w:hAnsi="Times New Roman" w:cs="Times New Roman" w:hint="eastAsia"/>
          <w:color w:val="000000" w:themeColor="text1"/>
          <w:sz w:val="18"/>
          <w:szCs w:val="16"/>
        </w:rPr>
        <w:t xml:space="preserve"> 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B-D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 The scratch assay was conducted to evaluate the effect of knocking down FN1 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B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), COL6A2 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C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), and ITGB3 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D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 on the migratory capacity of PRDX2-depleted breast cancer cells (MDA-MB-231). 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E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 Schematic diagram of PRDX2 regulation of FN1, COL6A2, and ITGB3.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18"/>
        </w:rPr>
        <w:t xml:space="preserve"> 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Data are presented as mean ± standard error (Mean ± SEM). 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 values and significance were determined using One-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lastRenderedPageBreak/>
        <w:t>Way ANOVA (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 w:val="18"/>
          <w:szCs w:val="16"/>
        </w:rPr>
        <w:t>A, B-D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>). ns, not significant; *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 ≤ 0.05; **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 ≤ 0.01; ***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 ≤ 0.001; ****</w:t>
      </w:r>
      <w:r w:rsidRPr="002B509D">
        <w:rPr>
          <w:rFonts w:ascii="Times New Roman" w:eastAsia="SimSun" w:hAnsi="Times New Roman" w:cs="Times New Roman"/>
          <w:i/>
          <w:iCs/>
          <w:color w:val="000000" w:themeColor="text1"/>
          <w:sz w:val="18"/>
          <w:szCs w:val="16"/>
        </w:rPr>
        <w:t>P</w:t>
      </w:r>
      <w:r w:rsidRPr="002B509D">
        <w:rPr>
          <w:rFonts w:ascii="Times New Roman" w:eastAsia="SimSun" w:hAnsi="Times New Roman" w:cs="Times New Roman"/>
          <w:color w:val="000000" w:themeColor="text1"/>
          <w:sz w:val="18"/>
          <w:szCs w:val="16"/>
        </w:rPr>
        <w:t xml:space="preserve"> ≤ 0.0001.</w:t>
      </w:r>
      <w:r w:rsidRPr="002B509D">
        <w:rPr>
          <w:rFonts w:ascii="Times New Roman" w:eastAsia="SimSun" w:hAnsi="Times New Roman" w:cs="Times New Roman"/>
          <w:b/>
          <w:bCs/>
          <w:color w:val="000000" w:themeColor="text1"/>
          <w:szCs w:val="22"/>
        </w:rPr>
        <w:br w:type="page"/>
      </w:r>
    </w:p>
    <w:p w14:paraId="751D3381" w14:textId="77777777" w:rsidR="005E55E8" w:rsidRDefault="005E55E8"/>
    <w:sectPr w:rsidR="005E55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E8"/>
    <w:rsid w:val="004C2929"/>
    <w:rsid w:val="005E55E8"/>
    <w:rsid w:val="008956A5"/>
    <w:rsid w:val="009932FF"/>
    <w:rsid w:val="00C2099A"/>
    <w:rsid w:val="00D5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4B397"/>
  <w15:chartTrackingRefBased/>
  <w15:docId w15:val="{E41F642D-3463-48CA-BEE8-614861C3F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5E8"/>
    <w:pPr>
      <w:widowControl w:val="0"/>
      <w:spacing w:line="278" w:lineRule="auto"/>
    </w:pPr>
    <w:rPr>
      <w:rFonts w:eastAsiaTheme="minorEastAsia"/>
      <w:kern w:val="2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Murugan (Integra)</dc:creator>
  <cp:keywords/>
  <dc:description/>
  <cp:lastModifiedBy>Sangeetha Murugan (Integra)</cp:lastModifiedBy>
  <cp:revision>1</cp:revision>
  <dcterms:created xsi:type="dcterms:W3CDTF">2025-03-31T10:43:00Z</dcterms:created>
  <dcterms:modified xsi:type="dcterms:W3CDTF">2025-03-31T11:12:00Z</dcterms:modified>
</cp:coreProperties>
</file>