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E54A6" w14:textId="4BF85D8F" w:rsidR="00413DE4" w:rsidRPr="00AB77E2" w:rsidRDefault="00AB77E2" w:rsidP="00413DE4">
      <w:pPr>
        <w:rPr>
          <w:rFonts w:ascii="Times New Roman" w:eastAsia="宋体" w:hAnsi="Times New Roman" w:cs="Times New Roman"/>
          <w:b/>
          <w:bCs/>
          <w:kern w:val="0"/>
          <w:szCs w:val="21"/>
          <w14:ligatures w14:val="none"/>
        </w:rPr>
      </w:pPr>
      <w:r w:rsidRPr="00AB77E2">
        <w:rPr>
          <w:rFonts w:ascii="Times New Roman" w:eastAsia="宋体" w:hAnsi="Times New Roman" w:cs="Times New Roman" w:hint="eastAsia"/>
          <w:b/>
          <w:bCs/>
          <w:kern w:val="0"/>
          <w:szCs w:val="21"/>
          <w14:ligatures w14:val="none"/>
        </w:rPr>
        <w:t>SUPPLEMENTAL INFORMATION</w:t>
      </w:r>
    </w:p>
    <w:tbl>
      <w:tblPr>
        <w:tblStyle w:val="1-3"/>
        <w:tblpPr w:leftFromText="180" w:rightFromText="180" w:vertAnchor="text" w:horzAnchor="margin" w:tblpY="255"/>
        <w:tblW w:w="5000" w:type="pct"/>
        <w:tblLook w:val="04A0" w:firstRow="1" w:lastRow="0" w:firstColumn="1" w:lastColumn="0" w:noHBand="0" w:noVBand="1"/>
      </w:tblPr>
      <w:tblGrid>
        <w:gridCol w:w="5816"/>
        <w:gridCol w:w="2490"/>
      </w:tblGrid>
      <w:tr w:rsidR="00940466" w:rsidRPr="008F0B93" w14:paraId="56BAA3F9" w14:textId="77777777" w:rsidTr="00DD1E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  <w:tcBorders>
              <w:top w:val="single" w:sz="8" w:space="0" w:color="auto"/>
              <w:bottom w:val="single" w:sz="8" w:space="0" w:color="auto"/>
            </w:tcBorders>
          </w:tcPr>
          <w:p w14:paraId="148ACCB3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bookmarkStart w:id="0" w:name="_Hlk193362924"/>
            <w:r w:rsidRPr="008F0B93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Patient characteristics</w:t>
            </w:r>
          </w:p>
        </w:tc>
        <w:tc>
          <w:tcPr>
            <w:tcW w:w="1499" w:type="pct"/>
            <w:tcBorders>
              <w:top w:val="single" w:sz="8" w:space="0" w:color="auto"/>
              <w:bottom w:val="single" w:sz="8" w:space="0" w:color="auto"/>
            </w:tcBorders>
          </w:tcPr>
          <w:p w14:paraId="2BDBB11E" w14:textId="77777777" w:rsidR="00074245" w:rsidRPr="008F0B93" w:rsidRDefault="00074245" w:rsidP="00DD1ECA">
            <w:pPr>
              <w:spacing w:line="36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Total (n=56)</w:t>
            </w:r>
          </w:p>
        </w:tc>
      </w:tr>
      <w:tr w:rsidR="00A436EF" w:rsidRPr="008F0B93" w14:paraId="318400A3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  <w:tcBorders>
              <w:top w:val="single" w:sz="8" w:space="0" w:color="auto"/>
            </w:tcBorders>
          </w:tcPr>
          <w:p w14:paraId="2F2209D7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Median age</w:t>
            </w: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，</w:t>
            </w: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years (IQR)</w:t>
            </w:r>
          </w:p>
        </w:tc>
        <w:tc>
          <w:tcPr>
            <w:tcW w:w="1499" w:type="pct"/>
            <w:tcBorders>
              <w:top w:val="single" w:sz="8" w:space="0" w:color="auto"/>
            </w:tcBorders>
          </w:tcPr>
          <w:p w14:paraId="47E047A9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56 (51-61)</w:t>
            </w:r>
          </w:p>
        </w:tc>
      </w:tr>
      <w:tr w:rsidR="00A436EF" w:rsidRPr="008F0B93" w14:paraId="6572D5A0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1D9B1930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Male, No. (%)</w:t>
            </w:r>
          </w:p>
        </w:tc>
        <w:tc>
          <w:tcPr>
            <w:tcW w:w="1499" w:type="pct"/>
          </w:tcPr>
          <w:p w14:paraId="622214F7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28 (50)</w:t>
            </w:r>
          </w:p>
        </w:tc>
      </w:tr>
      <w:tr w:rsidR="00A436EF" w:rsidRPr="008F0B93" w14:paraId="2087BC99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0457526E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Median time since initial diagnosis to screening, months (IQR)</w:t>
            </w:r>
          </w:p>
        </w:tc>
        <w:tc>
          <w:tcPr>
            <w:tcW w:w="1499" w:type="pct"/>
          </w:tcPr>
          <w:p w14:paraId="250202CE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37.1 (23.3-59.9)</w:t>
            </w:r>
          </w:p>
        </w:tc>
      </w:tr>
      <w:tr w:rsidR="00A436EF" w:rsidRPr="008F0B93" w14:paraId="76DA5ECA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7C7ACA24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Median lines of previous therapy (IRQ)</w:t>
            </w:r>
          </w:p>
        </w:tc>
        <w:tc>
          <w:tcPr>
            <w:tcW w:w="1499" w:type="pct"/>
          </w:tcPr>
          <w:p w14:paraId="0DA9C423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5 (4-6)</w:t>
            </w:r>
          </w:p>
        </w:tc>
      </w:tr>
      <w:tr w:rsidR="00A436EF" w:rsidRPr="008F0B93" w14:paraId="06F99D3B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676FACDE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Extramedullary disease/</w:t>
            </w:r>
            <w:r w:rsidRPr="008F0B93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Plasma cell leukaemia, No. (%)</w:t>
            </w:r>
          </w:p>
        </w:tc>
        <w:tc>
          <w:tcPr>
            <w:tcW w:w="1499" w:type="pct"/>
          </w:tcPr>
          <w:p w14:paraId="4247A162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10 (17.9)</w:t>
            </w:r>
          </w:p>
        </w:tc>
      </w:tr>
      <w:tr w:rsidR="00A436EF" w:rsidRPr="008F0B93" w14:paraId="51EED6AB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12AC2FF6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Median bone marrow plasma cell at enrollment (IQR)</w:t>
            </w:r>
            <w:r w:rsidRPr="008F0B93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1499" w:type="pct"/>
          </w:tcPr>
          <w:p w14:paraId="72B8BAB1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60 (16.3-80)</w:t>
            </w:r>
          </w:p>
        </w:tc>
      </w:tr>
      <w:tr w:rsidR="00A436EF" w:rsidRPr="008F0B93" w14:paraId="707F1C31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11CFD233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High Marrow Burden at enrollment (&gt;= 50%)</w:t>
            </w:r>
          </w:p>
        </w:tc>
        <w:tc>
          <w:tcPr>
            <w:tcW w:w="1499" w:type="pct"/>
          </w:tcPr>
          <w:p w14:paraId="6CBF9C88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34 (60.7)</w:t>
            </w:r>
          </w:p>
        </w:tc>
      </w:tr>
      <w:tr w:rsidR="00A436EF" w:rsidRPr="008F0B93" w14:paraId="27879E81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24904AB8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Median BCMA expression on plasma cells at baseline (IQR)</w:t>
            </w:r>
          </w:p>
        </w:tc>
        <w:tc>
          <w:tcPr>
            <w:tcW w:w="1499" w:type="pct"/>
          </w:tcPr>
          <w:p w14:paraId="4E8F2EB0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82.9 (63.6-91.5)</w:t>
            </w:r>
          </w:p>
        </w:tc>
      </w:tr>
      <w:tr w:rsidR="00A436EF" w:rsidRPr="008F0B93" w14:paraId="6B885482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018EE7F8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color w:val="FF000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FF0000"/>
                <w:kern w:val="0"/>
                <w:sz w:val="22"/>
              </w:rPr>
              <w:t>ECOG performance status score at enrollment, n (%)</w:t>
            </w:r>
          </w:p>
        </w:tc>
        <w:tc>
          <w:tcPr>
            <w:tcW w:w="1499" w:type="pct"/>
          </w:tcPr>
          <w:p w14:paraId="6265B66F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sz w:val="22"/>
              </w:rPr>
            </w:pPr>
          </w:p>
        </w:tc>
      </w:tr>
      <w:tr w:rsidR="00A436EF" w:rsidRPr="008F0B93" w14:paraId="6EF9DA03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7D30C36D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b w:val="0"/>
                <w:bCs w:val="0"/>
                <w:color w:val="FF000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FF0000"/>
                <w:kern w:val="0"/>
                <w:sz w:val="22"/>
              </w:rPr>
              <w:t>0</w:t>
            </w:r>
          </w:p>
        </w:tc>
        <w:tc>
          <w:tcPr>
            <w:tcW w:w="1499" w:type="pct"/>
          </w:tcPr>
          <w:p w14:paraId="52C63198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FF0000"/>
                <w:sz w:val="22"/>
              </w:rPr>
              <w:t>3 (5.4)</w:t>
            </w:r>
          </w:p>
        </w:tc>
      </w:tr>
      <w:tr w:rsidR="00A436EF" w:rsidRPr="008F0B93" w14:paraId="5178D022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22116BB5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b w:val="0"/>
                <w:bCs w:val="0"/>
                <w:color w:val="FF000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FF0000"/>
                <w:kern w:val="0"/>
                <w:sz w:val="22"/>
              </w:rPr>
              <w:t>1</w:t>
            </w:r>
          </w:p>
        </w:tc>
        <w:tc>
          <w:tcPr>
            <w:tcW w:w="1499" w:type="pct"/>
          </w:tcPr>
          <w:p w14:paraId="115DBA7A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FF0000"/>
                <w:sz w:val="22"/>
              </w:rPr>
              <w:t>53 (94.6)</w:t>
            </w:r>
          </w:p>
        </w:tc>
      </w:tr>
      <w:tr w:rsidR="00A436EF" w:rsidRPr="008F0B93" w14:paraId="1CD54040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28418C2C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Myeloma subtype, n (%)</w:t>
            </w:r>
          </w:p>
        </w:tc>
        <w:tc>
          <w:tcPr>
            <w:tcW w:w="1499" w:type="pct"/>
          </w:tcPr>
          <w:p w14:paraId="75AB450E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</w:tr>
      <w:tr w:rsidR="00A436EF" w:rsidRPr="008F0B93" w14:paraId="6225771A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7B080968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 xml:space="preserve">  IgG</w:t>
            </w:r>
          </w:p>
        </w:tc>
        <w:tc>
          <w:tcPr>
            <w:tcW w:w="1499" w:type="pct"/>
          </w:tcPr>
          <w:p w14:paraId="7E5DD0DD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28 (50)</w:t>
            </w:r>
          </w:p>
        </w:tc>
      </w:tr>
      <w:tr w:rsidR="00A436EF" w:rsidRPr="008F0B93" w14:paraId="34433519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7F13B191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IgA</w:t>
            </w:r>
          </w:p>
        </w:tc>
        <w:tc>
          <w:tcPr>
            <w:tcW w:w="1499" w:type="pct"/>
          </w:tcPr>
          <w:p w14:paraId="318FF718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8 (14.3)</w:t>
            </w:r>
          </w:p>
        </w:tc>
      </w:tr>
      <w:tr w:rsidR="00A436EF" w:rsidRPr="008F0B93" w14:paraId="5CA4B959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5E0111E5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IgD</w:t>
            </w:r>
          </w:p>
        </w:tc>
        <w:tc>
          <w:tcPr>
            <w:tcW w:w="1499" w:type="pct"/>
          </w:tcPr>
          <w:p w14:paraId="6A18679D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3 (5.4)</w:t>
            </w:r>
          </w:p>
        </w:tc>
      </w:tr>
      <w:tr w:rsidR="00A436EF" w:rsidRPr="008F0B93" w14:paraId="28CEE250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0B1D9C6B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Kappa</w:t>
            </w:r>
          </w:p>
        </w:tc>
        <w:tc>
          <w:tcPr>
            <w:tcW w:w="1499" w:type="pct"/>
          </w:tcPr>
          <w:p w14:paraId="0A065DEF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8 (14.3)</w:t>
            </w:r>
          </w:p>
        </w:tc>
      </w:tr>
      <w:tr w:rsidR="00A436EF" w:rsidRPr="008F0B93" w14:paraId="61AF31A5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2711B0F4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Lambda</w:t>
            </w:r>
          </w:p>
        </w:tc>
        <w:tc>
          <w:tcPr>
            <w:tcW w:w="1499" w:type="pct"/>
          </w:tcPr>
          <w:p w14:paraId="6CBE4127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9 (16.0)</w:t>
            </w:r>
          </w:p>
        </w:tc>
      </w:tr>
      <w:tr w:rsidR="00A436EF" w:rsidRPr="008F0B93" w14:paraId="7B176AE4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0FE39768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Durie-Salmon stage, n (%)</w:t>
            </w:r>
          </w:p>
        </w:tc>
        <w:tc>
          <w:tcPr>
            <w:tcW w:w="1499" w:type="pct"/>
          </w:tcPr>
          <w:p w14:paraId="29343378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</w:tr>
      <w:tr w:rsidR="00A436EF" w:rsidRPr="008F0B93" w14:paraId="501467E6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779DB67F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I</w:t>
            </w:r>
          </w:p>
        </w:tc>
        <w:tc>
          <w:tcPr>
            <w:tcW w:w="1499" w:type="pct"/>
          </w:tcPr>
          <w:p w14:paraId="786F1A0C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5 (8.9)</w:t>
            </w:r>
          </w:p>
        </w:tc>
      </w:tr>
      <w:tr w:rsidR="00A436EF" w:rsidRPr="008F0B93" w14:paraId="7C685E4D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1D37EC10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II</w:t>
            </w:r>
          </w:p>
        </w:tc>
        <w:tc>
          <w:tcPr>
            <w:tcW w:w="1499" w:type="pct"/>
          </w:tcPr>
          <w:p w14:paraId="0567DBD0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5 (8.9)</w:t>
            </w:r>
          </w:p>
        </w:tc>
      </w:tr>
      <w:tr w:rsidR="00A436EF" w:rsidRPr="008F0B93" w14:paraId="4FD36737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4AF6A276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III</w:t>
            </w:r>
          </w:p>
        </w:tc>
        <w:tc>
          <w:tcPr>
            <w:tcW w:w="1499" w:type="pct"/>
          </w:tcPr>
          <w:p w14:paraId="72C377AF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46 (82.1)</w:t>
            </w:r>
          </w:p>
        </w:tc>
      </w:tr>
      <w:tr w:rsidR="00A436EF" w:rsidRPr="008F0B93" w14:paraId="34271AB8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  <w:hideMark/>
          </w:tcPr>
          <w:p w14:paraId="7C2B7F85" w14:textId="490A1879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R-ISS staging, n (%)</w:t>
            </w:r>
          </w:p>
        </w:tc>
        <w:tc>
          <w:tcPr>
            <w:tcW w:w="1499" w:type="pct"/>
          </w:tcPr>
          <w:p w14:paraId="2BC809A7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</w:tr>
      <w:tr w:rsidR="00A436EF" w:rsidRPr="008F0B93" w14:paraId="177769F2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5B38D085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I</w:t>
            </w:r>
          </w:p>
        </w:tc>
        <w:tc>
          <w:tcPr>
            <w:tcW w:w="1499" w:type="pct"/>
          </w:tcPr>
          <w:p w14:paraId="2DA469B1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16 (28.5)</w:t>
            </w:r>
          </w:p>
        </w:tc>
      </w:tr>
      <w:tr w:rsidR="00A436EF" w:rsidRPr="008F0B93" w14:paraId="6AFD3BB2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5B2816B2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II</w:t>
            </w:r>
          </w:p>
        </w:tc>
        <w:tc>
          <w:tcPr>
            <w:tcW w:w="1499" w:type="pct"/>
          </w:tcPr>
          <w:p w14:paraId="2BFB83D5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35 (61.1)</w:t>
            </w:r>
          </w:p>
        </w:tc>
      </w:tr>
      <w:tr w:rsidR="00A436EF" w:rsidRPr="008F0B93" w14:paraId="67F3D0B1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0FE81A25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III</w:t>
            </w:r>
          </w:p>
        </w:tc>
        <w:tc>
          <w:tcPr>
            <w:tcW w:w="1499" w:type="pct"/>
          </w:tcPr>
          <w:p w14:paraId="563FC84B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4 (7.4)</w:t>
            </w:r>
          </w:p>
        </w:tc>
      </w:tr>
      <w:tr w:rsidR="00A436EF" w:rsidRPr="008F0B93" w14:paraId="5968C6AE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0F9A0247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High-risk cytogenetic features</w:t>
            </w: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sz w:val="22"/>
              </w:rPr>
              <w:t xml:space="preserve">, n (%) </w:t>
            </w:r>
          </w:p>
        </w:tc>
        <w:tc>
          <w:tcPr>
            <w:tcW w:w="1499" w:type="pct"/>
          </w:tcPr>
          <w:p w14:paraId="22560775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</w:tr>
      <w:tr w:rsidR="00A436EF" w:rsidRPr="008F0B93" w14:paraId="285CF5B1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239ADD60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499" w:type="pct"/>
          </w:tcPr>
          <w:p w14:paraId="072B6F64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34 (61.8)</w:t>
            </w:r>
          </w:p>
        </w:tc>
      </w:tr>
      <w:tr w:rsidR="00A436EF" w:rsidRPr="008F0B93" w14:paraId="00CE6625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114A6125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499" w:type="pct"/>
          </w:tcPr>
          <w:p w14:paraId="6D7D73BF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11 (20.0)</w:t>
            </w:r>
          </w:p>
        </w:tc>
      </w:tr>
      <w:tr w:rsidR="00A436EF" w:rsidRPr="008F0B93" w14:paraId="174CC8BA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  <w:hideMark/>
          </w:tcPr>
          <w:p w14:paraId="09314162" w14:textId="77777777" w:rsidR="00074245" w:rsidRPr="008F0B93" w:rsidRDefault="00074245" w:rsidP="00DD1ECA">
            <w:pPr>
              <w:spacing w:line="360" w:lineRule="atLeast"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lastRenderedPageBreak/>
              <w:t>2</w:t>
            </w:r>
          </w:p>
        </w:tc>
        <w:tc>
          <w:tcPr>
            <w:tcW w:w="1499" w:type="pct"/>
          </w:tcPr>
          <w:p w14:paraId="41A5F8F6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10 (18.2)</w:t>
            </w:r>
          </w:p>
        </w:tc>
      </w:tr>
      <w:tr w:rsidR="00A436EF" w:rsidRPr="008F0B93" w14:paraId="6B17CB1D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  <w:hideMark/>
          </w:tcPr>
          <w:p w14:paraId="77BD5126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Triple-exposure, n (%)</w:t>
            </w:r>
          </w:p>
        </w:tc>
        <w:tc>
          <w:tcPr>
            <w:tcW w:w="1499" w:type="pct"/>
          </w:tcPr>
          <w:p w14:paraId="34DF06E2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10 (17.9)</w:t>
            </w:r>
          </w:p>
        </w:tc>
      </w:tr>
      <w:tr w:rsidR="00A436EF" w:rsidRPr="008F0B93" w14:paraId="4E33D8B7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0AD80E86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Penta- exposure, n (%)</w:t>
            </w:r>
          </w:p>
        </w:tc>
        <w:tc>
          <w:tcPr>
            <w:tcW w:w="1499" w:type="pct"/>
          </w:tcPr>
          <w:p w14:paraId="1DB1EF3E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7 (12.5)</w:t>
            </w:r>
          </w:p>
        </w:tc>
      </w:tr>
      <w:tr w:rsidR="00A436EF" w:rsidRPr="008F0B93" w14:paraId="6F2C957C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360DD15A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Previous autologous stem cell transplantation, n (%)</w:t>
            </w:r>
          </w:p>
        </w:tc>
        <w:tc>
          <w:tcPr>
            <w:tcW w:w="1499" w:type="pct"/>
          </w:tcPr>
          <w:p w14:paraId="4B25409D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16 (28.5)</w:t>
            </w:r>
          </w:p>
        </w:tc>
      </w:tr>
      <w:tr w:rsidR="00A436EF" w:rsidRPr="008F0B93" w14:paraId="031180E6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1C6F96B5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Previous CAR-T therapy, n (%)</w:t>
            </w:r>
          </w:p>
        </w:tc>
        <w:tc>
          <w:tcPr>
            <w:tcW w:w="1499" w:type="pct"/>
          </w:tcPr>
          <w:p w14:paraId="7FF55D84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6 (10.7)</w:t>
            </w:r>
          </w:p>
        </w:tc>
      </w:tr>
      <w:tr w:rsidR="00A436EF" w:rsidRPr="008F0B93" w14:paraId="33C1402B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518AB96A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color w:val="FF000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FF0000"/>
                <w:kern w:val="0"/>
                <w:sz w:val="22"/>
              </w:rPr>
              <w:t>Bridging therapy, n (%)</w:t>
            </w:r>
          </w:p>
        </w:tc>
        <w:tc>
          <w:tcPr>
            <w:tcW w:w="1499" w:type="pct"/>
          </w:tcPr>
          <w:p w14:paraId="51F80AC0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FF0000"/>
                <w:sz w:val="22"/>
              </w:rPr>
              <w:t>18 (32.1)</w:t>
            </w:r>
          </w:p>
        </w:tc>
      </w:tr>
      <w:tr w:rsidR="00A436EF" w:rsidRPr="008F0B93" w14:paraId="38FC87B3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17C771FD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color w:val="FF000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FF0000"/>
                <w:kern w:val="0"/>
                <w:sz w:val="22"/>
              </w:rPr>
              <w:t>CAR-T cell dose</w:t>
            </w:r>
          </w:p>
        </w:tc>
        <w:tc>
          <w:tcPr>
            <w:tcW w:w="1499" w:type="pct"/>
          </w:tcPr>
          <w:p w14:paraId="596CAB82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sz w:val="22"/>
              </w:rPr>
            </w:pPr>
          </w:p>
        </w:tc>
      </w:tr>
      <w:tr w:rsidR="00A436EF" w:rsidRPr="008F0B93" w14:paraId="03E5DD10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4AEE9FF7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color w:val="FF000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color w:val="FF0000"/>
                <w:kern w:val="0"/>
                <w:sz w:val="22"/>
              </w:rPr>
              <w:t xml:space="preserve"> </w:t>
            </w:r>
            <w:r w:rsidRPr="008F0B93">
              <w:rPr>
                <w:rFonts w:ascii="Times New Roman" w:hAnsi="Times New Roman" w:cs="Times New Roman"/>
                <w:b w:val="0"/>
                <w:bCs w:val="0"/>
                <w:color w:val="FF0000"/>
                <w:sz w:val="22"/>
                <w14:ligatures w14:val="standardContextual"/>
              </w:rPr>
              <w:t xml:space="preserve"> </w:t>
            </w:r>
            <w:r w:rsidRPr="008F0B93">
              <w:rPr>
                <w:rFonts w:ascii="Times New Roman" w:eastAsia="宋体" w:hAnsi="Times New Roman" w:cs="Times New Roman"/>
                <w:b w:val="0"/>
                <w:color w:val="FF0000"/>
                <w:kern w:val="0"/>
                <w:sz w:val="22"/>
              </w:rPr>
              <w:t>1×10</w:t>
            </w:r>
            <w:r w:rsidRPr="008F0B93">
              <w:rPr>
                <w:rFonts w:ascii="Times New Roman" w:eastAsia="宋体" w:hAnsi="Times New Roman" w:cs="Times New Roman"/>
                <w:color w:val="FF0000"/>
                <w:kern w:val="0"/>
                <w:sz w:val="22"/>
                <w:vertAlign w:val="superscript"/>
              </w:rPr>
              <w:t>6</w:t>
            </w:r>
          </w:p>
        </w:tc>
        <w:tc>
          <w:tcPr>
            <w:tcW w:w="1499" w:type="pct"/>
          </w:tcPr>
          <w:p w14:paraId="3F7B9A93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FF0000"/>
                <w:sz w:val="22"/>
              </w:rPr>
              <w:t>48 (85.7)</w:t>
            </w:r>
          </w:p>
        </w:tc>
      </w:tr>
      <w:tr w:rsidR="00A436EF" w:rsidRPr="008F0B93" w14:paraId="2AD9D660" w14:textId="77777777" w:rsidTr="00DD1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</w:tcPr>
          <w:p w14:paraId="245E5241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color w:val="FF000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color w:val="FF0000"/>
                <w:kern w:val="0"/>
                <w:sz w:val="22"/>
              </w:rPr>
              <w:t xml:space="preserve">  3×10</w:t>
            </w:r>
            <w:r w:rsidRPr="008F0B93">
              <w:rPr>
                <w:rFonts w:ascii="Times New Roman" w:eastAsia="宋体" w:hAnsi="Times New Roman" w:cs="Times New Roman"/>
                <w:b w:val="0"/>
                <w:color w:val="FF0000"/>
                <w:kern w:val="0"/>
                <w:sz w:val="22"/>
                <w:vertAlign w:val="superscript"/>
              </w:rPr>
              <w:t>6</w:t>
            </w:r>
          </w:p>
        </w:tc>
        <w:tc>
          <w:tcPr>
            <w:tcW w:w="1499" w:type="pct"/>
          </w:tcPr>
          <w:p w14:paraId="51865E3B" w14:textId="77777777" w:rsidR="00074245" w:rsidRPr="008F0B93" w:rsidRDefault="00074245" w:rsidP="00DD1ECA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FF0000"/>
                <w:sz w:val="22"/>
              </w:rPr>
              <w:t>6 (10.7)</w:t>
            </w:r>
          </w:p>
        </w:tc>
      </w:tr>
      <w:tr w:rsidR="00A436EF" w:rsidRPr="008F0B93" w14:paraId="6C880D9B" w14:textId="77777777" w:rsidTr="00DD1EC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1" w:type="pct"/>
            <w:tcBorders>
              <w:bottom w:val="single" w:sz="4" w:space="0" w:color="auto"/>
            </w:tcBorders>
          </w:tcPr>
          <w:p w14:paraId="0201EBA8" w14:textId="77777777" w:rsidR="00074245" w:rsidRPr="008F0B93" w:rsidRDefault="00074245" w:rsidP="00DD1ECA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color w:val="FF000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color w:val="FF0000"/>
                <w:kern w:val="0"/>
                <w:sz w:val="22"/>
              </w:rPr>
              <w:t xml:space="preserve"> </w:t>
            </w:r>
            <w:r w:rsidRPr="008F0B93"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  <w:t xml:space="preserve"> </w:t>
            </w:r>
            <w:r w:rsidRPr="008F0B93">
              <w:rPr>
                <w:rFonts w:ascii="Times New Roman" w:eastAsia="宋体" w:hAnsi="Times New Roman" w:cs="Times New Roman"/>
                <w:b w:val="0"/>
                <w:bCs w:val="0"/>
                <w:color w:val="FF0000"/>
                <w:kern w:val="0"/>
                <w:sz w:val="22"/>
              </w:rPr>
              <w:t>6</w:t>
            </w:r>
            <w:r w:rsidRPr="008F0B93">
              <w:rPr>
                <w:rFonts w:ascii="Times New Roman" w:eastAsia="宋体" w:hAnsi="Times New Roman" w:cs="Times New Roman"/>
                <w:b w:val="0"/>
                <w:color w:val="FF0000"/>
                <w:kern w:val="0"/>
                <w:sz w:val="22"/>
              </w:rPr>
              <w:t>×10</w:t>
            </w:r>
            <w:r w:rsidRPr="008F0B93">
              <w:rPr>
                <w:rFonts w:ascii="Times New Roman" w:eastAsia="宋体" w:hAnsi="Times New Roman" w:cs="Times New Roman"/>
                <w:b w:val="0"/>
                <w:color w:val="FF0000"/>
                <w:kern w:val="0"/>
                <w:sz w:val="22"/>
                <w:vertAlign w:val="superscript"/>
              </w:rPr>
              <w:t>6</w:t>
            </w:r>
          </w:p>
        </w:tc>
        <w:tc>
          <w:tcPr>
            <w:tcW w:w="1499" w:type="pct"/>
            <w:tcBorders>
              <w:bottom w:val="single" w:sz="4" w:space="0" w:color="auto"/>
            </w:tcBorders>
          </w:tcPr>
          <w:p w14:paraId="1EBA4A26" w14:textId="77777777" w:rsidR="00074245" w:rsidRPr="008F0B93" w:rsidRDefault="00074245" w:rsidP="00DD1ECA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color w:val="FF0000"/>
                <w:sz w:val="22"/>
              </w:rPr>
              <w:t>2 (3.6)</w:t>
            </w:r>
          </w:p>
        </w:tc>
      </w:tr>
    </w:tbl>
    <w:p w14:paraId="31595E19" w14:textId="1BB929A2" w:rsidR="009940E5" w:rsidRPr="008F0B93" w:rsidRDefault="009940E5" w:rsidP="00413DE4">
      <w:pPr>
        <w:spacing w:line="360" w:lineRule="auto"/>
        <w:rPr>
          <w:rFonts w:ascii="Times New Roman" w:hAnsi="Times New Roman" w:cs="Times New Roman"/>
          <w:sz w:val="22"/>
        </w:rPr>
      </w:pPr>
    </w:p>
    <w:p w14:paraId="175E1A30" w14:textId="099A2FE1" w:rsidR="00413DE4" w:rsidRPr="008F0B93" w:rsidRDefault="00413DE4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F0B93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 w:rsidRPr="008F0B93">
        <w:rPr>
          <w:rFonts w:ascii="Times New Roman" w:hAnsi="Times New Roman" w:cs="Times New Roman" w:hint="eastAsia"/>
          <w:b/>
          <w:bCs/>
          <w:sz w:val="22"/>
          <w:szCs w:val="22"/>
        </w:rPr>
        <w:t>S</w:t>
      </w:r>
      <w:r w:rsidRPr="008F0B93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Pr="008F0B93">
        <w:rPr>
          <w:rFonts w:ascii="Times New Roman" w:hAnsi="Times New Roman" w:cs="Times New Roman"/>
          <w:sz w:val="22"/>
          <w:szCs w:val="22"/>
        </w:rPr>
        <w:t>.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 Baseline patient characteristics.</w:t>
      </w:r>
    </w:p>
    <w:p w14:paraId="5F1D4027" w14:textId="1CBD1335" w:rsidR="00074245" w:rsidRPr="008F0B93" w:rsidRDefault="00074245" w:rsidP="00074245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8F0B93">
        <w:rPr>
          <w:rFonts w:ascii="Times New Roman" w:hAnsi="Times New Roman" w:cs="Times New Roman"/>
          <w:sz w:val="22"/>
        </w:rPr>
        <w:t>BCMA, B-cell maturation antigen; CAR, chimeric antigen receptor;</w:t>
      </w:r>
      <w:r w:rsidRPr="008F0B93">
        <w:rPr>
          <w:rFonts w:ascii="Times New Roman" w:hAnsi="Times New Roman" w:cs="Times New Roman" w:hint="eastAsia"/>
          <w:sz w:val="22"/>
        </w:rPr>
        <w:t xml:space="preserve"> </w:t>
      </w:r>
      <w:r w:rsidRPr="008F0B93">
        <w:rPr>
          <w:rFonts w:ascii="Times New Roman" w:hAnsi="Times New Roman" w:cs="Times New Roman"/>
          <w:color w:val="FF0000"/>
          <w:sz w:val="22"/>
        </w:rPr>
        <w:t>ECOG, Eastern Cooperative Oncology Group</w:t>
      </w:r>
      <w:r w:rsidRPr="008F0B93">
        <w:rPr>
          <w:rFonts w:ascii="Times New Roman" w:hAnsi="Times New Roman" w:cs="Times New Roman" w:hint="eastAsia"/>
          <w:color w:val="FF0000"/>
          <w:sz w:val="22"/>
        </w:rPr>
        <w:t>;</w:t>
      </w:r>
      <w:r w:rsidRPr="008F0B93">
        <w:rPr>
          <w:rFonts w:ascii="Times New Roman" w:hAnsi="Times New Roman" w:cs="Times New Roman" w:hint="eastAsia"/>
          <w:sz w:val="22"/>
        </w:rPr>
        <w:t xml:space="preserve"> </w:t>
      </w:r>
      <w:r w:rsidRPr="008F0B93">
        <w:rPr>
          <w:rFonts w:ascii="Times New Roman" w:hAnsi="Times New Roman" w:cs="Times New Roman"/>
          <w:sz w:val="22"/>
        </w:rPr>
        <w:t>EMMR-ISS, Revised International Staging System; DS, Durie-Salmon; IQR, interquartile range; Spcl</w:t>
      </w:r>
      <w:r w:rsidRPr="008F0B93">
        <w:rPr>
          <w:rFonts w:ascii="Times New Roman" w:hAnsi="Times New Roman" w:cs="Times New Roman" w:hint="eastAsia"/>
          <w:sz w:val="22"/>
        </w:rPr>
        <w:t xml:space="preserve">, </w:t>
      </w:r>
      <w:r w:rsidRPr="008F0B93">
        <w:rPr>
          <w:rFonts w:ascii="Times New Roman" w:hAnsi="Times New Roman" w:cs="Times New Roman"/>
          <w:sz w:val="22"/>
        </w:rPr>
        <w:t>secondary plasma cell leukaemia; sBCMA, plasma levels of soluble BCMA.</w:t>
      </w:r>
    </w:p>
    <w:p w14:paraId="5A023678" w14:textId="77777777" w:rsidR="00074245" w:rsidRPr="008F0B93" w:rsidRDefault="00074245" w:rsidP="00074245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2"/>
          <w14:ligatures w14:val="none"/>
        </w:rPr>
      </w:pPr>
    </w:p>
    <w:tbl>
      <w:tblPr>
        <w:tblStyle w:val="ab"/>
        <w:tblpPr w:leftFromText="180" w:rightFromText="180" w:vertAnchor="text" w:horzAnchor="margin" w:tblpY="25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5"/>
        <w:gridCol w:w="1289"/>
        <w:gridCol w:w="2005"/>
        <w:gridCol w:w="1287"/>
      </w:tblGrid>
      <w:tr w:rsidR="00A436EF" w:rsidRPr="008F0B93" w14:paraId="017BD096" w14:textId="77777777" w:rsidTr="00DD1ECA">
        <w:trPr>
          <w:trHeight w:val="454"/>
        </w:trPr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0032F5AF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eastAsia="宋体" w:hAnsi="Times New Roman" w:cs="Times New Roman" w:hint="eastAsia"/>
                <w:color w:val="FF0000"/>
                <w:kern w:val="0"/>
                <w:szCs w:val="22"/>
              </w:rPr>
              <w:t>Characteristic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</w:tcPr>
          <w:p w14:paraId="3E07E210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eastAsia="宋体" w:hAnsi="Times New Roman" w:cs="Times New Roman" w:hint="eastAsia"/>
                <w:color w:val="FF0000"/>
                <w:kern w:val="0"/>
                <w:szCs w:val="22"/>
              </w:rPr>
              <w:t xml:space="preserve">HR </w:t>
            </w:r>
          </w:p>
        </w:tc>
        <w:tc>
          <w:tcPr>
            <w:tcW w:w="1207" w:type="pct"/>
            <w:tcBorders>
              <w:top w:val="single" w:sz="4" w:space="0" w:color="auto"/>
              <w:bottom w:val="single" w:sz="4" w:space="0" w:color="auto"/>
            </w:tcBorders>
          </w:tcPr>
          <w:p w14:paraId="4F784F16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eastAsia="宋体" w:hAnsi="Times New Roman" w:cs="Times New Roman" w:hint="eastAsia"/>
                <w:color w:val="FF0000"/>
                <w:kern w:val="0"/>
                <w:szCs w:val="22"/>
              </w:rPr>
              <w:t xml:space="preserve"> 95%CI</w:t>
            </w:r>
          </w:p>
        </w:tc>
        <w:tc>
          <w:tcPr>
            <w:tcW w:w="775" w:type="pct"/>
            <w:tcBorders>
              <w:top w:val="single" w:sz="4" w:space="0" w:color="auto"/>
              <w:bottom w:val="single" w:sz="4" w:space="0" w:color="auto"/>
            </w:tcBorders>
          </w:tcPr>
          <w:p w14:paraId="557EEDF6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eastAsia="宋体" w:hAnsi="Times New Roman" w:cs="Times New Roman" w:hint="eastAsia"/>
                <w:color w:val="FF0000"/>
                <w:kern w:val="0"/>
                <w:szCs w:val="22"/>
              </w:rPr>
              <w:t>p value</w:t>
            </w:r>
          </w:p>
        </w:tc>
      </w:tr>
      <w:tr w:rsidR="00A436EF" w:rsidRPr="008F0B93" w14:paraId="253FCE09" w14:textId="77777777" w:rsidTr="00DD1ECA">
        <w:trPr>
          <w:trHeight w:val="454"/>
        </w:trPr>
        <w:tc>
          <w:tcPr>
            <w:tcW w:w="2242" w:type="pct"/>
            <w:tcBorders>
              <w:top w:val="single" w:sz="4" w:space="0" w:color="auto"/>
            </w:tcBorders>
          </w:tcPr>
          <w:p w14:paraId="05FDB248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Age,&gt;60 years</w:t>
            </w:r>
          </w:p>
        </w:tc>
        <w:tc>
          <w:tcPr>
            <w:tcW w:w="776" w:type="pct"/>
            <w:tcBorders>
              <w:top w:val="single" w:sz="4" w:space="0" w:color="auto"/>
            </w:tcBorders>
          </w:tcPr>
          <w:p w14:paraId="70AD38F0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0.893</w:t>
            </w:r>
          </w:p>
        </w:tc>
        <w:tc>
          <w:tcPr>
            <w:tcW w:w="1207" w:type="pct"/>
            <w:tcBorders>
              <w:top w:val="single" w:sz="4" w:space="0" w:color="auto"/>
            </w:tcBorders>
          </w:tcPr>
          <w:p w14:paraId="406E5125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0.372-2.142</w:t>
            </w:r>
          </w:p>
        </w:tc>
        <w:tc>
          <w:tcPr>
            <w:tcW w:w="775" w:type="pct"/>
            <w:tcBorders>
              <w:top w:val="single" w:sz="4" w:space="0" w:color="auto"/>
            </w:tcBorders>
          </w:tcPr>
          <w:p w14:paraId="632BE011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0.800</w:t>
            </w:r>
          </w:p>
        </w:tc>
      </w:tr>
      <w:tr w:rsidR="00A436EF" w:rsidRPr="008F0B93" w14:paraId="0C472DB3" w14:textId="77777777" w:rsidTr="00DD1ECA">
        <w:trPr>
          <w:trHeight w:val="454"/>
        </w:trPr>
        <w:tc>
          <w:tcPr>
            <w:tcW w:w="2242" w:type="pct"/>
          </w:tcPr>
          <w:p w14:paraId="1BCFEB4A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Gender, male</w:t>
            </w:r>
          </w:p>
        </w:tc>
        <w:tc>
          <w:tcPr>
            <w:tcW w:w="776" w:type="pct"/>
          </w:tcPr>
          <w:p w14:paraId="12823C52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0.654</w:t>
            </w:r>
          </w:p>
        </w:tc>
        <w:tc>
          <w:tcPr>
            <w:tcW w:w="1207" w:type="pct"/>
          </w:tcPr>
          <w:p w14:paraId="2950BF60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0.297-1.439</w:t>
            </w:r>
          </w:p>
        </w:tc>
        <w:tc>
          <w:tcPr>
            <w:tcW w:w="775" w:type="pct"/>
          </w:tcPr>
          <w:p w14:paraId="19CA9873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0.291</w:t>
            </w:r>
          </w:p>
        </w:tc>
      </w:tr>
      <w:tr w:rsidR="00A436EF" w:rsidRPr="008F0B93" w14:paraId="7D978222" w14:textId="77777777" w:rsidTr="00DD1ECA">
        <w:trPr>
          <w:trHeight w:val="454"/>
        </w:trPr>
        <w:tc>
          <w:tcPr>
            <w:tcW w:w="2242" w:type="pct"/>
          </w:tcPr>
          <w:p w14:paraId="21B0EF2A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Previous lines,&gt;6 lines</w:t>
            </w:r>
          </w:p>
        </w:tc>
        <w:tc>
          <w:tcPr>
            <w:tcW w:w="776" w:type="pct"/>
          </w:tcPr>
          <w:p w14:paraId="1BD3EE82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0.418</w:t>
            </w:r>
          </w:p>
        </w:tc>
        <w:tc>
          <w:tcPr>
            <w:tcW w:w="1207" w:type="pct"/>
          </w:tcPr>
          <w:p w14:paraId="2C71B94F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0.165-1.056</w:t>
            </w:r>
          </w:p>
        </w:tc>
        <w:tc>
          <w:tcPr>
            <w:tcW w:w="775" w:type="pct"/>
          </w:tcPr>
          <w:p w14:paraId="21DEDB80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0.065</w:t>
            </w:r>
          </w:p>
        </w:tc>
      </w:tr>
      <w:tr w:rsidR="00A436EF" w:rsidRPr="008F0B93" w14:paraId="64394E3A" w14:textId="77777777" w:rsidTr="00DD1ECA">
        <w:trPr>
          <w:trHeight w:val="454"/>
        </w:trPr>
        <w:tc>
          <w:tcPr>
            <w:tcW w:w="2242" w:type="pct"/>
          </w:tcPr>
          <w:p w14:paraId="38683AE1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/>
                <w:color w:val="FF0000"/>
                <w:szCs w:val="22"/>
              </w:rPr>
              <w:t>Previous therapies</w:t>
            </w:r>
          </w:p>
        </w:tc>
        <w:tc>
          <w:tcPr>
            <w:tcW w:w="776" w:type="pct"/>
          </w:tcPr>
          <w:p w14:paraId="11A78C34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07" w:type="pct"/>
          </w:tcPr>
          <w:p w14:paraId="63BA5EC9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75" w:type="pct"/>
          </w:tcPr>
          <w:p w14:paraId="7FD33230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A436EF" w:rsidRPr="008F0B93" w14:paraId="13B97395" w14:textId="77777777" w:rsidTr="00DD1ECA">
        <w:trPr>
          <w:trHeight w:val="454"/>
        </w:trPr>
        <w:tc>
          <w:tcPr>
            <w:tcW w:w="2242" w:type="pct"/>
          </w:tcPr>
          <w:p w14:paraId="057AEB67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/>
                <w:color w:val="FF0000"/>
                <w:szCs w:val="22"/>
              </w:rPr>
              <w:t>Monoclonal antibody</w:t>
            </w:r>
          </w:p>
        </w:tc>
        <w:tc>
          <w:tcPr>
            <w:tcW w:w="776" w:type="pct"/>
          </w:tcPr>
          <w:p w14:paraId="57A58A36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4.472</w:t>
            </w:r>
          </w:p>
        </w:tc>
        <w:tc>
          <w:tcPr>
            <w:tcW w:w="1207" w:type="pct"/>
          </w:tcPr>
          <w:p w14:paraId="04B41183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1.667-11.998</w:t>
            </w:r>
          </w:p>
        </w:tc>
        <w:tc>
          <w:tcPr>
            <w:tcW w:w="775" w:type="pct"/>
          </w:tcPr>
          <w:p w14:paraId="0B10848B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0.003</w:t>
            </w:r>
          </w:p>
        </w:tc>
      </w:tr>
      <w:tr w:rsidR="00A436EF" w:rsidRPr="008F0B93" w14:paraId="269F5101" w14:textId="77777777" w:rsidTr="00DD1ECA">
        <w:trPr>
          <w:trHeight w:val="454"/>
        </w:trPr>
        <w:tc>
          <w:tcPr>
            <w:tcW w:w="2242" w:type="pct"/>
          </w:tcPr>
          <w:p w14:paraId="4C93DF9D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Previous ASCT</w:t>
            </w:r>
          </w:p>
        </w:tc>
        <w:tc>
          <w:tcPr>
            <w:tcW w:w="776" w:type="pct"/>
          </w:tcPr>
          <w:p w14:paraId="5FF6649F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2.965</w:t>
            </w:r>
          </w:p>
        </w:tc>
        <w:tc>
          <w:tcPr>
            <w:tcW w:w="1207" w:type="pct"/>
          </w:tcPr>
          <w:p w14:paraId="0A7F18C2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1.362-6.455</w:t>
            </w:r>
          </w:p>
        </w:tc>
        <w:tc>
          <w:tcPr>
            <w:tcW w:w="775" w:type="pct"/>
          </w:tcPr>
          <w:p w14:paraId="48E57AA8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0.006</w:t>
            </w:r>
          </w:p>
        </w:tc>
      </w:tr>
      <w:tr w:rsidR="00A436EF" w:rsidRPr="008F0B93" w14:paraId="78C58E6D" w14:textId="77777777" w:rsidTr="00DD1ECA">
        <w:trPr>
          <w:trHeight w:val="454"/>
        </w:trPr>
        <w:tc>
          <w:tcPr>
            <w:tcW w:w="2242" w:type="pct"/>
          </w:tcPr>
          <w:p w14:paraId="48F36243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/>
                <w:color w:val="FF0000"/>
                <w:szCs w:val="22"/>
              </w:rPr>
              <w:t>Previous CAR</w:t>
            </w: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-T</w:t>
            </w:r>
            <w:r w:rsidRPr="008F0B93">
              <w:rPr>
                <w:rFonts w:ascii="Times New Roman" w:hAnsi="Times New Roman" w:cs="Times New Roman"/>
                <w:color w:val="FF0000"/>
                <w:szCs w:val="22"/>
              </w:rPr>
              <w:t xml:space="preserve"> therapy</w:t>
            </w:r>
          </w:p>
        </w:tc>
        <w:tc>
          <w:tcPr>
            <w:tcW w:w="776" w:type="pct"/>
          </w:tcPr>
          <w:p w14:paraId="3C0D8872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1.118</w:t>
            </w:r>
          </w:p>
        </w:tc>
        <w:tc>
          <w:tcPr>
            <w:tcW w:w="1207" w:type="pct"/>
          </w:tcPr>
          <w:p w14:paraId="6E384AAA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0.317-3.943</w:t>
            </w:r>
          </w:p>
        </w:tc>
        <w:tc>
          <w:tcPr>
            <w:tcW w:w="775" w:type="pct"/>
          </w:tcPr>
          <w:p w14:paraId="00954004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0.863</w:t>
            </w:r>
          </w:p>
        </w:tc>
      </w:tr>
      <w:tr w:rsidR="00A436EF" w:rsidRPr="008F0B93" w14:paraId="1B6D6E70" w14:textId="77777777" w:rsidTr="00DD1ECA">
        <w:trPr>
          <w:trHeight w:val="454"/>
        </w:trPr>
        <w:tc>
          <w:tcPr>
            <w:tcW w:w="2242" w:type="pct"/>
            <w:tcBorders>
              <w:bottom w:val="single" w:sz="4" w:space="0" w:color="auto"/>
            </w:tcBorders>
          </w:tcPr>
          <w:p w14:paraId="4DF5D58C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Best Response, CR/sCR</w:t>
            </w:r>
          </w:p>
        </w:tc>
        <w:tc>
          <w:tcPr>
            <w:tcW w:w="776" w:type="pct"/>
            <w:tcBorders>
              <w:bottom w:val="single" w:sz="4" w:space="0" w:color="auto"/>
            </w:tcBorders>
          </w:tcPr>
          <w:p w14:paraId="6B0E3B17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0.086</w:t>
            </w:r>
          </w:p>
        </w:tc>
        <w:tc>
          <w:tcPr>
            <w:tcW w:w="1207" w:type="pct"/>
            <w:tcBorders>
              <w:bottom w:val="single" w:sz="4" w:space="0" w:color="auto"/>
            </w:tcBorders>
          </w:tcPr>
          <w:p w14:paraId="1BFDDC64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0.030-0.248</w:t>
            </w:r>
          </w:p>
        </w:tc>
        <w:tc>
          <w:tcPr>
            <w:tcW w:w="775" w:type="pct"/>
            <w:tcBorders>
              <w:bottom w:val="single" w:sz="4" w:space="0" w:color="auto"/>
            </w:tcBorders>
          </w:tcPr>
          <w:p w14:paraId="74FCA5B1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&lt;0.001</w:t>
            </w:r>
          </w:p>
        </w:tc>
      </w:tr>
    </w:tbl>
    <w:p w14:paraId="50329155" w14:textId="167C4A90" w:rsidR="00074245" w:rsidRPr="008F0B93" w:rsidRDefault="00074245" w:rsidP="00074245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14:ligatures w14:val="none"/>
        </w:rPr>
      </w:pPr>
      <w:r w:rsidRPr="008F0B93">
        <w:rPr>
          <w:rFonts w:ascii="Times New Roman" w:hAnsi="Times New Roman" w:cs="Times New Roman"/>
          <w:b/>
          <w:bCs/>
          <w:color w:val="FF0000"/>
          <w:sz w:val="22"/>
          <w14:ligatures w14:val="none"/>
        </w:rPr>
        <w:t xml:space="preserve">Table </w:t>
      </w:r>
      <w:r w:rsidRPr="008F0B93">
        <w:rPr>
          <w:rFonts w:ascii="Times New Roman" w:hAnsi="Times New Roman" w:cs="Times New Roman" w:hint="eastAsia"/>
          <w:b/>
          <w:bCs/>
          <w:color w:val="FF0000"/>
          <w:sz w:val="22"/>
          <w14:ligatures w14:val="none"/>
        </w:rPr>
        <w:t>S2</w:t>
      </w:r>
      <w:r w:rsidRPr="008F0B93">
        <w:rPr>
          <w:rFonts w:ascii="Times New Roman" w:hAnsi="Times New Roman" w:cs="Times New Roman"/>
          <w:color w:val="FF0000"/>
          <w:sz w:val="22"/>
          <w14:ligatures w14:val="none"/>
        </w:rPr>
        <w:t>.</w:t>
      </w:r>
      <w:r w:rsidRPr="008F0B93">
        <w:rPr>
          <w:rFonts w:ascii="Times New Roman" w:hAnsi="Times New Roman" w:cs="Times New Roman" w:hint="eastAsia"/>
          <w:color w:val="FF0000"/>
          <w:sz w:val="22"/>
          <w14:ligatures w14:val="none"/>
        </w:rPr>
        <w:t xml:space="preserve"> Multivariate Cox regression models of predictors of DOR.</w:t>
      </w:r>
    </w:p>
    <w:p w14:paraId="22515120" w14:textId="0AEC27C9" w:rsidR="00074245" w:rsidRPr="008F0B93" w:rsidRDefault="00074245" w:rsidP="00074245">
      <w:pPr>
        <w:pStyle w:val="a8"/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bookmarkStart w:id="1" w:name="_Hlk194567204"/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lastRenderedPageBreak/>
        <w:t xml:space="preserve">ASCT,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autologous stem cell transplantation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;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CR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,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complete response; 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DOR,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duration of response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;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sCR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,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stringent complete response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.</w:t>
      </w:r>
    </w:p>
    <w:bookmarkEnd w:id="1"/>
    <w:p w14:paraId="3EFE5121" w14:textId="50836804" w:rsidR="00074245" w:rsidRPr="008F0B93" w:rsidRDefault="00074245" w:rsidP="00074245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color w:val="FF0000"/>
          <w:kern w:val="0"/>
          <w:sz w:val="22"/>
          <w14:ligatures w14:val="none"/>
        </w:rPr>
      </w:pPr>
    </w:p>
    <w:tbl>
      <w:tblPr>
        <w:tblStyle w:val="ab"/>
        <w:tblpPr w:leftFromText="180" w:rightFromText="180" w:vertAnchor="text" w:horzAnchor="margin" w:tblpY="25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5"/>
        <w:gridCol w:w="1289"/>
        <w:gridCol w:w="2005"/>
        <w:gridCol w:w="1287"/>
      </w:tblGrid>
      <w:tr w:rsidR="00074245" w:rsidRPr="008F0B93" w14:paraId="470C8EC0" w14:textId="77777777" w:rsidTr="00DD1ECA">
        <w:trPr>
          <w:trHeight w:val="454"/>
        </w:trPr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3D7B445E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eastAsia="宋体" w:hAnsi="Times New Roman" w:cs="Times New Roman" w:hint="eastAsia"/>
                <w:color w:val="FF0000"/>
                <w:kern w:val="0"/>
                <w:szCs w:val="22"/>
              </w:rPr>
              <w:t>Characteristic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</w:tcPr>
          <w:p w14:paraId="3CFA9AC6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eastAsia="宋体" w:hAnsi="Times New Roman" w:cs="Times New Roman" w:hint="eastAsia"/>
                <w:color w:val="FF0000"/>
                <w:kern w:val="0"/>
                <w:szCs w:val="22"/>
              </w:rPr>
              <w:t xml:space="preserve">HR </w:t>
            </w:r>
          </w:p>
        </w:tc>
        <w:tc>
          <w:tcPr>
            <w:tcW w:w="1207" w:type="pct"/>
            <w:tcBorders>
              <w:top w:val="single" w:sz="4" w:space="0" w:color="auto"/>
              <w:bottom w:val="single" w:sz="4" w:space="0" w:color="auto"/>
            </w:tcBorders>
          </w:tcPr>
          <w:p w14:paraId="7510627C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eastAsia="宋体" w:hAnsi="Times New Roman" w:cs="Times New Roman" w:hint="eastAsia"/>
                <w:color w:val="FF0000"/>
                <w:kern w:val="0"/>
                <w:szCs w:val="22"/>
              </w:rPr>
              <w:t xml:space="preserve"> 95%CI</w:t>
            </w:r>
          </w:p>
        </w:tc>
        <w:tc>
          <w:tcPr>
            <w:tcW w:w="775" w:type="pct"/>
            <w:tcBorders>
              <w:top w:val="single" w:sz="4" w:space="0" w:color="auto"/>
              <w:bottom w:val="single" w:sz="4" w:space="0" w:color="auto"/>
            </w:tcBorders>
          </w:tcPr>
          <w:p w14:paraId="109F36F8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eastAsia="宋体" w:hAnsi="Times New Roman" w:cs="Times New Roman" w:hint="eastAsia"/>
                <w:color w:val="FF0000"/>
                <w:kern w:val="0"/>
                <w:szCs w:val="22"/>
              </w:rPr>
              <w:t>p value</w:t>
            </w:r>
          </w:p>
        </w:tc>
      </w:tr>
      <w:tr w:rsidR="00074245" w:rsidRPr="008F0B93" w14:paraId="44287B4B" w14:textId="77777777" w:rsidTr="00DD1ECA">
        <w:trPr>
          <w:trHeight w:val="454"/>
        </w:trPr>
        <w:tc>
          <w:tcPr>
            <w:tcW w:w="2242" w:type="pct"/>
            <w:tcBorders>
              <w:top w:val="single" w:sz="4" w:space="0" w:color="auto"/>
            </w:tcBorders>
          </w:tcPr>
          <w:p w14:paraId="47CD409A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Age,&gt;60 years</w:t>
            </w:r>
          </w:p>
        </w:tc>
        <w:tc>
          <w:tcPr>
            <w:tcW w:w="776" w:type="pct"/>
            <w:tcBorders>
              <w:top w:val="single" w:sz="4" w:space="0" w:color="auto"/>
            </w:tcBorders>
          </w:tcPr>
          <w:p w14:paraId="28344085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1.034</w:t>
            </w:r>
          </w:p>
        </w:tc>
        <w:tc>
          <w:tcPr>
            <w:tcW w:w="1207" w:type="pct"/>
            <w:tcBorders>
              <w:top w:val="single" w:sz="4" w:space="0" w:color="auto"/>
            </w:tcBorders>
          </w:tcPr>
          <w:p w14:paraId="779BE95B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0.442-2.416</w:t>
            </w:r>
          </w:p>
        </w:tc>
        <w:tc>
          <w:tcPr>
            <w:tcW w:w="775" w:type="pct"/>
            <w:tcBorders>
              <w:top w:val="single" w:sz="4" w:space="0" w:color="auto"/>
            </w:tcBorders>
          </w:tcPr>
          <w:p w14:paraId="33544D5B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0.939</w:t>
            </w:r>
          </w:p>
        </w:tc>
      </w:tr>
      <w:tr w:rsidR="00074245" w:rsidRPr="008F0B93" w14:paraId="127CD433" w14:textId="77777777" w:rsidTr="00DD1ECA">
        <w:trPr>
          <w:trHeight w:val="454"/>
        </w:trPr>
        <w:tc>
          <w:tcPr>
            <w:tcW w:w="2242" w:type="pct"/>
          </w:tcPr>
          <w:p w14:paraId="600EC0EA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Gender, male</w:t>
            </w:r>
          </w:p>
        </w:tc>
        <w:tc>
          <w:tcPr>
            <w:tcW w:w="776" w:type="pct"/>
          </w:tcPr>
          <w:p w14:paraId="310BB497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0.787</w:t>
            </w:r>
          </w:p>
        </w:tc>
        <w:tc>
          <w:tcPr>
            <w:tcW w:w="1207" w:type="pct"/>
          </w:tcPr>
          <w:p w14:paraId="291BC7B1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0.367-1.689</w:t>
            </w:r>
          </w:p>
        </w:tc>
        <w:tc>
          <w:tcPr>
            <w:tcW w:w="775" w:type="pct"/>
          </w:tcPr>
          <w:p w14:paraId="29C8AC0A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0.539</w:t>
            </w:r>
          </w:p>
        </w:tc>
      </w:tr>
      <w:tr w:rsidR="00074245" w:rsidRPr="008F0B93" w14:paraId="2A26009E" w14:textId="77777777" w:rsidTr="00DD1ECA">
        <w:trPr>
          <w:trHeight w:val="454"/>
        </w:trPr>
        <w:tc>
          <w:tcPr>
            <w:tcW w:w="2242" w:type="pct"/>
          </w:tcPr>
          <w:p w14:paraId="59E576D3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Previous lines,&gt;6 lines</w:t>
            </w:r>
          </w:p>
        </w:tc>
        <w:tc>
          <w:tcPr>
            <w:tcW w:w="776" w:type="pct"/>
          </w:tcPr>
          <w:p w14:paraId="530C75BC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0.445</w:t>
            </w:r>
          </w:p>
        </w:tc>
        <w:tc>
          <w:tcPr>
            <w:tcW w:w="1207" w:type="pct"/>
          </w:tcPr>
          <w:p w14:paraId="200D9B85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0.187-1.062</w:t>
            </w:r>
          </w:p>
        </w:tc>
        <w:tc>
          <w:tcPr>
            <w:tcW w:w="775" w:type="pct"/>
          </w:tcPr>
          <w:p w14:paraId="4513F836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0.068</w:t>
            </w:r>
          </w:p>
        </w:tc>
      </w:tr>
      <w:tr w:rsidR="00074245" w:rsidRPr="008F0B93" w14:paraId="14E7CB5D" w14:textId="77777777" w:rsidTr="00DD1ECA">
        <w:trPr>
          <w:trHeight w:val="454"/>
        </w:trPr>
        <w:tc>
          <w:tcPr>
            <w:tcW w:w="2242" w:type="pct"/>
          </w:tcPr>
          <w:p w14:paraId="0EF26E71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/>
                <w:color w:val="FF0000"/>
                <w:szCs w:val="22"/>
              </w:rPr>
              <w:t>Previous therapies</w:t>
            </w:r>
          </w:p>
        </w:tc>
        <w:tc>
          <w:tcPr>
            <w:tcW w:w="776" w:type="pct"/>
          </w:tcPr>
          <w:p w14:paraId="05838BA5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07" w:type="pct"/>
          </w:tcPr>
          <w:p w14:paraId="2290DAF6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75" w:type="pct"/>
          </w:tcPr>
          <w:p w14:paraId="2A2CD4AD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74245" w:rsidRPr="008F0B93" w14:paraId="70043419" w14:textId="77777777" w:rsidTr="00DD1ECA">
        <w:trPr>
          <w:trHeight w:val="454"/>
        </w:trPr>
        <w:tc>
          <w:tcPr>
            <w:tcW w:w="2242" w:type="pct"/>
          </w:tcPr>
          <w:p w14:paraId="1B717273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/>
                <w:color w:val="FF0000"/>
                <w:szCs w:val="22"/>
              </w:rPr>
              <w:t>Monoclonal antibody</w:t>
            </w:r>
          </w:p>
        </w:tc>
        <w:tc>
          <w:tcPr>
            <w:tcW w:w="776" w:type="pct"/>
          </w:tcPr>
          <w:p w14:paraId="6A405A13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3.507</w:t>
            </w:r>
          </w:p>
        </w:tc>
        <w:tc>
          <w:tcPr>
            <w:tcW w:w="1207" w:type="pct"/>
          </w:tcPr>
          <w:p w14:paraId="41CC82DD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1.339-9.184</w:t>
            </w:r>
          </w:p>
        </w:tc>
        <w:tc>
          <w:tcPr>
            <w:tcW w:w="775" w:type="pct"/>
          </w:tcPr>
          <w:p w14:paraId="5DC52AB4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0.011</w:t>
            </w:r>
          </w:p>
        </w:tc>
      </w:tr>
      <w:tr w:rsidR="00074245" w:rsidRPr="008F0B93" w14:paraId="7347A85F" w14:textId="77777777" w:rsidTr="00DD1ECA">
        <w:trPr>
          <w:trHeight w:val="454"/>
        </w:trPr>
        <w:tc>
          <w:tcPr>
            <w:tcW w:w="2242" w:type="pct"/>
          </w:tcPr>
          <w:p w14:paraId="6C4F94D2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Previous ASCT</w:t>
            </w:r>
          </w:p>
        </w:tc>
        <w:tc>
          <w:tcPr>
            <w:tcW w:w="776" w:type="pct"/>
          </w:tcPr>
          <w:p w14:paraId="440D324D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2.687</w:t>
            </w:r>
          </w:p>
        </w:tc>
        <w:tc>
          <w:tcPr>
            <w:tcW w:w="1207" w:type="pct"/>
          </w:tcPr>
          <w:p w14:paraId="494F911C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1.257-5.744</w:t>
            </w:r>
          </w:p>
        </w:tc>
        <w:tc>
          <w:tcPr>
            <w:tcW w:w="775" w:type="pct"/>
          </w:tcPr>
          <w:p w14:paraId="0C7EB08C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0.011</w:t>
            </w:r>
          </w:p>
        </w:tc>
      </w:tr>
      <w:tr w:rsidR="00074245" w:rsidRPr="008F0B93" w14:paraId="08EBB817" w14:textId="77777777" w:rsidTr="00DD1ECA">
        <w:trPr>
          <w:trHeight w:val="454"/>
        </w:trPr>
        <w:tc>
          <w:tcPr>
            <w:tcW w:w="2242" w:type="pct"/>
          </w:tcPr>
          <w:p w14:paraId="1F134996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/>
                <w:color w:val="FF0000"/>
                <w:szCs w:val="22"/>
              </w:rPr>
              <w:t>Previous CAR</w:t>
            </w: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-T</w:t>
            </w:r>
            <w:r w:rsidRPr="008F0B93">
              <w:rPr>
                <w:rFonts w:ascii="Times New Roman" w:hAnsi="Times New Roman" w:cs="Times New Roman"/>
                <w:color w:val="FF0000"/>
                <w:szCs w:val="22"/>
              </w:rPr>
              <w:t xml:space="preserve"> therapy</w:t>
            </w:r>
          </w:p>
        </w:tc>
        <w:tc>
          <w:tcPr>
            <w:tcW w:w="776" w:type="pct"/>
          </w:tcPr>
          <w:p w14:paraId="41FAC9BF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1.518</w:t>
            </w:r>
          </w:p>
        </w:tc>
        <w:tc>
          <w:tcPr>
            <w:tcW w:w="1207" w:type="pct"/>
          </w:tcPr>
          <w:p w14:paraId="4D1A7E73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0.493-4.676</w:t>
            </w:r>
          </w:p>
        </w:tc>
        <w:tc>
          <w:tcPr>
            <w:tcW w:w="775" w:type="pct"/>
          </w:tcPr>
          <w:p w14:paraId="0C71E85C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0.467</w:t>
            </w:r>
          </w:p>
        </w:tc>
      </w:tr>
      <w:tr w:rsidR="00074245" w:rsidRPr="008F0B93" w14:paraId="223F74EF" w14:textId="77777777" w:rsidTr="00DD1ECA">
        <w:trPr>
          <w:trHeight w:val="454"/>
        </w:trPr>
        <w:tc>
          <w:tcPr>
            <w:tcW w:w="2242" w:type="pct"/>
            <w:tcBorders>
              <w:bottom w:val="single" w:sz="4" w:space="0" w:color="auto"/>
            </w:tcBorders>
          </w:tcPr>
          <w:p w14:paraId="5601F357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Best Response, CR/sCR</w:t>
            </w:r>
          </w:p>
        </w:tc>
        <w:tc>
          <w:tcPr>
            <w:tcW w:w="776" w:type="pct"/>
            <w:tcBorders>
              <w:bottom w:val="single" w:sz="4" w:space="0" w:color="auto"/>
            </w:tcBorders>
          </w:tcPr>
          <w:p w14:paraId="23E13829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0.081</w:t>
            </w:r>
          </w:p>
        </w:tc>
        <w:tc>
          <w:tcPr>
            <w:tcW w:w="1207" w:type="pct"/>
            <w:tcBorders>
              <w:bottom w:val="single" w:sz="4" w:space="0" w:color="auto"/>
            </w:tcBorders>
          </w:tcPr>
          <w:p w14:paraId="1234316C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0.03-0.218</w:t>
            </w:r>
          </w:p>
        </w:tc>
        <w:tc>
          <w:tcPr>
            <w:tcW w:w="775" w:type="pct"/>
            <w:tcBorders>
              <w:bottom w:val="single" w:sz="4" w:space="0" w:color="auto"/>
            </w:tcBorders>
          </w:tcPr>
          <w:p w14:paraId="7758BC5F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&lt;0.001</w:t>
            </w:r>
          </w:p>
        </w:tc>
      </w:tr>
    </w:tbl>
    <w:p w14:paraId="57B17638" w14:textId="778E0F06" w:rsidR="00074245" w:rsidRPr="008F0B93" w:rsidRDefault="00074245" w:rsidP="00074245">
      <w:pPr>
        <w:spacing w:line="360" w:lineRule="auto"/>
        <w:rPr>
          <w:rFonts w:ascii="Times New Roman" w:eastAsia="宋体" w:hAnsi="Times New Roman" w:cs="Times New Roman"/>
          <w:color w:val="FF0000"/>
          <w:kern w:val="0"/>
          <w:sz w:val="22"/>
          <w14:ligatures w14:val="none"/>
        </w:rPr>
      </w:pPr>
      <w:r w:rsidRPr="008F0B93">
        <w:rPr>
          <w:rFonts w:ascii="Times New Roman" w:eastAsia="宋体" w:hAnsi="Times New Roman" w:cs="Times New Roman"/>
          <w:b/>
          <w:bCs/>
          <w:color w:val="FF0000"/>
          <w:kern w:val="0"/>
          <w:sz w:val="22"/>
          <w14:ligatures w14:val="none"/>
        </w:rPr>
        <w:t xml:space="preserve">Table </w:t>
      </w:r>
      <w:r w:rsidRPr="008F0B93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14:ligatures w14:val="none"/>
        </w:rPr>
        <w:t>S3</w:t>
      </w:r>
      <w:r w:rsidRPr="008F0B93">
        <w:rPr>
          <w:rFonts w:ascii="Times New Roman" w:eastAsia="宋体" w:hAnsi="Times New Roman" w:cs="Times New Roman"/>
          <w:color w:val="FF0000"/>
          <w:kern w:val="0"/>
          <w:sz w:val="22"/>
          <w14:ligatures w14:val="none"/>
        </w:rPr>
        <w:t>.</w:t>
      </w:r>
      <w:r w:rsidRPr="008F0B93">
        <w:rPr>
          <w:rFonts w:ascii="Times New Roman" w:eastAsia="宋体" w:hAnsi="Times New Roman" w:cs="Times New Roman" w:hint="eastAsia"/>
          <w:color w:val="FF0000"/>
          <w:kern w:val="0"/>
          <w:sz w:val="22"/>
          <w14:ligatures w14:val="none"/>
        </w:rPr>
        <w:t xml:space="preserve"> Multivariate Cox regression models of predictors of PFS.</w:t>
      </w:r>
    </w:p>
    <w:p w14:paraId="2AEF4DF0" w14:textId="1EFA741A" w:rsidR="00074245" w:rsidRPr="008F0B93" w:rsidRDefault="00074245" w:rsidP="00074245">
      <w:pPr>
        <w:pStyle w:val="a8"/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ASCT,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autologous stem cell transplantation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;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CR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,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complete response; 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PFS,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progression-free survival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;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sCR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,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stringent complete response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.</w:t>
      </w:r>
    </w:p>
    <w:p w14:paraId="7F1E673C" w14:textId="77777777" w:rsidR="00074245" w:rsidRPr="008F0B93" w:rsidRDefault="00074245" w:rsidP="00DD1ECA">
      <w:pPr>
        <w:spacing w:line="360" w:lineRule="auto"/>
        <w:rPr>
          <w:rFonts w:ascii="Times New Roman" w:hAnsi="Times New Roman" w:cs="Times New Roman"/>
          <w:color w:val="FF0000"/>
          <w:sz w:val="22"/>
          <w14:ligatures w14:val="none"/>
        </w:rPr>
      </w:pPr>
    </w:p>
    <w:tbl>
      <w:tblPr>
        <w:tblStyle w:val="ab"/>
        <w:tblpPr w:leftFromText="180" w:rightFromText="180" w:vertAnchor="text" w:horzAnchor="margin" w:tblpY="25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5"/>
        <w:gridCol w:w="1289"/>
        <w:gridCol w:w="2005"/>
        <w:gridCol w:w="1287"/>
      </w:tblGrid>
      <w:tr w:rsidR="00DD1ECA" w:rsidRPr="008F0B93" w14:paraId="4C435590" w14:textId="77777777" w:rsidTr="00DD1ECA">
        <w:trPr>
          <w:trHeight w:val="454"/>
        </w:trPr>
        <w:tc>
          <w:tcPr>
            <w:tcW w:w="2242" w:type="pct"/>
            <w:tcBorders>
              <w:top w:val="single" w:sz="4" w:space="0" w:color="auto"/>
              <w:bottom w:val="single" w:sz="4" w:space="0" w:color="auto"/>
            </w:tcBorders>
          </w:tcPr>
          <w:p w14:paraId="4E11167D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eastAsia="宋体" w:hAnsi="Times New Roman" w:cs="Times New Roman" w:hint="eastAsia"/>
                <w:color w:val="FF0000"/>
                <w:kern w:val="0"/>
                <w:szCs w:val="22"/>
              </w:rPr>
              <w:t>Characteristic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</w:tcPr>
          <w:p w14:paraId="00989294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eastAsia="宋体" w:hAnsi="Times New Roman" w:cs="Times New Roman" w:hint="eastAsia"/>
                <w:color w:val="FF0000"/>
                <w:kern w:val="0"/>
                <w:szCs w:val="22"/>
              </w:rPr>
              <w:t xml:space="preserve">HR </w:t>
            </w:r>
          </w:p>
        </w:tc>
        <w:tc>
          <w:tcPr>
            <w:tcW w:w="1207" w:type="pct"/>
            <w:tcBorders>
              <w:top w:val="single" w:sz="4" w:space="0" w:color="auto"/>
              <w:bottom w:val="single" w:sz="4" w:space="0" w:color="auto"/>
            </w:tcBorders>
          </w:tcPr>
          <w:p w14:paraId="783BF115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eastAsia="宋体" w:hAnsi="Times New Roman" w:cs="Times New Roman" w:hint="eastAsia"/>
                <w:color w:val="FF0000"/>
                <w:kern w:val="0"/>
                <w:szCs w:val="22"/>
              </w:rPr>
              <w:t xml:space="preserve"> 95%CI</w:t>
            </w:r>
          </w:p>
        </w:tc>
        <w:tc>
          <w:tcPr>
            <w:tcW w:w="775" w:type="pct"/>
            <w:tcBorders>
              <w:top w:val="single" w:sz="4" w:space="0" w:color="auto"/>
              <w:bottom w:val="single" w:sz="4" w:space="0" w:color="auto"/>
            </w:tcBorders>
          </w:tcPr>
          <w:p w14:paraId="2E9CB11C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eastAsia="宋体" w:hAnsi="Times New Roman" w:cs="Times New Roman" w:hint="eastAsia"/>
                <w:color w:val="FF0000"/>
                <w:kern w:val="0"/>
                <w:szCs w:val="22"/>
              </w:rPr>
              <w:t>p value</w:t>
            </w:r>
          </w:p>
        </w:tc>
      </w:tr>
      <w:tr w:rsidR="00DD1ECA" w:rsidRPr="008F0B93" w14:paraId="2DBD8B16" w14:textId="77777777" w:rsidTr="00DD1ECA">
        <w:trPr>
          <w:trHeight w:val="454"/>
        </w:trPr>
        <w:tc>
          <w:tcPr>
            <w:tcW w:w="2242" w:type="pct"/>
            <w:tcBorders>
              <w:top w:val="single" w:sz="4" w:space="0" w:color="auto"/>
            </w:tcBorders>
          </w:tcPr>
          <w:p w14:paraId="4E365FB6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Age,&gt;60 years</w:t>
            </w:r>
          </w:p>
        </w:tc>
        <w:tc>
          <w:tcPr>
            <w:tcW w:w="776" w:type="pct"/>
            <w:tcBorders>
              <w:top w:val="single" w:sz="4" w:space="0" w:color="auto"/>
            </w:tcBorders>
          </w:tcPr>
          <w:p w14:paraId="1702A043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0.655</w:t>
            </w:r>
          </w:p>
        </w:tc>
        <w:tc>
          <w:tcPr>
            <w:tcW w:w="1207" w:type="pct"/>
            <w:tcBorders>
              <w:top w:val="single" w:sz="4" w:space="0" w:color="auto"/>
            </w:tcBorders>
          </w:tcPr>
          <w:p w14:paraId="5ACAE755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0.222-1.929</w:t>
            </w:r>
          </w:p>
        </w:tc>
        <w:tc>
          <w:tcPr>
            <w:tcW w:w="775" w:type="pct"/>
            <w:tcBorders>
              <w:top w:val="single" w:sz="4" w:space="0" w:color="auto"/>
            </w:tcBorders>
          </w:tcPr>
          <w:p w14:paraId="35197C2D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0.442</w:t>
            </w:r>
          </w:p>
        </w:tc>
      </w:tr>
      <w:tr w:rsidR="00DD1ECA" w:rsidRPr="008F0B93" w14:paraId="054EA7CA" w14:textId="77777777" w:rsidTr="00DD1ECA">
        <w:trPr>
          <w:trHeight w:val="454"/>
        </w:trPr>
        <w:tc>
          <w:tcPr>
            <w:tcW w:w="2242" w:type="pct"/>
          </w:tcPr>
          <w:p w14:paraId="5B8DA26F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Gender, male</w:t>
            </w:r>
          </w:p>
        </w:tc>
        <w:tc>
          <w:tcPr>
            <w:tcW w:w="776" w:type="pct"/>
          </w:tcPr>
          <w:p w14:paraId="639D5530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0.599</w:t>
            </w:r>
          </w:p>
        </w:tc>
        <w:tc>
          <w:tcPr>
            <w:tcW w:w="1207" w:type="pct"/>
          </w:tcPr>
          <w:p w14:paraId="25D9FC9D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0.237-1.541</w:t>
            </w:r>
          </w:p>
        </w:tc>
        <w:tc>
          <w:tcPr>
            <w:tcW w:w="775" w:type="pct"/>
          </w:tcPr>
          <w:p w14:paraId="36BCD546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0.279</w:t>
            </w:r>
          </w:p>
        </w:tc>
      </w:tr>
      <w:tr w:rsidR="00DD1ECA" w:rsidRPr="008F0B93" w14:paraId="2293B978" w14:textId="77777777" w:rsidTr="00DD1ECA">
        <w:trPr>
          <w:trHeight w:val="454"/>
        </w:trPr>
        <w:tc>
          <w:tcPr>
            <w:tcW w:w="2242" w:type="pct"/>
          </w:tcPr>
          <w:p w14:paraId="35879D31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Previous lines,&gt;6 lines</w:t>
            </w:r>
          </w:p>
        </w:tc>
        <w:tc>
          <w:tcPr>
            <w:tcW w:w="776" w:type="pct"/>
          </w:tcPr>
          <w:p w14:paraId="2EA62C1B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1.002</w:t>
            </w:r>
          </w:p>
        </w:tc>
        <w:tc>
          <w:tcPr>
            <w:tcW w:w="1207" w:type="pct"/>
          </w:tcPr>
          <w:p w14:paraId="37F6D057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0.396-2.535</w:t>
            </w:r>
          </w:p>
        </w:tc>
        <w:tc>
          <w:tcPr>
            <w:tcW w:w="775" w:type="pct"/>
          </w:tcPr>
          <w:p w14:paraId="12A36CDB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0.997</w:t>
            </w:r>
          </w:p>
        </w:tc>
      </w:tr>
      <w:tr w:rsidR="00DD1ECA" w:rsidRPr="008F0B93" w14:paraId="4EADE0C9" w14:textId="77777777" w:rsidTr="00DD1ECA">
        <w:trPr>
          <w:trHeight w:val="454"/>
        </w:trPr>
        <w:tc>
          <w:tcPr>
            <w:tcW w:w="2242" w:type="pct"/>
          </w:tcPr>
          <w:p w14:paraId="183EF502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/>
                <w:color w:val="FF0000"/>
                <w:szCs w:val="22"/>
              </w:rPr>
              <w:t>Previous therapies</w:t>
            </w:r>
          </w:p>
        </w:tc>
        <w:tc>
          <w:tcPr>
            <w:tcW w:w="776" w:type="pct"/>
          </w:tcPr>
          <w:p w14:paraId="4249FAFC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07" w:type="pct"/>
          </w:tcPr>
          <w:p w14:paraId="2B2E644C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75" w:type="pct"/>
          </w:tcPr>
          <w:p w14:paraId="2DCA8DC7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DD1ECA" w:rsidRPr="008F0B93" w14:paraId="4ED54EF3" w14:textId="77777777" w:rsidTr="00DD1ECA">
        <w:trPr>
          <w:trHeight w:val="454"/>
        </w:trPr>
        <w:tc>
          <w:tcPr>
            <w:tcW w:w="2242" w:type="pct"/>
          </w:tcPr>
          <w:p w14:paraId="7F956285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/>
                <w:color w:val="FF0000"/>
                <w:szCs w:val="22"/>
              </w:rPr>
              <w:t>Monoclonal antibody</w:t>
            </w:r>
          </w:p>
        </w:tc>
        <w:tc>
          <w:tcPr>
            <w:tcW w:w="776" w:type="pct"/>
          </w:tcPr>
          <w:p w14:paraId="20F190EA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5.787</w:t>
            </w:r>
          </w:p>
        </w:tc>
        <w:tc>
          <w:tcPr>
            <w:tcW w:w="1207" w:type="pct"/>
          </w:tcPr>
          <w:p w14:paraId="6E511994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1.931-17.338</w:t>
            </w:r>
          </w:p>
        </w:tc>
        <w:tc>
          <w:tcPr>
            <w:tcW w:w="775" w:type="pct"/>
          </w:tcPr>
          <w:p w14:paraId="384F21ED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0.002</w:t>
            </w:r>
          </w:p>
        </w:tc>
      </w:tr>
      <w:tr w:rsidR="00DD1ECA" w:rsidRPr="008F0B93" w14:paraId="06DF942A" w14:textId="77777777" w:rsidTr="00DD1ECA">
        <w:trPr>
          <w:trHeight w:val="454"/>
        </w:trPr>
        <w:tc>
          <w:tcPr>
            <w:tcW w:w="2242" w:type="pct"/>
          </w:tcPr>
          <w:p w14:paraId="68428F8D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Previous ASCT</w:t>
            </w:r>
          </w:p>
        </w:tc>
        <w:tc>
          <w:tcPr>
            <w:tcW w:w="776" w:type="pct"/>
          </w:tcPr>
          <w:p w14:paraId="5C89F4CE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1.400</w:t>
            </w:r>
          </w:p>
        </w:tc>
        <w:tc>
          <w:tcPr>
            <w:tcW w:w="1207" w:type="pct"/>
          </w:tcPr>
          <w:p w14:paraId="338161D9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0.539-3.637</w:t>
            </w:r>
          </w:p>
        </w:tc>
        <w:tc>
          <w:tcPr>
            <w:tcW w:w="775" w:type="pct"/>
          </w:tcPr>
          <w:p w14:paraId="0593819A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0.490</w:t>
            </w:r>
          </w:p>
        </w:tc>
      </w:tr>
      <w:tr w:rsidR="00DD1ECA" w:rsidRPr="008F0B93" w14:paraId="45DFC671" w14:textId="77777777" w:rsidTr="00DD1ECA">
        <w:trPr>
          <w:trHeight w:val="454"/>
        </w:trPr>
        <w:tc>
          <w:tcPr>
            <w:tcW w:w="2242" w:type="pct"/>
          </w:tcPr>
          <w:p w14:paraId="4A43D0F8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/>
                <w:color w:val="FF0000"/>
                <w:szCs w:val="22"/>
              </w:rPr>
              <w:t>Previous CAR</w:t>
            </w: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-T</w:t>
            </w:r>
            <w:r w:rsidRPr="008F0B93">
              <w:rPr>
                <w:rFonts w:ascii="Times New Roman" w:hAnsi="Times New Roman" w:cs="Times New Roman"/>
                <w:color w:val="FF0000"/>
                <w:szCs w:val="22"/>
              </w:rPr>
              <w:t xml:space="preserve"> therapy</w:t>
            </w:r>
          </w:p>
        </w:tc>
        <w:tc>
          <w:tcPr>
            <w:tcW w:w="776" w:type="pct"/>
          </w:tcPr>
          <w:p w14:paraId="26B49F66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0.325</w:t>
            </w:r>
          </w:p>
        </w:tc>
        <w:tc>
          <w:tcPr>
            <w:tcW w:w="1207" w:type="pct"/>
          </w:tcPr>
          <w:p w14:paraId="7A53D5B5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0.073-1.455</w:t>
            </w:r>
          </w:p>
        </w:tc>
        <w:tc>
          <w:tcPr>
            <w:tcW w:w="775" w:type="pct"/>
          </w:tcPr>
          <w:p w14:paraId="7D3A6FCB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0.142</w:t>
            </w:r>
          </w:p>
        </w:tc>
      </w:tr>
      <w:tr w:rsidR="00DD1ECA" w:rsidRPr="008F0B93" w14:paraId="287729FC" w14:textId="77777777" w:rsidTr="00DD1ECA">
        <w:trPr>
          <w:trHeight w:val="454"/>
        </w:trPr>
        <w:tc>
          <w:tcPr>
            <w:tcW w:w="2242" w:type="pct"/>
            <w:tcBorders>
              <w:bottom w:val="single" w:sz="4" w:space="0" w:color="auto"/>
            </w:tcBorders>
          </w:tcPr>
          <w:p w14:paraId="34CCB518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Best Response, CR/sCR</w:t>
            </w:r>
          </w:p>
        </w:tc>
        <w:tc>
          <w:tcPr>
            <w:tcW w:w="776" w:type="pct"/>
            <w:tcBorders>
              <w:bottom w:val="single" w:sz="4" w:space="0" w:color="auto"/>
            </w:tcBorders>
          </w:tcPr>
          <w:p w14:paraId="2C4C1D9B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0.207</w:t>
            </w:r>
          </w:p>
        </w:tc>
        <w:tc>
          <w:tcPr>
            <w:tcW w:w="1207" w:type="pct"/>
            <w:tcBorders>
              <w:bottom w:val="single" w:sz="4" w:space="0" w:color="auto"/>
            </w:tcBorders>
          </w:tcPr>
          <w:p w14:paraId="7F188C83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0.079-0.538</w:t>
            </w:r>
          </w:p>
        </w:tc>
        <w:tc>
          <w:tcPr>
            <w:tcW w:w="775" w:type="pct"/>
            <w:tcBorders>
              <w:bottom w:val="single" w:sz="4" w:space="0" w:color="auto"/>
            </w:tcBorders>
          </w:tcPr>
          <w:p w14:paraId="6BD3692F" w14:textId="77777777" w:rsidR="00074245" w:rsidRPr="008F0B93" w:rsidRDefault="00074245" w:rsidP="00DD1ECA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Cs w:val="22"/>
              </w:rPr>
              <w:t>&lt;0.001</w:t>
            </w:r>
          </w:p>
        </w:tc>
      </w:tr>
    </w:tbl>
    <w:p w14:paraId="39E0DC02" w14:textId="751A43EB" w:rsidR="002C171A" w:rsidRPr="008F0B93" w:rsidRDefault="00074245" w:rsidP="00074245">
      <w:pPr>
        <w:spacing w:line="360" w:lineRule="auto"/>
        <w:rPr>
          <w:rFonts w:ascii="Times New Roman" w:eastAsia="宋体" w:hAnsi="Times New Roman" w:cs="Times New Roman"/>
          <w:color w:val="FF0000"/>
          <w:kern w:val="0"/>
          <w:sz w:val="22"/>
          <w14:ligatures w14:val="none"/>
        </w:rPr>
      </w:pPr>
      <w:r w:rsidRPr="008F0B93">
        <w:rPr>
          <w:rFonts w:ascii="Times New Roman" w:eastAsia="宋体" w:hAnsi="Times New Roman" w:cs="Times New Roman"/>
          <w:b/>
          <w:bCs/>
          <w:color w:val="FF0000"/>
          <w:kern w:val="0"/>
          <w:sz w:val="22"/>
          <w14:ligatures w14:val="none"/>
        </w:rPr>
        <w:t xml:space="preserve">Table </w:t>
      </w:r>
      <w:r w:rsidRPr="008F0B93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14:ligatures w14:val="none"/>
        </w:rPr>
        <w:t>S4</w:t>
      </w:r>
      <w:r w:rsidRPr="008F0B93">
        <w:rPr>
          <w:rFonts w:ascii="Times New Roman" w:eastAsia="宋体" w:hAnsi="Times New Roman" w:cs="Times New Roman"/>
          <w:b/>
          <w:bCs/>
          <w:color w:val="FF0000"/>
          <w:kern w:val="0"/>
          <w:sz w:val="22"/>
          <w14:ligatures w14:val="none"/>
        </w:rPr>
        <w:t>.</w:t>
      </w:r>
      <w:r w:rsidRPr="008F0B93">
        <w:rPr>
          <w:rFonts w:ascii="Times New Roman" w:eastAsia="宋体" w:hAnsi="Times New Roman" w:cs="Times New Roman" w:hint="eastAsia"/>
          <w:color w:val="FF0000"/>
          <w:kern w:val="0"/>
          <w:sz w:val="22"/>
          <w14:ligatures w14:val="none"/>
        </w:rPr>
        <w:t xml:space="preserve"> Multivariate Cox regression models of predictors of OS.</w:t>
      </w:r>
    </w:p>
    <w:p w14:paraId="677486F0" w14:textId="11770368" w:rsidR="00074245" w:rsidRPr="008F0B93" w:rsidRDefault="00074245" w:rsidP="00074245">
      <w:pPr>
        <w:pStyle w:val="a8"/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lastRenderedPageBreak/>
        <w:t xml:space="preserve">ASCT,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autologous stem cell transplantation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;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CR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,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complete response; 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OS, overall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survival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;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sCR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,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stringent complete response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.</w:t>
      </w:r>
    </w:p>
    <w:tbl>
      <w:tblPr>
        <w:tblStyle w:val="ab"/>
        <w:tblpPr w:leftFromText="180" w:rightFromText="180" w:vertAnchor="page" w:horzAnchor="margin" w:tblpY="4121"/>
        <w:tblW w:w="82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2835"/>
      </w:tblGrid>
      <w:tr w:rsidR="002C171A" w:rsidRPr="008F0B93" w14:paraId="31A9AF55" w14:textId="77777777" w:rsidTr="002C171A">
        <w:trPr>
          <w:trHeight w:val="483"/>
        </w:trPr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51B5F4C" w14:textId="77777777" w:rsidR="002C171A" w:rsidRPr="008F0B93" w:rsidRDefault="002C171A" w:rsidP="002C171A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bookmarkStart w:id="2" w:name="_Hlk195349710"/>
            <w:r w:rsidRPr="008F0B93">
              <w:rPr>
                <w:rFonts w:ascii="Times New Roman" w:hAnsi="Times New Roman" w:cs="Times New Roman" w:hint="eastAsia"/>
                <w:color w:val="FF0000"/>
                <w:sz w:val="22"/>
                <w:szCs w:val="22"/>
              </w:rPr>
              <w:t>Factors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623ACD1" w14:textId="77777777" w:rsidR="002C171A" w:rsidRPr="008F0B93" w:rsidRDefault="002C171A" w:rsidP="002C171A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 w:val="22"/>
                <w:szCs w:val="22"/>
              </w:rPr>
              <w:t>Patients No.</w:t>
            </w:r>
          </w:p>
        </w:tc>
      </w:tr>
      <w:tr w:rsidR="002C171A" w:rsidRPr="008F0B93" w14:paraId="1D3646E9" w14:textId="77777777" w:rsidTr="002C171A">
        <w:trPr>
          <w:trHeight w:val="680"/>
        </w:trPr>
        <w:tc>
          <w:tcPr>
            <w:tcW w:w="5386" w:type="dxa"/>
            <w:tcBorders>
              <w:top w:val="single" w:sz="4" w:space="0" w:color="auto"/>
            </w:tcBorders>
          </w:tcPr>
          <w:p w14:paraId="55B82ED0" w14:textId="77777777" w:rsidR="002C171A" w:rsidRPr="008F0B93" w:rsidRDefault="002C171A" w:rsidP="002C171A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 w:val="22"/>
                <w:szCs w:val="22"/>
              </w:rPr>
              <w:t>CAR-T cell</w:t>
            </w:r>
            <w:r w:rsidRPr="008F0B93">
              <w:rPr>
                <w:rFonts w:ascii="Times New Roman" w:hAnsi="Times New Roman" w:cs="Times New Roman" w:hint="eastAsia"/>
                <w:color w:val="FF0000"/>
                <w:sz w:val="22"/>
                <w:szCs w:val="22"/>
              </w:rPr>
              <w:t>–</w:t>
            </w:r>
            <w:r w:rsidRPr="008F0B93">
              <w:rPr>
                <w:rFonts w:ascii="Times New Roman" w:hAnsi="Times New Roman" w:cs="Times New Roman" w:hint="eastAsia"/>
                <w:color w:val="FF0000"/>
                <w:sz w:val="22"/>
                <w:szCs w:val="22"/>
              </w:rPr>
              <w:t>related (e.g., limited expansion, T-cell exhaustion, short persistence)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5E8C0B9" w14:textId="77777777" w:rsidR="002C171A" w:rsidRPr="008F0B93" w:rsidRDefault="002C171A" w:rsidP="002C171A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 w:val="22"/>
                <w:szCs w:val="22"/>
              </w:rPr>
              <w:t>2003, 2013, 2015, 01-023</w:t>
            </w:r>
          </w:p>
        </w:tc>
      </w:tr>
      <w:tr w:rsidR="002C171A" w:rsidRPr="008F0B93" w14:paraId="45B779FD" w14:textId="77777777" w:rsidTr="002C171A">
        <w:trPr>
          <w:trHeight w:val="454"/>
        </w:trPr>
        <w:tc>
          <w:tcPr>
            <w:tcW w:w="5386" w:type="dxa"/>
          </w:tcPr>
          <w:p w14:paraId="464B19FB" w14:textId="77777777" w:rsidR="002C171A" w:rsidRPr="008F0B93" w:rsidRDefault="002C171A" w:rsidP="002C171A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 w:val="22"/>
                <w:szCs w:val="22"/>
              </w:rPr>
              <w:t>Patient-related (e.g., high-risk cytogenetics, prior extensive therapy, extramedullary disease)</w:t>
            </w:r>
          </w:p>
        </w:tc>
        <w:tc>
          <w:tcPr>
            <w:tcW w:w="2835" w:type="dxa"/>
          </w:tcPr>
          <w:p w14:paraId="4A309B02" w14:textId="77777777" w:rsidR="002C171A" w:rsidRPr="008F0B93" w:rsidRDefault="002C171A" w:rsidP="002C171A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 w:val="22"/>
                <w:szCs w:val="22"/>
              </w:rPr>
              <w:t>01-013, 2002, 2003, 2006, 2013, 2039, 2041, 2047</w:t>
            </w:r>
          </w:p>
        </w:tc>
      </w:tr>
      <w:tr w:rsidR="002C171A" w:rsidRPr="008F0B93" w14:paraId="7BB54B64" w14:textId="77777777" w:rsidTr="002C171A">
        <w:trPr>
          <w:trHeight w:val="567"/>
        </w:trPr>
        <w:tc>
          <w:tcPr>
            <w:tcW w:w="5386" w:type="dxa"/>
            <w:tcBorders>
              <w:bottom w:val="single" w:sz="4" w:space="0" w:color="auto"/>
            </w:tcBorders>
          </w:tcPr>
          <w:p w14:paraId="2ACFA5B8" w14:textId="77777777" w:rsidR="002C171A" w:rsidRPr="008F0B93" w:rsidRDefault="002C171A" w:rsidP="002C171A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 w:val="22"/>
                <w:szCs w:val="22"/>
              </w:rPr>
              <w:t>Tumor-intrinsic (e.g., antigen loss or downregulation)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155044" w14:textId="77777777" w:rsidR="002C171A" w:rsidRPr="008F0B93" w:rsidRDefault="002C171A" w:rsidP="002C171A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8F0B93">
              <w:rPr>
                <w:rFonts w:ascii="Times New Roman" w:hAnsi="Times New Roman" w:cs="Times New Roman" w:hint="eastAsia"/>
                <w:color w:val="FF0000"/>
                <w:sz w:val="22"/>
                <w:szCs w:val="22"/>
              </w:rPr>
              <w:t>2016, 2013, 01-023</w:t>
            </w:r>
          </w:p>
        </w:tc>
      </w:tr>
      <w:bookmarkEnd w:id="2"/>
    </w:tbl>
    <w:p w14:paraId="3F722AE1" w14:textId="77777777" w:rsidR="00074245" w:rsidRPr="008F0B93" w:rsidRDefault="00074245" w:rsidP="00074245">
      <w:pPr>
        <w:spacing w:line="360" w:lineRule="auto"/>
        <w:rPr>
          <w:rFonts w:ascii="Times New Roman" w:hAnsi="Times New Roman" w:cs="Times New Roman"/>
          <w:color w:val="FF0000"/>
          <w:sz w:val="22"/>
          <w14:ligatures w14:val="none"/>
        </w:rPr>
      </w:pPr>
    </w:p>
    <w:p w14:paraId="4B336525" w14:textId="77777777" w:rsidR="00074245" w:rsidRPr="008F0B93" w:rsidRDefault="00074245" w:rsidP="002025B3">
      <w:pPr>
        <w:pStyle w:val="a8"/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14:paraId="49F12398" w14:textId="5A5CD59F" w:rsidR="00074245" w:rsidRPr="008F0B93" w:rsidRDefault="00074245" w:rsidP="002025B3">
      <w:pPr>
        <w:pStyle w:val="a8"/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bookmarkStart w:id="3" w:name="_Hlk195349723"/>
      <w:r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 xml:space="preserve">Table S5.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Analysis of 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specific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f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actors in 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p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atients 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w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ho 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did not a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chieve CR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.</w:t>
      </w:r>
    </w:p>
    <w:tbl>
      <w:tblPr>
        <w:tblStyle w:val="4"/>
        <w:tblpPr w:leftFromText="180" w:rightFromText="180" w:vertAnchor="page" w:horzAnchor="margin" w:tblpY="1674"/>
        <w:tblW w:w="8334" w:type="dxa"/>
        <w:tblLook w:val="04A0" w:firstRow="1" w:lastRow="0" w:firstColumn="1" w:lastColumn="0" w:noHBand="0" w:noVBand="1"/>
      </w:tblPr>
      <w:tblGrid>
        <w:gridCol w:w="3798"/>
        <w:gridCol w:w="1134"/>
        <w:gridCol w:w="1134"/>
        <w:gridCol w:w="1134"/>
        <w:gridCol w:w="1134"/>
      </w:tblGrid>
      <w:tr w:rsidR="00AC60D7" w:rsidRPr="008F0B93" w14:paraId="4E24929D" w14:textId="77777777" w:rsidTr="00AC60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single" w:sz="4" w:space="0" w:color="auto"/>
            </w:tcBorders>
            <w:noWrap/>
          </w:tcPr>
          <w:bookmarkEnd w:id="0"/>
          <w:bookmarkEnd w:id="3"/>
          <w:p w14:paraId="6AFDE4FF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Characteristic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294700E0" w14:textId="77777777" w:rsidR="00AC60D7" w:rsidRPr="008F0B93" w:rsidRDefault="00AC60D7" w:rsidP="00AC60D7">
            <w:pPr>
              <w:spacing w:line="36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HR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noWrap/>
          </w:tcPr>
          <w:p w14:paraId="23F95D21" w14:textId="77777777" w:rsidR="00AC60D7" w:rsidRPr="008F0B93" w:rsidRDefault="00AC60D7" w:rsidP="00AC60D7">
            <w:pPr>
              <w:spacing w:line="36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95%CI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307686F8" w14:textId="77777777" w:rsidR="00AC60D7" w:rsidRPr="008F0B93" w:rsidRDefault="00AC60D7" w:rsidP="00AC60D7">
            <w:pPr>
              <w:spacing w:line="36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p value</w:t>
            </w:r>
          </w:p>
        </w:tc>
      </w:tr>
      <w:tr w:rsidR="00AC60D7" w:rsidRPr="008F0B93" w14:paraId="0E9033D8" w14:textId="77777777" w:rsidTr="00AC6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single" w:sz="4" w:space="0" w:color="auto"/>
            </w:tcBorders>
            <w:noWrap/>
            <w:hideMark/>
          </w:tcPr>
          <w:p w14:paraId="6C19658D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Age,&gt;60 years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2559CE3B" w14:textId="77777777" w:rsidR="00AC60D7" w:rsidRPr="008F0B93" w:rsidRDefault="00AC60D7" w:rsidP="00AC60D7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0.974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01497897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0.443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7AA3F372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2.143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7EBF5E43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0.949</w:t>
            </w:r>
          </w:p>
        </w:tc>
      </w:tr>
      <w:tr w:rsidR="00AC60D7" w:rsidRPr="008F0B93" w14:paraId="2B86FF86" w14:textId="77777777" w:rsidTr="00AC60D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4D21908D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Gender, male</w:t>
            </w:r>
          </w:p>
        </w:tc>
        <w:tc>
          <w:tcPr>
            <w:tcW w:w="1134" w:type="dxa"/>
            <w:noWrap/>
            <w:hideMark/>
          </w:tcPr>
          <w:p w14:paraId="1BB35C13" w14:textId="77777777" w:rsidR="00AC60D7" w:rsidRPr="008F0B93" w:rsidRDefault="00AC60D7" w:rsidP="00AC60D7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1.174</w:t>
            </w:r>
          </w:p>
        </w:tc>
        <w:tc>
          <w:tcPr>
            <w:tcW w:w="1134" w:type="dxa"/>
            <w:noWrap/>
            <w:hideMark/>
          </w:tcPr>
          <w:p w14:paraId="4ADFF921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0.561</w:t>
            </w:r>
          </w:p>
        </w:tc>
        <w:tc>
          <w:tcPr>
            <w:tcW w:w="1134" w:type="dxa"/>
            <w:noWrap/>
            <w:hideMark/>
          </w:tcPr>
          <w:p w14:paraId="0D65319F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2.458</w:t>
            </w:r>
          </w:p>
        </w:tc>
        <w:tc>
          <w:tcPr>
            <w:tcW w:w="1134" w:type="dxa"/>
            <w:noWrap/>
            <w:hideMark/>
          </w:tcPr>
          <w:p w14:paraId="7E2D50F0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0.670</w:t>
            </w:r>
          </w:p>
        </w:tc>
      </w:tr>
      <w:tr w:rsidR="00AC60D7" w:rsidRPr="008F0B93" w14:paraId="3323A0C6" w14:textId="77777777" w:rsidTr="00AC6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750586BA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R-ISS, III</w:t>
            </w:r>
          </w:p>
        </w:tc>
        <w:tc>
          <w:tcPr>
            <w:tcW w:w="1134" w:type="dxa"/>
            <w:noWrap/>
            <w:hideMark/>
          </w:tcPr>
          <w:p w14:paraId="700E7F9C" w14:textId="77777777" w:rsidR="00AC60D7" w:rsidRPr="008F0B93" w:rsidRDefault="00AC60D7" w:rsidP="00AC60D7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1.295</w:t>
            </w:r>
          </w:p>
        </w:tc>
        <w:tc>
          <w:tcPr>
            <w:tcW w:w="1134" w:type="dxa"/>
            <w:noWrap/>
            <w:hideMark/>
          </w:tcPr>
          <w:p w14:paraId="77426F31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0.306</w:t>
            </w:r>
          </w:p>
        </w:tc>
        <w:tc>
          <w:tcPr>
            <w:tcW w:w="1134" w:type="dxa"/>
            <w:noWrap/>
            <w:hideMark/>
          </w:tcPr>
          <w:p w14:paraId="4AB09DD1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5.487</w:t>
            </w:r>
          </w:p>
        </w:tc>
        <w:tc>
          <w:tcPr>
            <w:tcW w:w="1134" w:type="dxa"/>
            <w:noWrap/>
            <w:hideMark/>
          </w:tcPr>
          <w:p w14:paraId="74A32DDE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0.726</w:t>
            </w:r>
          </w:p>
        </w:tc>
      </w:tr>
      <w:tr w:rsidR="00AC60D7" w:rsidRPr="008F0B93" w14:paraId="2C5EFEC7" w14:textId="77777777" w:rsidTr="00AC60D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78DBA0F8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Previous lines,&gt;6 lines</w:t>
            </w:r>
          </w:p>
        </w:tc>
        <w:tc>
          <w:tcPr>
            <w:tcW w:w="1134" w:type="dxa"/>
            <w:noWrap/>
            <w:hideMark/>
          </w:tcPr>
          <w:p w14:paraId="1CBB5085" w14:textId="77777777" w:rsidR="00AC60D7" w:rsidRPr="008F0B93" w:rsidRDefault="00AC60D7" w:rsidP="00AC60D7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1.108</w:t>
            </w:r>
          </w:p>
        </w:tc>
        <w:tc>
          <w:tcPr>
            <w:tcW w:w="1134" w:type="dxa"/>
            <w:noWrap/>
            <w:hideMark/>
          </w:tcPr>
          <w:p w14:paraId="590CACB2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0.507</w:t>
            </w:r>
          </w:p>
        </w:tc>
        <w:tc>
          <w:tcPr>
            <w:tcW w:w="1134" w:type="dxa"/>
            <w:noWrap/>
            <w:hideMark/>
          </w:tcPr>
          <w:p w14:paraId="564A1336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2.423</w:t>
            </w:r>
          </w:p>
        </w:tc>
        <w:tc>
          <w:tcPr>
            <w:tcW w:w="1134" w:type="dxa"/>
            <w:noWrap/>
            <w:hideMark/>
          </w:tcPr>
          <w:p w14:paraId="72CFE3B1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0.797</w:t>
            </w:r>
          </w:p>
        </w:tc>
      </w:tr>
      <w:tr w:rsidR="00AC60D7" w:rsidRPr="008F0B93" w14:paraId="5B785C78" w14:textId="77777777" w:rsidTr="00AC6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5360ED56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Extramedullary disease</w:t>
            </w:r>
          </w:p>
        </w:tc>
        <w:tc>
          <w:tcPr>
            <w:tcW w:w="1134" w:type="dxa"/>
            <w:noWrap/>
            <w:hideMark/>
          </w:tcPr>
          <w:p w14:paraId="487DDC4D" w14:textId="77777777" w:rsidR="00AC60D7" w:rsidRPr="008F0B93" w:rsidRDefault="00AC60D7" w:rsidP="00AC60D7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0.584</w:t>
            </w:r>
          </w:p>
        </w:tc>
        <w:tc>
          <w:tcPr>
            <w:tcW w:w="1134" w:type="dxa"/>
            <w:noWrap/>
            <w:hideMark/>
          </w:tcPr>
          <w:p w14:paraId="1F794A92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0.284</w:t>
            </w:r>
          </w:p>
        </w:tc>
        <w:tc>
          <w:tcPr>
            <w:tcW w:w="1134" w:type="dxa"/>
            <w:noWrap/>
            <w:hideMark/>
          </w:tcPr>
          <w:p w14:paraId="0B2E794A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1.374</w:t>
            </w:r>
          </w:p>
        </w:tc>
        <w:tc>
          <w:tcPr>
            <w:tcW w:w="1134" w:type="dxa"/>
            <w:noWrap/>
            <w:hideMark/>
          </w:tcPr>
          <w:p w14:paraId="10EFD2D8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0.218</w:t>
            </w:r>
          </w:p>
        </w:tc>
      </w:tr>
      <w:tr w:rsidR="00AC60D7" w:rsidRPr="008F0B93" w14:paraId="5F93E3F5" w14:textId="77777777" w:rsidTr="00AC60D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338043AF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Previous ASCT, yes</w:t>
            </w:r>
          </w:p>
        </w:tc>
        <w:tc>
          <w:tcPr>
            <w:tcW w:w="1134" w:type="dxa"/>
            <w:noWrap/>
            <w:hideMark/>
          </w:tcPr>
          <w:p w14:paraId="5AB14D1D" w14:textId="77777777" w:rsidR="00AC60D7" w:rsidRPr="008F0B93" w:rsidRDefault="00AC60D7" w:rsidP="00AC60D7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0.646</w:t>
            </w:r>
          </w:p>
        </w:tc>
        <w:tc>
          <w:tcPr>
            <w:tcW w:w="1134" w:type="dxa"/>
            <w:noWrap/>
            <w:hideMark/>
          </w:tcPr>
          <w:p w14:paraId="5EE848BF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0.310</w:t>
            </w:r>
          </w:p>
        </w:tc>
        <w:tc>
          <w:tcPr>
            <w:tcW w:w="1134" w:type="dxa"/>
            <w:noWrap/>
            <w:hideMark/>
          </w:tcPr>
          <w:p w14:paraId="103BA0DB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1.348</w:t>
            </w:r>
          </w:p>
        </w:tc>
        <w:tc>
          <w:tcPr>
            <w:tcW w:w="1134" w:type="dxa"/>
            <w:noWrap/>
            <w:hideMark/>
          </w:tcPr>
          <w:p w14:paraId="5A96A063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0.244</w:t>
            </w:r>
          </w:p>
        </w:tc>
      </w:tr>
      <w:tr w:rsidR="00AC60D7" w:rsidRPr="008F0B93" w14:paraId="7B3406CD" w14:textId="77777777" w:rsidTr="00AC6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479D20B8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Previous CAR-T therapy, yes</w:t>
            </w:r>
          </w:p>
        </w:tc>
        <w:tc>
          <w:tcPr>
            <w:tcW w:w="1134" w:type="dxa"/>
            <w:noWrap/>
            <w:hideMark/>
          </w:tcPr>
          <w:p w14:paraId="71FD1034" w14:textId="77777777" w:rsidR="00AC60D7" w:rsidRPr="008F0B93" w:rsidRDefault="00AC60D7" w:rsidP="00AC60D7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0.674</w:t>
            </w:r>
          </w:p>
        </w:tc>
        <w:tc>
          <w:tcPr>
            <w:tcW w:w="1134" w:type="dxa"/>
            <w:noWrap/>
            <w:hideMark/>
          </w:tcPr>
          <w:p w14:paraId="1463812C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0.230</w:t>
            </w:r>
          </w:p>
        </w:tc>
        <w:tc>
          <w:tcPr>
            <w:tcW w:w="1134" w:type="dxa"/>
            <w:noWrap/>
            <w:hideMark/>
          </w:tcPr>
          <w:p w14:paraId="485F2636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1.979</w:t>
            </w:r>
          </w:p>
        </w:tc>
        <w:tc>
          <w:tcPr>
            <w:tcW w:w="1134" w:type="dxa"/>
            <w:noWrap/>
            <w:hideMark/>
          </w:tcPr>
          <w:p w14:paraId="0549CC6C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0.473</w:t>
            </w:r>
          </w:p>
        </w:tc>
      </w:tr>
      <w:tr w:rsidR="00AC60D7" w:rsidRPr="008F0B93" w14:paraId="496B8770" w14:textId="77777777" w:rsidTr="00AC60D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15F5CFD3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Tripple-exposed, yes</w:t>
            </w:r>
          </w:p>
        </w:tc>
        <w:tc>
          <w:tcPr>
            <w:tcW w:w="1134" w:type="dxa"/>
            <w:noWrap/>
            <w:hideMark/>
          </w:tcPr>
          <w:p w14:paraId="1232941E" w14:textId="77777777" w:rsidR="00AC60D7" w:rsidRPr="008F0B93" w:rsidRDefault="00AC60D7" w:rsidP="00AC60D7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2.548</w:t>
            </w:r>
          </w:p>
        </w:tc>
        <w:tc>
          <w:tcPr>
            <w:tcW w:w="1134" w:type="dxa"/>
            <w:noWrap/>
            <w:hideMark/>
          </w:tcPr>
          <w:p w14:paraId="3968FACC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1.002</w:t>
            </w:r>
          </w:p>
        </w:tc>
        <w:tc>
          <w:tcPr>
            <w:tcW w:w="1134" w:type="dxa"/>
            <w:noWrap/>
            <w:hideMark/>
          </w:tcPr>
          <w:p w14:paraId="0B6A2AEC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2.548</w:t>
            </w:r>
          </w:p>
        </w:tc>
        <w:tc>
          <w:tcPr>
            <w:tcW w:w="1134" w:type="dxa"/>
            <w:noWrap/>
            <w:hideMark/>
          </w:tcPr>
          <w:p w14:paraId="02FD45CD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0.049</w:t>
            </w:r>
          </w:p>
        </w:tc>
      </w:tr>
      <w:tr w:rsidR="00AC60D7" w:rsidRPr="008F0B93" w14:paraId="7D57C79F" w14:textId="77777777" w:rsidTr="00AC6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3D37B5D9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High-risk cytogenetic features</w:t>
            </w:r>
          </w:p>
        </w:tc>
        <w:tc>
          <w:tcPr>
            <w:tcW w:w="1134" w:type="dxa"/>
            <w:noWrap/>
            <w:hideMark/>
          </w:tcPr>
          <w:p w14:paraId="1D480E5D" w14:textId="77777777" w:rsidR="00AC60D7" w:rsidRPr="008F0B93" w:rsidRDefault="00AC60D7" w:rsidP="00AC60D7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1.569</w:t>
            </w:r>
          </w:p>
        </w:tc>
        <w:tc>
          <w:tcPr>
            <w:tcW w:w="1134" w:type="dxa"/>
            <w:noWrap/>
            <w:hideMark/>
          </w:tcPr>
          <w:p w14:paraId="705BD907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0.743</w:t>
            </w:r>
          </w:p>
        </w:tc>
        <w:tc>
          <w:tcPr>
            <w:tcW w:w="1134" w:type="dxa"/>
            <w:noWrap/>
            <w:hideMark/>
          </w:tcPr>
          <w:p w14:paraId="0EA1DA2E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3.313</w:t>
            </w:r>
          </w:p>
        </w:tc>
        <w:tc>
          <w:tcPr>
            <w:tcW w:w="1134" w:type="dxa"/>
            <w:noWrap/>
            <w:hideMark/>
          </w:tcPr>
          <w:p w14:paraId="723BDB45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0.237</w:t>
            </w:r>
          </w:p>
        </w:tc>
      </w:tr>
      <w:tr w:rsidR="00AC60D7" w:rsidRPr="008F0B93" w14:paraId="659FF2FE" w14:textId="77777777" w:rsidTr="00AC60D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2B920BC9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Baseline sBCMA</w:t>
            </w:r>
          </w:p>
        </w:tc>
        <w:tc>
          <w:tcPr>
            <w:tcW w:w="1134" w:type="dxa"/>
            <w:noWrap/>
            <w:hideMark/>
          </w:tcPr>
          <w:p w14:paraId="1CDADC96" w14:textId="77777777" w:rsidR="00AC60D7" w:rsidRPr="008F0B93" w:rsidRDefault="00AC60D7" w:rsidP="00AC60D7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1.000</w:t>
            </w:r>
          </w:p>
        </w:tc>
        <w:tc>
          <w:tcPr>
            <w:tcW w:w="1134" w:type="dxa"/>
            <w:noWrap/>
            <w:hideMark/>
          </w:tcPr>
          <w:p w14:paraId="134D33AC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1.000</w:t>
            </w:r>
          </w:p>
        </w:tc>
        <w:tc>
          <w:tcPr>
            <w:tcW w:w="1134" w:type="dxa"/>
            <w:noWrap/>
            <w:hideMark/>
          </w:tcPr>
          <w:p w14:paraId="13C40469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1.001</w:t>
            </w:r>
          </w:p>
        </w:tc>
        <w:tc>
          <w:tcPr>
            <w:tcW w:w="1134" w:type="dxa"/>
            <w:noWrap/>
            <w:hideMark/>
          </w:tcPr>
          <w:p w14:paraId="61E9E917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0.406</w:t>
            </w:r>
          </w:p>
        </w:tc>
      </w:tr>
      <w:tr w:rsidR="00AC60D7" w:rsidRPr="008F0B93" w14:paraId="3D5639D6" w14:textId="77777777" w:rsidTr="00AC6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4439D9BB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High marrow burden at enrollment</w:t>
            </w:r>
          </w:p>
        </w:tc>
        <w:tc>
          <w:tcPr>
            <w:tcW w:w="1134" w:type="dxa"/>
            <w:noWrap/>
            <w:hideMark/>
          </w:tcPr>
          <w:p w14:paraId="7A62C481" w14:textId="77777777" w:rsidR="00AC60D7" w:rsidRPr="008F0B93" w:rsidRDefault="00AC60D7" w:rsidP="00AC60D7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2.423</w:t>
            </w:r>
          </w:p>
        </w:tc>
        <w:tc>
          <w:tcPr>
            <w:tcW w:w="1134" w:type="dxa"/>
            <w:noWrap/>
            <w:hideMark/>
          </w:tcPr>
          <w:p w14:paraId="3A198672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1.051</w:t>
            </w:r>
          </w:p>
        </w:tc>
        <w:tc>
          <w:tcPr>
            <w:tcW w:w="1134" w:type="dxa"/>
            <w:noWrap/>
            <w:hideMark/>
          </w:tcPr>
          <w:p w14:paraId="00478761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5.581</w:t>
            </w:r>
          </w:p>
        </w:tc>
        <w:tc>
          <w:tcPr>
            <w:tcW w:w="1134" w:type="dxa"/>
            <w:noWrap/>
            <w:hideMark/>
          </w:tcPr>
          <w:p w14:paraId="53213E0C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0.038</w:t>
            </w:r>
          </w:p>
        </w:tc>
      </w:tr>
      <w:tr w:rsidR="00AC60D7" w:rsidRPr="008F0B93" w14:paraId="71A5674D" w14:textId="77777777" w:rsidTr="00AC60D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2FF5A90D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Baseline BCMA expression</w:t>
            </w:r>
          </w:p>
        </w:tc>
        <w:tc>
          <w:tcPr>
            <w:tcW w:w="1134" w:type="dxa"/>
            <w:noWrap/>
            <w:hideMark/>
          </w:tcPr>
          <w:p w14:paraId="7E63172F" w14:textId="77777777" w:rsidR="00AC60D7" w:rsidRPr="008F0B93" w:rsidRDefault="00AC60D7" w:rsidP="00AC60D7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A7D6082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0.982</w:t>
            </w:r>
          </w:p>
        </w:tc>
        <w:tc>
          <w:tcPr>
            <w:tcW w:w="1134" w:type="dxa"/>
            <w:noWrap/>
            <w:hideMark/>
          </w:tcPr>
          <w:p w14:paraId="76EC2D92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1.019</w:t>
            </w:r>
          </w:p>
        </w:tc>
        <w:tc>
          <w:tcPr>
            <w:tcW w:w="1134" w:type="dxa"/>
            <w:noWrap/>
            <w:hideMark/>
          </w:tcPr>
          <w:p w14:paraId="5D9D2BC7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0.969</w:t>
            </w:r>
          </w:p>
        </w:tc>
      </w:tr>
      <w:tr w:rsidR="00AC60D7" w:rsidRPr="008F0B93" w14:paraId="09B53796" w14:textId="77777777" w:rsidTr="00AC6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7178F865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ADA postive</w:t>
            </w:r>
          </w:p>
        </w:tc>
        <w:tc>
          <w:tcPr>
            <w:tcW w:w="1134" w:type="dxa"/>
            <w:noWrap/>
            <w:hideMark/>
          </w:tcPr>
          <w:p w14:paraId="48DE2B9C" w14:textId="77777777" w:rsidR="00AC60D7" w:rsidRPr="008F0B93" w:rsidRDefault="00AC60D7" w:rsidP="00AC60D7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1.566</w:t>
            </w:r>
          </w:p>
        </w:tc>
        <w:tc>
          <w:tcPr>
            <w:tcW w:w="1134" w:type="dxa"/>
            <w:noWrap/>
            <w:hideMark/>
          </w:tcPr>
          <w:p w14:paraId="0E3BCF53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0.542</w:t>
            </w:r>
          </w:p>
        </w:tc>
        <w:tc>
          <w:tcPr>
            <w:tcW w:w="1134" w:type="dxa"/>
            <w:noWrap/>
            <w:hideMark/>
          </w:tcPr>
          <w:p w14:paraId="278D59DA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4.526</w:t>
            </w:r>
          </w:p>
        </w:tc>
        <w:tc>
          <w:tcPr>
            <w:tcW w:w="1134" w:type="dxa"/>
            <w:noWrap/>
            <w:hideMark/>
          </w:tcPr>
          <w:p w14:paraId="74BCCA99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0.408</w:t>
            </w:r>
          </w:p>
        </w:tc>
      </w:tr>
      <w:tr w:rsidR="00AC60D7" w:rsidRPr="008F0B93" w14:paraId="4399B0FC" w14:textId="77777777" w:rsidTr="00AC60D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08222D78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CAR-T persistent time ≥ 6 months</w:t>
            </w:r>
          </w:p>
        </w:tc>
        <w:tc>
          <w:tcPr>
            <w:tcW w:w="1134" w:type="dxa"/>
            <w:noWrap/>
            <w:hideMark/>
          </w:tcPr>
          <w:p w14:paraId="2236FC02" w14:textId="77777777" w:rsidR="00AC60D7" w:rsidRPr="008F0B93" w:rsidRDefault="00AC60D7" w:rsidP="00AC60D7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0.231</w:t>
            </w:r>
          </w:p>
        </w:tc>
        <w:tc>
          <w:tcPr>
            <w:tcW w:w="1134" w:type="dxa"/>
            <w:noWrap/>
            <w:hideMark/>
          </w:tcPr>
          <w:p w14:paraId="326EA109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0.096</w:t>
            </w:r>
          </w:p>
        </w:tc>
        <w:tc>
          <w:tcPr>
            <w:tcW w:w="1134" w:type="dxa"/>
            <w:noWrap/>
            <w:hideMark/>
          </w:tcPr>
          <w:p w14:paraId="5924949C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0.556</w:t>
            </w:r>
          </w:p>
        </w:tc>
        <w:tc>
          <w:tcPr>
            <w:tcW w:w="1134" w:type="dxa"/>
            <w:noWrap/>
            <w:hideMark/>
          </w:tcPr>
          <w:p w14:paraId="6B66034E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0.001</w:t>
            </w:r>
          </w:p>
        </w:tc>
      </w:tr>
      <w:tr w:rsidR="00AC60D7" w:rsidRPr="008F0B93" w14:paraId="3AA8DC73" w14:textId="77777777" w:rsidTr="00AC6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noWrap/>
            <w:hideMark/>
          </w:tcPr>
          <w:p w14:paraId="7A2791E1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First month response ≥ CR</w:t>
            </w:r>
          </w:p>
        </w:tc>
        <w:tc>
          <w:tcPr>
            <w:tcW w:w="1134" w:type="dxa"/>
            <w:noWrap/>
            <w:hideMark/>
          </w:tcPr>
          <w:p w14:paraId="5B1458E0" w14:textId="77777777" w:rsidR="00AC60D7" w:rsidRPr="008F0B93" w:rsidRDefault="00AC60D7" w:rsidP="00AC60D7">
            <w:pPr>
              <w:spacing w:line="36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0.635</w:t>
            </w:r>
          </w:p>
        </w:tc>
        <w:tc>
          <w:tcPr>
            <w:tcW w:w="1134" w:type="dxa"/>
            <w:noWrap/>
            <w:hideMark/>
          </w:tcPr>
          <w:p w14:paraId="36A27832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0.271</w:t>
            </w:r>
          </w:p>
        </w:tc>
        <w:tc>
          <w:tcPr>
            <w:tcW w:w="1134" w:type="dxa"/>
            <w:noWrap/>
            <w:hideMark/>
          </w:tcPr>
          <w:p w14:paraId="11E9E272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1.490</w:t>
            </w:r>
          </w:p>
        </w:tc>
        <w:tc>
          <w:tcPr>
            <w:tcW w:w="1134" w:type="dxa"/>
            <w:noWrap/>
            <w:hideMark/>
          </w:tcPr>
          <w:p w14:paraId="54A0DF71" w14:textId="77777777" w:rsidR="00AC60D7" w:rsidRPr="008F0B93" w:rsidRDefault="00AC60D7" w:rsidP="00AC60D7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0.297</w:t>
            </w:r>
          </w:p>
        </w:tc>
      </w:tr>
      <w:tr w:rsidR="00AC60D7" w:rsidRPr="008F0B93" w14:paraId="70F473DE" w14:textId="77777777" w:rsidTr="00AC60D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bottom w:val="single" w:sz="4" w:space="0" w:color="auto"/>
            </w:tcBorders>
            <w:noWrap/>
            <w:hideMark/>
          </w:tcPr>
          <w:p w14:paraId="7B1DFEEA" w14:textId="77777777" w:rsidR="00AC60D7" w:rsidRPr="008F0B93" w:rsidRDefault="00AC60D7" w:rsidP="00AC60D7">
            <w:pPr>
              <w:spacing w:line="360" w:lineRule="atLeast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22"/>
              </w:rPr>
              <w:t>Third month response ≥ CR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48C960BA" w14:textId="77777777" w:rsidR="00AC60D7" w:rsidRPr="008F0B93" w:rsidRDefault="00AC60D7" w:rsidP="00AC60D7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0.440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70909403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0.200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758B2C20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kern w:val="0"/>
                <w:sz w:val="22"/>
              </w:rPr>
              <w:t>0.965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7728BD56" w14:textId="77777777" w:rsidR="00AC60D7" w:rsidRPr="008F0B93" w:rsidRDefault="00AC60D7" w:rsidP="00AC60D7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8F0B93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0.040</w:t>
            </w:r>
          </w:p>
        </w:tc>
      </w:tr>
    </w:tbl>
    <w:p w14:paraId="63BD5D33" w14:textId="7EA7F292" w:rsidR="00022673" w:rsidRPr="008F0B93" w:rsidRDefault="00022673" w:rsidP="0002267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F0B93"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Table </w:t>
      </w:r>
      <w:r w:rsidR="00074245"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>S</w:t>
      </w:r>
      <w:r w:rsidR="00A436EF"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>6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.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</w:t>
      </w:r>
      <w:r w:rsidRPr="008F0B93">
        <w:rPr>
          <w:rFonts w:ascii="Times New Roman" w:hAnsi="Times New Roman" w:cs="Times New Roman" w:hint="eastAsia"/>
          <w:sz w:val="22"/>
          <w:szCs w:val="22"/>
        </w:rPr>
        <w:t>Univariate Cox regression models of predictors of sustained MRD negative time.</w:t>
      </w:r>
    </w:p>
    <w:p w14:paraId="72AD5BBE" w14:textId="6337B378" w:rsidR="00022673" w:rsidRPr="008F0B93" w:rsidRDefault="00022673" w:rsidP="0002267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4" w:name="_Hlk189753243"/>
      <w:r w:rsidRPr="008F0B93">
        <w:rPr>
          <w:rFonts w:ascii="Times New Roman" w:hAnsi="Times New Roman" w:cs="Times New Roman" w:hint="eastAsia"/>
          <w:sz w:val="22"/>
          <w:szCs w:val="22"/>
        </w:rPr>
        <w:t xml:space="preserve">ADA, </w:t>
      </w:r>
      <w:r w:rsidRPr="008F0B93">
        <w:rPr>
          <w:rFonts w:ascii="Times New Roman" w:hAnsi="Times New Roman" w:cs="Times New Roman"/>
          <w:sz w:val="22"/>
          <w:szCs w:val="22"/>
        </w:rPr>
        <w:t>Anti-drug antibodies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; </w:t>
      </w:r>
      <w:r w:rsidRPr="008F0B93">
        <w:rPr>
          <w:rFonts w:ascii="Times New Roman" w:hAnsi="Times New Roman" w:cs="Times New Roman"/>
          <w:sz w:val="22"/>
          <w:szCs w:val="22"/>
        </w:rPr>
        <w:t xml:space="preserve">BCMA, B-cell maturation antigen; CAR, chimeric antigen receptor; 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CR, complete response; </w:t>
      </w:r>
      <w:r w:rsidRPr="008F0B93">
        <w:rPr>
          <w:rFonts w:ascii="Times New Roman" w:hAnsi="Times New Roman" w:cs="Times New Roman"/>
          <w:sz w:val="22"/>
          <w:szCs w:val="22"/>
        </w:rPr>
        <w:t>EMMR-ISS, Revised International Staging System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; </w:t>
      </w:r>
      <w:r w:rsidRPr="008F0B93">
        <w:rPr>
          <w:rFonts w:ascii="Times New Roman" w:hAnsi="Times New Roman" w:cs="Times New Roman"/>
          <w:sz w:val="22"/>
          <w:szCs w:val="22"/>
        </w:rPr>
        <w:t>MRD</w:t>
      </w:r>
      <w:r w:rsidRPr="008F0B93">
        <w:rPr>
          <w:rFonts w:ascii="Times New Roman" w:hAnsi="Times New Roman" w:cs="Times New Roman" w:hint="eastAsia"/>
          <w:sz w:val="22"/>
          <w:szCs w:val="22"/>
        </w:rPr>
        <w:t>,</w:t>
      </w:r>
      <w:r w:rsidRPr="008F0B93">
        <w:rPr>
          <w:rFonts w:ascii="Times New Roman" w:hAnsi="Times New Roman" w:cs="Times New Roman"/>
          <w:sz w:val="22"/>
          <w:szCs w:val="22"/>
        </w:rPr>
        <w:t xml:space="preserve"> minimal residual disease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; </w:t>
      </w:r>
      <w:r w:rsidR="00A13ACA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ASCT, </w:t>
      </w:r>
      <w:r w:rsidR="00A13ACA"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autologous </w:t>
      </w:r>
      <w:r w:rsidR="00A13ACA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haematopoietic</w:t>
      </w:r>
      <w:r w:rsidR="00A13ACA"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stem cell transplantation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; </w:t>
      </w:r>
      <w:r w:rsidRPr="008F0B93">
        <w:rPr>
          <w:rFonts w:ascii="Times New Roman" w:hAnsi="Times New Roman" w:cs="Times New Roman" w:hint="eastAsia"/>
          <w:sz w:val="22"/>
          <w:szCs w:val="22"/>
        </w:rPr>
        <w:t>sBCMA, Plasma levels of soluble BCMA.</w:t>
      </w:r>
    </w:p>
    <w:bookmarkEnd w:id="4"/>
    <w:p w14:paraId="7978EF83" w14:textId="77777777" w:rsidR="00022673" w:rsidRPr="008F0B93" w:rsidRDefault="00022673" w:rsidP="00413DE4">
      <w:pPr>
        <w:rPr>
          <w:rFonts w:ascii="Times New Roman" w:eastAsia="宋体" w:hAnsi="Times New Roman" w:cs="Times New Roman"/>
          <w:kern w:val="0"/>
          <w:sz w:val="22"/>
          <w14:ligatures w14:val="none"/>
        </w:rPr>
      </w:pPr>
    </w:p>
    <w:p w14:paraId="48060CFA" w14:textId="14957517" w:rsidR="00CD739E" w:rsidRPr="008F0B93" w:rsidRDefault="00A13ACA" w:rsidP="00413DE4">
      <w:pPr>
        <w:rPr>
          <w:rFonts w:ascii="Times New Roman" w:eastAsia="宋体" w:hAnsi="Times New Roman" w:cs="Times New Roman"/>
          <w:kern w:val="0"/>
          <w:sz w:val="22"/>
          <w14:ligatures w14:val="none"/>
        </w:rPr>
      </w:pPr>
      <w:r w:rsidRPr="008F0B93">
        <w:rPr>
          <w:sz w:val="22"/>
        </w:rPr>
        <w:t xml:space="preserve"> </w:t>
      </w:r>
      <w:r w:rsidRPr="008F0B93">
        <w:rPr>
          <w:noProof/>
          <w:sz w:val="22"/>
        </w:rPr>
        <w:lastRenderedPageBreak/>
        <w:drawing>
          <wp:inline distT="0" distB="0" distL="0" distR="0" wp14:anchorId="67C4B56C" wp14:editId="3867AF5E">
            <wp:extent cx="5274310" cy="3522980"/>
            <wp:effectExtent l="0" t="0" r="2540" b="1270"/>
            <wp:docPr id="13378047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2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EDEF6" w14:textId="6FF5E1E1" w:rsidR="00CD739E" w:rsidRPr="008F0B93" w:rsidRDefault="00CD739E" w:rsidP="00413DE4">
      <w:pPr>
        <w:rPr>
          <w:rFonts w:hint="eastAsia"/>
          <w:sz w:val="22"/>
        </w:rPr>
      </w:pPr>
    </w:p>
    <w:p w14:paraId="07686D23" w14:textId="4B91BB65" w:rsidR="007E00B4" w:rsidRPr="008F0B93" w:rsidRDefault="00CD739E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F0B93">
        <w:rPr>
          <w:rFonts w:ascii="Times New Roman" w:hAnsi="Times New Roman" w:cs="Times New Roman" w:hint="eastAsia"/>
          <w:b/>
          <w:bCs/>
          <w:sz w:val="22"/>
          <w:szCs w:val="22"/>
        </w:rPr>
        <w:t>Fig</w:t>
      </w:r>
      <w:r w:rsidR="00466EE1" w:rsidRPr="008F0B93">
        <w:rPr>
          <w:rFonts w:ascii="Times New Roman" w:hAnsi="Times New Roman" w:cs="Times New Roman" w:hint="eastAsia"/>
          <w:b/>
          <w:bCs/>
          <w:sz w:val="22"/>
          <w:szCs w:val="22"/>
        </w:rPr>
        <w:t>ure</w:t>
      </w:r>
      <w:r w:rsidRPr="008F0B93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S</w:t>
      </w:r>
      <w:r w:rsidR="004A7516" w:rsidRPr="008F0B93">
        <w:rPr>
          <w:rFonts w:ascii="Times New Roman" w:hAnsi="Times New Roman" w:cs="Times New Roman" w:hint="eastAsia"/>
          <w:b/>
          <w:bCs/>
          <w:sz w:val="22"/>
          <w:szCs w:val="22"/>
        </w:rPr>
        <w:t>1</w:t>
      </w:r>
      <w:r w:rsidRPr="008F0B93">
        <w:rPr>
          <w:rFonts w:ascii="Times New Roman" w:hAnsi="Times New Roman" w:cs="Times New Roman" w:hint="eastAsia"/>
          <w:b/>
          <w:bCs/>
          <w:sz w:val="22"/>
          <w:szCs w:val="22"/>
        </w:rPr>
        <w:t>.</w:t>
      </w:r>
      <w:r w:rsidR="0007093D" w:rsidRPr="008F0B93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07093D" w:rsidRPr="008F0B93">
        <w:rPr>
          <w:rFonts w:ascii="Times New Roman" w:hAnsi="Times New Roman" w:cs="Times New Roman" w:hint="eastAsia"/>
          <w:sz w:val="22"/>
          <w:szCs w:val="22"/>
        </w:rPr>
        <w:t>Outcomes by time to early response.</w:t>
      </w:r>
    </w:p>
    <w:p w14:paraId="738AC913" w14:textId="0D516A51" w:rsidR="0007093D" w:rsidRPr="008F0B93" w:rsidRDefault="0007093D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F0B93">
        <w:rPr>
          <w:rFonts w:ascii="Times New Roman" w:hAnsi="Times New Roman" w:cs="Times New Roman" w:hint="eastAsia"/>
          <w:sz w:val="22"/>
          <w:szCs w:val="22"/>
        </w:rPr>
        <w:t xml:space="preserve"> (A, B) The Kaplan-Meier survival curves compare the progression-free survival and the overall survival rates between the patients who reached the CR or better and patients who not </w:t>
      </w:r>
      <w:r w:rsidRPr="008F0B93">
        <w:rPr>
          <w:rFonts w:ascii="Times New Roman" w:hAnsi="Times New Roman" w:cs="Times New Roman"/>
          <w:sz w:val="22"/>
          <w:szCs w:val="22"/>
        </w:rPr>
        <w:t>reached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 at the first month after CAR-T infusion. (C, D) The Kaplan-Meier survival curves compare the progression-free survival and the overall survival rates between the patients who reached the CR or better and patients who not </w:t>
      </w:r>
      <w:r w:rsidRPr="008F0B93">
        <w:rPr>
          <w:rFonts w:ascii="Times New Roman" w:hAnsi="Times New Roman" w:cs="Times New Roman"/>
          <w:sz w:val="22"/>
          <w:szCs w:val="22"/>
        </w:rPr>
        <w:t>reached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 at the third month after CAR-T infusion.</w:t>
      </w:r>
    </w:p>
    <w:p w14:paraId="44EB8F6F" w14:textId="7960161D" w:rsidR="00D944DE" w:rsidRPr="008F0B93" w:rsidRDefault="00D944DE" w:rsidP="006B6304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5" w:name="_Hlk189747162"/>
      <w:r w:rsidRPr="008F0B93">
        <w:rPr>
          <w:rFonts w:ascii="Times New Roman" w:hAnsi="Times New Roman" w:cs="Times New Roman" w:hint="eastAsia"/>
          <w:sz w:val="22"/>
          <w:szCs w:val="22"/>
        </w:rPr>
        <w:t>CR, complete response; PFS, progression-free survival, OS, overall survival.</w:t>
      </w:r>
    </w:p>
    <w:bookmarkEnd w:id="5"/>
    <w:p w14:paraId="3B8B1AB1" w14:textId="3DE8195D" w:rsidR="00D944DE" w:rsidRPr="008F0B93" w:rsidRDefault="00D944DE" w:rsidP="00376B82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14:paraId="03430E3F" w14:textId="66D07E0D" w:rsidR="006E54D6" w:rsidRPr="008F0B93" w:rsidRDefault="00A82912" w:rsidP="00466EE1">
      <w:pPr>
        <w:rPr>
          <w:rFonts w:ascii="Times New Roman" w:hAnsi="Times New Roman" w:cs="Times New Roman"/>
          <w:b/>
          <w:bCs/>
          <w:sz w:val="22"/>
        </w:rPr>
      </w:pPr>
      <w:r w:rsidRPr="00A82912">
        <w:rPr>
          <w:rFonts w:ascii="Times New Roman" w:hAnsi="Times New Roman" w:cs="Times New Roman"/>
          <w:b/>
          <w:bCs/>
          <w:noProof/>
          <w:sz w:val="22"/>
        </w:rPr>
        <w:lastRenderedPageBreak/>
        <w:drawing>
          <wp:inline distT="0" distB="0" distL="0" distR="0" wp14:anchorId="505BE628" wp14:editId="788CDBF5">
            <wp:extent cx="5274310" cy="5143500"/>
            <wp:effectExtent l="0" t="0" r="2540" b="0"/>
            <wp:docPr id="2111743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4FD71" w14:textId="7371DF38" w:rsidR="006E54D6" w:rsidRPr="008F0B93" w:rsidRDefault="00466EE1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>Figure</w:t>
      </w:r>
      <w:r w:rsidR="002025B3"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 xml:space="preserve"> </w:t>
      </w:r>
      <w:r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>S</w:t>
      </w:r>
      <w:r w:rsidR="00BD0CCF"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>2</w:t>
      </w:r>
      <w:r w:rsidRPr="008F0B93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. </w:t>
      </w:r>
      <w:r w:rsidR="006E54D6" w:rsidRPr="008F0B93">
        <w:rPr>
          <w:rFonts w:ascii="Times New Roman" w:hAnsi="Times New Roman" w:cs="Times New Roman" w:hint="eastAsia"/>
          <w:sz w:val="22"/>
          <w:szCs w:val="22"/>
        </w:rPr>
        <w:t xml:space="preserve">Correlations between </w:t>
      </w:r>
      <w:r w:rsidR="006E54D6" w:rsidRPr="008F0B93">
        <w:rPr>
          <w:rFonts w:ascii="Times New Roman" w:hAnsi="Times New Roman" w:cs="Times New Roman"/>
          <w:sz w:val="22"/>
          <w:szCs w:val="22"/>
        </w:rPr>
        <w:t>triple</w:t>
      </w:r>
      <w:r w:rsidR="006E54D6" w:rsidRPr="008F0B93">
        <w:rPr>
          <w:rFonts w:ascii="Times New Roman" w:hAnsi="Times New Roman" w:cs="Times New Roman" w:hint="eastAsia"/>
          <w:sz w:val="22"/>
          <w:szCs w:val="22"/>
        </w:rPr>
        <w:t xml:space="preserve"> exposed, high-risk cytogenetic features and CAR-T cell persistence time and PFS and OS.</w:t>
      </w:r>
    </w:p>
    <w:p w14:paraId="3CCAAE3A" w14:textId="269BDED2" w:rsidR="008E46C4" w:rsidRPr="008F0B93" w:rsidRDefault="008E46C4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F0B93">
        <w:rPr>
          <w:rFonts w:ascii="Times New Roman" w:hAnsi="Times New Roman" w:cs="Times New Roman" w:hint="eastAsia"/>
          <w:sz w:val="22"/>
          <w:szCs w:val="22"/>
        </w:rPr>
        <w:t>(</w:t>
      </w:r>
      <w:r w:rsidR="0070105C" w:rsidRPr="008F0B93">
        <w:rPr>
          <w:rFonts w:ascii="Times New Roman" w:hAnsi="Times New Roman" w:cs="Times New Roman" w:hint="eastAsia"/>
          <w:sz w:val="22"/>
          <w:szCs w:val="22"/>
        </w:rPr>
        <w:t>A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, </w:t>
      </w:r>
      <w:r w:rsidR="0070105C" w:rsidRPr="008F0B93">
        <w:rPr>
          <w:rFonts w:ascii="Times New Roman" w:hAnsi="Times New Roman" w:cs="Times New Roman" w:hint="eastAsia"/>
          <w:sz w:val="22"/>
          <w:szCs w:val="22"/>
        </w:rPr>
        <w:t>B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) The Kaplan-Meier survival curves compare the </w:t>
      </w:r>
      <w:r w:rsidR="006E54D6" w:rsidRPr="008F0B93">
        <w:rPr>
          <w:rFonts w:ascii="Times New Roman" w:hAnsi="Times New Roman" w:cs="Times New Roman" w:hint="eastAsia"/>
          <w:sz w:val="22"/>
          <w:szCs w:val="22"/>
        </w:rPr>
        <w:t xml:space="preserve">PFS </w:t>
      </w:r>
      <w:r w:rsidRPr="008F0B93">
        <w:rPr>
          <w:rFonts w:ascii="Times New Roman" w:hAnsi="Times New Roman" w:cs="Times New Roman" w:hint="eastAsia"/>
          <w:sz w:val="22"/>
          <w:szCs w:val="22"/>
        </w:rPr>
        <w:t>and the</w:t>
      </w:r>
      <w:r w:rsidR="006E54D6" w:rsidRPr="008F0B93">
        <w:rPr>
          <w:rFonts w:ascii="Times New Roman" w:hAnsi="Times New Roman" w:cs="Times New Roman" w:hint="eastAsia"/>
          <w:sz w:val="22"/>
          <w:szCs w:val="22"/>
        </w:rPr>
        <w:t xml:space="preserve"> OS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8F0B93">
        <w:rPr>
          <w:rFonts w:ascii="Times New Roman" w:hAnsi="Times New Roman" w:cs="Times New Roman"/>
          <w:sz w:val="22"/>
          <w:szCs w:val="22"/>
        </w:rPr>
        <w:t>by</w:t>
      </w:r>
      <w:r w:rsidR="0070105C" w:rsidRPr="008F0B93">
        <w:rPr>
          <w:rFonts w:ascii="Times New Roman" w:hAnsi="Times New Roman" w:cs="Times New Roman"/>
          <w:sz w:val="22"/>
          <w:szCs w:val="22"/>
        </w:rPr>
        <w:t xml:space="preserve"> triple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 </w:t>
      </w:r>
      <w:bookmarkStart w:id="6" w:name="_Hlk195362906"/>
      <w:r w:rsidR="00A82912" w:rsidRPr="00A82912">
        <w:rPr>
          <w:rFonts w:ascii="Times New Roman" w:hAnsi="Times New Roman" w:cs="Times New Roman"/>
          <w:color w:val="FF0000"/>
          <w:sz w:val="22"/>
        </w:rPr>
        <w:t>expos</w:t>
      </w:r>
      <w:r w:rsidR="00A82912" w:rsidRPr="00A82912">
        <w:rPr>
          <w:rFonts w:ascii="Times New Roman" w:hAnsi="Times New Roman" w:cs="Times New Roman" w:hint="eastAsia"/>
          <w:color w:val="FF0000"/>
          <w:sz w:val="22"/>
        </w:rPr>
        <w:t>ure</w:t>
      </w:r>
      <w:bookmarkEnd w:id="6"/>
      <w:r w:rsidRPr="00A82912">
        <w:rPr>
          <w:rFonts w:ascii="Times New Roman" w:hAnsi="Times New Roman" w:cs="Times New Roman" w:hint="eastAsia"/>
          <w:color w:val="FF0000"/>
          <w:sz w:val="22"/>
          <w:szCs w:val="22"/>
        </w:rPr>
        <w:t>.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 (</w:t>
      </w:r>
      <w:r w:rsidR="0070105C" w:rsidRPr="008F0B93">
        <w:rPr>
          <w:rFonts w:ascii="Times New Roman" w:hAnsi="Times New Roman" w:cs="Times New Roman" w:hint="eastAsia"/>
          <w:sz w:val="22"/>
          <w:szCs w:val="22"/>
        </w:rPr>
        <w:t>C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, </w:t>
      </w:r>
      <w:r w:rsidR="0070105C" w:rsidRPr="008F0B93">
        <w:rPr>
          <w:rFonts w:ascii="Times New Roman" w:hAnsi="Times New Roman" w:cs="Times New Roman" w:hint="eastAsia"/>
          <w:sz w:val="22"/>
          <w:szCs w:val="22"/>
        </w:rPr>
        <w:t>D</w:t>
      </w:r>
      <w:r w:rsidRPr="008F0B93">
        <w:rPr>
          <w:rFonts w:ascii="Times New Roman" w:hAnsi="Times New Roman" w:cs="Times New Roman" w:hint="eastAsia"/>
          <w:sz w:val="22"/>
          <w:szCs w:val="22"/>
        </w:rPr>
        <w:t>) The Kaplan-Meier survival curves compare the</w:t>
      </w:r>
      <w:r w:rsidR="006E54D6" w:rsidRPr="008F0B93">
        <w:rPr>
          <w:rFonts w:ascii="Times New Roman" w:hAnsi="Times New Roman" w:cs="Times New Roman" w:hint="eastAsia"/>
          <w:sz w:val="22"/>
          <w:szCs w:val="22"/>
        </w:rPr>
        <w:t xml:space="preserve"> PFS 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and the </w:t>
      </w:r>
      <w:r w:rsidR="006E54D6" w:rsidRPr="008F0B93">
        <w:rPr>
          <w:rFonts w:ascii="Times New Roman" w:hAnsi="Times New Roman" w:cs="Times New Roman" w:hint="eastAsia"/>
          <w:sz w:val="22"/>
          <w:szCs w:val="22"/>
        </w:rPr>
        <w:t>OS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8F0B93">
        <w:rPr>
          <w:rFonts w:ascii="Times New Roman" w:hAnsi="Times New Roman" w:cs="Times New Roman"/>
          <w:sz w:val="22"/>
          <w:szCs w:val="22"/>
        </w:rPr>
        <w:t>by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 </w:t>
      </w:r>
      <w:bookmarkStart w:id="7" w:name="_Hlk176289759"/>
      <w:r w:rsidRPr="008F0B93">
        <w:rPr>
          <w:rFonts w:ascii="Times New Roman" w:hAnsi="Times New Roman" w:cs="Times New Roman" w:hint="eastAsia"/>
          <w:sz w:val="22"/>
          <w:szCs w:val="22"/>
        </w:rPr>
        <w:t>high-risk cytogenetic features</w:t>
      </w:r>
      <w:bookmarkEnd w:id="7"/>
      <w:r w:rsidRPr="008F0B93">
        <w:rPr>
          <w:rFonts w:ascii="Times New Roman" w:hAnsi="Times New Roman" w:cs="Times New Roman" w:hint="eastAsia"/>
          <w:sz w:val="22"/>
          <w:szCs w:val="22"/>
        </w:rPr>
        <w:t>.</w:t>
      </w:r>
      <w:r w:rsidR="006E54D6" w:rsidRPr="008F0B93">
        <w:rPr>
          <w:rFonts w:ascii="Times New Roman" w:hAnsi="Times New Roman" w:cs="Times New Roman" w:hint="eastAsia"/>
          <w:sz w:val="22"/>
          <w:szCs w:val="22"/>
        </w:rPr>
        <w:t xml:space="preserve"> (E, F) The Kaplan-Meier survival curves compare the PFS and the OS </w:t>
      </w:r>
      <w:r w:rsidR="006E54D6" w:rsidRPr="008F0B93">
        <w:rPr>
          <w:rFonts w:ascii="Times New Roman" w:hAnsi="Times New Roman" w:cs="Times New Roman"/>
          <w:sz w:val="22"/>
          <w:szCs w:val="22"/>
        </w:rPr>
        <w:t>by</w:t>
      </w:r>
      <w:r w:rsidR="006E54D6" w:rsidRPr="008F0B93">
        <w:rPr>
          <w:rFonts w:ascii="Times New Roman" w:hAnsi="Times New Roman" w:cs="Times New Roman" w:hint="eastAsia"/>
          <w:sz w:val="22"/>
          <w:szCs w:val="22"/>
        </w:rPr>
        <w:t xml:space="preserve"> CAR-T cell persistence time.</w:t>
      </w:r>
    </w:p>
    <w:p w14:paraId="28F9DAE0" w14:textId="590E295C" w:rsidR="00473CCC" w:rsidRPr="008F0B93" w:rsidRDefault="00EC5C44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8" w:name="_Hlk189747795"/>
      <w:r w:rsidRPr="008F0B93">
        <w:rPr>
          <w:rFonts w:ascii="Times New Roman" w:hAnsi="Times New Roman" w:cs="Times New Roman" w:hint="eastAsia"/>
          <w:sz w:val="22"/>
          <w:szCs w:val="22"/>
        </w:rPr>
        <w:t>CAR, chimeric antigen receptor; PFS, progression-free survival, OS, overall survival</w:t>
      </w:r>
      <w:r w:rsidR="00A13ACA" w:rsidRPr="008F0B93">
        <w:rPr>
          <w:rFonts w:ascii="Times New Roman" w:hAnsi="Times New Roman" w:cs="Times New Roman" w:hint="eastAsia"/>
          <w:sz w:val="22"/>
          <w:szCs w:val="22"/>
        </w:rPr>
        <w:t>.</w:t>
      </w:r>
    </w:p>
    <w:p w14:paraId="7021D72D" w14:textId="77777777" w:rsidR="00A436EF" w:rsidRPr="008F0B93" w:rsidRDefault="00A436EF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29C1883" w14:textId="77777777" w:rsidR="00A436EF" w:rsidRPr="008F0B93" w:rsidRDefault="00A436EF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72C3C39" w14:textId="1AD49675" w:rsidR="00A436EF" w:rsidRPr="008F0B93" w:rsidRDefault="00A436EF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F0B93">
        <w:rPr>
          <w:noProof/>
          <w:sz w:val="22"/>
          <w:szCs w:val="22"/>
        </w:rPr>
        <w:lastRenderedPageBreak/>
        <w:drawing>
          <wp:inline distT="0" distB="0" distL="0" distR="0" wp14:anchorId="689CC6B7" wp14:editId="71E1CDD7">
            <wp:extent cx="5181600" cy="6375625"/>
            <wp:effectExtent l="0" t="0" r="0" b="6350"/>
            <wp:docPr id="76100797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17" cy="6391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339C7" w14:textId="68D96F39" w:rsidR="00A436EF" w:rsidRPr="008F0B93" w:rsidRDefault="00A436EF" w:rsidP="00A436EF">
      <w:pPr>
        <w:spacing w:line="360" w:lineRule="auto"/>
        <w:rPr>
          <w:rFonts w:ascii="Times New Roman" w:hAnsi="Times New Roman" w:cs="Times New Roman"/>
          <w:color w:val="FF0000"/>
          <w:sz w:val="22"/>
        </w:rPr>
      </w:pPr>
      <w:r w:rsidRPr="008F0B93">
        <w:rPr>
          <w:rFonts w:ascii="Times New Roman" w:hAnsi="Times New Roman" w:cs="Times New Roman" w:hint="eastAsia"/>
          <w:b/>
          <w:bCs/>
          <w:color w:val="FF0000"/>
          <w:sz w:val="22"/>
        </w:rPr>
        <w:t>Figure S3.</w:t>
      </w:r>
      <w:r w:rsidRPr="008F0B93">
        <w:rPr>
          <w:rFonts w:ascii="Times New Roman" w:hAnsi="Times New Roman" w:cs="Times New Roman" w:hint="eastAsia"/>
          <w:color w:val="FF0000"/>
          <w:sz w:val="22"/>
        </w:rPr>
        <w:t xml:space="preserve"> Correlations between ALC with response and clinical outcomes in RRMM patients. (A</w:t>
      </w:r>
      <w:r w:rsidR="00A82912">
        <w:rPr>
          <w:rFonts w:ascii="Times New Roman" w:hAnsi="Times New Roman" w:cs="Times New Roman" w:hint="eastAsia"/>
          <w:color w:val="FF0000"/>
          <w:sz w:val="22"/>
        </w:rPr>
        <w:t xml:space="preserve">, </w:t>
      </w:r>
      <w:r w:rsidRPr="008F0B93">
        <w:rPr>
          <w:rFonts w:ascii="Times New Roman" w:hAnsi="Times New Roman" w:cs="Times New Roman" w:hint="eastAsia"/>
          <w:color w:val="FF0000"/>
          <w:sz w:val="22"/>
        </w:rPr>
        <w:t>B) ALC baseline and ALC max between different best response. (C</w:t>
      </w:r>
      <w:r w:rsidR="00A82912">
        <w:rPr>
          <w:rFonts w:ascii="Times New Roman" w:hAnsi="Times New Roman" w:cs="Times New Roman" w:hint="eastAsia"/>
          <w:color w:val="FF0000"/>
          <w:sz w:val="22"/>
        </w:rPr>
        <w:t xml:space="preserve">, </w:t>
      </w:r>
      <w:r w:rsidRPr="008F0B93">
        <w:rPr>
          <w:rFonts w:ascii="Times New Roman" w:hAnsi="Times New Roman" w:cs="Times New Roman" w:hint="eastAsia"/>
          <w:color w:val="FF0000"/>
          <w:sz w:val="22"/>
        </w:rPr>
        <w:t>D) The relationship between the OS of patients and the extent of ALC baseline and ALC max observed. (D</w:t>
      </w:r>
      <w:r w:rsidR="00A82912">
        <w:rPr>
          <w:rFonts w:ascii="Times New Roman" w:hAnsi="Times New Roman" w:cs="Times New Roman" w:hint="eastAsia"/>
          <w:color w:val="FF0000"/>
          <w:sz w:val="22"/>
        </w:rPr>
        <w:t xml:space="preserve">, </w:t>
      </w:r>
      <w:r w:rsidRPr="008F0B93">
        <w:rPr>
          <w:rFonts w:ascii="Times New Roman" w:hAnsi="Times New Roman" w:cs="Times New Roman" w:hint="eastAsia"/>
          <w:color w:val="FF0000"/>
          <w:sz w:val="22"/>
        </w:rPr>
        <w:t>E) The relationship between the PFS of patients and the extent of ALC baseline and ALC max observed.</w:t>
      </w:r>
    </w:p>
    <w:p w14:paraId="4EA80DD3" w14:textId="1C4EA73C" w:rsidR="00A436EF" w:rsidRPr="008F0B93" w:rsidRDefault="00940466" w:rsidP="002025B3">
      <w:pPr>
        <w:pStyle w:val="a8"/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8F0B93">
        <w:rPr>
          <w:rFonts w:ascii="Times New Roman" w:hAnsi="Times New Roman" w:cs="Times New Roman"/>
          <w:color w:val="FF0000"/>
          <w:sz w:val="22"/>
          <w:szCs w:val="22"/>
        </w:rPr>
        <w:t>CR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,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complete response; </w:t>
      </w:r>
      <w:r w:rsidR="00A436EF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PFS, progression-free survival, OS, overall survival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;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sCR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,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stringent complete response;</w:t>
      </w:r>
    </w:p>
    <w:p w14:paraId="14620DF3" w14:textId="0C11CAA5" w:rsidR="00A13ACA" w:rsidRPr="008F0B93" w:rsidRDefault="00940466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F0B93">
        <w:rPr>
          <w:sz w:val="22"/>
          <w:szCs w:val="22"/>
        </w:rPr>
        <w:lastRenderedPageBreak/>
        <w:t xml:space="preserve"> </w:t>
      </w:r>
      <w:r w:rsidRPr="008F0B93">
        <w:rPr>
          <w:noProof/>
          <w:sz w:val="22"/>
          <w:szCs w:val="22"/>
        </w:rPr>
        <w:drawing>
          <wp:inline distT="0" distB="0" distL="0" distR="0" wp14:anchorId="1C71AFA9" wp14:editId="7053F4E7">
            <wp:extent cx="5274310" cy="2280920"/>
            <wp:effectExtent l="0" t="0" r="2540" b="5080"/>
            <wp:docPr id="450783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8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17995" w14:textId="04B55444" w:rsidR="008037AD" w:rsidRPr="008F0B93" w:rsidRDefault="008037AD" w:rsidP="008037AD">
      <w:pPr>
        <w:spacing w:line="360" w:lineRule="auto"/>
        <w:rPr>
          <w:rFonts w:ascii="Times New Roman" w:hAnsi="Times New Roman" w:cs="Times New Roman"/>
          <w:color w:val="FF0000"/>
          <w:sz w:val="22"/>
        </w:rPr>
      </w:pPr>
      <w:bookmarkStart w:id="9" w:name="_Hlk195363316"/>
      <w:r w:rsidRPr="008F0B93">
        <w:rPr>
          <w:rFonts w:ascii="Times New Roman" w:hAnsi="Times New Roman" w:cs="Times New Roman" w:hint="eastAsia"/>
          <w:b/>
          <w:bCs/>
          <w:color w:val="FF0000"/>
          <w:sz w:val="22"/>
        </w:rPr>
        <w:t>Figure S</w:t>
      </w:r>
      <w:r w:rsidR="00A436EF" w:rsidRPr="008F0B93">
        <w:rPr>
          <w:rFonts w:ascii="Times New Roman" w:hAnsi="Times New Roman" w:cs="Times New Roman" w:hint="eastAsia"/>
          <w:b/>
          <w:bCs/>
          <w:color w:val="FF0000"/>
          <w:sz w:val="22"/>
        </w:rPr>
        <w:t>4</w:t>
      </w:r>
      <w:r w:rsidRPr="008F0B93">
        <w:rPr>
          <w:rFonts w:ascii="Times New Roman" w:hAnsi="Times New Roman" w:cs="Times New Roman" w:hint="eastAsia"/>
          <w:b/>
          <w:bCs/>
          <w:color w:val="FF0000"/>
          <w:sz w:val="22"/>
        </w:rPr>
        <w:t xml:space="preserve">. </w:t>
      </w:r>
      <w:r w:rsidRPr="008F0B93">
        <w:rPr>
          <w:rFonts w:ascii="Times New Roman" w:hAnsi="Times New Roman" w:cs="Times New Roman" w:hint="eastAsia"/>
          <w:color w:val="FF0000"/>
          <w:sz w:val="22"/>
        </w:rPr>
        <w:t>Best response between triple-</w:t>
      </w:r>
      <w:r w:rsidR="00940466" w:rsidRPr="008F0B93">
        <w:rPr>
          <w:rFonts w:ascii="Times New Roman" w:eastAsia="宋体" w:hAnsi="Times New Roman" w:cs="Times New Roman"/>
          <w:color w:val="FF0000"/>
          <w:kern w:val="0"/>
          <w:sz w:val="22"/>
        </w:rPr>
        <w:t>expos</w:t>
      </w:r>
      <w:r w:rsidR="00940466" w:rsidRPr="008F0B93">
        <w:rPr>
          <w:rFonts w:ascii="Times New Roman" w:eastAsia="宋体" w:hAnsi="Times New Roman" w:cs="Times New Roman" w:hint="eastAsia"/>
          <w:color w:val="FF0000"/>
          <w:kern w:val="0"/>
          <w:sz w:val="22"/>
        </w:rPr>
        <w:t>ure</w:t>
      </w:r>
      <w:r w:rsidR="00940466" w:rsidRPr="008F0B93" w:rsidDel="00940466">
        <w:rPr>
          <w:rFonts w:ascii="Times New Roman" w:hAnsi="Times New Roman" w:cs="Times New Roman" w:hint="eastAsia"/>
          <w:color w:val="FF0000"/>
          <w:sz w:val="22"/>
        </w:rPr>
        <w:t xml:space="preserve"> </w:t>
      </w:r>
      <w:r w:rsidRPr="008F0B93">
        <w:rPr>
          <w:rFonts w:ascii="Times New Roman" w:hAnsi="Times New Roman" w:cs="Times New Roman" w:hint="eastAsia"/>
          <w:color w:val="FF0000"/>
          <w:sz w:val="22"/>
        </w:rPr>
        <w:t>and penta-</w:t>
      </w:r>
      <w:r w:rsidR="00940466" w:rsidRPr="008F0B93">
        <w:rPr>
          <w:rFonts w:ascii="Times New Roman" w:eastAsia="宋体" w:hAnsi="Times New Roman" w:cs="Times New Roman"/>
          <w:color w:val="FF0000"/>
          <w:kern w:val="0"/>
          <w:sz w:val="22"/>
        </w:rPr>
        <w:t>expos</w:t>
      </w:r>
      <w:r w:rsidR="00940466" w:rsidRPr="008F0B93">
        <w:rPr>
          <w:rFonts w:ascii="Times New Roman" w:eastAsia="宋体" w:hAnsi="Times New Roman" w:cs="Times New Roman" w:hint="eastAsia"/>
          <w:color w:val="FF0000"/>
          <w:kern w:val="0"/>
          <w:sz w:val="22"/>
        </w:rPr>
        <w:t>ure</w:t>
      </w:r>
      <w:r w:rsidRPr="008F0B93">
        <w:rPr>
          <w:rFonts w:ascii="Times New Roman" w:hAnsi="Times New Roman" w:cs="Times New Roman" w:hint="eastAsia"/>
          <w:color w:val="FF0000"/>
          <w:sz w:val="22"/>
        </w:rPr>
        <w:t xml:space="preserve"> patients.</w:t>
      </w:r>
    </w:p>
    <w:p w14:paraId="771202D2" w14:textId="1523E3F2" w:rsidR="008037AD" w:rsidRPr="008F0B93" w:rsidRDefault="008037AD" w:rsidP="008037AD">
      <w:pPr>
        <w:spacing w:line="360" w:lineRule="auto"/>
        <w:rPr>
          <w:rFonts w:ascii="Times New Roman" w:hAnsi="Times New Roman" w:cs="Times New Roman"/>
          <w:color w:val="FF0000"/>
          <w:sz w:val="22"/>
        </w:rPr>
      </w:pPr>
      <w:r w:rsidRPr="008F0B93">
        <w:rPr>
          <w:rFonts w:ascii="Times New Roman" w:hAnsi="Times New Roman" w:cs="Times New Roman"/>
          <w:color w:val="FF0000"/>
          <w:sz w:val="22"/>
        </w:rPr>
        <w:t>(A) ORR and best response in patients with or without triple-</w:t>
      </w:r>
      <w:r w:rsidR="00940466" w:rsidRPr="008F0B93">
        <w:rPr>
          <w:rFonts w:ascii="Times New Roman" w:eastAsia="宋体" w:hAnsi="Times New Roman" w:cs="Times New Roman"/>
          <w:color w:val="FF0000"/>
          <w:kern w:val="0"/>
          <w:sz w:val="22"/>
        </w:rPr>
        <w:t>expos</w:t>
      </w:r>
      <w:r w:rsidR="00940466" w:rsidRPr="008F0B93">
        <w:rPr>
          <w:rFonts w:ascii="Times New Roman" w:eastAsia="宋体" w:hAnsi="Times New Roman" w:cs="Times New Roman" w:hint="eastAsia"/>
          <w:color w:val="FF0000"/>
          <w:kern w:val="0"/>
          <w:sz w:val="22"/>
        </w:rPr>
        <w:t>ure</w:t>
      </w:r>
      <w:r w:rsidRPr="008F0B93">
        <w:rPr>
          <w:rFonts w:ascii="Times New Roman" w:hAnsi="Times New Roman" w:cs="Times New Roman"/>
          <w:color w:val="FF0000"/>
          <w:sz w:val="22"/>
        </w:rPr>
        <w:t xml:space="preserve"> status. (B) ORR</w:t>
      </w:r>
      <w:r w:rsidRPr="008F0B93">
        <w:rPr>
          <w:rFonts w:ascii="Times New Roman" w:hAnsi="Times New Roman" w:cs="Times New Roman" w:hint="eastAsia"/>
          <w:color w:val="FF0000"/>
          <w:sz w:val="22"/>
        </w:rPr>
        <w:t xml:space="preserve"> </w:t>
      </w:r>
      <w:r w:rsidRPr="008F0B93">
        <w:rPr>
          <w:rFonts w:ascii="Times New Roman" w:hAnsi="Times New Roman" w:cs="Times New Roman"/>
          <w:color w:val="FF0000"/>
          <w:sz w:val="22"/>
        </w:rPr>
        <w:t>and best response in patients with or without penta-</w:t>
      </w:r>
      <w:r w:rsidR="00940466" w:rsidRPr="008F0B93">
        <w:rPr>
          <w:rFonts w:ascii="Times New Roman" w:eastAsia="宋体" w:hAnsi="Times New Roman" w:cs="Times New Roman"/>
          <w:color w:val="FF0000"/>
          <w:kern w:val="0"/>
          <w:sz w:val="22"/>
        </w:rPr>
        <w:t>expos</w:t>
      </w:r>
      <w:r w:rsidR="00940466" w:rsidRPr="008F0B93">
        <w:rPr>
          <w:rFonts w:ascii="Times New Roman" w:eastAsia="宋体" w:hAnsi="Times New Roman" w:cs="Times New Roman" w:hint="eastAsia"/>
          <w:color w:val="FF0000"/>
          <w:kern w:val="0"/>
          <w:sz w:val="22"/>
        </w:rPr>
        <w:t>ure</w:t>
      </w:r>
      <w:r w:rsidR="00940466" w:rsidRPr="008F0B93" w:rsidDel="00940466">
        <w:rPr>
          <w:rFonts w:ascii="Times New Roman" w:hAnsi="Times New Roman" w:cs="Times New Roman" w:hint="eastAsia"/>
          <w:color w:val="FF0000"/>
          <w:sz w:val="22"/>
        </w:rPr>
        <w:t xml:space="preserve"> </w:t>
      </w:r>
      <w:r w:rsidRPr="008F0B93">
        <w:rPr>
          <w:rFonts w:ascii="Times New Roman" w:hAnsi="Times New Roman" w:cs="Times New Roman"/>
          <w:color w:val="FF0000"/>
          <w:sz w:val="22"/>
        </w:rPr>
        <w:t xml:space="preserve">status. </w:t>
      </w:r>
    </w:p>
    <w:bookmarkEnd w:id="9"/>
    <w:p w14:paraId="1F9E585F" w14:textId="52154F6D" w:rsidR="008037AD" w:rsidRPr="008F0B93" w:rsidRDefault="008037AD" w:rsidP="008037AD">
      <w:pPr>
        <w:pStyle w:val="a8"/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8F0B93">
        <w:rPr>
          <w:rFonts w:ascii="Times New Roman" w:hAnsi="Times New Roman" w:cs="Times New Roman"/>
          <w:color w:val="FF0000"/>
          <w:sz w:val="22"/>
          <w:szCs w:val="22"/>
        </w:rPr>
        <w:t>CR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,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complete response; PR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,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partial response;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ORR,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overall response rate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;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sCR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,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stringent complete response; VGPR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,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very good partial response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.</w:t>
      </w:r>
    </w:p>
    <w:p w14:paraId="1F99077A" w14:textId="77777777" w:rsidR="008037AD" w:rsidRPr="008F0B93" w:rsidRDefault="008037AD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3338730" w14:textId="77777777" w:rsidR="008037AD" w:rsidRPr="008F0B93" w:rsidRDefault="008037AD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989B5A8" w14:textId="77777777" w:rsidR="008037AD" w:rsidRPr="008F0B93" w:rsidRDefault="008037AD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BA6CA75" w14:textId="2F11D3F9" w:rsidR="008037AD" w:rsidRPr="008F0B93" w:rsidRDefault="008037AD" w:rsidP="002025B3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10" w:name="_Hlk194569868"/>
      <w:r w:rsidRPr="008F0B93">
        <w:rPr>
          <w:noProof/>
          <w:sz w:val="22"/>
          <w:szCs w:val="22"/>
        </w:rPr>
        <w:lastRenderedPageBreak/>
        <w:drawing>
          <wp:inline distT="0" distB="0" distL="0" distR="0" wp14:anchorId="5721B0E9" wp14:editId="7C9E5267">
            <wp:extent cx="5274310" cy="4030980"/>
            <wp:effectExtent l="0" t="0" r="2540" b="7620"/>
            <wp:docPr id="167629810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3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8"/>
    <w:p w14:paraId="41FA5899" w14:textId="1CEC85B2" w:rsidR="00A13ACA" w:rsidRPr="008F0B93" w:rsidRDefault="00A13ACA" w:rsidP="00A13ACA">
      <w:pPr>
        <w:pStyle w:val="a8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  <w:r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>Figure S</w:t>
      </w:r>
      <w:r w:rsidR="00A436EF"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>5</w:t>
      </w:r>
      <w:r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 xml:space="preserve">.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Correlations between CAR-T cell expansion with response and patient characteristics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.</w:t>
      </w:r>
    </w:p>
    <w:p w14:paraId="01696B07" w14:textId="72E21030" w:rsidR="00A13ACA" w:rsidRPr="008F0B93" w:rsidRDefault="00A13ACA" w:rsidP="00376B82">
      <w:pPr>
        <w:pStyle w:val="a8"/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bookmarkStart w:id="11" w:name="_Hlk194568280"/>
      <w:bookmarkStart w:id="12" w:name="_Hlk195365033"/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(</w:t>
      </w:r>
      <w:r w:rsidR="008037AD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A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) Peak CAR-T cell expansion</w:t>
      </w:r>
      <w:r w:rsidR="007B445F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in patients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</w:t>
      </w:r>
      <w:r w:rsidR="007B445F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with or without previous ASCT.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</w:t>
      </w:r>
      <w:bookmarkEnd w:id="11"/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(</w:t>
      </w:r>
      <w:r w:rsidR="008037AD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B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) Univariate analysis of Cmax and bone marrow plasma cell at enrollment. (</w:t>
      </w:r>
      <w:r w:rsidR="008037AD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C</w:t>
      </w:r>
      <w:r w:rsidR="00D70F9E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, </w:t>
      </w:r>
      <w:r w:rsidR="008037AD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D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) Peak CAR-T cell expansion </w:t>
      </w:r>
      <w:r w:rsidR="007B445F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in patients with or without prior CAR-T therapy and high-risk cytogenetic features. Spearman correlation coefficients (r) and corresponding p values are provided.</w:t>
      </w:r>
    </w:p>
    <w:bookmarkEnd w:id="10"/>
    <w:bookmarkEnd w:id="12"/>
    <w:p w14:paraId="5433196E" w14:textId="68355826" w:rsidR="00A13ACA" w:rsidRPr="008F0B93" w:rsidRDefault="00A13ACA" w:rsidP="00A13ACA">
      <w:pPr>
        <w:pStyle w:val="a8"/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ASCT,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autologous 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haematopoietic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 stem cell transplantation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. 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CAR, chimeric antigen receptor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.</w:t>
      </w:r>
    </w:p>
    <w:p w14:paraId="374F4DA6" w14:textId="41256D8F" w:rsidR="00845B49" w:rsidRPr="008F0B93" w:rsidRDefault="008037AD" w:rsidP="00F32802">
      <w:pPr>
        <w:pStyle w:val="a8"/>
        <w:spacing w:line="360" w:lineRule="auto"/>
        <w:jc w:val="both"/>
        <w:rPr>
          <w:rFonts w:ascii="Times New Roman" w:eastAsiaTheme="minorEastAsia" w:hAnsi="Times New Roman" w:cs="Times New Roman"/>
          <w:kern w:val="2"/>
          <w:sz w:val="22"/>
          <w:szCs w:val="22"/>
          <w14:ligatures w14:val="standardContextual"/>
        </w:rPr>
      </w:pPr>
      <w:r w:rsidRPr="008F0B93">
        <w:rPr>
          <w:noProof/>
          <w:sz w:val="22"/>
          <w:szCs w:val="22"/>
        </w:rPr>
        <w:lastRenderedPageBreak/>
        <w:drawing>
          <wp:inline distT="0" distB="0" distL="0" distR="0" wp14:anchorId="0113629D" wp14:editId="728BEA09">
            <wp:extent cx="5274310" cy="5810885"/>
            <wp:effectExtent l="0" t="0" r="2540" b="0"/>
            <wp:docPr id="103866994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81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0591D" w14:textId="49AA4E19" w:rsidR="00845B49" w:rsidRPr="008F0B93" w:rsidRDefault="00845B49" w:rsidP="00845B49">
      <w:pPr>
        <w:pStyle w:val="a8"/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bookmarkStart w:id="13" w:name="_Hlk193706629"/>
      <w:r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>Figure S</w:t>
      </w:r>
      <w:r w:rsidR="00A436EF"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>6</w:t>
      </w:r>
      <w:r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 xml:space="preserve">. 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Correlations between CRS grade with CAR-T cell expansion and response.</w:t>
      </w:r>
    </w:p>
    <w:p w14:paraId="7486266D" w14:textId="78E7F45C" w:rsidR="00845B49" w:rsidRPr="008F0B93" w:rsidRDefault="00845B49" w:rsidP="00845B49">
      <w:pPr>
        <w:pStyle w:val="a8"/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(A) Peak CAR-T cell expansion </w:t>
      </w:r>
      <w:r w:rsidR="000B205E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between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CRS grades 0-1 and 2-3. (B) AUC for transgene levels from infusion to 28 days (AUC0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–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28d) </w:t>
      </w:r>
      <w:r w:rsidR="000B205E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between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CRS grades 0-1 and 2-3. (C) CAR-T-cell persistence </w:t>
      </w:r>
      <w:r w:rsidR="000B205E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between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CRS grades 0-1 and 2-3. (D) AUC for transgene levels from infusion to to the last recorded day (AUC 0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>–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last day) between different CRS grade. (E) F</w:t>
      </w:r>
      <w:r w:rsidRPr="008F0B93">
        <w:rPr>
          <w:rFonts w:ascii="Times New Roman" w:hAnsi="Times New Roman" w:cs="Times New Roman"/>
          <w:color w:val="FF0000"/>
          <w:sz w:val="22"/>
          <w:szCs w:val="22"/>
        </w:rPr>
        <w:t xml:space="preserve">irst month 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response </w:t>
      </w:r>
      <w:r w:rsidR="000B205E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between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CRS grades 0-1 and 2-3.</w:t>
      </w:r>
      <w:r w:rsidR="003E7100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(F) Best response </w:t>
      </w:r>
      <w:r w:rsidR="000B205E" w:rsidRPr="008F0B93">
        <w:rPr>
          <w:rFonts w:ascii="Times New Roman" w:hAnsi="Times New Roman" w:cs="Times New Roman" w:hint="eastAsia"/>
          <w:color w:val="FF0000"/>
          <w:sz w:val="22"/>
          <w:szCs w:val="22"/>
        </w:rPr>
        <w:t>between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CRS grades 0-1 and 2-3.</w:t>
      </w:r>
    </w:p>
    <w:p w14:paraId="0C2EF050" w14:textId="50DD9628" w:rsidR="003E7100" w:rsidRPr="008F0B93" w:rsidRDefault="003E7100" w:rsidP="003E7100">
      <w:pPr>
        <w:pStyle w:val="a8"/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8F0B93">
        <w:rPr>
          <w:rFonts w:ascii="Times New Roman" w:hAnsi="Times New Roman" w:cs="Times New Roman"/>
          <w:color w:val="FF0000"/>
          <w:sz w:val="22"/>
          <w:szCs w:val="22"/>
        </w:rPr>
        <w:lastRenderedPageBreak/>
        <w:t>CAR, chimeric antigen receptor;</w:t>
      </w:r>
      <w:r w:rsidRPr="008F0B9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CR, complete response; CRS, severe cytokine release syndrome; PR, partial response; sCR, stringent complete response; VGPR, very good partial response.</w:t>
      </w:r>
    </w:p>
    <w:p w14:paraId="00B64F52" w14:textId="77777777" w:rsidR="003E7100" w:rsidRPr="008F0B93" w:rsidRDefault="003E7100" w:rsidP="00376B82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bookmarkEnd w:id="13"/>
    <w:p w14:paraId="55382125" w14:textId="77777777" w:rsidR="00473CCC" w:rsidRPr="008F0B93" w:rsidRDefault="00473CCC" w:rsidP="0007093D">
      <w:pPr>
        <w:rPr>
          <w:rFonts w:ascii="Times New Roman" w:hAnsi="Times New Roman" w:cs="Times New Roman"/>
          <w:sz w:val="22"/>
        </w:rPr>
      </w:pPr>
    </w:p>
    <w:p w14:paraId="27C54CB4" w14:textId="45548D71" w:rsidR="00473CCC" w:rsidRPr="008F0B93" w:rsidRDefault="00FE63DD" w:rsidP="0007093D">
      <w:pPr>
        <w:rPr>
          <w:rFonts w:ascii="Times New Roman" w:hAnsi="Times New Roman" w:cs="Times New Roman"/>
          <w:sz w:val="22"/>
        </w:rPr>
      </w:pPr>
      <w:r w:rsidRPr="008F0B93">
        <w:rPr>
          <w:noProof/>
          <w:sz w:val="22"/>
        </w:rPr>
        <w:drawing>
          <wp:inline distT="0" distB="0" distL="0" distR="0" wp14:anchorId="16A03CF5" wp14:editId="2F69816E">
            <wp:extent cx="5274310" cy="4017010"/>
            <wp:effectExtent l="0" t="0" r="2540" b="2540"/>
            <wp:docPr id="164288625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1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89098" w14:textId="317FBC71" w:rsidR="004D297C" w:rsidRPr="008F0B93" w:rsidRDefault="004A7516" w:rsidP="00F32802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>Figure S</w:t>
      </w:r>
      <w:r w:rsidR="00A436EF"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>7</w:t>
      </w:r>
      <w:r w:rsidRPr="008F0B93">
        <w:rPr>
          <w:rFonts w:ascii="Times New Roman" w:hAnsi="Times New Roman" w:cs="Times New Roman" w:hint="eastAsia"/>
          <w:b/>
          <w:bCs/>
          <w:color w:val="FF0000"/>
          <w:sz w:val="22"/>
          <w:szCs w:val="22"/>
        </w:rPr>
        <w:t xml:space="preserve">. 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Comparison of CAR transgene kinetics between AND negativity and ADA positivity patients. </w:t>
      </w:r>
    </w:p>
    <w:p w14:paraId="12A23896" w14:textId="23A8C0D3" w:rsidR="00473CCC" w:rsidRPr="008F0B93" w:rsidRDefault="004A7516" w:rsidP="00F32802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F0B93">
        <w:rPr>
          <w:rFonts w:ascii="Times New Roman" w:hAnsi="Times New Roman" w:cs="Times New Roman" w:hint="eastAsia"/>
          <w:sz w:val="22"/>
          <w:szCs w:val="22"/>
        </w:rPr>
        <w:t>(A) Peak CAR-T cell expansion between AND negativity and ADA positivity patients. (B</w:t>
      </w:r>
      <w:r w:rsidR="00D70F9E">
        <w:rPr>
          <w:rFonts w:ascii="Times New Roman" w:hAnsi="Times New Roman" w:cs="Times New Roman" w:hint="eastAsia"/>
          <w:sz w:val="22"/>
          <w:szCs w:val="22"/>
        </w:rPr>
        <w:t xml:space="preserve">, </w:t>
      </w:r>
      <w:r w:rsidRPr="008F0B93">
        <w:rPr>
          <w:rFonts w:ascii="Times New Roman" w:hAnsi="Times New Roman" w:cs="Times New Roman" w:hint="eastAsia"/>
          <w:sz w:val="22"/>
          <w:szCs w:val="22"/>
        </w:rPr>
        <w:t>C) Area under the curve of the transgene level from infusion to 28 days (AUC0</w:t>
      </w:r>
      <w:r w:rsidRPr="008F0B93">
        <w:rPr>
          <w:rFonts w:ascii="Times New Roman" w:hAnsi="Times New Roman" w:cs="Times New Roman" w:hint="eastAsia"/>
          <w:sz w:val="22"/>
          <w:szCs w:val="22"/>
        </w:rPr>
        <w:t>–</w:t>
      </w:r>
      <w:r w:rsidRPr="008F0B93">
        <w:rPr>
          <w:rFonts w:ascii="Times New Roman" w:hAnsi="Times New Roman" w:cs="Times New Roman" w:hint="eastAsia"/>
          <w:sz w:val="22"/>
          <w:szCs w:val="22"/>
        </w:rPr>
        <w:t>28d) and last days (AUC0-last day) between AND negativity and ADA positivity patients. (D)</w:t>
      </w:r>
      <w:r w:rsidR="004D297C" w:rsidRPr="008F0B93">
        <w:rPr>
          <w:rFonts w:ascii="Times New Roman" w:hAnsi="Times New Roman" w:cs="Times New Roman" w:hint="eastAsia"/>
          <w:sz w:val="22"/>
          <w:szCs w:val="22"/>
        </w:rPr>
        <w:t xml:space="preserve"> CAR-T cell persistence time between AND negativity and ADA positivity patients.</w:t>
      </w:r>
    </w:p>
    <w:p w14:paraId="5FC165B5" w14:textId="309F6DE1" w:rsidR="00473CCC" w:rsidRPr="008F0B93" w:rsidRDefault="004D297C" w:rsidP="00F32802">
      <w:pPr>
        <w:pStyle w:val="a8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F0B93">
        <w:rPr>
          <w:rFonts w:ascii="Times New Roman" w:hAnsi="Times New Roman" w:cs="Times New Roman" w:hint="eastAsia"/>
          <w:sz w:val="22"/>
          <w:szCs w:val="22"/>
        </w:rPr>
        <w:t xml:space="preserve">ADA, </w:t>
      </w:r>
      <w:r w:rsidRPr="008F0B93">
        <w:rPr>
          <w:rFonts w:ascii="Times New Roman" w:hAnsi="Times New Roman" w:cs="Times New Roman"/>
          <w:sz w:val="22"/>
          <w:szCs w:val="22"/>
        </w:rPr>
        <w:t>Anti-drug antibodies</w:t>
      </w:r>
      <w:r w:rsidRPr="008F0B93">
        <w:rPr>
          <w:rFonts w:ascii="Times New Roman" w:hAnsi="Times New Roman" w:cs="Times New Roman" w:hint="eastAsia"/>
          <w:sz w:val="22"/>
          <w:szCs w:val="22"/>
        </w:rPr>
        <w:t xml:space="preserve">; </w:t>
      </w:r>
      <w:r w:rsidRPr="008F0B93">
        <w:rPr>
          <w:rFonts w:ascii="Times New Roman" w:hAnsi="Times New Roman" w:cs="Times New Roman"/>
          <w:sz w:val="22"/>
          <w:szCs w:val="22"/>
        </w:rPr>
        <w:t>CAR, chimeric antigen receptor</w:t>
      </w:r>
      <w:r w:rsidRPr="008F0B93">
        <w:rPr>
          <w:rFonts w:ascii="Times New Roman" w:hAnsi="Times New Roman" w:cs="Times New Roman" w:hint="eastAsia"/>
          <w:sz w:val="22"/>
          <w:szCs w:val="22"/>
        </w:rPr>
        <w:t>.</w:t>
      </w:r>
    </w:p>
    <w:sectPr w:rsidR="00473CCC" w:rsidRPr="008F0B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7AE55" w14:textId="77777777" w:rsidR="00295042" w:rsidRDefault="00295042" w:rsidP="00BC77F9">
      <w:pPr>
        <w:rPr>
          <w:rFonts w:hint="eastAsia"/>
        </w:rPr>
      </w:pPr>
      <w:r>
        <w:separator/>
      </w:r>
    </w:p>
  </w:endnote>
  <w:endnote w:type="continuationSeparator" w:id="0">
    <w:p w14:paraId="73A6074B" w14:textId="77777777" w:rsidR="00295042" w:rsidRDefault="00295042" w:rsidP="00BC77F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E0644" w14:textId="77777777" w:rsidR="00295042" w:rsidRDefault="00295042" w:rsidP="00BC77F9">
      <w:pPr>
        <w:rPr>
          <w:rFonts w:hint="eastAsia"/>
        </w:rPr>
      </w:pPr>
      <w:r>
        <w:separator/>
      </w:r>
    </w:p>
  </w:footnote>
  <w:footnote w:type="continuationSeparator" w:id="0">
    <w:p w14:paraId="604013F3" w14:textId="77777777" w:rsidR="00295042" w:rsidRDefault="00295042" w:rsidP="00BC77F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28A5"/>
    <w:multiLevelType w:val="hybridMultilevel"/>
    <w:tmpl w:val="4072AF94"/>
    <w:lvl w:ilvl="0" w:tplc="8F6EF1D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48560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E4"/>
    <w:rsid w:val="000120CD"/>
    <w:rsid w:val="000173D7"/>
    <w:rsid w:val="00022673"/>
    <w:rsid w:val="000610FA"/>
    <w:rsid w:val="0007093D"/>
    <w:rsid w:val="00074245"/>
    <w:rsid w:val="000B1C71"/>
    <w:rsid w:val="000B205E"/>
    <w:rsid w:val="000B28B3"/>
    <w:rsid w:val="000E5D9D"/>
    <w:rsid w:val="000E6C20"/>
    <w:rsid w:val="00175A30"/>
    <w:rsid w:val="001843DD"/>
    <w:rsid w:val="00192D17"/>
    <w:rsid w:val="001C2750"/>
    <w:rsid w:val="002025B3"/>
    <w:rsid w:val="00210DEB"/>
    <w:rsid w:val="00223295"/>
    <w:rsid w:val="0022375E"/>
    <w:rsid w:val="0023229C"/>
    <w:rsid w:val="0024315A"/>
    <w:rsid w:val="002447A8"/>
    <w:rsid w:val="00275414"/>
    <w:rsid w:val="00295042"/>
    <w:rsid w:val="002C171A"/>
    <w:rsid w:val="002C3862"/>
    <w:rsid w:val="002D2530"/>
    <w:rsid w:val="003713F1"/>
    <w:rsid w:val="00376B82"/>
    <w:rsid w:val="00385328"/>
    <w:rsid w:val="003909B1"/>
    <w:rsid w:val="00391636"/>
    <w:rsid w:val="00393DC4"/>
    <w:rsid w:val="003B7787"/>
    <w:rsid w:val="003D4B61"/>
    <w:rsid w:val="003D658A"/>
    <w:rsid w:val="003D6DFA"/>
    <w:rsid w:val="003E7100"/>
    <w:rsid w:val="003F0505"/>
    <w:rsid w:val="003F7EB9"/>
    <w:rsid w:val="00413DE4"/>
    <w:rsid w:val="0044116A"/>
    <w:rsid w:val="00465164"/>
    <w:rsid w:val="00466EE1"/>
    <w:rsid w:val="00473CCC"/>
    <w:rsid w:val="0047751C"/>
    <w:rsid w:val="004A7516"/>
    <w:rsid w:val="004B2BE2"/>
    <w:rsid w:val="004C2F23"/>
    <w:rsid w:val="004C4CD9"/>
    <w:rsid w:val="004D297C"/>
    <w:rsid w:val="004D2C18"/>
    <w:rsid w:val="004F27B5"/>
    <w:rsid w:val="004F466F"/>
    <w:rsid w:val="00502E18"/>
    <w:rsid w:val="005033D0"/>
    <w:rsid w:val="005917B7"/>
    <w:rsid w:val="005F374A"/>
    <w:rsid w:val="006205CD"/>
    <w:rsid w:val="00622717"/>
    <w:rsid w:val="006256B5"/>
    <w:rsid w:val="00653FDE"/>
    <w:rsid w:val="006727A8"/>
    <w:rsid w:val="00676D00"/>
    <w:rsid w:val="006B6304"/>
    <w:rsid w:val="006E54D6"/>
    <w:rsid w:val="006F1B8C"/>
    <w:rsid w:val="006F31E6"/>
    <w:rsid w:val="0070105C"/>
    <w:rsid w:val="00713188"/>
    <w:rsid w:val="00726994"/>
    <w:rsid w:val="007359DE"/>
    <w:rsid w:val="007407BE"/>
    <w:rsid w:val="0078105C"/>
    <w:rsid w:val="00791811"/>
    <w:rsid w:val="007A66E0"/>
    <w:rsid w:val="007A7EE1"/>
    <w:rsid w:val="007B445F"/>
    <w:rsid w:val="007C5CCA"/>
    <w:rsid w:val="007E00B4"/>
    <w:rsid w:val="008037AD"/>
    <w:rsid w:val="00845B49"/>
    <w:rsid w:val="0089591F"/>
    <w:rsid w:val="008C53D8"/>
    <w:rsid w:val="008E46C4"/>
    <w:rsid w:val="008F0B93"/>
    <w:rsid w:val="008F6170"/>
    <w:rsid w:val="0090363C"/>
    <w:rsid w:val="00917ADB"/>
    <w:rsid w:val="0092416D"/>
    <w:rsid w:val="00932F2F"/>
    <w:rsid w:val="00933057"/>
    <w:rsid w:val="00940466"/>
    <w:rsid w:val="00951D41"/>
    <w:rsid w:val="00961080"/>
    <w:rsid w:val="00993402"/>
    <w:rsid w:val="009940E5"/>
    <w:rsid w:val="009A340A"/>
    <w:rsid w:val="00A13ACA"/>
    <w:rsid w:val="00A436EF"/>
    <w:rsid w:val="00A53754"/>
    <w:rsid w:val="00A62F55"/>
    <w:rsid w:val="00A82912"/>
    <w:rsid w:val="00AB77E2"/>
    <w:rsid w:val="00AC60D7"/>
    <w:rsid w:val="00AE12F9"/>
    <w:rsid w:val="00AE3B76"/>
    <w:rsid w:val="00AE3D60"/>
    <w:rsid w:val="00B05E01"/>
    <w:rsid w:val="00B159CB"/>
    <w:rsid w:val="00B2682E"/>
    <w:rsid w:val="00B32730"/>
    <w:rsid w:val="00B750F6"/>
    <w:rsid w:val="00B83591"/>
    <w:rsid w:val="00BA6E48"/>
    <w:rsid w:val="00BC0A86"/>
    <w:rsid w:val="00BC77F9"/>
    <w:rsid w:val="00BD0CCF"/>
    <w:rsid w:val="00C0466C"/>
    <w:rsid w:val="00CA1222"/>
    <w:rsid w:val="00CD739E"/>
    <w:rsid w:val="00CF6A4A"/>
    <w:rsid w:val="00D07B96"/>
    <w:rsid w:val="00D1015C"/>
    <w:rsid w:val="00D32C85"/>
    <w:rsid w:val="00D70F9E"/>
    <w:rsid w:val="00D7230F"/>
    <w:rsid w:val="00D870D7"/>
    <w:rsid w:val="00D944DE"/>
    <w:rsid w:val="00DA1403"/>
    <w:rsid w:val="00DA1EC3"/>
    <w:rsid w:val="00DB5D07"/>
    <w:rsid w:val="00DC4DB7"/>
    <w:rsid w:val="00DD1ECA"/>
    <w:rsid w:val="00DD5022"/>
    <w:rsid w:val="00E000AD"/>
    <w:rsid w:val="00E4053F"/>
    <w:rsid w:val="00E65CC6"/>
    <w:rsid w:val="00E95F70"/>
    <w:rsid w:val="00EC5C44"/>
    <w:rsid w:val="00EC653F"/>
    <w:rsid w:val="00EC70B1"/>
    <w:rsid w:val="00EE029D"/>
    <w:rsid w:val="00EF3C0F"/>
    <w:rsid w:val="00F14603"/>
    <w:rsid w:val="00F16A4A"/>
    <w:rsid w:val="00F17F74"/>
    <w:rsid w:val="00F32802"/>
    <w:rsid w:val="00F37FE6"/>
    <w:rsid w:val="00F62683"/>
    <w:rsid w:val="00F67EA6"/>
    <w:rsid w:val="00F976BB"/>
    <w:rsid w:val="00FA11C7"/>
    <w:rsid w:val="00FB3F60"/>
    <w:rsid w:val="00FE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4A6FA"/>
  <w15:chartTrackingRefBased/>
  <w15:docId w15:val="{A2F4301D-283D-44C1-AC18-6A034DEAE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D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-3">
    <w:name w:val="List Table 1 Light Accent 3"/>
    <w:basedOn w:val="a1"/>
    <w:uiPriority w:val="46"/>
    <w:rsid w:val="00413DE4"/>
    <w:rPr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">
    <w:name w:val="Plain Table 4"/>
    <w:basedOn w:val="a1"/>
    <w:uiPriority w:val="44"/>
    <w:rsid w:val="007E00B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3">
    <w:name w:val="header"/>
    <w:basedOn w:val="a"/>
    <w:link w:val="a4"/>
    <w:uiPriority w:val="99"/>
    <w:unhideWhenUsed/>
    <w:rsid w:val="00BC77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77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77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77F9"/>
    <w:rPr>
      <w:sz w:val="18"/>
      <w:szCs w:val="18"/>
    </w:rPr>
  </w:style>
  <w:style w:type="paragraph" w:styleId="a7">
    <w:name w:val="List Paragraph"/>
    <w:basedOn w:val="a"/>
    <w:uiPriority w:val="34"/>
    <w:qFormat/>
    <w:rsid w:val="008E46C4"/>
    <w:pPr>
      <w:ind w:firstLineChars="200" w:firstLine="420"/>
    </w:pPr>
    <w:rPr>
      <w:lang w:val="en-GB"/>
      <w14:ligatures w14:val="none"/>
    </w:rPr>
  </w:style>
  <w:style w:type="paragraph" w:styleId="a8">
    <w:name w:val="Normal (Web)"/>
    <w:basedOn w:val="a"/>
    <w:link w:val="a9"/>
    <w:uiPriority w:val="99"/>
    <w:unhideWhenUsed/>
    <w:rsid w:val="002025B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a">
    <w:name w:val="Revision"/>
    <w:hidden/>
    <w:uiPriority w:val="99"/>
    <w:semiHidden/>
    <w:rsid w:val="00D1015C"/>
  </w:style>
  <w:style w:type="character" w:customStyle="1" w:styleId="a9">
    <w:name w:val="普通(网站) 字符"/>
    <w:basedOn w:val="a0"/>
    <w:link w:val="a8"/>
    <w:uiPriority w:val="99"/>
    <w:rsid w:val="008037AD"/>
    <w:rPr>
      <w:rFonts w:ascii="宋体" w:eastAsia="宋体" w:hAnsi="宋体" w:cs="宋体"/>
      <w:kern w:val="0"/>
      <w:sz w:val="24"/>
      <w:szCs w:val="24"/>
      <w14:ligatures w14:val="none"/>
    </w:rPr>
  </w:style>
  <w:style w:type="table" w:styleId="ab">
    <w:name w:val="Table Grid"/>
    <w:basedOn w:val="a1"/>
    <w:uiPriority w:val="39"/>
    <w:rsid w:val="00074245"/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1262</Words>
  <Characters>7199</Characters>
  <Application>Microsoft Office Word</Application>
  <DocSecurity>0</DocSecurity>
  <Lines>59</Lines>
  <Paragraphs>16</Paragraphs>
  <ScaleCrop>false</ScaleCrop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 A</dc:creator>
  <cp:keywords/>
  <dc:description/>
  <cp:lastModifiedBy>安美丽</cp:lastModifiedBy>
  <cp:revision>7</cp:revision>
  <dcterms:created xsi:type="dcterms:W3CDTF">2025-04-12T08:24:00Z</dcterms:created>
  <dcterms:modified xsi:type="dcterms:W3CDTF">2025-04-13T02:02:00Z</dcterms:modified>
</cp:coreProperties>
</file>