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CB7A9" w14:textId="77777777" w:rsidR="00DB72E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Appendix 1</w:t>
      </w:r>
    </w:p>
    <w:p w14:paraId="68AE86D0" w14:textId="77777777" w:rsidR="00DB72EA" w:rsidRDefault="00DB72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</w:rPr>
      </w:pPr>
    </w:p>
    <w:p w14:paraId="0A76D127" w14:textId="77777777" w:rsidR="00DB72E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Exclusion of patients who died, were lost to follow-up, or experienced new fatigue during the first 30 days after index date may have led to selection bias. This analysis here did not exclude patients due to being lost to follow-up, dying, or experiencing fatigue within the first 30 days of index date. The flowchart is shown in </w:t>
      </w:r>
      <w:r>
        <w:rPr>
          <w:rFonts w:ascii="Times New Roman" w:eastAsia="Times New Roman" w:hAnsi="Times New Roman" w:cs="Times New Roman"/>
          <w:b/>
        </w:rPr>
        <w:t>Figure A</w:t>
      </w:r>
      <w:r>
        <w:rPr>
          <w:rFonts w:ascii="Times New Roman" w:eastAsia="Times New Roman" w:hAnsi="Times New Roman" w:cs="Times New Roman"/>
        </w:rPr>
        <w:t xml:space="preserve">, </w:t>
      </w:r>
      <w:proofErr w:type="gramStart"/>
      <w:r>
        <w:rPr>
          <w:rFonts w:ascii="Times New Roman" w:eastAsia="Times New Roman" w:hAnsi="Times New Roman" w:cs="Times New Roman"/>
        </w:rPr>
        <w:t>patients</w:t>
      </w:r>
      <w:proofErr w:type="gramEnd"/>
      <w:r>
        <w:rPr>
          <w:rFonts w:ascii="Times New Roman" w:eastAsia="Times New Roman" w:hAnsi="Times New Roman" w:cs="Times New Roman"/>
        </w:rPr>
        <w:t xml:space="preserve"> characteristics are shown in </w:t>
      </w:r>
      <w:r>
        <w:rPr>
          <w:rFonts w:ascii="Times New Roman" w:eastAsia="Times New Roman" w:hAnsi="Times New Roman" w:cs="Times New Roman"/>
          <w:b/>
        </w:rPr>
        <w:t>Table A</w:t>
      </w:r>
      <w:r>
        <w:rPr>
          <w:rFonts w:ascii="Times New Roman" w:eastAsia="Times New Roman" w:hAnsi="Times New Roman" w:cs="Times New Roman"/>
        </w:rPr>
        <w:t xml:space="preserve">, and the results are shown in </w:t>
      </w:r>
      <w:r>
        <w:rPr>
          <w:rFonts w:ascii="Times New Roman" w:eastAsia="Times New Roman" w:hAnsi="Times New Roman" w:cs="Times New Roman"/>
          <w:b/>
        </w:rPr>
        <w:t>Figure B</w:t>
      </w:r>
      <w:r>
        <w:rPr>
          <w:rFonts w:ascii="Times New Roman" w:eastAsia="Times New Roman" w:hAnsi="Times New Roman" w:cs="Times New Roman"/>
        </w:rPr>
        <w:t xml:space="preserve"> and </w:t>
      </w:r>
      <w:r>
        <w:rPr>
          <w:rFonts w:ascii="Times New Roman" w:eastAsia="Times New Roman" w:hAnsi="Times New Roman" w:cs="Times New Roman"/>
          <w:b/>
        </w:rPr>
        <w:t>Table B</w:t>
      </w:r>
      <w:r>
        <w:rPr>
          <w:rFonts w:ascii="Times New Roman" w:eastAsia="Times New Roman" w:hAnsi="Times New Roman" w:cs="Times New Roman"/>
        </w:rPr>
        <w:t>.</w:t>
      </w:r>
    </w:p>
    <w:p w14:paraId="0B4274C0" w14:textId="77777777" w:rsidR="00DB72EA" w:rsidRDefault="00DB72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</w:rPr>
      </w:pPr>
    </w:p>
    <w:p w14:paraId="0F85AA57" w14:textId="77777777" w:rsidR="00DB72E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Figure A.</w:t>
      </w:r>
      <w:r>
        <w:rPr>
          <w:rFonts w:ascii="Times New Roman" w:eastAsia="Times New Roman" w:hAnsi="Times New Roman" w:cs="Times New Roman"/>
        </w:rPr>
        <w:t xml:space="preserve"> Patient selection flowchart not excluding patients who experienced outcome, died, or were lost to follow-up within 30 days of index date. </w:t>
      </w:r>
    </w:p>
    <w:p w14:paraId="15E4951D" w14:textId="77777777" w:rsidR="00DB72E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235A9913" wp14:editId="65AF3994">
            <wp:extent cx="5943600" cy="378460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84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D393447" w14:textId="77777777" w:rsidR="00DB72EA" w:rsidRDefault="00DB72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</w:rPr>
      </w:pPr>
    </w:p>
    <w:p w14:paraId="16977138" w14:textId="77777777" w:rsidR="00DB72E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</w:rPr>
      </w:pPr>
      <w:r>
        <w:br w:type="page"/>
      </w:r>
    </w:p>
    <w:p w14:paraId="4ADF3AB3" w14:textId="77777777" w:rsidR="00DB72E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>Table A.</w:t>
      </w:r>
      <w:r>
        <w:rPr>
          <w:rFonts w:ascii="Times New Roman" w:eastAsia="Times New Roman" w:hAnsi="Times New Roman" w:cs="Times New Roman"/>
        </w:rPr>
        <w:t xml:space="preserve"> Characteristics of patients with no prior history of fatigue. </w:t>
      </w:r>
    </w:p>
    <w:p w14:paraId="70DBB832" w14:textId="77777777" w:rsidR="00DB72E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SD, standard deviation; ZIP, Zone Improvement Plan; COPD, chronic obstructive pulmonary disease; CFS/ME, chronic fatigue syndrome/</w:t>
      </w:r>
      <w:proofErr w:type="spellStart"/>
      <w:r>
        <w:rPr>
          <w:rFonts w:ascii="Times New Roman" w:eastAsia="Times New Roman" w:hAnsi="Times New Roman" w:cs="Times New Roman"/>
        </w:rPr>
        <w:t>myalgic</w:t>
      </w:r>
      <w:proofErr w:type="spellEnd"/>
      <w:r>
        <w:rPr>
          <w:rFonts w:ascii="Times New Roman" w:eastAsia="Times New Roman" w:hAnsi="Times New Roman" w:cs="Times New Roman"/>
        </w:rPr>
        <w:t xml:space="preserve"> encephalomyelitis</w:t>
      </w:r>
    </w:p>
    <w:tbl>
      <w:tblPr>
        <w:tblStyle w:val="a"/>
        <w:tblW w:w="8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590"/>
        <w:gridCol w:w="1845"/>
        <w:gridCol w:w="1815"/>
        <w:gridCol w:w="735"/>
      </w:tblGrid>
      <w:tr w:rsidR="00DB72EA" w14:paraId="2999BE0F" w14:textId="77777777" w:rsidTr="001F5683">
        <w:trPr>
          <w:trHeight w:val="154"/>
        </w:trPr>
        <w:tc>
          <w:tcPr>
            <w:tcW w:w="4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647D5" w14:textId="77777777" w:rsidR="00DB72EA" w:rsidRDefault="00DB72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E7EFD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COVID+ (n=47900)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A63C3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COVID– (n=147598)</w:t>
            </w: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1FDFD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-value</w:t>
            </w:r>
          </w:p>
        </w:tc>
      </w:tr>
      <w:tr w:rsidR="00DB72EA" w14:paraId="3A444225" w14:textId="77777777" w:rsidTr="001F5683">
        <w:tc>
          <w:tcPr>
            <w:tcW w:w="4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D158D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Follow-Up Time (Years), mean ± SD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07C5F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1.29 ± 1.12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FFA31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1.37 ± 1.17</w:t>
            </w: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DEDAF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DB72EA" w14:paraId="7CFAB600" w14:textId="77777777" w:rsidTr="001F5683">
        <w:tc>
          <w:tcPr>
            <w:tcW w:w="4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A4AAC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Age at Index Date, mean ± SD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FA265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53.00 ± 18.75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5C47A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49.52 ± 17.28</w:t>
            </w: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F303F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DB72EA" w14:paraId="09294460" w14:textId="77777777" w:rsidTr="001F5683">
        <w:tc>
          <w:tcPr>
            <w:tcW w:w="4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52B64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Female, n (%)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E6BE0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28172 (58.81%)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D5454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86468 (58.58%)</w:t>
            </w: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90031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0.38</w:t>
            </w:r>
          </w:p>
        </w:tc>
      </w:tr>
      <w:tr w:rsidR="00DB72EA" w14:paraId="34E987F6" w14:textId="77777777" w:rsidTr="001F5683">
        <w:tc>
          <w:tcPr>
            <w:tcW w:w="4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0D1FF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Race and Ethnicity, n (%)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4E32D" w14:textId="77777777" w:rsidR="00DB72EA" w:rsidRDefault="00DB72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C1062" w14:textId="77777777" w:rsidR="00DB72EA" w:rsidRDefault="00DB72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D740B" w14:textId="77777777" w:rsidR="00DB72EA" w:rsidRDefault="00DB72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72EA" w14:paraId="591AFAD1" w14:textId="77777777" w:rsidTr="001F5683">
        <w:trPr>
          <w:trHeight w:val="15"/>
        </w:trPr>
        <w:tc>
          <w:tcPr>
            <w:tcW w:w="4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1CA85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Non-Hispanic White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34E93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4938 (10.31%)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A136D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15416 (10.44%)</w:t>
            </w: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81504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0.40</w:t>
            </w:r>
          </w:p>
        </w:tc>
      </w:tr>
      <w:tr w:rsidR="00DB72EA" w14:paraId="5AC74002" w14:textId="77777777" w:rsidTr="001F5683">
        <w:trPr>
          <w:trHeight w:val="60"/>
        </w:trPr>
        <w:tc>
          <w:tcPr>
            <w:tcW w:w="4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4FEE3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Black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337EF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15639 (32.65%)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5B434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43418 (29.42%)</w:t>
            </w: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EE36B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DB72EA" w14:paraId="7C7C0596" w14:textId="77777777" w:rsidTr="001F5683">
        <w:trPr>
          <w:trHeight w:val="60"/>
        </w:trPr>
        <w:tc>
          <w:tcPr>
            <w:tcW w:w="4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F7926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Asian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77A47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2070 (4.32%)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AB69B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5306 (3.59%)</w:t>
            </w: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C36B8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DB72EA" w14:paraId="316B37C9" w14:textId="77777777" w:rsidTr="001F5683">
        <w:trPr>
          <w:trHeight w:val="45"/>
        </w:trPr>
        <w:tc>
          <w:tcPr>
            <w:tcW w:w="4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F360A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Other Race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902DC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25253 (52.72%)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F9AF9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83458 (56.54%)</w:t>
            </w: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90F42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DB72EA" w14:paraId="3E32C493" w14:textId="77777777" w:rsidTr="001F5683">
        <w:tc>
          <w:tcPr>
            <w:tcW w:w="4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7E791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Hispanic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BA5CD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19400 (40.50%)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49AB0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56765 (38.46%)</w:t>
            </w: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F3D63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DB72EA" w14:paraId="17CF62FB" w14:textId="77777777" w:rsidTr="001F5683">
        <w:trPr>
          <w:trHeight w:val="30"/>
        </w:trPr>
        <w:tc>
          <w:tcPr>
            <w:tcW w:w="4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C0B6D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Pre-Existing Comorbidities, n (%)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F2E23" w14:textId="77777777" w:rsidR="00DB72EA" w:rsidRDefault="00DB72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9D0E1" w14:textId="77777777" w:rsidR="00DB72EA" w:rsidRDefault="00DB72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F0B40" w14:textId="77777777" w:rsidR="00DB72EA" w:rsidRDefault="00DB72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72EA" w14:paraId="4771E1AC" w14:textId="77777777" w:rsidTr="001F5683">
        <w:tc>
          <w:tcPr>
            <w:tcW w:w="4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4EAAA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Hypertension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B2711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20409 (42.61%)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69091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45265 (30.67%)</w:t>
            </w: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4D8E7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DB72EA" w14:paraId="28F2AB16" w14:textId="77777777" w:rsidTr="001F5683">
        <w:trPr>
          <w:trHeight w:val="60"/>
        </w:trPr>
        <w:tc>
          <w:tcPr>
            <w:tcW w:w="4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B4F75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Type-2 Diabetes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442C0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12300 (25.68%)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19459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23384 (15.84%)</w:t>
            </w: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4D094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DB72EA" w14:paraId="63D6BAC1" w14:textId="77777777" w:rsidTr="001F5683">
        <w:tc>
          <w:tcPr>
            <w:tcW w:w="4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A456F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COPD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67004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1413 (2.95%)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4283E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1209 (0.82%)</w:t>
            </w: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888D9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DB72EA" w14:paraId="427CA41D" w14:textId="77777777" w:rsidTr="001F5683">
        <w:tc>
          <w:tcPr>
            <w:tcW w:w="4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77AB8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Asthma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BC14E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8148 (17.01%)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3ACB8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16635 (11.27%)</w:t>
            </w: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5F173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DB72EA" w14:paraId="3F8BC368" w14:textId="77777777" w:rsidTr="001F5683">
        <w:trPr>
          <w:trHeight w:val="45"/>
        </w:trPr>
        <w:tc>
          <w:tcPr>
            <w:tcW w:w="4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0D67C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Chronic Kidney Disease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126BF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7010 (14.63%)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81CBE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9289 (6.29%)</w:t>
            </w: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37713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DB72EA" w14:paraId="7FF0EBE9" w14:textId="77777777" w:rsidTr="001F5683">
        <w:tc>
          <w:tcPr>
            <w:tcW w:w="4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44CC3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Liver Disease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1C8D4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6458 (13.48%)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24DBF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12763 (8.65%)</w:t>
            </w: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D8556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DB72EA" w14:paraId="4D94DD84" w14:textId="77777777" w:rsidTr="001F5683">
        <w:trPr>
          <w:trHeight w:val="105"/>
        </w:trPr>
        <w:tc>
          <w:tcPr>
            <w:tcW w:w="4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74846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Cardiovascular Disease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C7E5F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8644 (18.05%)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8CD4A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12661 (8.58%)</w:t>
            </w: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8745C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DB72EA" w14:paraId="639B4CB5" w14:textId="77777777" w:rsidTr="001F5683">
        <w:trPr>
          <w:trHeight w:val="30"/>
        </w:trPr>
        <w:tc>
          <w:tcPr>
            <w:tcW w:w="4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2E09A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Autoimmune Disease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F5103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3048 (6.36%)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38421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5895 (3.99%)</w:t>
            </w: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0CDFD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DB72EA" w14:paraId="5C48BDB2" w14:textId="77777777" w:rsidTr="001F5683">
        <w:tc>
          <w:tcPr>
            <w:tcW w:w="4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AA7E0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Depressive Disorder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71A55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6531 (13.63%)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A268A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13550 (9.18%)</w:t>
            </w: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5591E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DB72EA" w14:paraId="595417D4" w14:textId="77777777" w:rsidTr="001F5683">
        <w:tc>
          <w:tcPr>
            <w:tcW w:w="4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241C8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Anxiety Disorder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299FC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6565 (13.71%)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A03A2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13072 (8.86%)</w:t>
            </w: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A2257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DB72EA" w14:paraId="2A731C41" w14:textId="77777777" w:rsidTr="001F5683">
        <w:trPr>
          <w:trHeight w:val="75"/>
        </w:trPr>
        <w:tc>
          <w:tcPr>
            <w:tcW w:w="4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31103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Insurance, n (%)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05044" w14:textId="77777777" w:rsidR="00DB72EA" w:rsidRDefault="00DB72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43909" w14:textId="77777777" w:rsidR="00DB72EA" w:rsidRDefault="00DB72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D03B0" w14:textId="77777777" w:rsidR="00DB72EA" w:rsidRDefault="00DB72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72EA" w14:paraId="07AF8BB2" w14:textId="77777777" w:rsidTr="001F5683">
        <w:tc>
          <w:tcPr>
            <w:tcW w:w="4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FAEA0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Medicaid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AEEC3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16556 (34.56%)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6A95A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57327 (38.84%)</w:t>
            </w: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B9493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DB72EA" w14:paraId="163E5876" w14:textId="77777777" w:rsidTr="001F5683">
        <w:trPr>
          <w:trHeight w:val="15"/>
        </w:trPr>
        <w:tc>
          <w:tcPr>
            <w:tcW w:w="4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ED94B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Medicare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303D7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9670 (20.19%)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710AA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21124 (14.31%)</w:t>
            </w: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7477D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DB72EA" w14:paraId="74054BDF" w14:textId="77777777" w:rsidTr="001F5683">
        <w:tc>
          <w:tcPr>
            <w:tcW w:w="4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4565E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Private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25A7F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16170 (33.76%)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687D5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50508 (34.22%)</w:t>
            </w: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60471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0.060</w:t>
            </w:r>
          </w:p>
        </w:tc>
      </w:tr>
      <w:tr w:rsidR="00DB72EA" w14:paraId="7C61A9C6" w14:textId="77777777" w:rsidTr="001F5683">
        <w:tc>
          <w:tcPr>
            <w:tcW w:w="4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CAEA3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Self Pay</w:t>
            </w:r>
            <w:proofErr w:type="spellEnd"/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46A2C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5504 (11.49%)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9F45A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18639 (12.63%)</w:t>
            </w: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FD66B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DB72EA" w14:paraId="63195561" w14:textId="77777777" w:rsidTr="001F5683">
        <w:tc>
          <w:tcPr>
            <w:tcW w:w="4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B0824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Income Group, n (%)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4269F" w14:textId="77777777" w:rsidR="00DB72EA" w:rsidRDefault="00DB72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A5790" w14:textId="77777777" w:rsidR="00DB72EA" w:rsidRDefault="00DB72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DF2D4" w14:textId="77777777" w:rsidR="00DB72EA" w:rsidRDefault="00DB72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72EA" w14:paraId="31EFCEF9" w14:textId="77777777" w:rsidTr="001F5683">
        <w:trPr>
          <w:trHeight w:val="15"/>
        </w:trPr>
        <w:tc>
          <w:tcPr>
            <w:tcW w:w="4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D4413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Lower 25th Percentile (&lt;$38768)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984EF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10160 (21.21%)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DC493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35675 (24.17%)</w:t>
            </w: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B3012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DB72EA" w14:paraId="1EBB7581" w14:textId="77777777" w:rsidTr="001F5683">
        <w:trPr>
          <w:trHeight w:val="150"/>
        </w:trPr>
        <w:tc>
          <w:tcPr>
            <w:tcW w:w="4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3F548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25th – 50th Percentile ($36730–$56327)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5A84A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11909 (24.86%)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6169F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33832 (22.92%)</w:t>
            </w: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E8F48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DB72EA" w14:paraId="09AD2FE7" w14:textId="77777777" w:rsidTr="001F5683">
        <w:trPr>
          <w:trHeight w:val="90"/>
        </w:trPr>
        <w:tc>
          <w:tcPr>
            <w:tcW w:w="4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7A01F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50th – 75th Percentile ($56327–$63048)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678F7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13938 (29.10%)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B5BF2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40669 (27.55%)</w:t>
            </w: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31FF0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DB72EA" w14:paraId="05A7DCAF" w14:textId="77777777" w:rsidTr="001F5683">
        <w:trPr>
          <w:trHeight w:val="75"/>
        </w:trPr>
        <w:tc>
          <w:tcPr>
            <w:tcW w:w="4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3721B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Gungsuh" w:eastAsia="Gungsuh" w:hAnsi="Gungsuh" w:cs="Gungsuh"/>
                <w:sz w:val="20"/>
                <w:szCs w:val="20"/>
              </w:rPr>
              <w:t xml:space="preserve">     Top 25th Percentile (≥$63048)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D50B3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11893 (24.83%)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DA32A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37422 (25.35%)</w:t>
            </w: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96EAD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0.020</w:t>
            </w:r>
          </w:p>
        </w:tc>
      </w:tr>
      <w:tr w:rsidR="00DB72EA" w14:paraId="07AA2BBC" w14:textId="77777777" w:rsidTr="001F5683">
        <w:trPr>
          <w:trHeight w:val="45"/>
        </w:trPr>
        <w:tc>
          <w:tcPr>
            <w:tcW w:w="4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9E68A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Hospitalized Due to COVID-19, n (%)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E021E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14907 (31.12%)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40567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–</w:t>
            </w: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0055A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–</w:t>
            </w:r>
          </w:p>
        </w:tc>
      </w:tr>
      <w:tr w:rsidR="00DB72EA" w14:paraId="6967CD98" w14:textId="77777777" w:rsidTr="001F5683">
        <w:trPr>
          <w:trHeight w:val="45"/>
        </w:trPr>
        <w:tc>
          <w:tcPr>
            <w:tcW w:w="4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C7D33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Vaccinated for SARS-CoV-2 Prior to Index Date, n (%)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BE651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16001 (33.41%)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F94A2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37815 (25.62%)</w:t>
            </w: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5D135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DB72EA" w14:paraId="00880587" w14:textId="77777777" w:rsidTr="001F5683">
        <w:tc>
          <w:tcPr>
            <w:tcW w:w="4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73D46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New-Onset CFS/ME, n (%)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68657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186 (0.39%)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C7E42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369 (0.25%)</w:t>
            </w: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4B532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</w:tbl>
    <w:p w14:paraId="7D48AEA8" w14:textId="77777777" w:rsidR="00DB72E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</w:rPr>
      </w:pPr>
      <w:r>
        <w:br w:type="page"/>
      </w:r>
    </w:p>
    <w:p w14:paraId="68616016" w14:textId="77777777" w:rsidR="00DB72E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>Figure B.</w:t>
      </w:r>
      <w:r>
        <w:rPr>
          <w:rFonts w:ascii="Times New Roman" w:eastAsia="Times New Roman" w:hAnsi="Times New Roman" w:cs="Times New Roman"/>
        </w:rPr>
        <w:t xml:space="preserve"> Cumulative incidence curve of new-onset chronic fatigue syndrome/</w:t>
      </w:r>
      <w:proofErr w:type="spellStart"/>
      <w:r>
        <w:rPr>
          <w:rFonts w:ascii="Times New Roman" w:eastAsia="Times New Roman" w:hAnsi="Times New Roman" w:cs="Times New Roman"/>
        </w:rPr>
        <w:t>myalgic</w:t>
      </w:r>
      <w:proofErr w:type="spellEnd"/>
      <w:r>
        <w:rPr>
          <w:rFonts w:ascii="Times New Roman" w:eastAsia="Times New Roman" w:hAnsi="Times New Roman" w:cs="Times New Roman"/>
        </w:rPr>
        <w:t xml:space="preserve"> encephalomyelitis after polymerase chain reaction SARS-CoV-2 test.</w:t>
      </w:r>
    </w:p>
    <w:p w14:paraId="7AB01783" w14:textId="77777777" w:rsidR="00DB72E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0E40CE24" wp14:editId="6730F9B7">
            <wp:extent cx="5943600" cy="36322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32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082EF87" w14:textId="77777777" w:rsidR="00DB72E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</w:rPr>
      </w:pPr>
      <w:r>
        <w:br w:type="page"/>
      </w:r>
    </w:p>
    <w:p w14:paraId="4A2C0075" w14:textId="77777777" w:rsidR="00DB72E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>Table B.</w:t>
      </w:r>
      <w:r>
        <w:rPr>
          <w:rFonts w:ascii="Times New Roman" w:eastAsia="Times New Roman" w:hAnsi="Times New Roman" w:cs="Times New Roman"/>
        </w:rPr>
        <w:t xml:space="preserve"> Multivariate Fine-Gray </w:t>
      </w:r>
      <w:proofErr w:type="spellStart"/>
      <w:r>
        <w:rPr>
          <w:rFonts w:ascii="Times New Roman" w:eastAsia="Times New Roman" w:hAnsi="Times New Roman" w:cs="Times New Roman"/>
        </w:rPr>
        <w:t>subdistribution</w:t>
      </w:r>
      <w:proofErr w:type="spellEnd"/>
      <w:r>
        <w:rPr>
          <w:rFonts w:ascii="Times New Roman" w:eastAsia="Times New Roman" w:hAnsi="Times New Roman" w:cs="Times New Roman"/>
        </w:rPr>
        <w:t xml:space="preserve"> hazards model showing adjusted hazard ratios (HR) for</w:t>
      </w:r>
    </w:p>
    <w:p w14:paraId="151A705C" w14:textId="77777777" w:rsidR="00DB72E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developing new-onset chronic fatigue syndrome/</w:t>
      </w:r>
      <w:proofErr w:type="spellStart"/>
      <w:r>
        <w:rPr>
          <w:rFonts w:ascii="Times New Roman" w:eastAsia="Times New Roman" w:hAnsi="Times New Roman" w:cs="Times New Roman"/>
        </w:rPr>
        <w:t>myalgic</w:t>
      </w:r>
      <w:proofErr w:type="spellEnd"/>
      <w:r>
        <w:rPr>
          <w:rFonts w:ascii="Times New Roman" w:eastAsia="Times New Roman" w:hAnsi="Times New Roman" w:cs="Times New Roman"/>
        </w:rPr>
        <w:t xml:space="preserve"> encephalomyelitis post-index date.</w:t>
      </w:r>
    </w:p>
    <w:p w14:paraId="32552375" w14:textId="77777777" w:rsidR="00DB72E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COPD, chronic obstructive pulmonary disease</w:t>
      </w:r>
    </w:p>
    <w:tbl>
      <w:tblPr>
        <w:tblStyle w:val="a0"/>
        <w:tblW w:w="67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975"/>
        <w:gridCol w:w="1920"/>
        <w:gridCol w:w="840"/>
      </w:tblGrid>
      <w:tr w:rsidR="00DB72EA" w14:paraId="59848020" w14:textId="77777777">
        <w:trPr>
          <w:trHeight w:val="230"/>
        </w:trPr>
        <w:tc>
          <w:tcPr>
            <w:tcW w:w="3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E1586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Covariate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C7D3C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Adjusted HR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D528C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-value</w:t>
            </w:r>
          </w:p>
        </w:tc>
      </w:tr>
      <w:tr w:rsidR="00DB72EA" w14:paraId="78FCA548" w14:textId="77777777">
        <w:trPr>
          <w:trHeight w:val="230"/>
        </w:trPr>
        <w:tc>
          <w:tcPr>
            <w:tcW w:w="3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43F77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SARS-CoV-2 Status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38B07" w14:textId="77777777" w:rsidR="00DB72EA" w:rsidRDefault="00DB72E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95A5F" w14:textId="77777777" w:rsidR="00DB72EA" w:rsidRDefault="00DB72E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B72EA" w14:paraId="02133145" w14:textId="77777777">
        <w:trPr>
          <w:trHeight w:val="230"/>
        </w:trPr>
        <w:tc>
          <w:tcPr>
            <w:tcW w:w="3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DB2E5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COVID+ Hospitalized vs COVID–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4B8DC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1.55 [1.17, 2.07]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49635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DB72EA" w14:paraId="7F3C27C9" w14:textId="77777777">
        <w:trPr>
          <w:trHeight w:val="230"/>
        </w:trPr>
        <w:tc>
          <w:tcPr>
            <w:tcW w:w="3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5D885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COVID+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Non-Hospitalized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vs COVID–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0367C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1.46 [1.18, 1.80]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712E1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DB72EA" w14:paraId="72AEE98F" w14:textId="77777777">
        <w:trPr>
          <w:trHeight w:val="230"/>
        </w:trPr>
        <w:tc>
          <w:tcPr>
            <w:tcW w:w="3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F595C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Vaccinated for SARS-CoV-2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3E454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1.47 [1.22, 1.78]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B566A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DB72EA" w14:paraId="17D52A66" w14:textId="77777777">
        <w:trPr>
          <w:trHeight w:val="230"/>
        </w:trPr>
        <w:tc>
          <w:tcPr>
            <w:tcW w:w="673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316F9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Age and Sex</w:t>
            </w:r>
          </w:p>
        </w:tc>
      </w:tr>
      <w:tr w:rsidR="00DB72EA" w14:paraId="61A85713" w14:textId="77777777">
        <w:trPr>
          <w:trHeight w:val="230"/>
        </w:trPr>
        <w:tc>
          <w:tcPr>
            <w:tcW w:w="3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839A8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Age at Index Date (Years)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8E17D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 [1.00, 1.01]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F2AC2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0.62</w:t>
            </w:r>
          </w:p>
        </w:tc>
      </w:tr>
      <w:tr w:rsidR="00DB72EA" w14:paraId="28FAAEC4" w14:textId="77777777">
        <w:trPr>
          <w:trHeight w:val="230"/>
        </w:trPr>
        <w:tc>
          <w:tcPr>
            <w:tcW w:w="3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164D3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Female vs Male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59BDD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0.64 [0.53, 0.78]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94362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DB72EA" w14:paraId="4B74F516" w14:textId="77777777">
        <w:trPr>
          <w:trHeight w:val="230"/>
        </w:trPr>
        <w:tc>
          <w:tcPr>
            <w:tcW w:w="673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F5677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Race and Ethnicity</w:t>
            </w:r>
          </w:p>
        </w:tc>
      </w:tr>
      <w:tr w:rsidR="00DB72EA" w14:paraId="66A61CE0" w14:textId="77777777">
        <w:trPr>
          <w:trHeight w:val="159"/>
        </w:trPr>
        <w:tc>
          <w:tcPr>
            <w:tcW w:w="3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B2F5F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Black vs Non-Hispanic White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53C4F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0.69 [0.51, 0.92]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772A6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0.012</w:t>
            </w:r>
          </w:p>
        </w:tc>
      </w:tr>
      <w:tr w:rsidR="00DB72EA" w14:paraId="52B11930" w14:textId="77777777">
        <w:trPr>
          <w:trHeight w:val="230"/>
        </w:trPr>
        <w:tc>
          <w:tcPr>
            <w:tcW w:w="3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E9DA9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Asian vs Non-Hispanic White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31F87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1.01 [0.65, 1.57]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D74A7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0.97</w:t>
            </w:r>
          </w:p>
        </w:tc>
      </w:tr>
      <w:tr w:rsidR="00DB72EA" w14:paraId="02545C8C" w14:textId="77777777">
        <w:trPr>
          <w:trHeight w:val="230"/>
        </w:trPr>
        <w:tc>
          <w:tcPr>
            <w:tcW w:w="3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01D34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Other Race vs Non-Hispanic White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D3AC5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0.69 [0.50, 0.95]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45A2E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0.024</w:t>
            </w:r>
          </w:p>
        </w:tc>
      </w:tr>
      <w:tr w:rsidR="00DB72EA" w14:paraId="2A61A575" w14:textId="77777777">
        <w:trPr>
          <w:trHeight w:val="174"/>
        </w:trPr>
        <w:tc>
          <w:tcPr>
            <w:tcW w:w="3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F256C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Hispanic vs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Non-Hispanic</w:t>
            </w:r>
            <w:proofErr w:type="gramEnd"/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B93C7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1.13 [0.88, 1.45]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1074B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0.33</w:t>
            </w:r>
          </w:p>
        </w:tc>
      </w:tr>
      <w:tr w:rsidR="00DB72EA" w14:paraId="6FF1AB39" w14:textId="77777777">
        <w:trPr>
          <w:trHeight w:val="230"/>
        </w:trPr>
        <w:tc>
          <w:tcPr>
            <w:tcW w:w="673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551D7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Pre-Existing Comorbidities</w:t>
            </w:r>
          </w:p>
        </w:tc>
      </w:tr>
      <w:tr w:rsidR="00DB72EA" w14:paraId="78008DA3" w14:textId="77777777">
        <w:trPr>
          <w:trHeight w:val="230"/>
        </w:trPr>
        <w:tc>
          <w:tcPr>
            <w:tcW w:w="3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2AF4E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Hypertension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C1815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0.99 [0.80, 1.23]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4A1D1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0.93</w:t>
            </w:r>
          </w:p>
        </w:tc>
      </w:tr>
      <w:tr w:rsidR="00DB72EA" w14:paraId="57D46723" w14:textId="77777777">
        <w:trPr>
          <w:trHeight w:val="230"/>
        </w:trPr>
        <w:tc>
          <w:tcPr>
            <w:tcW w:w="3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6A7B1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Type-2 Diabetes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C0658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0.82 [0.66, 1.03]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C3E07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0.092</w:t>
            </w:r>
          </w:p>
        </w:tc>
      </w:tr>
      <w:tr w:rsidR="00DB72EA" w14:paraId="69A154E0" w14:textId="77777777">
        <w:trPr>
          <w:trHeight w:val="230"/>
        </w:trPr>
        <w:tc>
          <w:tcPr>
            <w:tcW w:w="3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58654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COPD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F0B79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0.89 [0.50, 1.59]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7FB53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0.69</w:t>
            </w:r>
          </w:p>
        </w:tc>
      </w:tr>
      <w:tr w:rsidR="00DB72EA" w14:paraId="48C3A814" w14:textId="77777777">
        <w:trPr>
          <w:trHeight w:val="230"/>
        </w:trPr>
        <w:tc>
          <w:tcPr>
            <w:tcW w:w="3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1F847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Asthma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EB302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1.09 [0.88, 1.35]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606E6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0.45</w:t>
            </w:r>
          </w:p>
        </w:tc>
      </w:tr>
      <w:tr w:rsidR="00DB72EA" w14:paraId="5D1264EC" w14:textId="77777777">
        <w:trPr>
          <w:trHeight w:val="230"/>
        </w:trPr>
        <w:tc>
          <w:tcPr>
            <w:tcW w:w="3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3F14B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Chronic Kidney Disease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C7E8C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1.07 [0.81, 1.42]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F9276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0.64</w:t>
            </w:r>
          </w:p>
        </w:tc>
      </w:tr>
      <w:tr w:rsidR="00DB72EA" w14:paraId="6CC2E115" w14:textId="77777777">
        <w:trPr>
          <w:trHeight w:val="230"/>
        </w:trPr>
        <w:tc>
          <w:tcPr>
            <w:tcW w:w="3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6AA72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Liver Disease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5A2CA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1.61 [1.30, 2.00]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3153F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DB72EA" w14:paraId="6F57214D" w14:textId="77777777">
        <w:trPr>
          <w:trHeight w:val="230"/>
        </w:trPr>
        <w:tc>
          <w:tcPr>
            <w:tcW w:w="3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1E29C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Cardiovascular Disease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F376F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1.13 [0.87, 1.47]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EA970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0.36</w:t>
            </w:r>
          </w:p>
        </w:tc>
      </w:tr>
      <w:tr w:rsidR="00DB72EA" w14:paraId="407FC5E3" w14:textId="77777777">
        <w:trPr>
          <w:trHeight w:val="230"/>
        </w:trPr>
        <w:tc>
          <w:tcPr>
            <w:tcW w:w="3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56B4C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Autoimmune Disease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24B33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1.50 [1.13, 1.98]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BE8D3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DB72EA" w14:paraId="630F7DEE" w14:textId="77777777">
        <w:trPr>
          <w:trHeight w:val="230"/>
        </w:trPr>
        <w:tc>
          <w:tcPr>
            <w:tcW w:w="673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76A23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Pre-Existing Psychiatric Disorders</w:t>
            </w:r>
          </w:p>
        </w:tc>
      </w:tr>
      <w:tr w:rsidR="00DB72EA" w14:paraId="341488F2" w14:textId="77777777">
        <w:trPr>
          <w:trHeight w:val="174"/>
        </w:trPr>
        <w:tc>
          <w:tcPr>
            <w:tcW w:w="3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EFCA9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Depressive Disorder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FC599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1.18 [0.91, 1.53]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C4F22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0.21</w:t>
            </w:r>
          </w:p>
        </w:tc>
      </w:tr>
      <w:tr w:rsidR="00DB72EA" w14:paraId="0768B898" w14:textId="77777777">
        <w:trPr>
          <w:trHeight w:val="39"/>
        </w:trPr>
        <w:tc>
          <w:tcPr>
            <w:tcW w:w="3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66B3B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Anxiety Disorder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C7C91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1.47 [1.14, 1.90]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3A11E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DB72EA" w14:paraId="24F4FFCD" w14:textId="77777777">
        <w:trPr>
          <w:trHeight w:val="230"/>
        </w:trPr>
        <w:tc>
          <w:tcPr>
            <w:tcW w:w="673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E57A3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Insurance</w:t>
            </w:r>
          </w:p>
        </w:tc>
      </w:tr>
      <w:tr w:rsidR="00DB72EA" w14:paraId="33627B9F" w14:textId="77777777">
        <w:trPr>
          <w:trHeight w:val="230"/>
        </w:trPr>
        <w:tc>
          <w:tcPr>
            <w:tcW w:w="3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6316A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Medicaid vs Private Insurance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29676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0.95 [0.78, 1.17]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2F65E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0.65</w:t>
            </w:r>
          </w:p>
        </w:tc>
      </w:tr>
      <w:tr w:rsidR="00DB72EA" w14:paraId="5BB71CF7" w14:textId="77777777">
        <w:trPr>
          <w:trHeight w:val="230"/>
        </w:trPr>
        <w:tc>
          <w:tcPr>
            <w:tcW w:w="3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D45D2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Medicare vs Private Insurance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C78EF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0.98 [0.76, 1.28]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83507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0.91</w:t>
            </w:r>
          </w:p>
        </w:tc>
      </w:tr>
      <w:tr w:rsidR="00DB72EA" w14:paraId="659EF37D" w14:textId="77777777">
        <w:trPr>
          <w:trHeight w:val="230"/>
        </w:trPr>
        <w:tc>
          <w:tcPr>
            <w:tcW w:w="3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F1E41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Self Pay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vs Private Insurance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85403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0.81 [0.57, 1.15]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C0454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0.24</w:t>
            </w:r>
          </w:p>
        </w:tc>
      </w:tr>
      <w:tr w:rsidR="00DB72EA" w14:paraId="18A4751C" w14:textId="77777777">
        <w:trPr>
          <w:trHeight w:val="230"/>
        </w:trPr>
        <w:tc>
          <w:tcPr>
            <w:tcW w:w="673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FEEAF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ZIP Code Income Percentile</w:t>
            </w:r>
          </w:p>
        </w:tc>
      </w:tr>
      <w:tr w:rsidR="00DB72EA" w14:paraId="3FF3E6FB" w14:textId="77777777">
        <w:trPr>
          <w:trHeight w:val="230"/>
        </w:trPr>
        <w:tc>
          <w:tcPr>
            <w:tcW w:w="3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D7C39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Lower 25th Percentile vs Top 25th Percentile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39ABC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0.89 [0.69, 1.15]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3D3E0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0.37</w:t>
            </w:r>
          </w:p>
        </w:tc>
      </w:tr>
      <w:tr w:rsidR="00DB72EA" w14:paraId="23C5E2B1" w14:textId="77777777">
        <w:trPr>
          <w:trHeight w:val="230"/>
        </w:trPr>
        <w:tc>
          <w:tcPr>
            <w:tcW w:w="3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10447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25-50th Percentile vs Top 25th Percentile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DCA25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0.96 [0.75, 1.22]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0C9AD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0.73</w:t>
            </w:r>
          </w:p>
        </w:tc>
      </w:tr>
      <w:tr w:rsidR="00DB72EA" w14:paraId="31440FD1" w14:textId="77777777">
        <w:trPr>
          <w:trHeight w:val="114"/>
        </w:trPr>
        <w:tc>
          <w:tcPr>
            <w:tcW w:w="3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6690E" w14:textId="77777777" w:rsidR="00DB72E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50-75th Percentile vs Top 25th Percentile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9263D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0.95 [0.75, 1.19]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CB839" w14:textId="77777777" w:rsidR="00DB72E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0.63</w:t>
            </w:r>
          </w:p>
        </w:tc>
      </w:tr>
    </w:tbl>
    <w:p w14:paraId="1B1F85BE" w14:textId="77777777" w:rsidR="00DB72EA" w:rsidRDefault="00DB72EA">
      <w:pPr>
        <w:spacing w:line="240" w:lineRule="auto"/>
        <w:rPr>
          <w:rFonts w:ascii="Times New Roman" w:eastAsia="Times New Roman" w:hAnsi="Times New Roman" w:cs="Times New Roman"/>
        </w:rPr>
      </w:pPr>
    </w:p>
    <w:sectPr w:rsidR="00DB72E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2EA"/>
    <w:rsid w:val="001F5683"/>
    <w:rsid w:val="0023712D"/>
    <w:rsid w:val="00DB7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F8CAF"/>
  <w15:docId w15:val="{0851B5A7-3CF3-4AB4-A4D1-80EE6C82B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3964</Characters>
  <Application>Microsoft Office Word</Application>
  <DocSecurity>0</DocSecurity>
  <Lines>33</Lines>
  <Paragraphs>9</Paragraphs>
  <ScaleCrop>false</ScaleCrop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Roham Hadidchi</cp:lastModifiedBy>
  <cp:revision>2</cp:revision>
  <dcterms:created xsi:type="dcterms:W3CDTF">2025-05-13T14:26:00Z</dcterms:created>
  <dcterms:modified xsi:type="dcterms:W3CDTF">2025-05-13T14:26:00Z</dcterms:modified>
</cp:coreProperties>
</file>