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8. </w:t>
      </w:r>
      <w:r>
        <w:rPr>
          <w:rFonts w:ascii="Times New Roman" w:hAnsi="Times New Roman" w:eastAsia="Times New Roman"/>
        </w:rPr>
        <w:t>Brier score values at 12, 36, and 60 months for Late-onset rectal cancer across different models in three cohorts.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2880"/>
        <w:gridCol w:w="3024"/>
        <w:gridCol w:w="3024"/>
        <w:gridCol w:w="3024"/>
        <w:gridCol w:w="3024"/>
      </w:tblGrid>
      <w:tr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Model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Integrated brier score</w:t>
              <w:br/>
              <w:t>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12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36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60 Months (95% CI)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Training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0.098 (0.093 , 0.102)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0.022 (0.019 , 0.025)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0.068 (0.063 , 0.073)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0.101 (0.095 , 0.107)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0.109 (0.104 , 0.113)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(0.023 , 0.030)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0.078 (0.073 , 0.083)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0.113 (0.105 , 0.118)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0.151 (0.116 , 0.309)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0.064 (0.024 , 0.367)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0.115 (0.080 , 0.326)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0.157 (0.116 , 0.302)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0.097 (0.093 , 0.101)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0.024 (0.021 , 0.028)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0.072 (0.068 , 0.077)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0.104 (0.099 , 0.109)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0.106 (0.101 , 0.112)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(0.022 , 0.029)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0.076 (0.071 , 0.081)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0.110 (0.103 , 0.117)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0.107 (0.102 , 0.112)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(0.023 , 0.030)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0.076 (0.072 , 0.081)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0.109 (0.104 , 0.115)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0.120 (0.117 , 0.124)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0.027 (0.023 , 0.031)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0.084 (0.078 , 0.089)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0.123 (0.117 , 0.127)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Test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0.119 (0.112 , 0.127)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0.018 (0.014 , 0.023)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0.081 (0.072 , 0.089)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0.120 (0.111 , 0.128)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0.117 (0.109 , 0.126)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0.018 (0.014 , 0.023)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0.079 (0.071 , 0.086)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0.121 (0.111 , 0.129)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0.141 (0.141 , 0.141)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0.019 (0.019 , 0.019)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0.096 (0.096 , 0.096)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0.153 (0.153 , 0.153)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0.113 (0.107 , 0.120)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0.018 (0.013 , 0.024)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0.082 (0.075 , 0.092)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0.122 (0.111 , 0.133)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0.120 (0.111 , 0.129)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0.019 (0.014 , 0.023)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0.081 (0.074 , 0.090)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0.123 (0.114 , 0.130)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0.117 (0.110 , 0.125)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0.019 (0.014 , 0.024)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0.078 (0.070 , 0.085)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0.117 (0.109 , 0.126)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0.127 (0.120 , 0.134)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0.018 (0.015 , 0.023)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0.085 (0.078 , 0.093)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0.128 (0.121 , 0.138)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