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10. </w:t>
      </w:r>
      <w:r>
        <w:rPr>
          <w:rFonts w:ascii="Times New Roman" w:hAnsi="Times New Roman" w:eastAsia="Times New Roman"/>
        </w:rPr>
        <w:t>Variable encoding type and reference levels or order.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2880"/>
        <w:gridCol w:w="2880"/>
        <w:gridCol w:w="8640"/>
      </w:tblGrid>
      <w:tr>
        <w:tc>
          <w:tcPr>
            <w:tcW w:type="dxa" w:w="4080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Variable</w:t>
            </w:r>
          </w:p>
        </w:tc>
        <w:tc>
          <w:tcPr>
            <w:tcW w:type="dxa" w:w="4080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Encoding Type</w:t>
            </w:r>
          </w:p>
        </w:tc>
        <w:tc>
          <w:tcPr>
            <w:tcW w:type="dxa" w:w="4080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Reference Level / Order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Sex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Female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Race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White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Primary site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Rectum / Ascending Colon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Perineural Invasion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No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Marital status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Single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Rural-Urban Continuum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Metropolitan counties (1 million+)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Histology Type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Adenocarcinoma, NOS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Surg.Rad.Seq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Untreated or unknown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Resection type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Partial proctectomy / Partial/subtotal colectomy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Systemic.Sur.Seq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One-hot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Untreated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Grade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Ordinal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Well &lt; Moderate &lt; Poor &lt; Undifferentiated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CEA(ng/ml)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Ordinal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&lt;5 &lt; 5+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Median household income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Ordinal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&lt;$40,000 &lt; ... &lt; $120,000+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Ordinal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Tis &lt; T1 &lt; T2 &lt; T3 &lt; T4a &lt; T4b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Ordinal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N0 &lt; N1a &lt; N1b &lt; N1c &lt; N2a &lt; N2b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Ordinal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 &lt; I &lt; IIA &lt; IIB &lt; IIC &lt; IIIA &lt; IIIB &lt; IIIC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No. of resected LNs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Ordinal</w:t>
            </w:r>
          </w:p>
        </w:tc>
        <w:tc>
          <w:tcPr>
            <w:tcW w:type="dxa" w:w="864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0 &lt; 1-3 &lt; 4+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