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Times New Roman" w:hAnsi="Times New Roman" w:eastAsia="Times New Roman"/>
          <w:b/>
        </w:rPr>
        <w:t xml:space="preserve">Supplementary Table 2. </w:t>
      </w:r>
      <w:r>
        <w:rPr>
          <w:rFonts w:ascii="Times New Roman" w:hAnsi="Times New Roman" w:eastAsia="Times New Roman"/>
        </w:rPr>
        <w:t>Baseline clinicopathological characteristics of the training, testing, and external validation cohorts in Late-onset rectal cancer.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12" w:color="000000"/>
          <w:bottom w:val="single" w:sz="12" w:color="000000"/>
        </w:tblBorders>
      </w:tblPr>
      <w:tblGrid>
        <w:gridCol w:w="3600"/>
        <w:gridCol w:w="2304"/>
        <w:gridCol w:w="2304"/>
        <w:gridCol w:w="2304"/>
        <w:gridCol w:w="2016"/>
      </w:tblGrid>
      <w:tr>
        <w:tc>
          <w:tcPr>
            <w:tcW w:type="dxa" w:w="2448"/>
          </w:tcPr>
          <w:p>
            <w:pPr>
              <w:jc w:val="left"/>
            </w:pPr>
          </w:p>
        </w:tc>
        <w:tc>
          <w:tcPr>
            <w:tcW w:type="dxa" w:w="7344"/>
            <w:gridSpan w:val="3"/>
            <w:tcBorders>
              <w:bottom w:val="single" w:sz="8" w:color="000000"/>
            </w:tcBorders>
            <w:tcBorders>
              <w:bottom w:val="single" w:sz="8" w:color="000000"/>
            </w:tcBorders>
            <w:tcBorders>
              <w:bottom w:val="single" w:sz="8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sz w:val="22"/>
              </w:rPr>
              <w:t>SEER cohort</w:t>
            </w:r>
          </w:p>
        </w:tc>
        <w:tc>
          <w:tcPr>
            <w:tcW w:type="dxa" w:w="2448"/>
          </w:tcPr>
          <w:p>
            <w:pPr>
              <w:jc w:val="center"/>
            </w:pPr>
          </w:p>
        </w:tc>
      </w:tr>
      <w:tr>
        <w:tc>
          <w:tcPr>
            <w:tcW w:type="dxa" w:w="3600"/>
            <w:tcBorders>
              <w:bottom w:val="single" w:sz="8" w:color="000000"/>
            </w:tcBorders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/>
                <w:sz w:val="22"/>
              </w:rPr>
              <w:t>Characteristics</w:t>
            </w:r>
          </w:p>
        </w:tc>
        <w:tc>
          <w:tcPr>
            <w:tcW w:type="dxa" w:w="2304"/>
            <w:tcBorders>
              <w:bottom w:val="single" w:sz="8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sz w:val="22"/>
              </w:rPr>
              <w:t>Overall</w:t>
            </w:r>
          </w:p>
        </w:tc>
        <w:tc>
          <w:tcPr>
            <w:tcW w:type="dxa" w:w="2304"/>
            <w:tcBorders>
              <w:bottom w:val="single" w:sz="8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sz w:val="22"/>
              </w:rPr>
              <w:t>Training cohort</w:t>
            </w:r>
          </w:p>
        </w:tc>
        <w:tc>
          <w:tcPr>
            <w:tcW w:type="dxa" w:w="2304"/>
            <w:tcBorders>
              <w:bottom w:val="single" w:sz="8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sz w:val="22"/>
              </w:rPr>
              <w:t>Test cohort</w:t>
            </w:r>
          </w:p>
        </w:tc>
        <w:tc>
          <w:tcPr>
            <w:tcW w:type="dxa" w:w="2016"/>
            <w:tcBorders>
              <w:bottom w:val="single" w:sz="8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sz w:val="22"/>
              </w:rPr>
              <w:t>p-value</w:t>
              <w:br/>
              <w:t>(Training vs Test)</w:t>
            </w:r>
          </w:p>
        </w:tc>
      </w:tr>
      <w:tr>
        <w:tc>
          <w:tcPr>
            <w:tcW w:type="dxa" w:w="3600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Patients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8,667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6,066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2,601</w:t>
            </w:r>
          </w:p>
        </w:tc>
        <w:tc>
          <w:tcPr>
            <w:tcW w:type="dxa" w:w="2016"/>
          </w:tcPr>
          <w:p>
            <w:pPr>
              <w:jc w:val="center"/>
            </w:pPr>
          </w:p>
        </w:tc>
      </w:tr>
      <w:tr>
        <w:tc>
          <w:tcPr>
            <w:tcW w:type="dxa" w:w="3600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/>
                <w:sz w:val="22"/>
              </w:rPr>
              <w:t>Age (years)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63 (56–71)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63 (56–71)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63 (56–71)</w:t>
            </w:r>
          </w:p>
        </w:tc>
        <w:tc>
          <w:tcPr>
            <w:tcW w:type="dxa" w:w="201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0.456</w:t>
            </w:r>
          </w:p>
        </w:tc>
      </w:tr>
      <w:tr>
        <w:tc>
          <w:tcPr>
            <w:tcW w:type="dxa" w:w="3600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/>
                <w:sz w:val="22"/>
              </w:rPr>
              <w:t>Sex</w:t>
            </w:r>
          </w:p>
        </w:tc>
        <w:tc>
          <w:tcPr>
            <w:tcW w:type="dxa" w:w="2304"/>
          </w:tcPr>
          <w:p>
            <w:pPr>
              <w:jc w:val="center"/>
            </w:pPr>
          </w:p>
        </w:tc>
        <w:tc>
          <w:tcPr>
            <w:tcW w:type="dxa" w:w="2304"/>
          </w:tcPr>
          <w:p>
            <w:pPr>
              <w:jc w:val="center"/>
            </w:pPr>
          </w:p>
        </w:tc>
        <w:tc>
          <w:tcPr>
            <w:tcW w:type="dxa" w:w="2304"/>
          </w:tcPr>
          <w:p>
            <w:pPr>
              <w:jc w:val="center"/>
            </w:pPr>
          </w:p>
        </w:tc>
        <w:tc>
          <w:tcPr>
            <w:tcW w:type="dxa" w:w="2016"/>
          </w:tcPr>
          <w:p>
            <w:pPr>
              <w:jc w:val="center"/>
            </w:pPr>
          </w:p>
        </w:tc>
      </w:tr>
      <w:tr>
        <w:tc>
          <w:tcPr>
            <w:tcW w:type="dxa" w:w="3600"/>
          </w:tcPr>
          <w:p>
            <w:pPr>
              <w:ind w:left="288"/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Male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5,124 (59.12%)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3,573 (58.90%)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1,551 (59.63%)</w:t>
            </w:r>
          </w:p>
        </w:tc>
        <w:tc>
          <w:tcPr>
            <w:tcW w:type="dxa" w:w="201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0.543</w:t>
            </w:r>
          </w:p>
        </w:tc>
      </w:tr>
      <w:tr>
        <w:tc>
          <w:tcPr>
            <w:tcW w:type="dxa" w:w="3600"/>
          </w:tcPr>
          <w:p>
            <w:pPr>
              <w:ind w:left="288"/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Female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3,543 (40.88%)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2,493 (41.10%)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1,050 (40.37%)</w:t>
            </w:r>
          </w:p>
        </w:tc>
        <w:tc>
          <w:tcPr>
            <w:tcW w:type="dxa" w:w="2016"/>
          </w:tcPr>
          <w:p>
            <w:pPr>
              <w:jc w:val="center"/>
            </w:pPr>
          </w:p>
        </w:tc>
      </w:tr>
      <w:tr>
        <w:tc>
          <w:tcPr>
            <w:tcW w:type="dxa" w:w="3600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/>
                <w:sz w:val="22"/>
              </w:rPr>
              <w:t>Race</w:t>
            </w:r>
          </w:p>
        </w:tc>
        <w:tc>
          <w:tcPr>
            <w:tcW w:type="dxa" w:w="2304"/>
          </w:tcPr>
          <w:p>
            <w:pPr>
              <w:jc w:val="center"/>
            </w:pPr>
          </w:p>
        </w:tc>
        <w:tc>
          <w:tcPr>
            <w:tcW w:type="dxa" w:w="2304"/>
          </w:tcPr>
          <w:p>
            <w:pPr>
              <w:jc w:val="center"/>
            </w:pPr>
          </w:p>
        </w:tc>
        <w:tc>
          <w:tcPr>
            <w:tcW w:type="dxa" w:w="2304"/>
          </w:tcPr>
          <w:p>
            <w:pPr>
              <w:jc w:val="center"/>
            </w:pPr>
          </w:p>
        </w:tc>
        <w:tc>
          <w:tcPr>
            <w:tcW w:type="dxa" w:w="2016"/>
          </w:tcPr>
          <w:p>
            <w:pPr>
              <w:jc w:val="center"/>
            </w:pPr>
          </w:p>
        </w:tc>
      </w:tr>
      <w:tr>
        <w:tc>
          <w:tcPr>
            <w:tcW w:type="dxa" w:w="3600"/>
          </w:tcPr>
          <w:p>
            <w:pPr>
              <w:ind w:left="288"/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White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6,959 (80.29%)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4,848 (79.92%)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2,111 (81.16%)</w:t>
            </w:r>
          </w:p>
        </w:tc>
        <w:tc>
          <w:tcPr>
            <w:tcW w:type="dxa" w:w="201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0.617</w:t>
            </w:r>
          </w:p>
        </w:tc>
      </w:tr>
      <w:tr>
        <w:tc>
          <w:tcPr>
            <w:tcW w:type="dxa" w:w="3600"/>
          </w:tcPr>
          <w:p>
            <w:pPr>
              <w:ind w:left="288"/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Black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662 (7.64%)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473 (7.80%)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189 (7.27%)</w:t>
            </w:r>
          </w:p>
        </w:tc>
        <w:tc>
          <w:tcPr>
            <w:tcW w:type="dxa" w:w="2016"/>
          </w:tcPr>
          <w:p>
            <w:pPr>
              <w:jc w:val="center"/>
            </w:pPr>
          </w:p>
        </w:tc>
      </w:tr>
      <w:tr>
        <w:tc>
          <w:tcPr>
            <w:tcW w:type="dxa" w:w="3600"/>
          </w:tcPr>
          <w:p>
            <w:pPr>
              <w:ind w:left="288"/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Asian or Pacific Islander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995 (11.48%)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709 (11.69%)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286 (11.00%)</w:t>
            </w:r>
          </w:p>
        </w:tc>
        <w:tc>
          <w:tcPr>
            <w:tcW w:type="dxa" w:w="2016"/>
          </w:tcPr>
          <w:p>
            <w:pPr>
              <w:jc w:val="center"/>
            </w:pPr>
          </w:p>
        </w:tc>
      </w:tr>
      <w:tr>
        <w:tc>
          <w:tcPr>
            <w:tcW w:type="dxa" w:w="3600"/>
          </w:tcPr>
          <w:p>
            <w:pPr>
              <w:ind w:left="288"/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American Indian/Alaska Native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51 (0.59%)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36 (0.59%)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15 (0.58%)</w:t>
            </w:r>
          </w:p>
        </w:tc>
        <w:tc>
          <w:tcPr>
            <w:tcW w:type="dxa" w:w="2016"/>
          </w:tcPr>
          <w:p>
            <w:pPr>
              <w:jc w:val="center"/>
            </w:pPr>
          </w:p>
        </w:tc>
      </w:tr>
      <w:tr>
        <w:tc>
          <w:tcPr>
            <w:tcW w:type="dxa" w:w="3600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/>
                <w:sz w:val="22"/>
              </w:rPr>
              <w:t>Primary site</w:t>
            </w:r>
          </w:p>
        </w:tc>
        <w:tc>
          <w:tcPr>
            <w:tcW w:type="dxa" w:w="2304"/>
          </w:tcPr>
          <w:p>
            <w:pPr>
              <w:jc w:val="center"/>
            </w:pPr>
          </w:p>
        </w:tc>
        <w:tc>
          <w:tcPr>
            <w:tcW w:type="dxa" w:w="2304"/>
          </w:tcPr>
          <w:p>
            <w:pPr>
              <w:jc w:val="center"/>
            </w:pPr>
          </w:p>
        </w:tc>
        <w:tc>
          <w:tcPr>
            <w:tcW w:type="dxa" w:w="2304"/>
          </w:tcPr>
          <w:p>
            <w:pPr>
              <w:jc w:val="center"/>
            </w:pPr>
          </w:p>
        </w:tc>
        <w:tc>
          <w:tcPr>
            <w:tcW w:type="dxa" w:w="2016"/>
          </w:tcPr>
          <w:p>
            <w:pPr>
              <w:jc w:val="center"/>
            </w:pPr>
          </w:p>
        </w:tc>
      </w:tr>
      <w:tr>
        <w:tc>
          <w:tcPr>
            <w:tcW w:type="dxa" w:w="3600"/>
          </w:tcPr>
          <w:p>
            <w:pPr>
              <w:ind w:left="288"/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Rectum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5,646 (65.14%)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3,973 (65.50%)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1,673 (64.32%)</w:t>
            </w:r>
          </w:p>
        </w:tc>
        <w:tc>
          <w:tcPr>
            <w:tcW w:type="dxa" w:w="201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0.304</w:t>
            </w:r>
          </w:p>
        </w:tc>
      </w:tr>
      <w:tr>
        <w:tc>
          <w:tcPr>
            <w:tcW w:type="dxa" w:w="3600"/>
          </w:tcPr>
          <w:p>
            <w:pPr>
              <w:ind w:left="288"/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Rectosigmoid Junction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3,021 (34.86%)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2,093 (34.50%)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928 (35.68%)</w:t>
            </w:r>
          </w:p>
        </w:tc>
        <w:tc>
          <w:tcPr>
            <w:tcW w:type="dxa" w:w="2016"/>
          </w:tcPr>
          <w:p>
            <w:pPr>
              <w:jc w:val="center"/>
            </w:pPr>
          </w:p>
        </w:tc>
      </w:tr>
      <w:tr>
        <w:tc>
          <w:tcPr>
            <w:tcW w:type="dxa" w:w="3600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/>
                <w:sz w:val="22"/>
              </w:rPr>
              <w:t>Histology type</w:t>
            </w:r>
          </w:p>
        </w:tc>
        <w:tc>
          <w:tcPr>
            <w:tcW w:type="dxa" w:w="2304"/>
          </w:tcPr>
          <w:p>
            <w:pPr>
              <w:jc w:val="center"/>
            </w:pPr>
          </w:p>
        </w:tc>
        <w:tc>
          <w:tcPr>
            <w:tcW w:type="dxa" w:w="2304"/>
          </w:tcPr>
          <w:p>
            <w:pPr>
              <w:jc w:val="center"/>
            </w:pPr>
          </w:p>
        </w:tc>
        <w:tc>
          <w:tcPr>
            <w:tcW w:type="dxa" w:w="2304"/>
          </w:tcPr>
          <w:p>
            <w:pPr>
              <w:jc w:val="center"/>
            </w:pPr>
          </w:p>
        </w:tc>
        <w:tc>
          <w:tcPr>
            <w:tcW w:type="dxa" w:w="2016"/>
          </w:tcPr>
          <w:p>
            <w:pPr>
              <w:jc w:val="center"/>
            </w:pPr>
          </w:p>
        </w:tc>
      </w:tr>
      <w:tr>
        <w:tc>
          <w:tcPr>
            <w:tcW w:type="dxa" w:w="3600"/>
          </w:tcPr>
          <w:p>
            <w:pPr>
              <w:ind w:left="288"/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Adenocarcinoma, NOS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7,319 (84.45%)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5,142 (84.77%)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2,177 (83.70%)</w:t>
            </w:r>
          </w:p>
        </w:tc>
        <w:tc>
          <w:tcPr>
            <w:tcW w:type="dxa" w:w="201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0.346</w:t>
            </w:r>
          </w:p>
        </w:tc>
      </w:tr>
      <w:tr>
        <w:tc>
          <w:tcPr>
            <w:tcW w:type="dxa" w:w="3600"/>
          </w:tcPr>
          <w:p>
            <w:pPr>
              <w:ind w:left="288"/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Mucinous adenocarcinoma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350 (4.04%)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228 (3.76%)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122 (4.69%)</w:t>
            </w:r>
          </w:p>
        </w:tc>
        <w:tc>
          <w:tcPr>
            <w:tcW w:type="dxa" w:w="2016"/>
          </w:tcPr>
          <w:p>
            <w:pPr>
              <w:jc w:val="center"/>
            </w:pPr>
          </w:p>
        </w:tc>
      </w:tr>
      <w:tr>
        <w:tc>
          <w:tcPr>
            <w:tcW w:type="dxa" w:w="3600"/>
          </w:tcPr>
          <w:p>
            <w:pPr>
              <w:ind w:left="288"/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Signet ring cell carcinoma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25 (0.29%)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18 (0.30%)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7 (0.27%)</w:t>
            </w:r>
          </w:p>
        </w:tc>
        <w:tc>
          <w:tcPr>
            <w:tcW w:type="dxa" w:w="2016"/>
          </w:tcPr>
          <w:p>
            <w:pPr>
              <w:jc w:val="center"/>
            </w:pPr>
          </w:p>
        </w:tc>
      </w:tr>
      <w:tr>
        <w:tc>
          <w:tcPr>
            <w:tcW w:type="dxa" w:w="3600"/>
          </w:tcPr>
          <w:p>
            <w:pPr>
              <w:ind w:left="288"/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Villous adenocarcinoma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920 (10.61%)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638 (10.52%)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282 (10.84%)</w:t>
            </w:r>
          </w:p>
        </w:tc>
        <w:tc>
          <w:tcPr>
            <w:tcW w:type="dxa" w:w="2016"/>
          </w:tcPr>
          <w:p>
            <w:pPr>
              <w:jc w:val="center"/>
            </w:pPr>
          </w:p>
        </w:tc>
      </w:tr>
      <w:tr>
        <w:tc>
          <w:tcPr>
            <w:tcW w:type="dxa" w:w="3600"/>
          </w:tcPr>
          <w:p>
            <w:pPr>
              <w:ind w:left="288"/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Mixed adenocarcinoma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25 (0.29%)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20 (0.33%)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5 (0.19%)</w:t>
            </w:r>
          </w:p>
        </w:tc>
        <w:tc>
          <w:tcPr>
            <w:tcW w:type="dxa" w:w="2016"/>
          </w:tcPr>
          <w:p>
            <w:pPr>
              <w:jc w:val="center"/>
            </w:pPr>
          </w:p>
        </w:tc>
      </w:tr>
      <w:tr>
        <w:tc>
          <w:tcPr>
            <w:tcW w:type="dxa" w:w="3600"/>
          </w:tcPr>
          <w:p>
            <w:pPr>
              <w:ind w:left="288"/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Other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28 (0.32%)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20 (0.33%)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8 (0.31%)</w:t>
            </w:r>
          </w:p>
        </w:tc>
        <w:tc>
          <w:tcPr>
            <w:tcW w:type="dxa" w:w="2016"/>
          </w:tcPr>
          <w:p>
            <w:pPr>
              <w:jc w:val="center"/>
            </w:pPr>
          </w:p>
        </w:tc>
      </w:tr>
      <w:tr>
        <w:tc>
          <w:tcPr>
            <w:tcW w:type="dxa" w:w="3600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/>
                <w:sz w:val="22"/>
              </w:rPr>
              <w:t>Grade</w:t>
            </w:r>
          </w:p>
        </w:tc>
        <w:tc>
          <w:tcPr>
            <w:tcW w:type="dxa" w:w="2304"/>
          </w:tcPr>
          <w:p>
            <w:pPr>
              <w:jc w:val="center"/>
            </w:pPr>
          </w:p>
        </w:tc>
        <w:tc>
          <w:tcPr>
            <w:tcW w:type="dxa" w:w="2304"/>
          </w:tcPr>
          <w:p>
            <w:pPr>
              <w:jc w:val="center"/>
            </w:pPr>
          </w:p>
        </w:tc>
        <w:tc>
          <w:tcPr>
            <w:tcW w:type="dxa" w:w="2304"/>
          </w:tcPr>
          <w:p>
            <w:pPr>
              <w:jc w:val="center"/>
            </w:pPr>
          </w:p>
        </w:tc>
        <w:tc>
          <w:tcPr>
            <w:tcW w:type="dxa" w:w="2016"/>
          </w:tcPr>
          <w:p>
            <w:pPr>
              <w:jc w:val="center"/>
            </w:pPr>
          </w:p>
        </w:tc>
      </w:tr>
      <w:tr>
        <w:tc>
          <w:tcPr>
            <w:tcW w:type="dxa" w:w="3600"/>
          </w:tcPr>
          <w:p>
            <w:pPr>
              <w:ind w:left="288"/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Well differentiated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682 (7.87%)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469 (7.73%)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213 (8.19%)</w:t>
            </w:r>
          </w:p>
        </w:tc>
        <w:tc>
          <w:tcPr>
            <w:tcW w:type="dxa" w:w="201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0.784</w:t>
            </w:r>
          </w:p>
        </w:tc>
      </w:tr>
      <w:tr>
        <w:tc>
          <w:tcPr>
            <w:tcW w:type="dxa" w:w="3600"/>
          </w:tcPr>
          <w:p>
            <w:pPr>
              <w:ind w:left="288"/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Moderately differentiated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6,962 (80.33%)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4,870 (80.28%)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2,092 (80.43%)</w:t>
            </w:r>
          </w:p>
        </w:tc>
        <w:tc>
          <w:tcPr>
            <w:tcW w:type="dxa" w:w="2016"/>
          </w:tcPr>
          <w:p>
            <w:pPr>
              <w:jc w:val="center"/>
            </w:pPr>
          </w:p>
        </w:tc>
      </w:tr>
      <w:tr>
        <w:tc>
          <w:tcPr>
            <w:tcW w:type="dxa" w:w="3600"/>
          </w:tcPr>
          <w:p>
            <w:pPr>
              <w:ind w:left="288"/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Poorly differentiated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865 (9.98%)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614 (10.12%)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251 (9.65%)</w:t>
            </w:r>
          </w:p>
        </w:tc>
        <w:tc>
          <w:tcPr>
            <w:tcW w:type="dxa" w:w="2016"/>
          </w:tcPr>
          <w:p>
            <w:pPr>
              <w:jc w:val="center"/>
            </w:pPr>
          </w:p>
        </w:tc>
      </w:tr>
      <w:tr>
        <w:tc>
          <w:tcPr>
            <w:tcW w:type="dxa" w:w="3600"/>
          </w:tcPr>
          <w:p>
            <w:pPr>
              <w:ind w:left="288"/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Undifferentiated or anaplastic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158 (1.82%)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113 (1.86%)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45 (1.73%)</w:t>
            </w:r>
          </w:p>
        </w:tc>
        <w:tc>
          <w:tcPr>
            <w:tcW w:type="dxa" w:w="2016"/>
          </w:tcPr>
          <w:p>
            <w:pPr>
              <w:jc w:val="center"/>
            </w:pPr>
          </w:p>
        </w:tc>
      </w:tr>
      <w:tr>
        <w:tc>
          <w:tcPr>
            <w:tcW w:type="dxa" w:w="3600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/>
                <w:sz w:val="22"/>
              </w:rPr>
              <w:t>Tumor size (cm)</w:t>
            </w:r>
          </w:p>
        </w:tc>
        <w:tc>
          <w:tcPr>
            <w:tcW w:type="dxa" w:w="2304"/>
          </w:tcPr>
          <w:p>
            <w:pPr>
              <w:jc w:val="center"/>
            </w:pPr>
          </w:p>
        </w:tc>
        <w:tc>
          <w:tcPr>
            <w:tcW w:type="dxa" w:w="2304"/>
          </w:tcPr>
          <w:p>
            <w:pPr>
              <w:jc w:val="center"/>
            </w:pPr>
          </w:p>
        </w:tc>
        <w:tc>
          <w:tcPr>
            <w:tcW w:type="dxa" w:w="2304"/>
          </w:tcPr>
          <w:p>
            <w:pPr>
              <w:jc w:val="center"/>
            </w:pPr>
          </w:p>
        </w:tc>
        <w:tc>
          <w:tcPr>
            <w:tcW w:type="dxa" w:w="2016"/>
          </w:tcPr>
          <w:p>
            <w:pPr>
              <w:jc w:val="center"/>
            </w:pPr>
          </w:p>
        </w:tc>
      </w:tr>
      <w:tr>
        <w:tc>
          <w:tcPr>
            <w:tcW w:type="dxa" w:w="3600"/>
          </w:tcPr>
          <w:p>
            <w:pPr>
              <w:ind w:left="288"/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&lt;5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5,503 (63.49%)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3,861 (63.65%)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1,642 (63.13%)</w:t>
            </w:r>
          </w:p>
        </w:tc>
        <w:tc>
          <w:tcPr>
            <w:tcW w:type="dxa" w:w="201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0.662</w:t>
            </w:r>
          </w:p>
        </w:tc>
      </w:tr>
      <w:tr>
        <w:tc>
          <w:tcPr>
            <w:tcW w:type="dxa" w:w="3600"/>
          </w:tcPr>
          <w:p>
            <w:pPr>
              <w:ind w:left="288"/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≥5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3,164 (36.51%)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2,205 (36.35%)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959 (36.87%)</w:t>
            </w:r>
          </w:p>
        </w:tc>
        <w:tc>
          <w:tcPr>
            <w:tcW w:type="dxa" w:w="2016"/>
          </w:tcPr>
          <w:p>
            <w:pPr>
              <w:jc w:val="center"/>
            </w:pPr>
          </w:p>
        </w:tc>
      </w:tr>
      <w:tr>
        <w:tc>
          <w:tcPr>
            <w:tcW w:type="dxa" w:w="3600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/>
                <w:sz w:val="22"/>
              </w:rPr>
              <w:t>TNM stage</w:t>
            </w:r>
          </w:p>
        </w:tc>
        <w:tc>
          <w:tcPr>
            <w:tcW w:type="dxa" w:w="2304"/>
          </w:tcPr>
          <w:p>
            <w:pPr>
              <w:jc w:val="center"/>
            </w:pPr>
          </w:p>
        </w:tc>
        <w:tc>
          <w:tcPr>
            <w:tcW w:type="dxa" w:w="2304"/>
          </w:tcPr>
          <w:p>
            <w:pPr>
              <w:jc w:val="center"/>
            </w:pPr>
          </w:p>
        </w:tc>
        <w:tc>
          <w:tcPr>
            <w:tcW w:type="dxa" w:w="2304"/>
          </w:tcPr>
          <w:p>
            <w:pPr>
              <w:jc w:val="center"/>
            </w:pPr>
          </w:p>
        </w:tc>
        <w:tc>
          <w:tcPr>
            <w:tcW w:type="dxa" w:w="2016"/>
          </w:tcPr>
          <w:p>
            <w:pPr>
              <w:jc w:val="center"/>
            </w:pPr>
          </w:p>
        </w:tc>
      </w:tr>
      <w:tr>
        <w:tc>
          <w:tcPr>
            <w:tcW w:type="dxa" w:w="3600"/>
          </w:tcPr>
          <w:p>
            <w:pPr>
              <w:ind w:left="288"/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0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38 (0.44%)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28 (0.46%)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10 (0.38%)</w:t>
            </w:r>
          </w:p>
        </w:tc>
        <w:tc>
          <w:tcPr>
            <w:tcW w:type="dxa" w:w="201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0.805</w:t>
            </w:r>
          </w:p>
        </w:tc>
      </w:tr>
      <w:tr>
        <w:tc>
          <w:tcPr>
            <w:tcW w:type="dxa" w:w="3600"/>
          </w:tcPr>
          <w:p>
            <w:pPr>
              <w:ind w:left="288"/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I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2,040 (23.54%)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1,414 (23.31%)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626 (24.07%)</w:t>
            </w:r>
          </w:p>
        </w:tc>
        <w:tc>
          <w:tcPr>
            <w:tcW w:type="dxa" w:w="2016"/>
          </w:tcPr>
          <w:p>
            <w:pPr>
              <w:jc w:val="center"/>
            </w:pPr>
          </w:p>
        </w:tc>
      </w:tr>
      <w:tr>
        <w:tc>
          <w:tcPr>
            <w:tcW w:type="dxa" w:w="3600"/>
          </w:tcPr>
          <w:p>
            <w:pPr>
              <w:ind w:left="288"/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IIA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2,553 (29.46%)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1,790 (29.51%)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763 (29.33%)</w:t>
            </w:r>
          </w:p>
        </w:tc>
        <w:tc>
          <w:tcPr>
            <w:tcW w:type="dxa" w:w="2016"/>
          </w:tcPr>
          <w:p>
            <w:pPr>
              <w:jc w:val="center"/>
            </w:pPr>
          </w:p>
        </w:tc>
      </w:tr>
      <w:tr>
        <w:tc>
          <w:tcPr>
            <w:tcW w:type="dxa" w:w="3600"/>
          </w:tcPr>
          <w:p>
            <w:pPr>
              <w:ind w:left="288"/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IIB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137 (1.58%)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99 (1.63%)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38 (1.46%)</w:t>
            </w:r>
          </w:p>
        </w:tc>
        <w:tc>
          <w:tcPr>
            <w:tcW w:type="dxa" w:w="2016"/>
          </w:tcPr>
          <w:p>
            <w:pPr>
              <w:jc w:val="center"/>
            </w:pPr>
          </w:p>
        </w:tc>
      </w:tr>
      <w:tr>
        <w:tc>
          <w:tcPr>
            <w:tcW w:type="dxa" w:w="3600"/>
          </w:tcPr>
          <w:p>
            <w:pPr>
              <w:ind w:left="288"/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IIC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218 (2.52%)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154 (2.54%)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64 (2.46%)</w:t>
            </w:r>
          </w:p>
        </w:tc>
        <w:tc>
          <w:tcPr>
            <w:tcW w:type="dxa" w:w="2016"/>
          </w:tcPr>
          <w:p>
            <w:pPr>
              <w:jc w:val="center"/>
            </w:pPr>
          </w:p>
        </w:tc>
      </w:tr>
      <w:tr>
        <w:tc>
          <w:tcPr>
            <w:tcW w:type="dxa" w:w="3600"/>
          </w:tcPr>
          <w:p>
            <w:pPr>
              <w:ind w:left="288"/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IIIA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552 (6.37%)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398 (6.56%)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154 (5.92%)</w:t>
            </w:r>
          </w:p>
        </w:tc>
        <w:tc>
          <w:tcPr>
            <w:tcW w:type="dxa" w:w="2016"/>
          </w:tcPr>
          <w:p>
            <w:pPr>
              <w:jc w:val="center"/>
            </w:pPr>
          </w:p>
        </w:tc>
      </w:tr>
      <w:tr>
        <w:tc>
          <w:tcPr>
            <w:tcW w:type="dxa" w:w="3600"/>
          </w:tcPr>
          <w:p>
            <w:pPr>
              <w:ind w:left="288"/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IIIB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2,479 (28.60%)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1,742 (28.72%)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737 (28.34%)</w:t>
            </w:r>
          </w:p>
        </w:tc>
        <w:tc>
          <w:tcPr>
            <w:tcW w:type="dxa" w:w="2016"/>
          </w:tcPr>
          <w:p>
            <w:pPr>
              <w:jc w:val="center"/>
            </w:pPr>
          </w:p>
        </w:tc>
      </w:tr>
      <w:tr>
        <w:tc>
          <w:tcPr>
            <w:tcW w:type="dxa" w:w="3600"/>
          </w:tcPr>
          <w:p>
            <w:pPr>
              <w:ind w:left="288"/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IIIC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650 (7.50%)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441 (7.27%)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209 (8.04%)</w:t>
            </w:r>
          </w:p>
        </w:tc>
        <w:tc>
          <w:tcPr>
            <w:tcW w:type="dxa" w:w="2016"/>
          </w:tcPr>
          <w:p>
            <w:pPr>
              <w:jc w:val="center"/>
            </w:pPr>
          </w:p>
        </w:tc>
      </w:tr>
      <w:tr>
        <w:tc>
          <w:tcPr>
            <w:tcW w:type="dxa" w:w="3600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/>
                <w:sz w:val="22"/>
              </w:rPr>
              <w:t>T</w:t>
            </w:r>
          </w:p>
        </w:tc>
        <w:tc>
          <w:tcPr>
            <w:tcW w:type="dxa" w:w="2304"/>
          </w:tcPr>
          <w:p>
            <w:pPr>
              <w:jc w:val="center"/>
            </w:pPr>
          </w:p>
        </w:tc>
        <w:tc>
          <w:tcPr>
            <w:tcW w:type="dxa" w:w="2304"/>
          </w:tcPr>
          <w:p>
            <w:pPr>
              <w:jc w:val="center"/>
            </w:pPr>
          </w:p>
        </w:tc>
        <w:tc>
          <w:tcPr>
            <w:tcW w:type="dxa" w:w="2304"/>
          </w:tcPr>
          <w:p>
            <w:pPr>
              <w:jc w:val="center"/>
            </w:pPr>
          </w:p>
        </w:tc>
        <w:tc>
          <w:tcPr>
            <w:tcW w:type="dxa" w:w="2016"/>
          </w:tcPr>
          <w:p>
            <w:pPr>
              <w:jc w:val="center"/>
            </w:pPr>
          </w:p>
        </w:tc>
      </w:tr>
      <w:tr>
        <w:tc>
          <w:tcPr>
            <w:tcW w:type="dxa" w:w="3600"/>
          </w:tcPr>
          <w:p>
            <w:pPr>
              <w:ind w:left="288"/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Tis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38 (0.44%)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28 (0.46%)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10 (0.38%)</w:t>
            </w:r>
          </w:p>
        </w:tc>
        <w:tc>
          <w:tcPr>
            <w:tcW w:type="dxa" w:w="201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0.974</w:t>
            </w:r>
          </w:p>
        </w:tc>
      </w:tr>
      <w:tr>
        <w:tc>
          <w:tcPr>
            <w:tcW w:type="dxa" w:w="3600"/>
          </w:tcPr>
          <w:p>
            <w:pPr>
              <w:ind w:left="288"/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T1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948 (10.94%)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662 (10.91%)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286 (11.00%)</w:t>
            </w:r>
          </w:p>
        </w:tc>
        <w:tc>
          <w:tcPr>
            <w:tcW w:type="dxa" w:w="2016"/>
          </w:tcPr>
          <w:p>
            <w:pPr>
              <w:jc w:val="center"/>
            </w:pPr>
          </w:p>
        </w:tc>
      </w:tr>
      <w:tr>
        <w:tc>
          <w:tcPr>
            <w:tcW w:type="dxa" w:w="3600"/>
          </w:tcPr>
          <w:p>
            <w:pPr>
              <w:ind w:left="288"/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T2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1,742 (20.10%)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1,213 (20.00%)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529 (20.34%)</w:t>
            </w:r>
          </w:p>
        </w:tc>
        <w:tc>
          <w:tcPr>
            <w:tcW w:type="dxa" w:w="2016"/>
          </w:tcPr>
          <w:p>
            <w:pPr>
              <w:jc w:val="center"/>
            </w:pPr>
          </w:p>
        </w:tc>
      </w:tr>
      <w:tr>
        <w:tc>
          <w:tcPr>
            <w:tcW w:type="dxa" w:w="3600"/>
          </w:tcPr>
          <w:p>
            <w:pPr>
              <w:ind w:left="288"/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T3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5,139 (59.29%)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3,610 (59.51%)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1,529 (58.79%)</w:t>
            </w:r>
          </w:p>
        </w:tc>
        <w:tc>
          <w:tcPr>
            <w:tcW w:type="dxa" w:w="2016"/>
          </w:tcPr>
          <w:p>
            <w:pPr>
              <w:jc w:val="center"/>
            </w:pPr>
          </w:p>
        </w:tc>
      </w:tr>
      <w:tr>
        <w:tc>
          <w:tcPr>
            <w:tcW w:type="dxa" w:w="3600"/>
          </w:tcPr>
          <w:p>
            <w:pPr>
              <w:ind w:left="288"/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T4a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376 (4.34%)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261 (4.30%)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115 (4.42%)</w:t>
            </w:r>
          </w:p>
        </w:tc>
        <w:tc>
          <w:tcPr>
            <w:tcW w:type="dxa" w:w="2016"/>
          </w:tcPr>
          <w:p>
            <w:pPr>
              <w:jc w:val="center"/>
            </w:pPr>
          </w:p>
        </w:tc>
      </w:tr>
      <w:tr>
        <w:tc>
          <w:tcPr>
            <w:tcW w:type="dxa" w:w="3600"/>
          </w:tcPr>
          <w:p>
            <w:pPr>
              <w:ind w:left="288"/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T4b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424 (4.89%)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292 (4.81%)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132 (5.07%)</w:t>
            </w:r>
          </w:p>
        </w:tc>
        <w:tc>
          <w:tcPr>
            <w:tcW w:type="dxa" w:w="2016"/>
          </w:tcPr>
          <w:p>
            <w:pPr>
              <w:jc w:val="center"/>
            </w:pPr>
          </w:p>
        </w:tc>
      </w:tr>
      <w:tr>
        <w:tc>
          <w:tcPr>
            <w:tcW w:type="dxa" w:w="3600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/>
                <w:sz w:val="22"/>
              </w:rPr>
              <w:t>N</w:t>
            </w:r>
          </w:p>
        </w:tc>
        <w:tc>
          <w:tcPr>
            <w:tcW w:type="dxa" w:w="2304"/>
          </w:tcPr>
          <w:p>
            <w:pPr>
              <w:jc w:val="center"/>
            </w:pPr>
          </w:p>
        </w:tc>
        <w:tc>
          <w:tcPr>
            <w:tcW w:type="dxa" w:w="2304"/>
          </w:tcPr>
          <w:p>
            <w:pPr>
              <w:jc w:val="center"/>
            </w:pPr>
          </w:p>
        </w:tc>
        <w:tc>
          <w:tcPr>
            <w:tcW w:type="dxa" w:w="2304"/>
          </w:tcPr>
          <w:p>
            <w:pPr>
              <w:jc w:val="center"/>
            </w:pPr>
          </w:p>
        </w:tc>
        <w:tc>
          <w:tcPr>
            <w:tcW w:type="dxa" w:w="2016"/>
          </w:tcPr>
          <w:p>
            <w:pPr>
              <w:jc w:val="center"/>
            </w:pPr>
          </w:p>
        </w:tc>
      </w:tr>
      <w:tr>
        <w:tc>
          <w:tcPr>
            <w:tcW w:type="dxa" w:w="3600"/>
          </w:tcPr>
          <w:p>
            <w:pPr>
              <w:ind w:left="288"/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N0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4,986 (57.53%)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3,485 (57.45%)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1,501 (57.71%)</w:t>
            </w:r>
          </w:p>
        </w:tc>
        <w:tc>
          <w:tcPr>
            <w:tcW w:type="dxa" w:w="201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0.564</w:t>
            </w:r>
          </w:p>
        </w:tc>
      </w:tr>
      <w:tr>
        <w:tc>
          <w:tcPr>
            <w:tcW w:type="dxa" w:w="3600"/>
          </w:tcPr>
          <w:p>
            <w:pPr>
              <w:ind w:left="288"/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N1a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1,240 (14.31%)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880 (14.51%)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360 (13.84%)</w:t>
            </w:r>
          </w:p>
        </w:tc>
        <w:tc>
          <w:tcPr>
            <w:tcW w:type="dxa" w:w="2016"/>
          </w:tcPr>
          <w:p>
            <w:pPr>
              <w:jc w:val="center"/>
            </w:pPr>
          </w:p>
        </w:tc>
      </w:tr>
      <w:tr>
        <w:tc>
          <w:tcPr>
            <w:tcW w:type="dxa" w:w="3600"/>
          </w:tcPr>
          <w:p>
            <w:pPr>
              <w:ind w:left="288"/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N1b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1,125 (12.98%)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803 (13.24%)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322 (12.38%)</w:t>
            </w:r>
          </w:p>
        </w:tc>
        <w:tc>
          <w:tcPr>
            <w:tcW w:type="dxa" w:w="2016"/>
          </w:tcPr>
          <w:p>
            <w:pPr>
              <w:jc w:val="center"/>
            </w:pPr>
          </w:p>
        </w:tc>
      </w:tr>
      <w:tr>
        <w:tc>
          <w:tcPr>
            <w:tcW w:type="dxa" w:w="3600"/>
          </w:tcPr>
          <w:p>
            <w:pPr>
              <w:ind w:left="288"/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N2a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654 (7.55%)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452 (7.45%)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202 (7.77%)</w:t>
            </w:r>
          </w:p>
        </w:tc>
        <w:tc>
          <w:tcPr>
            <w:tcW w:type="dxa" w:w="2016"/>
          </w:tcPr>
          <w:p>
            <w:pPr>
              <w:jc w:val="center"/>
            </w:pPr>
          </w:p>
        </w:tc>
      </w:tr>
      <w:tr>
        <w:tc>
          <w:tcPr>
            <w:tcW w:type="dxa" w:w="3600"/>
          </w:tcPr>
          <w:p>
            <w:pPr>
              <w:ind w:left="288"/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N2b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452 (5.22%)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306 (5.04%)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146 (5.61%)</w:t>
            </w:r>
          </w:p>
        </w:tc>
        <w:tc>
          <w:tcPr>
            <w:tcW w:type="dxa" w:w="2016"/>
          </w:tcPr>
          <w:p>
            <w:pPr>
              <w:jc w:val="center"/>
            </w:pPr>
          </w:p>
        </w:tc>
      </w:tr>
      <w:tr>
        <w:tc>
          <w:tcPr>
            <w:tcW w:type="dxa" w:w="3600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/>
                <w:sz w:val="22"/>
              </w:rPr>
              <w:t>CEA(ng/ml)</w:t>
            </w:r>
          </w:p>
        </w:tc>
        <w:tc>
          <w:tcPr>
            <w:tcW w:type="dxa" w:w="2304"/>
          </w:tcPr>
          <w:p>
            <w:pPr>
              <w:jc w:val="center"/>
            </w:pPr>
          </w:p>
        </w:tc>
        <w:tc>
          <w:tcPr>
            <w:tcW w:type="dxa" w:w="2304"/>
          </w:tcPr>
          <w:p>
            <w:pPr>
              <w:jc w:val="center"/>
            </w:pPr>
          </w:p>
        </w:tc>
        <w:tc>
          <w:tcPr>
            <w:tcW w:type="dxa" w:w="2304"/>
          </w:tcPr>
          <w:p>
            <w:pPr>
              <w:jc w:val="center"/>
            </w:pPr>
          </w:p>
        </w:tc>
        <w:tc>
          <w:tcPr>
            <w:tcW w:type="dxa" w:w="2016"/>
          </w:tcPr>
          <w:p>
            <w:pPr>
              <w:jc w:val="center"/>
            </w:pPr>
          </w:p>
        </w:tc>
      </w:tr>
      <w:tr>
        <w:tc>
          <w:tcPr>
            <w:tcW w:type="dxa" w:w="3600"/>
          </w:tcPr>
          <w:p>
            <w:pPr>
              <w:ind w:left="288"/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&lt;5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5,452 (62.91%)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3,820 (62.97%)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1,632 (62.75%)</w:t>
            </w:r>
          </w:p>
        </w:tc>
        <w:tc>
          <w:tcPr>
            <w:tcW w:type="dxa" w:w="201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0.859</w:t>
            </w:r>
          </w:p>
        </w:tc>
      </w:tr>
      <w:tr>
        <w:tc>
          <w:tcPr>
            <w:tcW w:type="dxa" w:w="3600"/>
          </w:tcPr>
          <w:p>
            <w:pPr>
              <w:ind w:left="288"/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≥5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3,215 (37.09%)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2,246 (37.03%)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969 (37.25%)</w:t>
            </w:r>
          </w:p>
        </w:tc>
        <w:tc>
          <w:tcPr>
            <w:tcW w:type="dxa" w:w="2016"/>
          </w:tcPr>
          <w:p>
            <w:pPr>
              <w:jc w:val="center"/>
            </w:pPr>
          </w:p>
        </w:tc>
      </w:tr>
      <w:tr>
        <w:tc>
          <w:tcPr>
            <w:tcW w:type="dxa" w:w="3600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/>
                <w:sz w:val="22"/>
              </w:rPr>
              <w:t>Resection type</w:t>
            </w:r>
          </w:p>
        </w:tc>
        <w:tc>
          <w:tcPr>
            <w:tcW w:type="dxa" w:w="2304"/>
          </w:tcPr>
          <w:p>
            <w:pPr>
              <w:jc w:val="center"/>
            </w:pPr>
          </w:p>
        </w:tc>
        <w:tc>
          <w:tcPr>
            <w:tcW w:type="dxa" w:w="2304"/>
          </w:tcPr>
          <w:p>
            <w:pPr>
              <w:jc w:val="center"/>
            </w:pPr>
          </w:p>
        </w:tc>
        <w:tc>
          <w:tcPr>
            <w:tcW w:type="dxa" w:w="2304"/>
          </w:tcPr>
          <w:p>
            <w:pPr>
              <w:jc w:val="center"/>
            </w:pPr>
          </w:p>
        </w:tc>
        <w:tc>
          <w:tcPr>
            <w:tcW w:type="dxa" w:w="2016"/>
          </w:tcPr>
          <w:p>
            <w:pPr>
              <w:jc w:val="center"/>
            </w:pPr>
          </w:p>
        </w:tc>
      </w:tr>
      <w:tr>
        <w:tc>
          <w:tcPr>
            <w:tcW w:type="dxa" w:w="3600"/>
          </w:tcPr>
          <w:p>
            <w:pPr>
              <w:ind w:left="288"/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Partial proctectomy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6,970 (80.42%)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4,878 (80.42%)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2,092 (80.43%)</w:t>
            </w:r>
          </w:p>
        </w:tc>
        <w:tc>
          <w:tcPr>
            <w:tcW w:type="dxa" w:w="201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0.916</w:t>
            </w:r>
          </w:p>
        </w:tc>
      </w:tr>
      <w:tr>
        <w:tc>
          <w:tcPr>
            <w:tcW w:type="dxa" w:w="3600"/>
          </w:tcPr>
          <w:p>
            <w:pPr>
              <w:ind w:left="288"/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Pull-through (with sphincter)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304 (3.51%)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207 (3.41%)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97 (3.73%)</w:t>
            </w:r>
          </w:p>
        </w:tc>
        <w:tc>
          <w:tcPr>
            <w:tcW w:type="dxa" w:w="2016"/>
          </w:tcPr>
          <w:p>
            <w:pPr>
              <w:jc w:val="center"/>
            </w:pPr>
          </w:p>
        </w:tc>
      </w:tr>
      <w:tr>
        <w:tc>
          <w:tcPr>
            <w:tcW w:type="dxa" w:w="3600"/>
          </w:tcPr>
          <w:p>
            <w:pPr>
              <w:ind w:left="288"/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Abdominoperineal resection or complete proctectomy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1,171 (13.51%)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825 (13.60%)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346 (13.30%)</w:t>
            </w:r>
          </w:p>
        </w:tc>
        <w:tc>
          <w:tcPr>
            <w:tcW w:type="dxa" w:w="2016"/>
          </w:tcPr>
          <w:p>
            <w:pPr>
              <w:jc w:val="center"/>
            </w:pPr>
          </w:p>
        </w:tc>
      </w:tr>
      <w:tr>
        <w:tc>
          <w:tcPr>
            <w:tcW w:type="dxa" w:w="3600"/>
          </w:tcPr>
          <w:p>
            <w:pPr>
              <w:ind w:left="288"/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Extended resection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87 (1.00%)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63 (1.04%)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24 (0.92%)</w:t>
            </w:r>
          </w:p>
        </w:tc>
        <w:tc>
          <w:tcPr>
            <w:tcW w:type="dxa" w:w="2016"/>
          </w:tcPr>
          <w:p>
            <w:pPr>
              <w:jc w:val="center"/>
            </w:pPr>
          </w:p>
        </w:tc>
      </w:tr>
      <w:tr>
        <w:tc>
          <w:tcPr>
            <w:tcW w:type="dxa" w:w="3600"/>
          </w:tcPr>
          <w:p>
            <w:pPr>
              <w:ind w:left="288"/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Pelvic exenteration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135 (1.56%)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93 (1.53%)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42 (1.61%)</w:t>
            </w:r>
          </w:p>
        </w:tc>
        <w:tc>
          <w:tcPr>
            <w:tcW w:type="dxa" w:w="2016"/>
          </w:tcPr>
          <w:p>
            <w:pPr>
              <w:jc w:val="center"/>
            </w:pPr>
          </w:p>
        </w:tc>
      </w:tr>
      <w:tr>
        <w:tc>
          <w:tcPr>
            <w:tcW w:type="dxa" w:w="3600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/>
                <w:sz w:val="22"/>
              </w:rPr>
              <w:t>No.of resected LNs</w:t>
            </w:r>
          </w:p>
        </w:tc>
        <w:tc>
          <w:tcPr>
            <w:tcW w:type="dxa" w:w="2304"/>
          </w:tcPr>
          <w:p>
            <w:pPr>
              <w:jc w:val="center"/>
            </w:pPr>
          </w:p>
        </w:tc>
        <w:tc>
          <w:tcPr>
            <w:tcW w:type="dxa" w:w="2304"/>
          </w:tcPr>
          <w:p>
            <w:pPr>
              <w:jc w:val="center"/>
            </w:pPr>
          </w:p>
        </w:tc>
        <w:tc>
          <w:tcPr>
            <w:tcW w:type="dxa" w:w="2304"/>
          </w:tcPr>
          <w:p>
            <w:pPr>
              <w:jc w:val="center"/>
            </w:pPr>
          </w:p>
        </w:tc>
        <w:tc>
          <w:tcPr>
            <w:tcW w:type="dxa" w:w="2016"/>
          </w:tcPr>
          <w:p>
            <w:pPr>
              <w:jc w:val="center"/>
            </w:pPr>
          </w:p>
        </w:tc>
      </w:tr>
      <w:tr>
        <w:tc>
          <w:tcPr>
            <w:tcW w:type="dxa" w:w="3600"/>
          </w:tcPr>
          <w:p>
            <w:pPr>
              <w:ind w:left="288"/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0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5 (0.06%)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3 (0.05%)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2 (0.08%)</w:t>
            </w:r>
          </w:p>
        </w:tc>
        <w:tc>
          <w:tcPr>
            <w:tcW w:type="dxa" w:w="201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0.886</w:t>
            </w:r>
          </w:p>
        </w:tc>
      </w:tr>
      <w:tr>
        <w:tc>
          <w:tcPr>
            <w:tcW w:type="dxa" w:w="3600"/>
          </w:tcPr>
          <w:p>
            <w:pPr>
              <w:ind w:left="288"/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1-3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222 (2.56%)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155 (2.56%)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67 (2.58%)</w:t>
            </w:r>
          </w:p>
        </w:tc>
        <w:tc>
          <w:tcPr>
            <w:tcW w:type="dxa" w:w="2016"/>
          </w:tcPr>
          <w:p>
            <w:pPr>
              <w:jc w:val="center"/>
            </w:pPr>
          </w:p>
        </w:tc>
      </w:tr>
      <w:tr>
        <w:tc>
          <w:tcPr>
            <w:tcW w:type="dxa" w:w="3600"/>
          </w:tcPr>
          <w:p>
            <w:pPr>
              <w:ind w:left="288"/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≥4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8,440 (97.38%)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5,908 (97.40%)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2,532 (97.35%)</w:t>
            </w:r>
          </w:p>
        </w:tc>
        <w:tc>
          <w:tcPr>
            <w:tcW w:type="dxa" w:w="2016"/>
          </w:tcPr>
          <w:p>
            <w:pPr>
              <w:jc w:val="center"/>
            </w:pPr>
          </w:p>
        </w:tc>
      </w:tr>
      <w:tr>
        <w:tc>
          <w:tcPr>
            <w:tcW w:type="dxa" w:w="3600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/>
                <w:sz w:val="22"/>
              </w:rPr>
              <w:t>Tumor deposits</w:t>
            </w:r>
          </w:p>
        </w:tc>
        <w:tc>
          <w:tcPr>
            <w:tcW w:type="dxa" w:w="2304"/>
          </w:tcPr>
          <w:p>
            <w:pPr>
              <w:jc w:val="center"/>
            </w:pPr>
          </w:p>
        </w:tc>
        <w:tc>
          <w:tcPr>
            <w:tcW w:type="dxa" w:w="2304"/>
          </w:tcPr>
          <w:p>
            <w:pPr>
              <w:jc w:val="center"/>
            </w:pPr>
          </w:p>
        </w:tc>
        <w:tc>
          <w:tcPr>
            <w:tcW w:type="dxa" w:w="2304"/>
          </w:tcPr>
          <w:p>
            <w:pPr>
              <w:jc w:val="center"/>
            </w:pPr>
          </w:p>
        </w:tc>
        <w:tc>
          <w:tcPr>
            <w:tcW w:type="dxa" w:w="2016"/>
          </w:tcPr>
          <w:p>
            <w:pPr>
              <w:jc w:val="center"/>
            </w:pPr>
          </w:p>
        </w:tc>
      </w:tr>
      <w:tr>
        <w:tc>
          <w:tcPr>
            <w:tcW w:type="dxa" w:w="3600"/>
          </w:tcPr>
          <w:p>
            <w:pPr>
              <w:ind w:left="288"/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0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7,892 (91.06%)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5,546 (91.43%)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2,346 (90.20%)</w:t>
            </w:r>
          </w:p>
        </w:tc>
        <w:tc>
          <w:tcPr>
            <w:tcW w:type="dxa" w:w="201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0.172</w:t>
            </w:r>
          </w:p>
        </w:tc>
      </w:tr>
      <w:tr>
        <w:tc>
          <w:tcPr>
            <w:tcW w:type="dxa" w:w="3600"/>
          </w:tcPr>
          <w:p>
            <w:pPr>
              <w:ind w:left="288"/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1-2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507 (5.85%)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338 (5.57%)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169 (6.50%)</w:t>
            </w:r>
          </w:p>
        </w:tc>
        <w:tc>
          <w:tcPr>
            <w:tcW w:type="dxa" w:w="2016"/>
          </w:tcPr>
          <w:p>
            <w:pPr>
              <w:jc w:val="center"/>
            </w:pPr>
          </w:p>
        </w:tc>
      </w:tr>
      <w:tr>
        <w:tc>
          <w:tcPr>
            <w:tcW w:type="dxa" w:w="3600"/>
          </w:tcPr>
          <w:p>
            <w:pPr>
              <w:ind w:left="288"/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≥3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268 (3.09%)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182 (3.00%)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86 (3.31%)</w:t>
            </w:r>
          </w:p>
        </w:tc>
        <w:tc>
          <w:tcPr>
            <w:tcW w:type="dxa" w:w="2016"/>
          </w:tcPr>
          <w:p>
            <w:pPr>
              <w:jc w:val="center"/>
            </w:pPr>
          </w:p>
        </w:tc>
      </w:tr>
      <w:tr>
        <w:tc>
          <w:tcPr>
            <w:tcW w:type="dxa" w:w="3600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/>
                <w:sz w:val="22"/>
              </w:rPr>
              <w:t>Perineural invasion</w:t>
            </w:r>
          </w:p>
        </w:tc>
        <w:tc>
          <w:tcPr>
            <w:tcW w:type="dxa" w:w="2304"/>
          </w:tcPr>
          <w:p>
            <w:pPr>
              <w:jc w:val="center"/>
            </w:pPr>
          </w:p>
        </w:tc>
        <w:tc>
          <w:tcPr>
            <w:tcW w:type="dxa" w:w="2304"/>
          </w:tcPr>
          <w:p>
            <w:pPr>
              <w:jc w:val="center"/>
            </w:pPr>
          </w:p>
        </w:tc>
        <w:tc>
          <w:tcPr>
            <w:tcW w:type="dxa" w:w="2304"/>
          </w:tcPr>
          <w:p>
            <w:pPr>
              <w:jc w:val="center"/>
            </w:pPr>
          </w:p>
        </w:tc>
        <w:tc>
          <w:tcPr>
            <w:tcW w:type="dxa" w:w="2016"/>
          </w:tcPr>
          <w:p>
            <w:pPr>
              <w:jc w:val="center"/>
            </w:pPr>
          </w:p>
        </w:tc>
      </w:tr>
      <w:tr>
        <w:tc>
          <w:tcPr>
            <w:tcW w:type="dxa" w:w="3600"/>
          </w:tcPr>
          <w:p>
            <w:pPr>
              <w:ind w:left="288"/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No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7,795 (89.94%)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5,462 (90.04%)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2,333 (89.70%)</w:t>
            </w:r>
          </w:p>
        </w:tc>
        <w:tc>
          <w:tcPr>
            <w:tcW w:type="dxa" w:w="201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0.651</w:t>
            </w:r>
          </w:p>
        </w:tc>
      </w:tr>
      <w:tr>
        <w:tc>
          <w:tcPr>
            <w:tcW w:type="dxa" w:w="3600"/>
          </w:tcPr>
          <w:p>
            <w:pPr>
              <w:ind w:left="288"/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Yes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872 (10.06%)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604 (9.96%)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268 (10.30%)</w:t>
            </w:r>
          </w:p>
        </w:tc>
        <w:tc>
          <w:tcPr>
            <w:tcW w:type="dxa" w:w="2016"/>
          </w:tcPr>
          <w:p>
            <w:pPr>
              <w:jc w:val="center"/>
            </w:pPr>
          </w:p>
        </w:tc>
      </w:tr>
      <w:tr>
        <w:tc>
          <w:tcPr>
            <w:tcW w:type="dxa" w:w="3600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/>
                <w:sz w:val="22"/>
              </w:rPr>
              <w:t>Surg.Rad.Seq</w:t>
            </w:r>
          </w:p>
        </w:tc>
        <w:tc>
          <w:tcPr>
            <w:tcW w:type="dxa" w:w="2304"/>
          </w:tcPr>
          <w:p>
            <w:pPr>
              <w:jc w:val="center"/>
            </w:pPr>
          </w:p>
        </w:tc>
        <w:tc>
          <w:tcPr>
            <w:tcW w:type="dxa" w:w="2304"/>
          </w:tcPr>
          <w:p>
            <w:pPr>
              <w:jc w:val="center"/>
            </w:pPr>
          </w:p>
        </w:tc>
        <w:tc>
          <w:tcPr>
            <w:tcW w:type="dxa" w:w="2304"/>
          </w:tcPr>
          <w:p>
            <w:pPr>
              <w:jc w:val="center"/>
            </w:pPr>
          </w:p>
        </w:tc>
        <w:tc>
          <w:tcPr>
            <w:tcW w:type="dxa" w:w="2016"/>
          </w:tcPr>
          <w:p>
            <w:pPr>
              <w:jc w:val="center"/>
            </w:pPr>
          </w:p>
        </w:tc>
      </w:tr>
      <w:tr>
        <w:tc>
          <w:tcPr>
            <w:tcW w:type="dxa" w:w="3600"/>
          </w:tcPr>
          <w:p>
            <w:pPr>
              <w:ind w:left="288"/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Untreated or unknown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4,457 (51.42%)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3,093 (50.99%)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1,364 (52.44%)</w:t>
            </w:r>
          </w:p>
        </w:tc>
        <w:tc>
          <w:tcPr>
            <w:tcW w:type="dxa" w:w="201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0.394</w:t>
            </w:r>
          </w:p>
        </w:tc>
      </w:tr>
      <w:tr>
        <w:tc>
          <w:tcPr>
            <w:tcW w:type="dxa" w:w="3600"/>
          </w:tcPr>
          <w:p>
            <w:pPr>
              <w:ind w:left="288"/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Postoperative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1,058 (12.21%)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743 (12.25%)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315 (12.11%)</w:t>
            </w:r>
          </w:p>
        </w:tc>
        <w:tc>
          <w:tcPr>
            <w:tcW w:type="dxa" w:w="2016"/>
          </w:tcPr>
          <w:p>
            <w:pPr>
              <w:jc w:val="center"/>
            </w:pPr>
          </w:p>
        </w:tc>
      </w:tr>
      <w:tr>
        <w:tc>
          <w:tcPr>
            <w:tcW w:type="dxa" w:w="3600"/>
          </w:tcPr>
          <w:p>
            <w:pPr>
              <w:ind w:left="288"/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Preoperative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3,049 (35.18%)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2,164 (35.67%)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885 (34.03%)</w:t>
            </w:r>
          </w:p>
        </w:tc>
        <w:tc>
          <w:tcPr>
            <w:tcW w:type="dxa" w:w="2016"/>
          </w:tcPr>
          <w:p>
            <w:pPr>
              <w:jc w:val="center"/>
            </w:pPr>
          </w:p>
        </w:tc>
      </w:tr>
      <w:tr>
        <w:tc>
          <w:tcPr>
            <w:tcW w:type="dxa" w:w="3600"/>
          </w:tcPr>
          <w:p>
            <w:pPr>
              <w:ind w:left="288"/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Preoperative+Postoperative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96 (1.11%)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61 (1.01%)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35 (1.35%)</w:t>
            </w:r>
          </w:p>
        </w:tc>
        <w:tc>
          <w:tcPr>
            <w:tcW w:type="dxa" w:w="2016"/>
          </w:tcPr>
          <w:p>
            <w:pPr>
              <w:jc w:val="center"/>
            </w:pPr>
          </w:p>
        </w:tc>
      </w:tr>
      <w:tr>
        <w:tc>
          <w:tcPr>
            <w:tcW w:type="dxa" w:w="3600"/>
          </w:tcPr>
          <w:p>
            <w:pPr>
              <w:ind w:left="288"/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Sequence unknown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7 (0.08%)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5 (0.08%)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2 (0.08%)</w:t>
            </w:r>
          </w:p>
        </w:tc>
        <w:tc>
          <w:tcPr>
            <w:tcW w:type="dxa" w:w="2016"/>
          </w:tcPr>
          <w:p>
            <w:pPr>
              <w:jc w:val="center"/>
            </w:pPr>
          </w:p>
        </w:tc>
      </w:tr>
      <w:tr>
        <w:tc>
          <w:tcPr>
            <w:tcW w:type="dxa" w:w="3600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/>
                <w:sz w:val="22"/>
              </w:rPr>
              <w:t>Chemotherapy</w:t>
            </w:r>
          </w:p>
        </w:tc>
        <w:tc>
          <w:tcPr>
            <w:tcW w:type="dxa" w:w="2304"/>
          </w:tcPr>
          <w:p>
            <w:pPr>
              <w:jc w:val="center"/>
            </w:pPr>
          </w:p>
        </w:tc>
        <w:tc>
          <w:tcPr>
            <w:tcW w:type="dxa" w:w="2304"/>
          </w:tcPr>
          <w:p>
            <w:pPr>
              <w:jc w:val="center"/>
            </w:pPr>
          </w:p>
        </w:tc>
        <w:tc>
          <w:tcPr>
            <w:tcW w:type="dxa" w:w="2304"/>
          </w:tcPr>
          <w:p>
            <w:pPr>
              <w:jc w:val="center"/>
            </w:pPr>
          </w:p>
        </w:tc>
        <w:tc>
          <w:tcPr>
            <w:tcW w:type="dxa" w:w="2016"/>
          </w:tcPr>
          <w:p>
            <w:pPr>
              <w:jc w:val="center"/>
            </w:pPr>
          </w:p>
        </w:tc>
      </w:tr>
      <w:tr>
        <w:tc>
          <w:tcPr>
            <w:tcW w:type="dxa" w:w="3600"/>
          </w:tcPr>
          <w:p>
            <w:pPr>
              <w:ind w:left="288"/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No/Unknown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3,331 (38.43%)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2,312 (38.11%)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1,019 (39.18%)</w:t>
            </w:r>
          </w:p>
        </w:tc>
        <w:tc>
          <w:tcPr>
            <w:tcW w:type="dxa" w:w="201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0.364</w:t>
            </w:r>
          </w:p>
        </w:tc>
      </w:tr>
      <w:tr>
        <w:tc>
          <w:tcPr>
            <w:tcW w:type="dxa" w:w="3600"/>
          </w:tcPr>
          <w:p>
            <w:pPr>
              <w:ind w:left="288"/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Yes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5,336 (61.57%)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3,754 (61.89%)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1,582 (60.82%)</w:t>
            </w:r>
          </w:p>
        </w:tc>
        <w:tc>
          <w:tcPr>
            <w:tcW w:type="dxa" w:w="2016"/>
          </w:tcPr>
          <w:p>
            <w:pPr>
              <w:jc w:val="center"/>
            </w:pPr>
          </w:p>
        </w:tc>
      </w:tr>
      <w:tr>
        <w:tc>
          <w:tcPr>
            <w:tcW w:type="dxa" w:w="3600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/>
                <w:sz w:val="22"/>
              </w:rPr>
              <w:t>Systemic.Sur.Seq</w:t>
            </w:r>
          </w:p>
        </w:tc>
        <w:tc>
          <w:tcPr>
            <w:tcW w:type="dxa" w:w="2304"/>
          </w:tcPr>
          <w:p>
            <w:pPr>
              <w:jc w:val="center"/>
            </w:pPr>
          </w:p>
        </w:tc>
        <w:tc>
          <w:tcPr>
            <w:tcW w:type="dxa" w:w="2304"/>
          </w:tcPr>
          <w:p>
            <w:pPr>
              <w:jc w:val="center"/>
            </w:pPr>
          </w:p>
        </w:tc>
        <w:tc>
          <w:tcPr>
            <w:tcW w:type="dxa" w:w="2304"/>
          </w:tcPr>
          <w:p>
            <w:pPr>
              <w:jc w:val="center"/>
            </w:pPr>
          </w:p>
        </w:tc>
        <w:tc>
          <w:tcPr>
            <w:tcW w:type="dxa" w:w="2016"/>
          </w:tcPr>
          <w:p>
            <w:pPr>
              <w:jc w:val="center"/>
            </w:pPr>
          </w:p>
        </w:tc>
      </w:tr>
      <w:tr>
        <w:tc>
          <w:tcPr>
            <w:tcW w:type="dxa" w:w="3600"/>
          </w:tcPr>
          <w:p>
            <w:pPr>
              <w:ind w:left="288"/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Untreated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3,327 (38.39%)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2,309 (38.06%)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1,018 (39.14%)</w:t>
            </w:r>
          </w:p>
        </w:tc>
        <w:tc>
          <w:tcPr>
            <w:tcW w:type="dxa" w:w="201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0.323</w:t>
            </w:r>
          </w:p>
        </w:tc>
      </w:tr>
      <w:tr>
        <w:tc>
          <w:tcPr>
            <w:tcW w:type="dxa" w:w="3600"/>
          </w:tcPr>
          <w:p>
            <w:pPr>
              <w:ind w:left="288"/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Postoperative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2,188 (25.25%)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1,525 (25.14%)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663 (25.49%)</w:t>
            </w:r>
          </w:p>
        </w:tc>
        <w:tc>
          <w:tcPr>
            <w:tcW w:type="dxa" w:w="2016"/>
          </w:tcPr>
          <w:p>
            <w:pPr>
              <w:jc w:val="center"/>
            </w:pPr>
          </w:p>
        </w:tc>
      </w:tr>
      <w:tr>
        <w:tc>
          <w:tcPr>
            <w:tcW w:type="dxa" w:w="3600"/>
          </w:tcPr>
          <w:p>
            <w:pPr>
              <w:ind w:left="288"/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Preoperative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1,857 (21.43%)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1,293 (21.32%)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564 (21.68%)</w:t>
            </w:r>
          </w:p>
        </w:tc>
        <w:tc>
          <w:tcPr>
            <w:tcW w:type="dxa" w:w="2016"/>
          </w:tcPr>
          <w:p>
            <w:pPr>
              <w:jc w:val="center"/>
            </w:pPr>
          </w:p>
        </w:tc>
      </w:tr>
      <w:tr>
        <w:tc>
          <w:tcPr>
            <w:tcW w:type="dxa" w:w="3600"/>
          </w:tcPr>
          <w:p>
            <w:pPr>
              <w:ind w:left="288"/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Preoperative+Postoperative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1,284 (14.81%)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931 (15.35%)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353 (13.57%)</w:t>
            </w:r>
          </w:p>
        </w:tc>
        <w:tc>
          <w:tcPr>
            <w:tcW w:type="dxa" w:w="2016"/>
          </w:tcPr>
          <w:p>
            <w:pPr>
              <w:jc w:val="center"/>
            </w:pPr>
          </w:p>
        </w:tc>
      </w:tr>
      <w:tr>
        <w:tc>
          <w:tcPr>
            <w:tcW w:type="dxa" w:w="3600"/>
          </w:tcPr>
          <w:p>
            <w:pPr>
              <w:ind w:left="288"/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Sequence unknown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11 (0.13%)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8 (0.13%)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3 (0.12%)</w:t>
            </w:r>
          </w:p>
        </w:tc>
        <w:tc>
          <w:tcPr>
            <w:tcW w:type="dxa" w:w="2016"/>
          </w:tcPr>
          <w:p>
            <w:pPr>
              <w:jc w:val="center"/>
            </w:pPr>
          </w:p>
        </w:tc>
      </w:tr>
      <w:tr>
        <w:tc>
          <w:tcPr>
            <w:tcW w:type="dxa" w:w="3600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/>
                <w:sz w:val="22"/>
              </w:rPr>
              <w:t>Marital status</w:t>
            </w:r>
          </w:p>
        </w:tc>
        <w:tc>
          <w:tcPr>
            <w:tcW w:type="dxa" w:w="2304"/>
          </w:tcPr>
          <w:p>
            <w:pPr>
              <w:jc w:val="center"/>
            </w:pPr>
          </w:p>
        </w:tc>
        <w:tc>
          <w:tcPr>
            <w:tcW w:type="dxa" w:w="2304"/>
          </w:tcPr>
          <w:p>
            <w:pPr>
              <w:jc w:val="center"/>
            </w:pPr>
          </w:p>
        </w:tc>
        <w:tc>
          <w:tcPr>
            <w:tcW w:type="dxa" w:w="2304"/>
          </w:tcPr>
          <w:p>
            <w:pPr>
              <w:jc w:val="center"/>
            </w:pPr>
          </w:p>
        </w:tc>
        <w:tc>
          <w:tcPr>
            <w:tcW w:type="dxa" w:w="2016"/>
          </w:tcPr>
          <w:p>
            <w:pPr>
              <w:jc w:val="center"/>
            </w:pPr>
          </w:p>
        </w:tc>
      </w:tr>
      <w:tr>
        <w:tc>
          <w:tcPr>
            <w:tcW w:type="dxa" w:w="3600"/>
          </w:tcPr>
          <w:p>
            <w:pPr>
              <w:ind w:left="288"/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Single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1,347 (15.54%)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970 (15.99%)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377 (14.49%)</w:t>
            </w:r>
          </w:p>
        </w:tc>
        <w:tc>
          <w:tcPr>
            <w:tcW w:type="dxa" w:w="201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0.121</w:t>
            </w:r>
          </w:p>
        </w:tc>
      </w:tr>
      <w:tr>
        <w:tc>
          <w:tcPr>
            <w:tcW w:type="dxa" w:w="3600"/>
          </w:tcPr>
          <w:p>
            <w:pPr>
              <w:ind w:left="288"/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Married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5,268 (60.78%)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3,696 (60.93%)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1,572 (60.44%)</w:t>
            </w:r>
          </w:p>
        </w:tc>
        <w:tc>
          <w:tcPr>
            <w:tcW w:type="dxa" w:w="2016"/>
          </w:tcPr>
          <w:p>
            <w:pPr>
              <w:jc w:val="center"/>
            </w:pPr>
          </w:p>
        </w:tc>
      </w:tr>
      <w:tr>
        <w:tc>
          <w:tcPr>
            <w:tcW w:type="dxa" w:w="3600"/>
          </w:tcPr>
          <w:p>
            <w:pPr>
              <w:ind w:left="288"/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Widowed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930 (10.73%)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648 (10.68%)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282 (10.84%)</w:t>
            </w:r>
          </w:p>
        </w:tc>
        <w:tc>
          <w:tcPr>
            <w:tcW w:type="dxa" w:w="2016"/>
          </w:tcPr>
          <w:p>
            <w:pPr>
              <w:jc w:val="center"/>
            </w:pPr>
          </w:p>
        </w:tc>
      </w:tr>
      <w:tr>
        <w:tc>
          <w:tcPr>
            <w:tcW w:type="dxa" w:w="3600"/>
          </w:tcPr>
          <w:p>
            <w:pPr>
              <w:ind w:left="288"/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Divorced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982 (11.33%)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664 (10.95%)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318 (12.23%)</w:t>
            </w:r>
          </w:p>
        </w:tc>
        <w:tc>
          <w:tcPr>
            <w:tcW w:type="dxa" w:w="2016"/>
          </w:tcPr>
          <w:p>
            <w:pPr>
              <w:jc w:val="center"/>
            </w:pPr>
          </w:p>
        </w:tc>
      </w:tr>
      <w:tr>
        <w:tc>
          <w:tcPr>
            <w:tcW w:type="dxa" w:w="3600"/>
          </w:tcPr>
          <w:p>
            <w:pPr>
              <w:ind w:left="288"/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Separated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111 (1.28%)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71 (1.17%)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40 (1.54%)</w:t>
            </w:r>
          </w:p>
        </w:tc>
        <w:tc>
          <w:tcPr>
            <w:tcW w:type="dxa" w:w="2016"/>
          </w:tcPr>
          <w:p>
            <w:pPr>
              <w:jc w:val="center"/>
            </w:pPr>
          </w:p>
        </w:tc>
      </w:tr>
      <w:tr>
        <w:tc>
          <w:tcPr>
            <w:tcW w:type="dxa" w:w="3600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/>
                <w:sz w:val="22"/>
              </w:rPr>
              <w:t>Median household income</w:t>
            </w:r>
          </w:p>
        </w:tc>
        <w:tc>
          <w:tcPr>
            <w:tcW w:type="dxa" w:w="2304"/>
          </w:tcPr>
          <w:p>
            <w:pPr>
              <w:jc w:val="center"/>
            </w:pPr>
          </w:p>
        </w:tc>
        <w:tc>
          <w:tcPr>
            <w:tcW w:type="dxa" w:w="2304"/>
          </w:tcPr>
          <w:p>
            <w:pPr>
              <w:jc w:val="center"/>
            </w:pPr>
          </w:p>
        </w:tc>
        <w:tc>
          <w:tcPr>
            <w:tcW w:type="dxa" w:w="2304"/>
          </w:tcPr>
          <w:p>
            <w:pPr>
              <w:jc w:val="center"/>
            </w:pPr>
          </w:p>
        </w:tc>
        <w:tc>
          <w:tcPr>
            <w:tcW w:type="dxa" w:w="2016"/>
          </w:tcPr>
          <w:p>
            <w:pPr>
              <w:jc w:val="center"/>
            </w:pPr>
          </w:p>
        </w:tc>
      </w:tr>
      <w:tr>
        <w:tc>
          <w:tcPr>
            <w:tcW w:type="dxa" w:w="3600"/>
          </w:tcPr>
          <w:p>
            <w:pPr>
              <w:ind w:left="288"/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&lt;$40,000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224 (2.58%)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146 (2.41%)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78 (3.00%)</w:t>
            </w:r>
          </w:p>
        </w:tc>
        <w:tc>
          <w:tcPr>
            <w:tcW w:type="dxa" w:w="201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0.214</w:t>
            </w:r>
          </w:p>
        </w:tc>
      </w:tr>
      <w:tr>
        <w:tc>
          <w:tcPr>
            <w:tcW w:type="dxa" w:w="3600"/>
          </w:tcPr>
          <w:p>
            <w:pPr>
              <w:ind w:left="288"/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$40,000-$59,999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1,657 (19.12%)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1,146 (18.89%)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511 (19.65%)</w:t>
            </w:r>
          </w:p>
        </w:tc>
        <w:tc>
          <w:tcPr>
            <w:tcW w:type="dxa" w:w="2016"/>
          </w:tcPr>
          <w:p>
            <w:pPr>
              <w:jc w:val="center"/>
            </w:pPr>
          </w:p>
        </w:tc>
      </w:tr>
      <w:tr>
        <w:tc>
          <w:tcPr>
            <w:tcW w:type="dxa" w:w="3600"/>
          </w:tcPr>
          <w:p>
            <w:pPr>
              <w:ind w:left="288"/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$60,000-$79,999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3,661 (42.24%)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2,591 (42.71%)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1,070 (41.14%)</w:t>
            </w:r>
          </w:p>
        </w:tc>
        <w:tc>
          <w:tcPr>
            <w:tcW w:type="dxa" w:w="2016"/>
          </w:tcPr>
          <w:p>
            <w:pPr>
              <w:jc w:val="center"/>
            </w:pPr>
          </w:p>
        </w:tc>
      </w:tr>
      <w:tr>
        <w:tc>
          <w:tcPr>
            <w:tcW w:type="dxa" w:w="3600"/>
          </w:tcPr>
          <w:p>
            <w:pPr>
              <w:ind w:left="288"/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$80,000-$99,999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2,031 (23.43%)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1,436 (23.67%)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595 (22.88%)</w:t>
            </w:r>
          </w:p>
        </w:tc>
        <w:tc>
          <w:tcPr>
            <w:tcW w:type="dxa" w:w="2016"/>
          </w:tcPr>
          <w:p>
            <w:pPr>
              <w:jc w:val="center"/>
            </w:pPr>
          </w:p>
        </w:tc>
      </w:tr>
      <w:tr>
        <w:tc>
          <w:tcPr>
            <w:tcW w:type="dxa" w:w="3600"/>
          </w:tcPr>
          <w:p>
            <w:pPr>
              <w:ind w:left="288"/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$100,000-$119,999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803 (9.27%)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555 (9.15%)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248 (9.53%)</w:t>
            </w:r>
          </w:p>
        </w:tc>
        <w:tc>
          <w:tcPr>
            <w:tcW w:type="dxa" w:w="2016"/>
          </w:tcPr>
          <w:p>
            <w:pPr>
              <w:jc w:val="center"/>
            </w:pPr>
          </w:p>
        </w:tc>
      </w:tr>
      <w:tr>
        <w:tc>
          <w:tcPr>
            <w:tcW w:type="dxa" w:w="3600"/>
          </w:tcPr>
          <w:p>
            <w:pPr>
              <w:ind w:left="288"/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≥$120,000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291 (3.36%)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192 (3.17%)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99 (3.81%)</w:t>
            </w:r>
          </w:p>
        </w:tc>
        <w:tc>
          <w:tcPr>
            <w:tcW w:type="dxa" w:w="2016"/>
          </w:tcPr>
          <w:p>
            <w:pPr>
              <w:jc w:val="center"/>
            </w:pPr>
          </w:p>
        </w:tc>
      </w:tr>
      <w:tr>
        <w:tc>
          <w:tcPr>
            <w:tcW w:type="dxa" w:w="3600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/>
                <w:sz w:val="22"/>
              </w:rPr>
              <w:t>Rural-Urban Continuum</w:t>
            </w:r>
          </w:p>
        </w:tc>
        <w:tc>
          <w:tcPr>
            <w:tcW w:type="dxa" w:w="2304"/>
          </w:tcPr>
          <w:p>
            <w:pPr>
              <w:jc w:val="center"/>
            </w:pPr>
          </w:p>
        </w:tc>
        <w:tc>
          <w:tcPr>
            <w:tcW w:type="dxa" w:w="2304"/>
          </w:tcPr>
          <w:p>
            <w:pPr>
              <w:jc w:val="center"/>
            </w:pPr>
          </w:p>
        </w:tc>
        <w:tc>
          <w:tcPr>
            <w:tcW w:type="dxa" w:w="2304"/>
          </w:tcPr>
          <w:p>
            <w:pPr>
              <w:jc w:val="center"/>
            </w:pPr>
          </w:p>
        </w:tc>
        <w:tc>
          <w:tcPr>
            <w:tcW w:type="dxa" w:w="2016"/>
          </w:tcPr>
          <w:p>
            <w:pPr>
              <w:jc w:val="center"/>
            </w:pPr>
          </w:p>
        </w:tc>
      </w:tr>
      <w:tr>
        <w:tc>
          <w:tcPr>
            <w:tcW w:type="dxa" w:w="3600"/>
          </w:tcPr>
          <w:p>
            <w:pPr>
              <w:ind w:left="288"/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Metropolitan counties (≥1 million)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4,727 (54.54%)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3,336 (55.00%)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1,391 (53.48%)</w:t>
            </w:r>
          </w:p>
        </w:tc>
        <w:tc>
          <w:tcPr>
            <w:tcW w:type="dxa" w:w="201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0.072</w:t>
            </w:r>
          </w:p>
        </w:tc>
      </w:tr>
      <w:tr>
        <w:tc>
          <w:tcPr>
            <w:tcW w:type="dxa" w:w="3600"/>
          </w:tcPr>
          <w:p>
            <w:pPr>
              <w:ind w:left="288"/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Medium metro counties (250K-1M)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1,984 (22.89%)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1,411 (23.26%)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573 (22.03%)</w:t>
            </w:r>
          </w:p>
        </w:tc>
        <w:tc>
          <w:tcPr>
            <w:tcW w:type="dxa" w:w="2016"/>
          </w:tcPr>
          <w:p>
            <w:pPr>
              <w:jc w:val="center"/>
            </w:pPr>
          </w:p>
        </w:tc>
      </w:tr>
      <w:tr>
        <w:tc>
          <w:tcPr>
            <w:tcW w:type="dxa" w:w="3600"/>
          </w:tcPr>
          <w:p>
            <w:pPr>
              <w:ind w:left="288"/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Small metro counties (&lt;250K)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688 (7.94%)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469 (7.73%)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219 (8.42%)</w:t>
            </w:r>
          </w:p>
        </w:tc>
        <w:tc>
          <w:tcPr>
            <w:tcW w:type="dxa" w:w="2016"/>
          </w:tcPr>
          <w:p>
            <w:pPr>
              <w:jc w:val="center"/>
            </w:pPr>
          </w:p>
        </w:tc>
      </w:tr>
      <w:tr>
        <w:tc>
          <w:tcPr>
            <w:tcW w:type="dxa" w:w="3600"/>
          </w:tcPr>
          <w:p>
            <w:pPr>
              <w:ind w:left="288"/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Rural counties near urban areas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703 (8.11%)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467 (7.70%)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236 (9.07%)</w:t>
            </w:r>
          </w:p>
        </w:tc>
        <w:tc>
          <w:tcPr>
            <w:tcW w:type="dxa" w:w="2016"/>
          </w:tcPr>
          <w:p>
            <w:pPr>
              <w:jc w:val="center"/>
            </w:pPr>
          </w:p>
        </w:tc>
      </w:tr>
      <w:tr>
        <w:tc>
          <w:tcPr>
            <w:tcW w:type="dxa" w:w="3600"/>
          </w:tcPr>
          <w:p>
            <w:pPr>
              <w:ind w:left="288"/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Remote rural counties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565 (6.52%)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383 (6.31%)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182 (7.00%)</w:t>
            </w:r>
          </w:p>
        </w:tc>
        <w:tc>
          <w:tcPr>
            <w:tcW w:type="dxa" w:w="2016"/>
          </w:tcPr>
          <w:p>
            <w:pPr>
              <w:jc w:val="center"/>
            </w:pPr>
          </w:p>
        </w:tc>
      </w:tr>
    </w:tbl>
    <w:p>
      <w:r>
        <w:rPr>
          <w:rFonts w:ascii="Times New Roman" w:hAnsi="Times New Roman" w:eastAsia="Times New Roman"/>
          <w:b/>
          <w:sz w:val="22"/>
        </w:rPr>
        <w:t>Abbreviations:</w:t>
      </w:r>
      <w:r>
        <w:rPr>
          <w:rFonts w:ascii="Times New Roman" w:hAnsi="Times New Roman" w:eastAsia="Times New Roman"/>
          <w:sz w:val="22"/>
        </w:rPr>
        <w:br/>
        <w:t>Continuous variables are expressed as median (Q1–Q3) and compared using the Mann–Whitney U test. Categorical variables are presented as N (%) and compared using the Chi-square test. All presented P values were two-sided, and P &lt; 0.05 was considered statistically significant.</w:t>
        <w:br/>
        <w:t>CEA: Carcinoembryonic Antigen; No. of resected LNs: Number of Resected Lymph Nodes; Surg.Rad.Seq: Surgery Radiation Sequence; Systemic.Sur.Seq: Systemic Surgery Sequence;NOS: Not Otherwise Specified</w:t>
        <w:br/>
      </w:r>
    </w:p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