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2C5E50" w14:textId="77777777" w:rsidR="00AD44F5" w:rsidRPr="00A45784" w:rsidRDefault="00AD44F5" w:rsidP="00AD44F5">
      <w:pPr>
        <w:spacing w:line="360" w:lineRule="auto"/>
        <w:rPr>
          <w:rFonts w:ascii="Times New Roman" w:hAnsi="Times New Roman" w:cs="Times New Roman"/>
          <w:b/>
          <w:bCs/>
        </w:rPr>
      </w:pPr>
      <w:r w:rsidRPr="00A45784">
        <w:rPr>
          <w:rFonts w:ascii="Times New Roman" w:eastAsia="宋体" w:hAnsi="Times New Roman" w:cs="Times New Roman"/>
          <w:b/>
          <w:bCs/>
        </w:rPr>
        <w:t>Pathogenic metagenomic sequencing</w:t>
      </w:r>
    </w:p>
    <w:p w14:paraId="212B169B" w14:textId="77777777" w:rsidR="00AD44F5" w:rsidRDefault="00AD44F5" w:rsidP="00AD44F5">
      <w:pPr>
        <w:spacing w:line="360" w:lineRule="auto"/>
        <w:rPr>
          <w:rFonts w:ascii="Times New Roman" w:hAnsi="Times New Roman" w:cs="Times New Roman"/>
        </w:rPr>
      </w:pPr>
      <w:r w:rsidRPr="00A45784">
        <w:rPr>
          <w:rFonts w:ascii="Times New Roman" w:hAnsi="Times New Roman" w:cs="Times New Roman"/>
        </w:rPr>
        <w:t xml:space="preserve">A standard operating procedure for the DNA-based </w:t>
      </w:r>
      <w:proofErr w:type="spellStart"/>
      <w:r w:rsidRPr="00A45784">
        <w:rPr>
          <w:rFonts w:ascii="Times New Roman" w:hAnsi="Times New Roman" w:cs="Times New Roman"/>
        </w:rPr>
        <w:t>mNGS</w:t>
      </w:r>
      <w:proofErr w:type="spellEnd"/>
      <w:r w:rsidRPr="00A45784">
        <w:rPr>
          <w:rFonts w:ascii="Times New Roman" w:hAnsi="Times New Roman" w:cs="Times New Roman"/>
        </w:rPr>
        <w:t xml:space="preserve"> method was developed for the diagnosis of pathogens. Briefly, 1 mL of the sample was centrifuged at 12000 × g for 5 minutes to collect the pathogens and human cells. Next, 50μL of precipitate underwent depletion of host nucleic acid using 1U of Benzonase (Sigma) and 0.5% Tween 20 (Sigma) and incubated at 37°C for 5 min. Terminal buffer (400μL) was added to stop the reaction. Then, the quantified unique DNA fragments (named UMSI) were spiked for each sample as an identity and internal control, which were PCR products of Oryza sativa 400 to 600 bp in length. 600 </w:t>
      </w:r>
      <w:proofErr w:type="spellStart"/>
      <w:r w:rsidRPr="00A45784">
        <w:rPr>
          <w:rFonts w:ascii="Times New Roman" w:hAnsi="Times New Roman" w:cs="Times New Roman"/>
        </w:rPr>
        <w:t>μL</w:t>
      </w:r>
      <w:proofErr w:type="spellEnd"/>
      <w:r w:rsidRPr="00A45784">
        <w:rPr>
          <w:rFonts w:ascii="Times New Roman" w:hAnsi="Times New Roman" w:cs="Times New Roman"/>
        </w:rPr>
        <w:t xml:space="preserve"> of the mixture was transferred to new tubes containing 500μL of ceramic beads for bead beating using a </w:t>
      </w:r>
      <w:proofErr w:type="spellStart"/>
      <w:r w:rsidRPr="00A45784">
        <w:rPr>
          <w:rFonts w:ascii="Times New Roman" w:hAnsi="Times New Roman" w:cs="Times New Roman"/>
        </w:rPr>
        <w:t>Minilys</w:t>
      </w:r>
      <w:proofErr w:type="spellEnd"/>
      <w:r w:rsidRPr="00A45784">
        <w:rPr>
          <w:rFonts w:ascii="Times New Roman" w:hAnsi="Times New Roman" w:cs="Times New Roman"/>
        </w:rPr>
        <w:t xml:space="preserve"> personal </w:t>
      </w:r>
      <w:proofErr w:type="spellStart"/>
      <w:r w:rsidRPr="00A45784">
        <w:rPr>
          <w:rFonts w:ascii="Times New Roman" w:hAnsi="Times New Roman" w:cs="Times New Roman"/>
        </w:rPr>
        <w:t>TGrinder</w:t>
      </w:r>
      <w:proofErr w:type="spellEnd"/>
      <w:r w:rsidRPr="00A45784">
        <w:rPr>
          <w:rFonts w:ascii="Times New Roman" w:hAnsi="Times New Roman" w:cs="Times New Roman"/>
        </w:rPr>
        <w:t xml:space="preserve"> H24 homogenizer (catalog number OSE-TH-01; </w:t>
      </w:r>
      <w:proofErr w:type="spellStart"/>
      <w:r w:rsidRPr="00A45784">
        <w:rPr>
          <w:rFonts w:ascii="Times New Roman" w:hAnsi="Times New Roman" w:cs="Times New Roman"/>
        </w:rPr>
        <w:t>Tiangen</w:t>
      </w:r>
      <w:proofErr w:type="spellEnd"/>
      <w:r w:rsidRPr="00A45784">
        <w:rPr>
          <w:rFonts w:ascii="Times New Roman" w:hAnsi="Times New Roman" w:cs="Times New Roman"/>
        </w:rPr>
        <w:t xml:space="preserve">, China). Then, the nucleic acid from 400μL of pre-treated samples was extracted and eluted in 60μL of elution buffer using a </w:t>
      </w:r>
      <w:proofErr w:type="spellStart"/>
      <w:r w:rsidRPr="00A45784">
        <w:rPr>
          <w:rFonts w:ascii="Times New Roman" w:hAnsi="Times New Roman" w:cs="Times New Roman"/>
        </w:rPr>
        <w:t>QIAamp</w:t>
      </w:r>
      <w:proofErr w:type="spellEnd"/>
      <w:r w:rsidRPr="00A45784">
        <w:rPr>
          <w:rFonts w:ascii="Times New Roman" w:hAnsi="Times New Roman" w:cs="Times New Roman"/>
        </w:rPr>
        <w:t xml:space="preserve"> UCP pathogen </w:t>
      </w:r>
      <w:proofErr w:type="spellStart"/>
      <w:r w:rsidRPr="00A45784">
        <w:rPr>
          <w:rFonts w:ascii="Times New Roman" w:hAnsi="Times New Roman" w:cs="Times New Roman"/>
        </w:rPr>
        <w:t>minikit</w:t>
      </w:r>
      <w:proofErr w:type="spellEnd"/>
      <w:r w:rsidRPr="00A45784">
        <w:rPr>
          <w:rFonts w:ascii="Times New Roman" w:hAnsi="Times New Roman" w:cs="Times New Roman"/>
        </w:rPr>
        <w:t xml:space="preserve"> (catalog number 50214; Qiagen, Germany). The extracted DNA was quantified using a Qubit double-stranded DNA (dsDNA) high-sensitivity (HS) assay kit (catalog number Q32854; Invitrogen, USA).</w:t>
      </w:r>
    </w:p>
    <w:p w14:paraId="0D0EEF3C" w14:textId="77777777" w:rsidR="00AD44F5" w:rsidRDefault="00AD44F5" w:rsidP="00AD44F5">
      <w:pPr>
        <w:spacing w:line="360" w:lineRule="auto"/>
        <w:rPr>
          <w:rFonts w:ascii="Times New Roman" w:hAnsi="Times New Roman" w:cs="Times New Roman"/>
        </w:rPr>
      </w:pPr>
      <w:r w:rsidRPr="00A45784">
        <w:rPr>
          <w:rFonts w:ascii="Times New Roman" w:hAnsi="Times New Roman" w:cs="Times New Roman"/>
        </w:rPr>
        <w:t xml:space="preserve">Thirty microliters of the eluate were used to generate libraries using the </w:t>
      </w:r>
      <w:proofErr w:type="spellStart"/>
      <w:r w:rsidRPr="00A45784">
        <w:rPr>
          <w:rFonts w:ascii="Times New Roman" w:hAnsi="Times New Roman" w:cs="Times New Roman"/>
        </w:rPr>
        <w:t>Nextera</w:t>
      </w:r>
      <w:proofErr w:type="spellEnd"/>
      <w:r w:rsidRPr="00A45784">
        <w:rPr>
          <w:rFonts w:ascii="Times New Roman" w:hAnsi="Times New Roman" w:cs="Times New Roman"/>
        </w:rPr>
        <w:t xml:space="preserve"> DNA Flex kit (Illumina, San Diego, CA, USA) according to the manufacturer’s instructions. Fragmentation and </w:t>
      </w:r>
      <w:proofErr w:type="spellStart"/>
      <w:r w:rsidRPr="00A45784">
        <w:rPr>
          <w:rFonts w:ascii="Times New Roman" w:hAnsi="Times New Roman" w:cs="Times New Roman"/>
        </w:rPr>
        <w:t>tagmentation</w:t>
      </w:r>
      <w:proofErr w:type="spellEnd"/>
      <w:r w:rsidRPr="00A45784">
        <w:rPr>
          <w:rFonts w:ascii="Times New Roman" w:hAnsi="Times New Roman" w:cs="Times New Roman"/>
        </w:rPr>
        <w:t xml:space="preserve"> of the DNA were performed using the bead-linked </w:t>
      </w:r>
      <w:proofErr w:type="spellStart"/>
      <w:r w:rsidRPr="00A45784">
        <w:rPr>
          <w:rFonts w:ascii="Times New Roman" w:hAnsi="Times New Roman" w:cs="Times New Roman"/>
        </w:rPr>
        <w:t>transposome</w:t>
      </w:r>
      <w:proofErr w:type="spellEnd"/>
      <w:r w:rsidRPr="00A45784">
        <w:rPr>
          <w:rFonts w:ascii="Times New Roman" w:hAnsi="Times New Roman" w:cs="Times New Roman"/>
        </w:rPr>
        <w:t xml:space="preserve">. After completion of </w:t>
      </w:r>
      <w:proofErr w:type="spellStart"/>
      <w:r w:rsidRPr="00A45784">
        <w:rPr>
          <w:rFonts w:ascii="Times New Roman" w:hAnsi="Times New Roman" w:cs="Times New Roman"/>
        </w:rPr>
        <w:t>posttagmentation</w:t>
      </w:r>
      <w:proofErr w:type="spellEnd"/>
      <w:r w:rsidRPr="00A45784">
        <w:rPr>
          <w:rFonts w:ascii="Times New Roman" w:hAnsi="Times New Roman" w:cs="Times New Roman"/>
        </w:rPr>
        <w:t xml:space="preserve"> cleanup, the </w:t>
      </w:r>
      <w:proofErr w:type="spellStart"/>
      <w:r w:rsidRPr="00A45784">
        <w:rPr>
          <w:rFonts w:ascii="Times New Roman" w:hAnsi="Times New Roman" w:cs="Times New Roman"/>
        </w:rPr>
        <w:t>tagmented</w:t>
      </w:r>
      <w:proofErr w:type="spellEnd"/>
      <w:r w:rsidRPr="00A45784">
        <w:rPr>
          <w:rFonts w:ascii="Times New Roman" w:hAnsi="Times New Roman" w:cs="Times New Roman"/>
        </w:rPr>
        <w:t xml:space="preserve"> DNA was amplified; the thermocycling parameters were as follows: 68°C for 3 min and 98°C for 3 min, followed by 18 cycles of 45 s at 98°C, 30 s at 62°C, and 2 min at 68°C, before a last minute at 68°C. Dual indexing was conducted by employing the IDT for Illumina DNA/RNA UD indexes (catalog number 20027213). Purification and size selection were carried out following the double-sided bead purification procedure. A Qubit dsDNA HS assay kit was used to measure the library concentration. Library quality was assessed with an Agilent 2100 Bioanalyzer (Agilent Technologies, Santa Clara, CA, USA) using a high-sensitivity DNA kit. The library was prepared by pooling a 1.5 </w:t>
      </w:r>
      <w:proofErr w:type="spellStart"/>
      <w:r w:rsidRPr="00A45784">
        <w:rPr>
          <w:rFonts w:ascii="Times New Roman" w:hAnsi="Times New Roman" w:cs="Times New Roman"/>
        </w:rPr>
        <w:t>pM</w:t>
      </w:r>
      <w:proofErr w:type="spellEnd"/>
      <w:r w:rsidRPr="00A45784">
        <w:rPr>
          <w:rFonts w:ascii="Times New Roman" w:hAnsi="Times New Roman" w:cs="Times New Roman"/>
        </w:rPr>
        <w:t xml:space="preserve"> concentration of each purified sample equally for sequencing on an Illumina </w:t>
      </w:r>
      <w:proofErr w:type="spellStart"/>
      <w:r w:rsidRPr="00A45784">
        <w:rPr>
          <w:rFonts w:ascii="Times New Roman" w:hAnsi="Times New Roman" w:cs="Times New Roman"/>
        </w:rPr>
        <w:t>NextSeq</w:t>
      </w:r>
      <w:proofErr w:type="spellEnd"/>
      <w:r w:rsidRPr="00A45784">
        <w:rPr>
          <w:rFonts w:ascii="Times New Roman" w:hAnsi="Times New Roman" w:cs="Times New Roman"/>
        </w:rPr>
        <w:t xml:space="preserve"> 550 sequencer using a 75-cycle single-end sequencing strategy.</w:t>
      </w:r>
    </w:p>
    <w:p w14:paraId="10FC89BF" w14:textId="77777777" w:rsidR="00AD44F5" w:rsidRDefault="00AD44F5" w:rsidP="00AD44F5">
      <w:pPr>
        <w:spacing w:line="360" w:lineRule="auto"/>
        <w:rPr>
          <w:rFonts w:ascii="Times New Roman" w:hAnsi="Times New Roman" w:cs="Times New Roman"/>
        </w:rPr>
      </w:pPr>
      <w:r w:rsidRPr="00A45784">
        <w:rPr>
          <w:rFonts w:ascii="Times New Roman" w:hAnsi="Times New Roman" w:cs="Times New Roman"/>
        </w:rPr>
        <w:t xml:space="preserve">For bioinformatics analysis, </w:t>
      </w:r>
      <w:proofErr w:type="spellStart"/>
      <w:r w:rsidRPr="00A45784">
        <w:rPr>
          <w:rFonts w:ascii="Times New Roman" w:hAnsi="Times New Roman" w:cs="Times New Roman"/>
        </w:rPr>
        <w:t>Trimmomatic</w:t>
      </w:r>
      <w:proofErr w:type="spellEnd"/>
      <w:r w:rsidRPr="00A45784">
        <w:rPr>
          <w:rFonts w:ascii="Times New Roman" w:hAnsi="Times New Roman" w:cs="Times New Roman"/>
        </w:rPr>
        <w:t xml:space="preserve"> was used to remove low-quality reads, </w:t>
      </w:r>
      <w:r w:rsidRPr="00A45784">
        <w:rPr>
          <w:rFonts w:ascii="Times New Roman" w:hAnsi="Times New Roman" w:cs="Times New Roman"/>
        </w:rPr>
        <w:lastRenderedPageBreak/>
        <w:t xml:space="preserve">adapter contamination, duplicate reads, and reads shorter than 70 bp. Low-complexity reads were removed by </w:t>
      </w:r>
      <w:proofErr w:type="spellStart"/>
      <w:r w:rsidRPr="00A45784">
        <w:rPr>
          <w:rFonts w:ascii="Times New Roman" w:hAnsi="Times New Roman" w:cs="Times New Roman"/>
        </w:rPr>
        <w:t>Kcomplexity</w:t>
      </w:r>
      <w:proofErr w:type="spellEnd"/>
      <w:r w:rsidRPr="00A45784">
        <w:rPr>
          <w:rFonts w:ascii="Times New Roman" w:hAnsi="Times New Roman" w:cs="Times New Roman"/>
        </w:rPr>
        <w:t xml:space="preserve"> using default parameters. The human sequence data were identified and excluded by mapping to a human reference genome (hg38) using SNAP v1.0beta.18. To construct the microbial genome database, pathogens and their genomes or assemblies were selected following the Kraken2 criteria for selecting representative assemblies for microorganisms (bacteria, viruses, fungi, protozoa, and other multicellular eukaryotic pathogens) from the NCBI Assembly and Genome databases (https://benlangmead.github.io/aws-indexes/k2). All accession numbers of our database are provided in Table S7. Microbial reads were aligned to the database using Burrows-Wheeler Aligner software. We defined that reads with 90% identity of reference were mapped reads. In addition, </w:t>
      </w:r>
      <w:proofErr w:type="gramStart"/>
      <w:r w:rsidRPr="00A45784">
        <w:rPr>
          <w:rFonts w:ascii="Times New Roman" w:hAnsi="Times New Roman" w:cs="Times New Roman"/>
        </w:rPr>
        <w:t>reads</w:t>
      </w:r>
      <w:proofErr w:type="gramEnd"/>
      <w:r w:rsidRPr="00A45784">
        <w:rPr>
          <w:rFonts w:ascii="Times New Roman" w:hAnsi="Times New Roman" w:cs="Times New Roman"/>
        </w:rPr>
        <w:t xml:space="preserve"> with multiple locus alignments within the same genus were excluded from the secondary analysis. Only reads mapped to the genome within the same species were considered.</w:t>
      </w:r>
    </w:p>
    <w:p w14:paraId="433D19A9" w14:textId="77777777" w:rsidR="00AD44F5" w:rsidRDefault="00AD44F5" w:rsidP="00AD44F5">
      <w:pPr>
        <w:spacing w:line="360" w:lineRule="auto"/>
        <w:rPr>
          <w:rFonts w:ascii="Times New Roman" w:hAnsi="Times New Roman" w:cs="Times New Roman"/>
        </w:rPr>
      </w:pPr>
      <w:r w:rsidRPr="00A45784">
        <w:rPr>
          <w:rFonts w:ascii="Times New Roman" w:hAnsi="Times New Roman" w:cs="Times New Roman"/>
        </w:rPr>
        <w:t>We normalized the sequencing reads RPTM to eliminate the errors caused by various sequencing depths among samples. To establish the optimal threshold value for the &gt;10 microbes with culture isolates, samples spiked with microbes were defined as positive samples, while negative control (NC) was defined as the negative sample. Receiver operating characteristic curves were plotted for each target species using these samples. The parameter resulting in the highest area AUC was considered the positive cutoff value for this species. For microorganisms without culture isolates, the RPTM mean value and standard deviation of this microorganism were calculated, and the RPTM was set as a positive cutoff value.</w:t>
      </w:r>
    </w:p>
    <w:p w14:paraId="1A0E47DB" w14:textId="77777777" w:rsidR="00AD44F5" w:rsidRDefault="00AD44F5" w:rsidP="00AD44F5">
      <w:pPr>
        <w:spacing w:line="360" w:lineRule="auto"/>
        <w:rPr>
          <w:rFonts w:ascii="Times New Roman" w:hAnsi="Times New Roman" w:cs="Times New Roman"/>
        </w:rPr>
      </w:pPr>
      <w:r w:rsidRPr="00A45784">
        <w:rPr>
          <w:rFonts w:ascii="Times New Roman" w:hAnsi="Times New Roman" w:cs="Times New Roman"/>
        </w:rPr>
        <w:t>The clinical reportable range (CRR) for pathogens was established according to the following three references indicated in a previous study: (1) the Johns Hopkins ABX Guide (</w:t>
      </w:r>
      <w:hyperlink r:id="rId6" w:history="1">
        <w:r w:rsidRPr="00A45784">
          <w:rPr>
            <w:rStyle w:val="af2"/>
            <w:rFonts w:ascii="Times New Roman" w:hAnsi="Times New Roman" w:cs="Times New Roman"/>
          </w:rPr>
          <w:t>https://www.hopkinsguides.com/hopkins/index/Johns_Hopkins_ABX_Guide/Pathogens</w:t>
        </w:r>
      </w:hyperlink>
      <w:r w:rsidRPr="00A45784">
        <w:rPr>
          <w:rFonts w:ascii="Times New Roman" w:hAnsi="Times New Roman" w:cs="Times New Roman"/>
        </w:rPr>
        <w:t xml:space="preserve">), (2) Manual of Clinical Microbiology, and (3) clinical case reports or research articles published in peer-reviewed journals. All microbes that exceeded the threshold of </w:t>
      </w:r>
      <w:proofErr w:type="spellStart"/>
      <w:r w:rsidRPr="00A45784">
        <w:rPr>
          <w:rFonts w:ascii="Times New Roman" w:hAnsi="Times New Roman" w:cs="Times New Roman"/>
        </w:rPr>
        <w:t>mNGS</w:t>
      </w:r>
      <w:proofErr w:type="spellEnd"/>
      <w:r w:rsidRPr="00A45784">
        <w:rPr>
          <w:rFonts w:ascii="Times New Roman" w:hAnsi="Times New Roman" w:cs="Times New Roman"/>
        </w:rPr>
        <w:t xml:space="preserve"> were classified into 3 categories: (1) probable (BALF </w:t>
      </w:r>
      <w:proofErr w:type="spellStart"/>
      <w:r w:rsidRPr="00A45784">
        <w:rPr>
          <w:rFonts w:ascii="Times New Roman" w:hAnsi="Times New Roman" w:cs="Times New Roman"/>
        </w:rPr>
        <w:t>mNGS</w:t>
      </w:r>
      <w:proofErr w:type="spellEnd"/>
      <w:r w:rsidRPr="00A45784">
        <w:rPr>
          <w:rFonts w:ascii="Times New Roman" w:hAnsi="Times New Roman" w:cs="Times New Roman"/>
        </w:rPr>
        <w:t xml:space="preserve">-based results were within the CRR and concordant with the clinical and radiologic results; the RPTM </w:t>
      </w:r>
      <w:r w:rsidRPr="00A45784">
        <w:rPr>
          <w:rFonts w:ascii="Times New Roman" w:hAnsi="Times New Roman" w:cs="Times New Roman"/>
        </w:rPr>
        <w:lastRenderedPageBreak/>
        <w:t>was significantly higher than the positive cutoff value, and the abundance was obviously higher than other species of the same genus), (2) possible (the microbe has pathogenic potential, but an alternate explanation is more likely), and (3) unlikely (the microbe cannot cause pneumonia).</w:t>
      </w:r>
    </w:p>
    <w:p w14:paraId="30E75FC5" w14:textId="77777777" w:rsidR="00AD44F5" w:rsidRDefault="00AD44F5" w:rsidP="00AD44F5">
      <w:pPr>
        <w:spacing w:line="360" w:lineRule="auto"/>
        <w:rPr>
          <w:rFonts w:ascii="Times New Roman" w:hAnsi="Times New Roman" w:cs="Times New Roman"/>
        </w:rPr>
      </w:pPr>
      <w:r w:rsidRPr="00A45784">
        <w:rPr>
          <w:rFonts w:ascii="Times New Roman" w:hAnsi="Times New Roman" w:cs="Times New Roman"/>
        </w:rPr>
        <w:t xml:space="preserve">To monitor the sources of potential contamination, both NC and sterile deionized water, which served as </w:t>
      </w:r>
      <w:proofErr w:type="spellStart"/>
      <w:r w:rsidRPr="00A45784">
        <w:rPr>
          <w:rFonts w:ascii="Times New Roman" w:hAnsi="Times New Roman" w:cs="Times New Roman"/>
        </w:rPr>
        <w:t>nontemplate</w:t>
      </w:r>
      <w:proofErr w:type="spellEnd"/>
      <w:r w:rsidRPr="00A45784">
        <w:rPr>
          <w:rFonts w:ascii="Times New Roman" w:hAnsi="Times New Roman" w:cs="Times New Roman"/>
        </w:rPr>
        <w:t xml:space="preserve"> controls, were prepared in parallel with other samples in each batch. In addition, we used sterile cotton swabs dipped in sterile deionized water to wipe the surfaces of the centrifuge and biosafety cabinet to generate the background microorganism list in our laboratory.</w:t>
      </w:r>
    </w:p>
    <w:p w14:paraId="3751DFC9" w14:textId="77777777" w:rsidR="00AD44F5" w:rsidRDefault="00AD44F5" w:rsidP="00AD44F5">
      <w:pPr>
        <w:spacing w:line="360" w:lineRule="auto"/>
        <w:rPr>
          <w:rFonts w:ascii="Times New Roman" w:eastAsia="宋体" w:hAnsi="Times New Roman" w:cs="Times New Roman"/>
          <w:b/>
          <w:bCs/>
        </w:rPr>
      </w:pPr>
      <w:r w:rsidRPr="00A45784">
        <w:rPr>
          <w:rFonts w:ascii="Times New Roman" w:eastAsia="宋体" w:hAnsi="Times New Roman" w:cs="Times New Roman"/>
          <w:b/>
          <w:bCs/>
        </w:rPr>
        <w:t>Non-targeted metabolomic sequencing</w:t>
      </w:r>
    </w:p>
    <w:p w14:paraId="5B02E5FA" w14:textId="77777777" w:rsidR="00AD44F5" w:rsidRDefault="00AD44F5" w:rsidP="00AD44F5">
      <w:pPr>
        <w:spacing w:line="360" w:lineRule="auto"/>
        <w:rPr>
          <w:rFonts w:ascii="Times New Roman" w:hAnsi="Times New Roman" w:cs="Times New Roman"/>
        </w:rPr>
      </w:pPr>
      <w:r w:rsidRPr="00A45784">
        <w:rPr>
          <w:rFonts w:ascii="Times New Roman" w:hAnsi="Times New Roman" w:cs="Times New Roman"/>
        </w:rPr>
        <w:t>100μL samples were placed into EP tubes and resuspended with prechilled 80% methanol by well vortex. Then the samples were incubated on ice for 5 min and centrifuged at 15,000 g, 4°C for 20 min. Some of supernatant was diluted to final concentration containing 53% methanol by LC-MS grade water. The samples were subsequently transferred to a fresh Eppendorf tube and then were centrifuged at 15000 g, 4°C for 20 min. Finally, the supernatant was injected into the LC-MS/MS system analysis</w:t>
      </w:r>
      <w:r>
        <w:rPr>
          <w:rFonts w:ascii="Times New Roman" w:hAnsi="Times New Roman" w:cs="Times New Roman" w:hint="eastAsia"/>
        </w:rPr>
        <w:t>.</w:t>
      </w:r>
    </w:p>
    <w:p w14:paraId="193D9E5C" w14:textId="77777777" w:rsidR="00AD44F5" w:rsidRDefault="00AD44F5" w:rsidP="00AD44F5">
      <w:pPr>
        <w:spacing w:line="360" w:lineRule="auto"/>
        <w:rPr>
          <w:rFonts w:ascii="Times New Roman" w:hAnsi="Times New Roman" w:cs="Times New Roman"/>
        </w:rPr>
      </w:pPr>
      <w:r w:rsidRPr="00A45784">
        <w:rPr>
          <w:rFonts w:ascii="Times New Roman" w:hAnsi="Times New Roman" w:cs="Times New Roman"/>
        </w:rPr>
        <w:t>UHPLC-MS/MS analyses were performed using a Vanquish UHPLC system (</w:t>
      </w:r>
      <w:proofErr w:type="spellStart"/>
      <w:r w:rsidRPr="00A45784">
        <w:rPr>
          <w:rFonts w:ascii="Times New Roman" w:hAnsi="Times New Roman" w:cs="Times New Roman"/>
        </w:rPr>
        <w:t>ThermoFisher</w:t>
      </w:r>
      <w:proofErr w:type="spellEnd"/>
      <w:r w:rsidRPr="00A45784">
        <w:rPr>
          <w:rFonts w:ascii="Times New Roman" w:hAnsi="Times New Roman" w:cs="Times New Roman"/>
        </w:rPr>
        <w:t xml:space="preserve">, Germany) coupled with an Orbitrap Q </w:t>
      </w:r>
      <w:proofErr w:type="spellStart"/>
      <w:r w:rsidRPr="00A45784">
        <w:rPr>
          <w:rFonts w:ascii="Times New Roman" w:hAnsi="Times New Roman" w:cs="Times New Roman"/>
        </w:rPr>
        <w:t>Exactive</w:t>
      </w:r>
      <w:r w:rsidRPr="00A45784">
        <w:rPr>
          <w:rFonts w:ascii="Times New Roman" w:hAnsi="Times New Roman" w:cs="Times New Roman"/>
          <w:vertAlign w:val="superscript"/>
        </w:rPr>
        <w:t>TM</w:t>
      </w:r>
      <w:r w:rsidRPr="00A45784">
        <w:rPr>
          <w:rFonts w:ascii="Times New Roman" w:hAnsi="Times New Roman" w:cs="Times New Roman"/>
        </w:rPr>
        <w:t>HF</w:t>
      </w:r>
      <w:proofErr w:type="spellEnd"/>
      <w:r w:rsidRPr="00A45784">
        <w:rPr>
          <w:rFonts w:ascii="Times New Roman" w:hAnsi="Times New Roman" w:cs="Times New Roman"/>
        </w:rPr>
        <w:t>-X mass spectrometer (</w:t>
      </w:r>
      <w:proofErr w:type="spellStart"/>
      <w:r w:rsidRPr="00A45784">
        <w:rPr>
          <w:rFonts w:ascii="Times New Roman" w:hAnsi="Times New Roman" w:cs="Times New Roman"/>
        </w:rPr>
        <w:t>Thermo</w:t>
      </w:r>
      <w:proofErr w:type="spellEnd"/>
      <w:r w:rsidRPr="00A45784">
        <w:rPr>
          <w:rFonts w:ascii="Times New Roman" w:hAnsi="Times New Roman" w:cs="Times New Roman"/>
        </w:rPr>
        <w:t xml:space="preserve"> Fisher, Germany) in </w:t>
      </w:r>
      <w:proofErr w:type="spellStart"/>
      <w:r w:rsidRPr="00A45784">
        <w:rPr>
          <w:rFonts w:ascii="Times New Roman" w:hAnsi="Times New Roman" w:cs="Times New Roman"/>
        </w:rPr>
        <w:t>Novogene</w:t>
      </w:r>
      <w:proofErr w:type="spellEnd"/>
      <w:r w:rsidRPr="00A45784">
        <w:rPr>
          <w:rFonts w:ascii="Times New Roman" w:hAnsi="Times New Roman" w:cs="Times New Roman"/>
        </w:rPr>
        <w:t xml:space="preserve"> Co., Ltd. (Beijing, China). Samples were injected onto a </w:t>
      </w:r>
      <w:proofErr w:type="spellStart"/>
      <w:r w:rsidRPr="00A45784">
        <w:rPr>
          <w:rFonts w:ascii="Times New Roman" w:hAnsi="Times New Roman" w:cs="Times New Roman"/>
        </w:rPr>
        <w:t>Hypersil</w:t>
      </w:r>
      <w:proofErr w:type="spellEnd"/>
      <w:r w:rsidRPr="00A45784">
        <w:rPr>
          <w:rFonts w:ascii="Times New Roman" w:hAnsi="Times New Roman" w:cs="Times New Roman"/>
        </w:rPr>
        <w:t xml:space="preserve"> Gold column (100×2.1 mm, 1.9μm) using a 17-min linear gradient at a flow rate of 0.2mL/min. The eluents for the positive polarity mode were eluent A (0.1% FA in Water) and eluent B (Methanol).The eluents for the negative polarity mode were eluent A (5 mM ammonium acetate, pH 9.0) and eluent B (Methanol).The solvent gradient was set as follows: 2% B, 1.5 min; 2-85% B, 3 min; 85-100% B, 10 min</w:t>
      </w:r>
      <w:r w:rsidRPr="00A45784">
        <w:rPr>
          <w:rFonts w:ascii="Times New Roman" w:hAnsi="Times New Roman" w:cs="Times New Roman"/>
        </w:rPr>
        <w:t>；</w:t>
      </w:r>
      <w:r w:rsidRPr="00A45784">
        <w:rPr>
          <w:rFonts w:ascii="Times New Roman" w:hAnsi="Times New Roman" w:cs="Times New Roman"/>
        </w:rPr>
        <w:t>100-2% B, 10.1 min</w:t>
      </w:r>
      <w:r w:rsidRPr="00A45784">
        <w:rPr>
          <w:rFonts w:ascii="Times New Roman" w:hAnsi="Times New Roman" w:cs="Times New Roman"/>
        </w:rPr>
        <w:t>；</w:t>
      </w:r>
      <w:r w:rsidRPr="00A45784">
        <w:rPr>
          <w:rFonts w:ascii="Times New Roman" w:hAnsi="Times New Roman" w:cs="Times New Roman"/>
        </w:rPr>
        <w:t xml:space="preserve">2% B, 12 min. Q </w:t>
      </w:r>
      <w:proofErr w:type="spellStart"/>
      <w:r w:rsidRPr="00A45784">
        <w:rPr>
          <w:rFonts w:ascii="Times New Roman" w:hAnsi="Times New Roman" w:cs="Times New Roman"/>
        </w:rPr>
        <w:t>Exactive</w:t>
      </w:r>
      <w:r w:rsidRPr="00A45784">
        <w:rPr>
          <w:rFonts w:ascii="Times New Roman" w:hAnsi="Times New Roman" w:cs="Times New Roman"/>
          <w:vertAlign w:val="superscript"/>
        </w:rPr>
        <w:t>TM</w:t>
      </w:r>
      <w:proofErr w:type="spellEnd"/>
      <w:r w:rsidRPr="00A45784">
        <w:rPr>
          <w:rFonts w:ascii="Times New Roman" w:hAnsi="Times New Roman" w:cs="Times New Roman"/>
        </w:rPr>
        <w:t xml:space="preserve"> HF-X mass spectrometer was operated in positive/negative polarity mode with spray voltage of 3.5 kV, capillary temperature of 320°C, sheath gas flow rate of 35 psi and aux gas flow rate of 10 L/min, S-lens RF level of 60, Aux gas heater temperature of 350°C. </w:t>
      </w:r>
    </w:p>
    <w:p w14:paraId="6BF0F088" w14:textId="77777777" w:rsidR="00AD44F5" w:rsidRDefault="00AD44F5" w:rsidP="00AD44F5">
      <w:pPr>
        <w:spacing w:line="360" w:lineRule="auto"/>
        <w:rPr>
          <w:rFonts w:ascii="Times New Roman" w:hAnsi="Times New Roman" w:cs="Times New Roman"/>
        </w:rPr>
      </w:pPr>
      <w:r w:rsidRPr="00A45784">
        <w:rPr>
          <w:rFonts w:ascii="Times New Roman" w:hAnsi="Times New Roman" w:cs="Times New Roman"/>
        </w:rPr>
        <w:lastRenderedPageBreak/>
        <w:t xml:space="preserve">The raw data files generated by UHPLC-MS/MS were processed using </w:t>
      </w:r>
      <w:proofErr w:type="gramStart"/>
      <w:r w:rsidRPr="00A45784">
        <w:rPr>
          <w:rFonts w:ascii="Times New Roman" w:hAnsi="Times New Roman" w:cs="Times New Roman"/>
        </w:rPr>
        <w:t>the Compound</w:t>
      </w:r>
      <w:proofErr w:type="gramEnd"/>
      <w:r w:rsidRPr="00A45784">
        <w:rPr>
          <w:rFonts w:ascii="Times New Roman" w:hAnsi="Times New Roman" w:cs="Times New Roman"/>
        </w:rPr>
        <w:t xml:space="preserve"> Discoverer 3.1 (CD3.1, </w:t>
      </w:r>
      <w:proofErr w:type="spellStart"/>
      <w:r w:rsidRPr="00A45784">
        <w:rPr>
          <w:rFonts w:ascii="Times New Roman" w:hAnsi="Times New Roman" w:cs="Times New Roman"/>
        </w:rPr>
        <w:t>ThermoFisher</w:t>
      </w:r>
      <w:proofErr w:type="spellEnd"/>
      <w:r w:rsidRPr="00A45784">
        <w:rPr>
          <w:rFonts w:ascii="Times New Roman" w:hAnsi="Times New Roman" w:cs="Times New Roman"/>
        </w:rPr>
        <w:t xml:space="preserve">) to perform peak alignment, peak picking, and quantitation for each metabolite. The main </w:t>
      </w:r>
      <w:proofErr w:type="spellStart"/>
      <w:proofErr w:type="gramStart"/>
      <w:r w:rsidRPr="00A45784">
        <w:rPr>
          <w:rFonts w:ascii="Times New Roman" w:hAnsi="Times New Roman" w:cs="Times New Roman"/>
        </w:rPr>
        <w:t>parameterswere</w:t>
      </w:r>
      <w:proofErr w:type="spellEnd"/>
      <w:proofErr w:type="gramEnd"/>
      <w:r w:rsidRPr="00A45784">
        <w:rPr>
          <w:rFonts w:ascii="Times New Roman" w:hAnsi="Times New Roman" w:cs="Times New Roman"/>
        </w:rPr>
        <w:t xml:space="preserve"> set as follows: retention time tolerance, 0.2 minutes; actual mass tolerance, 5ppm; signal intensity tolerance, 30%; signal/noise ratio, 3; and minimum intensity, et al. After that, peak intensities were normalized to the total spectral intensity. The normalized data was used to predict the molecular formula based on additive ions, molecular ion peaks and fragment ions. And then peaks were matched with the </w:t>
      </w:r>
      <w:proofErr w:type="spellStart"/>
      <w:r w:rsidRPr="00A45784">
        <w:rPr>
          <w:rFonts w:ascii="Times New Roman" w:hAnsi="Times New Roman" w:cs="Times New Roman"/>
        </w:rPr>
        <w:t>mzCloud</w:t>
      </w:r>
      <w:proofErr w:type="spellEnd"/>
      <w:r w:rsidRPr="00A45784">
        <w:rPr>
          <w:rFonts w:ascii="Times New Roman" w:hAnsi="Times New Roman" w:cs="Times New Roman"/>
        </w:rPr>
        <w:t xml:space="preserve"> (https://www.mzcloud.org/)</w:t>
      </w:r>
      <w:r w:rsidRPr="00A45784">
        <w:rPr>
          <w:rFonts w:ascii="Times New Roman" w:hAnsi="Times New Roman" w:cs="Times New Roman"/>
        </w:rPr>
        <w:t>，</w:t>
      </w:r>
      <w:proofErr w:type="spellStart"/>
      <w:r w:rsidRPr="00A45784">
        <w:rPr>
          <w:rFonts w:ascii="Times New Roman" w:hAnsi="Times New Roman" w:cs="Times New Roman"/>
        </w:rPr>
        <w:t>mzVault</w:t>
      </w:r>
      <w:proofErr w:type="spellEnd"/>
      <w:r w:rsidRPr="00A45784">
        <w:rPr>
          <w:rFonts w:ascii="Times New Roman" w:hAnsi="Times New Roman" w:cs="Times New Roman"/>
        </w:rPr>
        <w:t xml:space="preserve"> and </w:t>
      </w:r>
      <w:proofErr w:type="spellStart"/>
      <w:r w:rsidRPr="00A45784">
        <w:rPr>
          <w:rFonts w:ascii="Times New Roman" w:hAnsi="Times New Roman" w:cs="Times New Roman"/>
        </w:rPr>
        <w:t>MassList</w:t>
      </w:r>
      <w:proofErr w:type="spellEnd"/>
      <w:r w:rsidRPr="00A45784">
        <w:rPr>
          <w:rFonts w:ascii="Times New Roman" w:hAnsi="Times New Roman" w:cs="Times New Roman"/>
        </w:rPr>
        <w:t xml:space="preserve"> database to obtain the accurate qualitative and relative quantitative results. Statistical analyses were performed using the statistical software R (R version R-3.4.3),Python (Python 2.7.6 version) and CentOS (CentOS release 6.6),When data were not normally distributed, standardize according to the formula: sample raw quantitation value / (The sum of sample metabolite quantitation value / The sum of QC1 sample metabolite quantitation value ) to obtain relative peak areas; And compounds whose CVs of relative peak areas in QC samples were greater than 30% were removed, and finally the metabolites' identification and relative quantification results were got. </w:t>
      </w:r>
    </w:p>
    <w:p w14:paraId="15488BB1" w14:textId="77777777" w:rsidR="00AD44F5" w:rsidRPr="00A45784" w:rsidRDefault="00AD44F5" w:rsidP="00AD44F5">
      <w:pPr>
        <w:spacing w:line="360" w:lineRule="auto"/>
        <w:rPr>
          <w:rFonts w:ascii="Times New Roman" w:hAnsi="Times New Roman" w:cs="Times New Roman"/>
        </w:rPr>
      </w:pPr>
      <w:r w:rsidRPr="00A45784">
        <w:rPr>
          <w:rFonts w:ascii="Times New Roman" w:hAnsi="Times New Roman" w:cs="Times New Roman"/>
        </w:rPr>
        <w:t xml:space="preserve">These metabolites were annotated using the KEGG database (https://www.genome.jp/kegg/pathway.html) </w:t>
      </w:r>
      <w:r w:rsidRPr="00A45784">
        <w:rPr>
          <w:rFonts w:ascii="Times New Roman" w:hAnsi="Times New Roman" w:cs="Times New Roman"/>
        </w:rPr>
        <w:t>，</w:t>
      </w:r>
      <w:r w:rsidRPr="00A45784">
        <w:rPr>
          <w:rFonts w:ascii="Times New Roman" w:hAnsi="Times New Roman" w:cs="Times New Roman"/>
        </w:rPr>
        <w:t xml:space="preserve"> HMDB database (https://hmdb.ca/</w:t>
      </w:r>
    </w:p>
    <w:p w14:paraId="1B23C990" w14:textId="77777777" w:rsidR="00AD44F5" w:rsidRDefault="00AD44F5" w:rsidP="00AD44F5">
      <w:pPr>
        <w:spacing w:line="360" w:lineRule="auto"/>
        <w:rPr>
          <w:rFonts w:ascii="Times New Roman" w:hAnsi="Times New Roman" w:cs="Times New Roman"/>
        </w:rPr>
      </w:pPr>
      <w:r w:rsidRPr="00A45784">
        <w:rPr>
          <w:rFonts w:ascii="Times New Roman" w:hAnsi="Times New Roman" w:cs="Times New Roman"/>
        </w:rPr>
        <w:t xml:space="preserve">metabolites) and </w:t>
      </w:r>
      <w:proofErr w:type="spellStart"/>
      <w:r w:rsidRPr="00A45784">
        <w:rPr>
          <w:rFonts w:ascii="Times New Roman" w:hAnsi="Times New Roman" w:cs="Times New Roman"/>
        </w:rPr>
        <w:t>LIPIDMaps</w:t>
      </w:r>
      <w:proofErr w:type="spellEnd"/>
      <w:r w:rsidRPr="00A45784">
        <w:rPr>
          <w:rFonts w:ascii="Times New Roman" w:hAnsi="Times New Roman" w:cs="Times New Roman"/>
        </w:rPr>
        <w:t xml:space="preserve"> database (http://www.lipidmaps.org/). Principal components analysis (PCA) and Partial least squares discriminant analysis (PLS-DA) were performed at </w:t>
      </w:r>
      <w:proofErr w:type="spellStart"/>
      <w:proofErr w:type="gramStart"/>
      <w:r w:rsidRPr="00A45784">
        <w:rPr>
          <w:rFonts w:ascii="Times New Roman" w:hAnsi="Times New Roman" w:cs="Times New Roman"/>
        </w:rPr>
        <w:t>metaX</w:t>
      </w:r>
      <w:proofErr w:type="spellEnd"/>
      <w:r w:rsidRPr="00A45784">
        <w:rPr>
          <w:rFonts w:ascii="Times New Roman" w:hAnsi="Times New Roman" w:cs="Times New Roman"/>
        </w:rPr>
        <w:t>[</w:t>
      </w:r>
      <w:proofErr w:type="gramEnd"/>
      <w:r w:rsidRPr="00A45784">
        <w:rPr>
          <w:rFonts w:ascii="Times New Roman" w:hAnsi="Times New Roman" w:cs="Times New Roman"/>
        </w:rPr>
        <w:t>6] (a flexible and comprehensive software for processing metabolomics data).We applied univariate analysis (t-test) to calculate the statistical significance (P-value).The metabolites with VIP &gt; 1 and P-value&lt; 0.05 and fold change≥2 or FC≤0.5 were considered to be differential metabolites. Volcano plots were used to filter metabolites of interest which based on log2(</w:t>
      </w:r>
      <w:proofErr w:type="spellStart"/>
      <w:r w:rsidRPr="00A45784">
        <w:rPr>
          <w:rFonts w:ascii="Times New Roman" w:hAnsi="Times New Roman" w:cs="Times New Roman"/>
        </w:rPr>
        <w:t>FoldChange</w:t>
      </w:r>
      <w:proofErr w:type="spellEnd"/>
      <w:r w:rsidRPr="00A45784">
        <w:rPr>
          <w:rFonts w:ascii="Times New Roman" w:hAnsi="Times New Roman" w:cs="Times New Roman"/>
        </w:rPr>
        <w:t xml:space="preserve">) and -log10(p-value) of metabolites by ggplot2 in R language. For clustering heat maps, the data were normalized using z-scores of the intensity areas of differential metabolites and were </w:t>
      </w:r>
      <w:proofErr w:type="spellStart"/>
      <w:r w:rsidRPr="00A45784">
        <w:rPr>
          <w:rFonts w:ascii="Times New Roman" w:hAnsi="Times New Roman" w:cs="Times New Roman"/>
        </w:rPr>
        <w:t>ploted</w:t>
      </w:r>
      <w:proofErr w:type="spellEnd"/>
      <w:r w:rsidRPr="00A45784">
        <w:rPr>
          <w:rFonts w:ascii="Times New Roman" w:hAnsi="Times New Roman" w:cs="Times New Roman"/>
        </w:rPr>
        <w:t xml:space="preserve"> by </w:t>
      </w:r>
      <w:proofErr w:type="spellStart"/>
      <w:r w:rsidRPr="00A45784">
        <w:rPr>
          <w:rFonts w:ascii="Times New Roman" w:hAnsi="Times New Roman" w:cs="Times New Roman"/>
        </w:rPr>
        <w:t>Pheatmap</w:t>
      </w:r>
      <w:proofErr w:type="spellEnd"/>
      <w:r w:rsidRPr="00A45784">
        <w:rPr>
          <w:rFonts w:ascii="Times New Roman" w:hAnsi="Times New Roman" w:cs="Times New Roman"/>
        </w:rPr>
        <w:t xml:space="preserve"> package in R language. The correlation between differential metabolites were analyzed by </w:t>
      </w:r>
      <w:proofErr w:type="spellStart"/>
      <w:r w:rsidRPr="00A45784">
        <w:rPr>
          <w:rFonts w:ascii="Times New Roman" w:hAnsi="Times New Roman" w:cs="Times New Roman"/>
        </w:rPr>
        <w:t>cor</w:t>
      </w:r>
      <w:proofErr w:type="spellEnd"/>
      <w:r w:rsidRPr="00A45784">
        <w:rPr>
          <w:rFonts w:ascii="Times New Roman" w:hAnsi="Times New Roman" w:cs="Times New Roman"/>
        </w:rPr>
        <w:t xml:space="preserve"> () in R language (method=</w:t>
      </w:r>
      <w:proofErr w:type="spellStart"/>
      <w:r w:rsidRPr="00A45784">
        <w:rPr>
          <w:rFonts w:ascii="Times New Roman" w:hAnsi="Times New Roman" w:cs="Times New Roman"/>
        </w:rPr>
        <w:t>pearson</w:t>
      </w:r>
      <w:proofErr w:type="spellEnd"/>
      <w:r w:rsidRPr="00A45784">
        <w:rPr>
          <w:rFonts w:ascii="Times New Roman" w:hAnsi="Times New Roman" w:cs="Times New Roman"/>
        </w:rPr>
        <w:t xml:space="preserve">). Statistically </w:t>
      </w:r>
      <w:r w:rsidRPr="00A45784">
        <w:rPr>
          <w:rFonts w:ascii="Times New Roman" w:hAnsi="Times New Roman" w:cs="Times New Roman"/>
        </w:rPr>
        <w:lastRenderedPageBreak/>
        <w:t xml:space="preserve">significant of correlation between differential metabolites were calculated by </w:t>
      </w:r>
      <w:proofErr w:type="spellStart"/>
      <w:proofErr w:type="gramStart"/>
      <w:r w:rsidRPr="00A45784">
        <w:rPr>
          <w:rFonts w:ascii="Times New Roman" w:hAnsi="Times New Roman" w:cs="Times New Roman"/>
        </w:rPr>
        <w:t>cor.mtest</w:t>
      </w:r>
      <w:proofErr w:type="spellEnd"/>
      <w:proofErr w:type="gramEnd"/>
      <w:r w:rsidRPr="00A45784">
        <w:rPr>
          <w:rFonts w:ascii="Times New Roman" w:hAnsi="Times New Roman" w:cs="Times New Roman"/>
        </w:rPr>
        <w:t xml:space="preserve">() in R language. P-value &lt; 0.05 was considered as statistically significant and correlation plots were </w:t>
      </w:r>
      <w:proofErr w:type="spellStart"/>
      <w:r w:rsidRPr="00A45784">
        <w:rPr>
          <w:rFonts w:ascii="Times New Roman" w:hAnsi="Times New Roman" w:cs="Times New Roman"/>
        </w:rPr>
        <w:t>ploted</w:t>
      </w:r>
      <w:proofErr w:type="spellEnd"/>
      <w:r w:rsidRPr="00A45784">
        <w:rPr>
          <w:rFonts w:ascii="Times New Roman" w:hAnsi="Times New Roman" w:cs="Times New Roman"/>
        </w:rPr>
        <w:t xml:space="preserve"> by </w:t>
      </w:r>
      <w:proofErr w:type="spellStart"/>
      <w:r w:rsidRPr="00A45784">
        <w:rPr>
          <w:rFonts w:ascii="Times New Roman" w:hAnsi="Times New Roman" w:cs="Times New Roman"/>
        </w:rPr>
        <w:t>corrplot</w:t>
      </w:r>
      <w:proofErr w:type="spellEnd"/>
      <w:r w:rsidRPr="00A45784">
        <w:rPr>
          <w:rFonts w:ascii="Times New Roman" w:hAnsi="Times New Roman" w:cs="Times New Roman"/>
        </w:rPr>
        <w:t xml:space="preserve"> package in R language.</w:t>
      </w:r>
      <w:r>
        <w:rPr>
          <w:rFonts w:ascii="Times New Roman" w:hAnsi="Times New Roman" w:cs="Times New Roman" w:hint="eastAsia"/>
        </w:rPr>
        <w:t xml:space="preserve"> </w:t>
      </w:r>
      <w:r w:rsidRPr="00A45784">
        <w:rPr>
          <w:rFonts w:ascii="Times New Roman" w:hAnsi="Times New Roman" w:cs="Times New Roman"/>
        </w:rPr>
        <w:t>The functions of these metabolites and metabolic pathways were studied using the KEGG database.</w:t>
      </w:r>
      <w:r>
        <w:rPr>
          <w:rFonts w:ascii="Times New Roman" w:hAnsi="Times New Roman" w:cs="Times New Roman" w:hint="eastAsia"/>
        </w:rPr>
        <w:t xml:space="preserve"> </w:t>
      </w:r>
      <w:r w:rsidRPr="00A45784">
        <w:rPr>
          <w:rFonts w:ascii="Times New Roman" w:hAnsi="Times New Roman" w:cs="Times New Roman"/>
        </w:rPr>
        <w:t xml:space="preserve">The metabolic pathways enrichment of differential metabolites was performed, when ratio </w:t>
      </w:r>
      <w:proofErr w:type="gramStart"/>
      <w:r w:rsidRPr="00A45784">
        <w:rPr>
          <w:rFonts w:ascii="Times New Roman" w:hAnsi="Times New Roman" w:cs="Times New Roman"/>
        </w:rPr>
        <w:t>were</w:t>
      </w:r>
      <w:proofErr w:type="gramEnd"/>
      <w:r w:rsidRPr="00A45784">
        <w:rPr>
          <w:rFonts w:ascii="Times New Roman" w:hAnsi="Times New Roman" w:cs="Times New Roman"/>
        </w:rPr>
        <w:t xml:space="preserve"> satisfied by x/n &gt; y/N, metabolic pathways were considered as enrichment, when P-value of metabolic pathway &lt; 0.05, metabolic pathways were considered as statistically significant enrichment.</w:t>
      </w:r>
    </w:p>
    <w:p w14:paraId="1272C6E4" w14:textId="77777777" w:rsidR="004A5BD4" w:rsidRPr="00AD44F5" w:rsidRDefault="004A5BD4"/>
    <w:sectPr w:rsidR="004A5BD4" w:rsidRPr="00AD44F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C881C3" w14:textId="77777777" w:rsidR="00AD44F5" w:rsidRDefault="00AD44F5" w:rsidP="00AD44F5">
      <w:pPr>
        <w:rPr>
          <w:rFonts w:hint="eastAsia"/>
        </w:rPr>
      </w:pPr>
      <w:r>
        <w:separator/>
      </w:r>
    </w:p>
  </w:endnote>
  <w:endnote w:type="continuationSeparator" w:id="0">
    <w:p w14:paraId="0081543C" w14:textId="77777777" w:rsidR="00AD44F5" w:rsidRDefault="00AD44F5" w:rsidP="00AD44F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57F5F9" w14:textId="77777777" w:rsidR="00AD44F5" w:rsidRDefault="00AD44F5" w:rsidP="00AD44F5">
      <w:pPr>
        <w:rPr>
          <w:rFonts w:hint="eastAsia"/>
        </w:rPr>
      </w:pPr>
      <w:r>
        <w:separator/>
      </w:r>
    </w:p>
  </w:footnote>
  <w:footnote w:type="continuationSeparator" w:id="0">
    <w:p w14:paraId="7E1D4B51" w14:textId="77777777" w:rsidR="00AD44F5" w:rsidRDefault="00AD44F5" w:rsidP="00AD44F5">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BD4"/>
    <w:rsid w:val="000F7088"/>
    <w:rsid w:val="004A5BD4"/>
    <w:rsid w:val="00AD44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8D6830"/>
  <w15:chartTrackingRefBased/>
  <w15:docId w15:val="{77A4EF73-5B6B-46C0-9666-4677C26FF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rsid w:val="00AD44F5"/>
    <w:pPr>
      <w:widowControl w:val="0"/>
      <w:spacing w:after="0" w:line="240" w:lineRule="auto"/>
      <w:jc w:val="both"/>
    </w:pPr>
    <w:rPr>
      <w:sz w:val="24"/>
      <w14:ligatures w14:val="none"/>
    </w:rPr>
  </w:style>
  <w:style w:type="paragraph" w:styleId="1">
    <w:name w:val="heading 1"/>
    <w:basedOn w:val="a"/>
    <w:next w:val="a"/>
    <w:link w:val="10"/>
    <w:uiPriority w:val="9"/>
    <w:qFormat/>
    <w:rsid w:val="004A5BD4"/>
    <w:pPr>
      <w:keepNext/>
      <w:keepLines/>
      <w:spacing w:before="480" w:after="80" w:line="278" w:lineRule="auto"/>
      <w:jc w:val="left"/>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iPriority w:val="9"/>
    <w:semiHidden/>
    <w:unhideWhenUsed/>
    <w:qFormat/>
    <w:rsid w:val="004A5BD4"/>
    <w:pPr>
      <w:keepNext/>
      <w:keepLines/>
      <w:spacing w:before="160" w:after="80" w:line="278" w:lineRule="auto"/>
      <w:jc w:val="left"/>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rsid w:val="004A5BD4"/>
    <w:pPr>
      <w:keepNext/>
      <w:keepLines/>
      <w:spacing w:before="160" w:after="80" w:line="278" w:lineRule="auto"/>
      <w:jc w:val="left"/>
      <w:outlineLvl w:val="2"/>
    </w:pPr>
    <w:rPr>
      <w:rFonts w:asciiTheme="majorHAnsi" w:eastAsiaTheme="majorEastAsia" w:hAnsiTheme="majorHAnsi"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rsid w:val="004A5BD4"/>
    <w:pPr>
      <w:keepNext/>
      <w:keepLines/>
      <w:spacing w:before="80" w:after="40" w:line="278" w:lineRule="auto"/>
      <w:jc w:val="left"/>
      <w:outlineLvl w:val="3"/>
    </w:pPr>
    <w:rPr>
      <w:rFonts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rsid w:val="004A5BD4"/>
    <w:pPr>
      <w:keepNext/>
      <w:keepLines/>
      <w:spacing w:before="80" w:after="40" w:line="278" w:lineRule="auto"/>
      <w:jc w:val="left"/>
      <w:outlineLvl w:val="4"/>
    </w:pPr>
    <w:rPr>
      <w:rFonts w:cstheme="majorBidi"/>
      <w:color w:val="0F4761" w:themeColor="accent1" w:themeShade="BF"/>
      <w14:ligatures w14:val="standardContextual"/>
    </w:rPr>
  </w:style>
  <w:style w:type="paragraph" w:styleId="6">
    <w:name w:val="heading 6"/>
    <w:basedOn w:val="a"/>
    <w:next w:val="a"/>
    <w:link w:val="60"/>
    <w:uiPriority w:val="9"/>
    <w:semiHidden/>
    <w:unhideWhenUsed/>
    <w:qFormat/>
    <w:rsid w:val="004A5BD4"/>
    <w:pPr>
      <w:keepNext/>
      <w:keepLines/>
      <w:spacing w:before="40" w:line="278" w:lineRule="auto"/>
      <w:jc w:val="left"/>
      <w:outlineLvl w:val="5"/>
    </w:pPr>
    <w:rPr>
      <w:rFonts w:cstheme="majorBidi"/>
      <w:b/>
      <w:bCs/>
      <w:color w:val="0F4761" w:themeColor="accent1" w:themeShade="BF"/>
      <w:sz w:val="22"/>
      <w14:ligatures w14:val="standardContextual"/>
    </w:rPr>
  </w:style>
  <w:style w:type="paragraph" w:styleId="7">
    <w:name w:val="heading 7"/>
    <w:basedOn w:val="a"/>
    <w:next w:val="a"/>
    <w:link w:val="70"/>
    <w:uiPriority w:val="9"/>
    <w:semiHidden/>
    <w:unhideWhenUsed/>
    <w:qFormat/>
    <w:rsid w:val="004A5BD4"/>
    <w:pPr>
      <w:keepNext/>
      <w:keepLines/>
      <w:spacing w:before="40" w:line="278" w:lineRule="auto"/>
      <w:jc w:val="left"/>
      <w:outlineLvl w:val="6"/>
    </w:pPr>
    <w:rPr>
      <w:rFonts w:cstheme="majorBidi"/>
      <w:b/>
      <w:bCs/>
      <w:color w:val="595959" w:themeColor="text1" w:themeTint="A6"/>
      <w:sz w:val="22"/>
      <w14:ligatures w14:val="standardContextual"/>
    </w:rPr>
  </w:style>
  <w:style w:type="paragraph" w:styleId="8">
    <w:name w:val="heading 8"/>
    <w:basedOn w:val="a"/>
    <w:next w:val="a"/>
    <w:link w:val="80"/>
    <w:uiPriority w:val="9"/>
    <w:semiHidden/>
    <w:unhideWhenUsed/>
    <w:qFormat/>
    <w:rsid w:val="004A5BD4"/>
    <w:pPr>
      <w:keepNext/>
      <w:keepLines/>
      <w:spacing w:line="278" w:lineRule="auto"/>
      <w:jc w:val="left"/>
      <w:outlineLvl w:val="7"/>
    </w:pPr>
    <w:rPr>
      <w:rFonts w:cstheme="majorBidi"/>
      <w:color w:val="595959" w:themeColor="text1" w:themeTint="A6"/>
      <w:sz w:val="22"/>
      <w14:ligatures w14:val="standardContextual"/>
    </w:rPr>
  </w:style>
  <w:style w:type="paragraph" w:styleId="9">
    <w:name w:val="heading 9"/>
    <w:basedOn w:val="a"/>
    <w:next w:val="a"/>
    <w:link w:val="90"/>
    <w:uiPriority w:val="9"/>
    <w:semiHidden/>
    <w:unhideWhenUsed/>
    <w:qFormat/>
    <w:rsid w:val="004A5BD4"/>
    <w:pPr>
      <w:keepNext/>
      <w:keepLines/>
      <w:spacing w:line="278" w:lineRule="auto"/>
      <w:jc w:val="left"/>
      <w:outlineLvl w:val="8"/>
    </w:pPr>
    <w:rPr>
      <w:rFonts w:eastAsiaTheme="majorEastAsia" w:cstheme="majorBidi"/>
      <w:color w:val="595959" w:themeColor="text1" w:themeTint="A6"/>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A5BD4"/>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4A5BD4"/>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4A5BD4"/>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4A5BD4"/>
    <w:rPr>
      <w:rFonts w:cstheme="majorBidi"/>
      <w:color w:val="0F4761" w:themeColor="accent1" w:themeShade="BF"/>
      <w:sz w:val="28"/>
      <w:szCs w:val="28"/>
    </w:rPr>
  </w:style>
  <w:style w:type="character" w:customStyle="1" w:styleId="50">
    <w:name w:val="标题 5 字符"/>
    <w:basedOn w:val="a0"/>
    <w:link w:val="5"/>
    <w:uiPriority w:val="9"/>
    <w:semiHidden/>
    <w:rsid w:val="004A5BD4"/>
    <w:rPr>
      <w:rFonts w:cstheme="majorBidi"/>
      <w:color w:val="0F4761" w:themeColor="accent1" w:themeShade="BF"/>
      <w:sz w:val="24"/>
    </w:rPr>
  </w:style>
  <w:style w:type="character" w:customStyle="1" w:styleId="60">
    <w:name w:val="标题 6 字符"/>
    <w:basedOn w:val="a0"/>
    <w:link w:val="6"/>
    <w:uiPriority w:val="9"/>
    <w:semiHidden/>
    <w:rsid w:val="004A5BD4"/>
    <w:rPr>
      <w:rFonts w:cstheme="majorBidi"/>
      <w:b/>
      <w:bCs/>
      <w:color w:val="0F4761" w:themeColor="accent1" w:themeShade="BF"/>
    </w:rPr>
  </w:style>
  <w:style w:type="character" w:customStyle="1" w:styleId="70">
    <w:name w:val="标题 7 字符"/>
    <w:basedOn w:val="a0"/>
    <w:link w:val="7"/>
    <w:uiPriority w:val="9"/>
    <w:semiHidden/>
    <w:rsid w:val="004A5BD4"/>
    <w:rPr>
      <w:rFonts w:cstheme="majorBidi"/>
      <w:b/>
      <w:bCs/>
      <w:color w:val="595959" w:themeColor="text1" w:themeTint="A6"/>
    </w:rPr>
  </w:style>
  <w:style w:type="character" w:customStyle="1" w:styleId="80">
    <w:name w:val="标题 8 字符"/>
    <w:basedOn w:val="a0"/>
    <w:link w:val="8"/>
    <w:uiPriority w:val="9"/>
    <w:semiHidden/>
    <w:rsid w:val="004A5BD4"/>
    <w:rPr>
      <w:rFonts w:cstheme="majorBidi"/>
      <w:color w:val="595959" w:themeColor="text1" w:themeTint="A6"/>
    </w:rPr>
  </w:style>
  <w:style w:type="character" w:customStyle="1" w:styleId="90">
    <w:name w:val="标题 9 字符"/>
    <w:basedOn w:val="a0"/>
    <w:link w:val="9"/>
    <w:uiPriority w:val="9"/>
    <w:semiHidden/>
    <w:rsid w:val="004A5BD4"/>
    <w:rPr>
      <w:rFonts w:eastAsiaTheme="majorEastAsia" w:cstheme="majorBidi"/>
      <w:color w:val="595959" w:themeColor="text1" w:themeTint="A6"/>
    </w:rPr>
  </w:style>
  <w:style w:type="paragraph" w:styleId="a3">
    <w:name w:val="Title"/>
    <w:basedOn w:val="a"/>
    <w:next w:val="a"/>
    <w:link w:val="a4"/>
    <w:uiPriority w:val="10"/>
    <w:qFormat/>
    <w:rsid w:val="004A5BD4"/>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4A5BD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A5BD4"/>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4A5BD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A5BD4"/>
    <w:pPr>
      <w:spacing w:before="160" w:after="160" w:line="278" w:lineRule="auto"/>
      <w:jc w:val="center"/>
    </w:pPr>
    <w:rPr>
      <w:i/>
      <w:iCs/>
      <w:color w:val="404040" w:themeColor="text1" w:themeTint="BF"/>
      <w:sz w:val="22"/>
      <w14:ligatures w14:val="standardContextual"/>
    </w:rPr>
  </w:style>
  <w:style w:type="character" w:customStyle="1" w:styleId="a8">
    <w:name w:val="引用 字符"/>
    <w:basedOn w:val="a0"/>
    <w:link w:val="a7"/>
    <w:uiPriority w:val="29"/>
    <w:rsid w:val="004A5BD4"/>
    <w:rPr>
      <w:i/>
      <w:iCs/>
      <w:color w:val="404040" w:themeColor="text1" w:themeTint="BF"/>
    </w:rPr>
  </w:style>
  <w:style w:type="paragraph" w:styleId="a9">
    <w:name w:val="List Paragraph"/>
    <w:basedOn w:val="a"/>
    <w:uiPriority w:val="34"/>
    <w:qFormat/>
    <w:rsid w:val="004A5BD4"/>
    <w:pPr>
      <w:spacing w:after="160" w:line="278" w:lineRule="auto"/>
      <w:ind w:left="720"/>
      <w:contextualSpacing/>
      <w:jc w:val="left"/>
    </w:pPr>
    <w:rPr>
      <w:sz w:val="22"/>
      <w14:ligatures w14:val="standardContextual"/>
    </w:rPr>
  </w:style>
  <w:style w:type="character" w:styleId="aa">
    <w:name w:val="Intense Emphasis"/>
    <w:basedOn w:val="a0"/>
    <w:uiPriority w:val="21"/>
    <w:qFormat/>
    <w:rsid w:val="004A5BD4"/>
    <w:rPr>
      <w:i/>
      <w:iCs/>
      <w:color w:val="0F4761" w:themeColor="accent1" w:themeShade="BF"/>
    </w:rPr>
  </w:style>
  <w:style w:type="paragraph" w:styleId="ab">
    <w:name w:val="Intense Quote"/>
    <w:basedOn w:val="a"/>
    <w:next w:val="a"/>
    <w:link w:val="ac"/>
    <w:uiPriority w:val="30"/>
    <w:qFormat/>
    <w:rsid w:val="004A5BD4"/>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2"/>
      <w14:ligatures w14:val="standardContextual"/>
    </w:rPr>
  </w:style>
  <w:style w:type="character" w:customStyle="1" w:styleId="ac">
    <w:name w:val="明显引用 字符"/>
    <w:basedOn w:val="a0"/>
    <w:link w:val="ab"/>
    <w:uiPriority w:val="30"/>
    <w:rsid w:val="004A5BD4"/>
    <w:rPr>
      <w:i/>
      <w:iCs/>
      <w:color w:val="0F4761" w:themeColor="accent1" w:themeShade="BF"/>
    </w:rPr>
  </w:style>
  <w:style w:type="character" w:styleId="ad">
    <w:name w:val="Intense Reference"/>
    <w:basedOn w:val="a0"/>
    <w:uiPriority w:val="32"/>
    <w:qFormat/>
    <w:rsid w:val="004A5BD4"/>
    <w:rPr>
      <w:b/>
      <w:bCs/>
      <w:smallCaps/>
      <w:color w:val="0F4761" w:themeColor="accent1" w:themeShade="BF"/>
      <w:spacing w:val="5"/>
    </w:rPr>
  </w:style>
  <w:style w:type="paragraph" w:styleId="ae">
    <w:name w:val="header"/>
    <w:basedOn w:val="a"/>
    <w:link w:val="af"/>
    <w:uiPriority w:val="99"/>
    <w:unhideWhenUsed/>
    <w:rsid w:val="00AD44F5"/>
    <w:pPr>
      <w:tabs>
        <w:tab w:val="center" w:pos="4153"/>
        <w:tab w:val="right" w:pos="8306"/>
      </w:tabs>
      <w:snapToGrid w:val="0"/>
      <w:spacing w:after="160"/>
      <w:jc w:val="center"/>
    </w:pPr>
    <w:rPr>
      <w:sz w:val="18"/>
      <w:szCs w:val="18"/>
      <w14:ligatures w14:val="standardContextual"/>
    </w:rPr>
  </w:style>
  <w:style w:type="character" w:customStyle="1" w:styleId="af">
    <w:name w:val="页眉 字符"/>
    <w:basedOn w:val="a0"/>
    <w:link w:val="ae"/>
    <w:uiPriority w:val="99"/>
    <w:rsid w:val="00AD44F5"/>
    <w:rPr>
      <w:sz w:val="18"/>
      <w:szCs w:val="18"/>
    </w:rPr>
  </w:style>
  <w:style w:type="paragraph" w:styleId="af0">
    <w:name w:val="footer"/>
    <w:basedOn w:val="a"/>
    <w:link w:val="af1"/>
    <w:uiPriority w:val="99"/>
    <w:unhideWhenUsed/>
    <w:rsid w:val="00AD44F5"/>
    <w:pPr>
      <w:tabs>
        <w:tab w:val="center" w:pos="4153"/>
        <w:tab w:val="right" w:pos="8306"/>
      </w:tabs>
      <w:snapToGrid w:val="0"/>
      <w:spacing w:after="160"/>
      <w:jc w:val="left"/>
    </w:pPr>
    <w:rPr>
      <w:sz w:val="18"/>
      <w:szCs w:val="18"/>
      <w14:ligatures w14:val="standardContextual"/>
    </w:rPr>
  </w:style>
  <w:style w:type="character" w:customStyle="1" w:styleId="af1">
    <w:name w:val="页脚 字符"/>
    <w:basedOn w:val="a0"/>
    <w:link w:val="af0"/>
    <w:uiPriority w:val="99"/>
    <w:rsid w:val="00AD44F5"/>
    <w:rPr>
      <w:sz w:val="18"/>
      <w:szCs w:val="18"/>
    </w:rPr>
  </w:style>
  <w:style w:type="character" w:styleId="af2">
    <w:name w:val="Hyperlink"/>
    <w:basedOn w:val="a0"/>
    <w:uiPriority w:val="99"/>
    <w:qFormat/>
    <w:rsid w:val="00AD44F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hopkinsguides.com/hopkins/index/Johns_Hopkins_ABX_Guide/Pathogens"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1493</Words>
  <Characters>8511</Characters>
  <Application>Microsoft Office Word</Application>
  <DocSecurity>0</DocSecurity>
  <Lines>70</Lines>
  <Paragraphs>19</Paragraphs>
  <ScaleCrop>false</ScaleCrop>
  <Company/>
  <LinksUpToDate>false</LinksUpToDate>
  <CharactersWithSpaces>9985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 Gao</dc:creator>
  <cp:keywords/>
  <dc:description/>
  <cp:lastModifiedBy>Lin Gao</cp:lastModifiedBy>
  <cp:revision>2</cp:revision>
  <dcterms:created xsi:type="dcterms:W3CDTF">2024-12-15T14:01:00Z</dcterms:created>
  <dcterms:modified xsi:type="dcterms:W3CDTF">2024-12-15T14:02:00Z</dcterms:modified>
</cp:coreProperties>
</file>