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54229" w14:textId="6C2204BB" w:rsidR="001A2001" w:rsidRDefault="008D4B3A" w:rsidP="008D4B3A">
      <w:pPr>
        <w:pStyle w:val="Heading1"/>
      </w:pPr>
      <w:r>
        <w:t>Supplementary figures</w:t>
      </w:r>
    </w:p>
    <w:p w14:paraId="347C973A" w14:textId="77777777" w:rsidR="008D4B3A" w:rsidRDefault="008D4B3A" w:rsidP="008D4B3A"/>
    <w:p w14:paraId="507A2745" w14:textId="6D1A5948" w:rsidR="008D4B3A" w:rsidRDefault="008D4B3A" w:rsidP="008D4B3A">
      <w:pPr>
        <w:pStyle w:val="Heading2"/>
      </w:pPr>
      <w:r>
        <w:t>Acute COVID-19 Vs Healthy controls</w:t>
      </w:r>
    </w:p>
    <w:p w14:paraId="16C22879" w14:textId="77777777" w:rsidR="00B251E0" w:rsidRDefault="00B251E0" w:rsidP="00B251E0">
      <w:pPr>
        <w:keepNext/>
      </w:pPr>
      <w:r w:rsidRPr="00B251E0">
        <w:rPr>
          <w:noProof/>
        </w:rPr>
        <w:drawing>
          <wp:inline distT="0" distB="0" distL="0" distR="0" wp14:anchorId="370AC354" wp14:editId="661C5196">
            <wp:extent cx="5731510" cy="3769995"/>
            <wp:effectExtent l="0" t="0" r="2540" b="1905"/>
            <wp:docPr id="6" name="Picture 5" descr="A graph with red dot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ECC28E7-2E3A-873F-D02A-3B0BE7B51A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graph with red dots&#10;&#10;AI-generated content may be incorrect.">
                      <a:extLst>
                        <a:ext uri="{FF2B5EF4-FFF2-40B4-BE49-F238E27FC236}">
                          <a16:creationId xmlns:a16="http://schemas.microsoft.com/office/drawing/2014/main" id="{BECC28E7-2E3A-873F-D02A-3B0BE7B51A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43918" w14:textId="5EE06ECB" w:rsidR="008D4B3A" w:rsidRDefault="00B251E0" w:rsidP="00B251E0">
      <w:pPr>
        <w:pStyle w:val="Caption"/>
        <w:rPr>
          <w:i w:val="0"/>
          <w:iCs w:val="0"/>
          <w:color w:val="000000" w:themeColor="text1"/>
          <w:sz w:val="22"/>
          <w:szCs w:val="22"/>
        </w:rPr>
      </w:pPr>
      <w:r w:rsidRPr="00B251E0">
        <w:rPr>
          <w:i w:val="0"/>
          <w:iCs w:val="0"/>
          <w:color w:val="000000" w:themeColor="text1"/>
          <w:sz w:val="22"/>
          <w:szCs w:val="22"/>
        </w:rPr>
        <w:t xml:space="preserve">Supplementary figure </w:t>
      </w:r>
      <w:r w:rsidRPr="00B251E0">
        <w:rPr>
          <w:i w:val="0"/>
          <w:iCs w:val="0"/>
          <w:color w:val="000000" w:themeColor="text1"/>
          <w:sz w:val="22"/>
          <w:szCs w:val="22"/>
        </w:rPr>
        <w:fldChar w:fldCharType="begin"/>
      </w:r>
      <w:r w:rsidRPr="00B251E0">
        <w:rPr>
          <w:i w:val="0"/>
          <w:iCs w:val="0"/>
          <w:color w:val="000000" w:themeColor="text1"/>
          <w:sz w:val="22"/>
          <w:szCs w:val="22"/>
        </w:rPr>
        <w:instrText xml:space="preserve"> SEQ Supplementary_figure \* ARABIC </w:instrText>
      </w:r>
      <w:r w:rsidRPr="00B251E0">
        <w:rPr>
          <w:i w:val="0"/>
          <w:iCs w:val="0"/>
          <w:color w:val="000000" w:themeColor="text1"/>
          <w:sz w:val="22"/>
          <w:szCs w:val="22"/>
        </w:rPr>
        <w:fldChar w:fldCharType="separate"/>
      </w:r>
      <w:r w:rsidR="00C84A11">
        <w:rPr>
          <w:i w:val="0"/>
          <w:iCs w:val="0"/>
          <w:noProof/>
          <w:color w:val="000000" w:themeColor="text1"/>
          <w:sz w:val="22"/>
          <w:szCs w:val="22"/>
        </w:rPr>
        <w:t>1</w:t>
      </w:r>
      <w:r w:rsidRPr="00B251E0">
        <w:rPr>
          <w:i w:val="0"/>
          <w:iCs w:val="0"/>
          <w:color w:val="000000" w:themeColor="text1"/>
          <w:sz w:val="22"/>
          <w:szCs w:val="22"/>
        </w:rPr>
        <w:fldChar w:fldCharType="end"/>
      </w:r>
      <w:r w:rsidR="00DC0D4B">
        <w:rPr>
          <w:i w:val="0"/>
          <w:iCs w:val="0"/>
          <w:color w:val="000000" w:themeColor="text1"/>
          <w:sz w:val="22"/>
          <w:szCs w:val="22"/>
        </w:rPr>
        <w:t>:</w:t>
      </w:r>
      <w:r w:rsidRPr="00B251E0">
        <w:rPr>
          <w:i w:val="0"/>
          <w:iCs w:val="0"/>
          <w:color w:val="000000" w:themeColor="text1"/>
          <w:sz w:val="22"/>
          <w:szCs w:val="22"/>
        </w:rPr>
        <w:t xml:space="preserve"> Enriched pathways in Acute COVID-19 (n=4) using </w:t>
      </w:r>
      <w:proofErr w:type="gramStart"/>
      <w:r w:rsidRPr="00B251E0">
        <w:rPr>
          <w:i w:val="0"/>
          <w:iCs w:val="0"/>
          <w:color w:val="000000" w:themeColor="text1"/>
          <w:sz w:val="22"/>
          <w:szCs w:val="22"/>
        </w:rPr>
        <w:t>DAP’s</w:t>
      </w:r>
      <w:proofErr w:type="gramEnd"/>
      <w:r w:rsidRPr="00B251E0">
        <w:rPr>
          <w:i w:val="0"/>
          <w:iCs w:val="0"/>
          <w:color w:val="000000" w:themeColor="text1"/>
          <w:sz w:val="22"/>
          <w:szCs w:val="22"/>
        </w:rPr>
        <w:t xml:space="preserve"> identified compared to matched seronegative healthy controls (n=25).</w:t>
      </w:r>
    </w:p>
    <w:p w14:paraId="58F6926D" w14:textId="77777777" w:rsidR="00B251E0" w:rsidRPr="00B251E0" w:rsidRDefault="00B251E0" w:rsidP="00B251E0"/>
    <w:p w14:paraId="1B4DAD0D" w14:textId="45C9FB8F" w:rsidR="008D4B3A" w:rsidRDefault="008D4B3A" w:rsidP="008D4B3A">
      <w:pPr>
        <w:pStyle w:val="Heading2"/>
      </w:pPr>
      <w:r>
        <w:t>Seropositive healthy controls vs Seronegative healthy controls</w:t>
      </w:r>
    </w:p>
    <w:p w14:paraId="3310B137" w14:textId="77777777" w:rsidR="008D4B3A" w:rsidRDefault="008D4B3A" w:rsidP="008D4B3A">
      <w:pPr>
        <w:keepNext/>
      </w:pPr>
      <w:r>
        <w:rPr>
          <w:noProof/>
        </w:rPr>
        <w:drawing>
          <wp:inline distT="0" distB="0" distL="0" distR="0" wp14:anchorId="78826ABF" wp14:editId="5C7B04D2">
            <wp:extent cx="5731062" cy="2158789"/>
            <wp:effectExtent l="0" t="0" r="3175" b="0"/>
            <wp:docPr id="63344455" name="Picture 1" descr="A graph with a graph of a volcan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44455" name="Picture 1" descr="A graph with a graph of a volcano&#10;&#10;AI-generated content may be incorrect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42" b="11075"/>
                    <a:stretch/>
                  </pic:blipFill>
                  <pic:spPr bwMode="auto">
                    <a:xfrm>
                      <a:off x="0" y="0"/>
                      <a:ext cx="5731510" cy="2158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47EE33" w14:textId="698D0B01" w:rsidR="008D4B3A" w:rsidRDefault="008D4B3A" w:rsidP="008D4B3A">
      <w:r>
        <w:t xml:space="preserve">Supplementary figure </w:t>
      </w:r>
      <w:fldSimple w:instr=" SEQ Supplementary_figure \* ARABIC ">
        <w:r w:rsidR="00C84A11">
          <w:rPr>
            <w:noProof/>
          </w:rPr>
          <w:t>2</w:t>
        </w:r>
      </w:fldSimple>
      <w:r>
        <w:t xml:space="preserve">: Volcano plot showing DAPs between seropositive healthy controls (n=25) and seronegative healthy controls(n=25). </w:t>
      </w:r>
    </w:p>
    <w:p w14:paraId="59723CA7" w14:textId="04398141" w:rsidR="00DC0D4B" w:rsidRDefault="00DC0D4B" w:rsidP="00DC0D4B">
      <w:pPr>
        <w:pStyle w:val="Heading2"/>
      </w:pPr>
      <w:r>
        <w:lastRenderedPageBreak/>
        <w:t>Febrile controls vs matched Healthy controls</w:t>
      </w:r>
    </w:p>
    <w:p w14:paraId="05384C67" w14:textId="77777777" w:rsidR="00DC0D4B" w:rsidRDefault="00DC0D4B" w:rsidP="00DC0D4B">
      <w:pPr>
        <w:keepNext/>
      </w:pPr>
      <w:r w:rsidRPr="00DC0D4B">
        <w:rPr>
          <w:noProof/>
        </w:rPr>
        <w:drawing>
          <wp:inline distT="0" distB="0" distL="0" distR="0" wp14:anchorId="0F9C56A8" wp14:editId="67738058">
            <wp:extent cx="5731510" cy="3703955"/>
            <wp:effectExtent l="0" t="0" r="2540" b="0"/>
            <wp:docPr id="4" name="Picture 3" descr="Chart, scatter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44759B2-A076-E283-87F6-5CEF3A4798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hart, scatter chart&#10;&#10;Description automatically generated">
                      <a:extLst>
                        <a:ext uri="{FF2B5EF4-FFF2-40B4-BE49-F238E27FC236}">
                          <a16:creationId xmlns:a16="http://schemas.microsoft.com/office/drawing/2014/main" id="{D44759B2-A076-E283-87F6-5CEF3A4798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0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A6B47" w14:textId="73DEE7D6" w:rsidR="00DC0D4B" w:rsidRDefault="00DC0D4B" w:rsidP="00DC0D4B">
      <w:pPr>
        <w:pStyle w:val="Caption"/>
        <w:rPr>
          <w:i w:val="0"/>
          <w:iCs w:val="0"/>
          <w:color w:val="000000" w:themeColor="text1"/>
          <w:sz w:val="22"/>
          <w:szCs w:val="22"/>
        </w:rPr>
      </w:pPr>
      <w:r w:rsidRPr="00DC0D4B">
        <w:rPr>
          <w:i w:val="0"/>
          <w:iCs w:val="0"/>
          <w:color w:val="000000" w:themeColor="text1"/>
          <w:sz w:val="22"/>
          <w:szCs w:val="22"/>
        </w:rPr>
        <w:t xml:space="preserve">Supplementary figure </w:t>
      </w:r>
      <w:r w:rsidRPr="00DC0D4B">
        <w:rPr>
          <w:i w:val="0"/>
          <w:iCs w:val="0"/>
          <w:color w:val="000000" w:themeColor="text1"/>
          <w:sz w:val="22"/>
          <w:szCs w:val="22"/>
        </w:rPr>
        <w:fldChar w:fldCharType="begin"/>
      </w:r>
      <w:r w:rsidRPr="00DC0D4B">
        <w:rPr>
          <w:i w:val="0"/>
          <w:iCs w:val="0"/>
          <w:color w:val="000000" w:themeColor="text1"/>
          <w:sz w:val="22"/>
          <w:szCs w:val="22"/>
        </w:rPr>
        <w:instrText xml:space="preserve"> SEQ Supplementary_figure \* ARABIC </w:instrText>
      </w:r>
      <w:r w:rsidRPr="00DC0D4B">
        <w:rPr>
          <w:i w:val="0"/>
          <w:iCs w:val="0"/>
          <w:color w:val="000000" w:themeColor="text1"/>
          <w:sz w:val="22"/>
          <w:szCs w:val="22"/>
        </w:rPr>
        <w:fldChar w:fldCharType="separate"/>
      </w:r>
      <w:r w:rsidR="00C84A11">
        <w:rPr>
          <w:i w:val="0"/>
          <w:iCs w:val="0"/>
          <w:noProof/>
          <w:color w:val="000000" w:themeColor="text1"/>
          <w:sz w:val="22"/>
          <w:szCs w:val="22"/>
        </w:rPr>
        <w:t>3</w:t>
      </w:r>
      <w:r w:rsidRPr="00DC0D4B">
        <w:rPr>
          <w:i w:val="0"/>
          <w:iCs w:val="0"/>
          <w:color w:val="000000" w:themeColor="text1"/>
          <w:sz w:val="22"/>
          <w:szCs w:val="22"/>
        </w:rPr>
        <w:fldChar w:fldCharType="end"/>
      </w:r>
      <w:r w:rsidRPr="00DC0D4B">
        <w:rPr>
          <w:i w:val="0"/>
          <w:iCs w:val="0"/>
          <w:color w:val="000000" w:themeColor="text1"/>
          <w:sz w:val="22"/>
          <w:szCs w:val="22"/>
        </w:rPr>
        <w:t xml:space="preserve">: Enriched pathways in Febrile controls (n=36) using </w:t>
      </w:r>
      <w:proofErr w:type="gramStart"/>
      <w:r w:rsidRPr="00DC0D4B">
        <w:rPr>
          <w:i w:val="0"/>
          <w:iCs w:val="0"/>
          <w:color w:val="000000" w:themeColor="text1"/>
          <w:sz w:val="22"/>
          <w:szCs w:val="22"/>
        </w:rPr>
        <w:t>DAP’s</w:t>
      </w:r>
      <w:proofErr w:type="gramEnd"/>
      <w:r w:rsidRPr="00DC0D4B">
        <w:rPr>
          <w:i w:val="0"/>
          <w:iCs w:val="0"/>
          <w:color w:val="000000" w:themeColor="text1"/>
          <w:sz w:val="22"/>
          <w:szCs w:val="22"/>
        </w:rPr>
        <w:t xml:space="preserve"> identified compared to matched seronegative healthy controls (n=43).</w:t>
      </w:r>
    </w:p>
    <w:p w14:paraId="2CEC1381" w14:textId="77777777" w:rsidR="00334D01" w:rsidRDefault="00334D01" w:rsidP="00334D01"/>
    <w:p w14:paraId="694905D7" w14:textId="77777777" w:rsidR="00334D01" w:rsidRDefault="00334D01" w:rsidP="00334D01">
      <w:pPr>
        <w:pStyle w:val="Heading2"/>
      </w:pPr>
      <w:r>
        <w:lastRenderedPageBreak/>
        <w:t xml:space="preserve">MIS-C IVIG and ICU </w:t>
      </w:r>
    </w:p>
    <w:p w14:paraId="7DFEBED4" w14:textId="77777777" w:rsidR="00334D01" w:rsidRDefault="00334D01" w:rsidP="00334D01">
      <w:pPr>
        <w:keepNext/>
      </w:pPr>
      <w:r>
        <w:rPr>
          <w:noProof/>
        </w:rPr>
        <w:drawing>
          <wp:inline distT="0" distB="0" distL="0" distR="0" wp14:anchorId="25A90073" wp14:editId="5F83152A">
            <wp:extent cx="5731510" cy="3594735"/>
            <wp:effectExtent l="0" t="0" r="2540" b="0"/>
            <wp:docPr id="18079845" name="Picture 7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854760" name="Picture 7" descr="A screenshot of a computer screen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9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710C3" w14:textId="1C399C6A" w:rsidR="00334D01" w:rsidRDefault="00334D01" w:rsidP="00334D01">
      <w:r>
        <w:t xml:space="preserve">Supplementary figure </w:t>
      </w:r>
      <w:fldSimple w:instr=" SEQ Supplementary_figure \* ARABIC ">
        <w:r w:rsidR="00C84A11">
          <w:rPr>
            <w:noProof/>
          </w:rPr>
          <w:t>4</w:t>
        </w:r>
      </w:fldSimple>
      <w:r w:rsidRPr="00334D01">
        <w:t xml:space="preserve"> </w:t>
      </w:r>
      <w:r>
        <w:t>:</w:t>
      </w:r>
      <w:r w:rsidRPr="00DA36C4">
        <w:t xml:space="preserve">Volcano plot showing DAPs between MIS-C cases pre IVIG administration and MIS-C cases post IVIG administration. (B) Dot plots of selected proinflammatory proteins in MIS-C cases pre IVIG administration and MIS-C cases post IVIG administration. (C) </w:t>
      </w:r>
      <w:r>
        <w:t>Volcano plot showing DAPs between MIS-C cases admitted to ICU and MIS-C cases not admitted to ICU. (D) Dot plots of selected proteins associated with endothelial damage in MIS-C cases pre IVIG administration and MIS-C cases post IVIG administration.</w:t>
      </w:r>
    </w:p>
    <w:p w14:paraId="74E3FC0A" w14:textId="77777777" w:rsidR="00334D01" w:rsidRPr="00334D01" w:rsidRDefault="00334D01" w:rsidP="00334D01"/>
    <w:p w14:paraId="56F4E57F" w14:textId="77D08148" w:rsidR="00DC0D4B" w:rsidRDefault="00DC0D4B" w:rsidP="00DC0D4B">
      <w:pPr>
        <w:pStyle w:val="Heading2"/>
      </w:pPr>
      <w:r>
        <w:lastRenderedPageBreak/>
        <w:t>MIS-C Vs Seropositive Healthy controls</w:t>
      </w:r>
    </w:p>
    <w:p w14:paraId="360E7318" w14:textId="339D6D7E" w:rsidR="001F7843" w:rsidRDefault="001F7843" w:rsidP="001F7843">
      <w:pPr>
        <w:keepNext/>
      </w:pPr>
      <w:r>
        <w:rPr>
          <w:noProof/>
        </w:rPr>
        <w:drawing>
          <wp:inline distT="0" distB="0" distL="0" distR="0" wp14:anchorId="397E3837" wp14:editId="68D2AE70">
            <wp:extent cx="5731510" cy="5419090"/>
            <wp:effectExtent l="0" t="0" r="2540" b="0"/>
            <wp:docPr id="2040131589" name="Picture 4" descr="A group of small pink and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131589" name="Picture 4" descr="A group of small pink and blue dot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1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2A46A" w14:textId="7EEAD064" w:rsidR="00DC0D4B" w:rsidRPr="001F7843" w:rsidRDefault="001F7843" w:rsidP="001F7843">
      <w:pPr>
        <w:pStyle w:val="Caption"/>
        <w:rPr>
          <w:i w:val="0"/>
          <w:iCs w:val="0"/>
          <w:color w:val="000000" w:themeColor="text1"/>
          <w:sz w:val="22"/>
          <w:szCs w:val="22"/>
        </w:rPr>
      </w:pPr>
      <w:r w:rsidRPr="001F7843">
        <w:rPr>
          <w:i w:val="0"/>
          <w:iCs w:val="0"/>
          <w:color w:val="000000" w:themeColor="text1"/>
          <w:sz w:val="22"/>
          <w:szCs w:val="22"/>
        </w:rPr>
        <w:t xml:space="preserve">Supplementary figure </w:t>
      </w:r>
      <w:r w:rsidR="00334D01">
        <w:rPr>
          <w:i w:val="0"/>
          <w:iCs w:val="0"/>
          <w:color w:val="000000" w:themeColor="text1"/>
          <w:sz w:val="22"/>
          <w:szCs w:val="22"/>
        </w:rPr>
        <w:t>5</w:t>
      </w:r>
      <w:r w:rsidRPr="001F7843">
        <w:rPr>
          <w:i w:val="0"/>
          <w:iCs w:val="0"/>
          <w:color w:val="000000" w:themeColor="text1"/>
          <w:sz w:val="22"/>
          <w:szCs w:val="22"/>
        </w:rPr>
        <w:t>:</w:t>
      </w:r>
      <w:r w:rsidRPr="001F7843">
        <w:rPr>
          <w:i w:val="0"/>
          <w:iCs w:val="0"/>
          <w:color w:val="auto"/>
          <w:sz w:val="22"/>
          <w:szCs w:val="22"/>
        </w:rPr>
        <w:t xml:space="preserve"> </w:t>
      </w:r>
      <w:r w:rsidRPr="001F7843">
        <w:rPr>
          <w:i w:val="0"/>
          <w:iCs w:val="0"/>
          <w:color w:val="000000" w:themeColor="text1"/>
          <w:sz w:val="22"/>
          <w:szCs w:val="22"/>
        </w:rPr>
        <w:t xml:space="preserve">Selected protein markers associated with (A) endothelial damage, (B) platelet activation, and (C) myocardial injury that are significantly altered in MIS-C compared to seropositive healthy controls. </w:t>
      </w:r>
      <w:r w:rsidRPr="00C74EBE">
        <w:rPr>
          <w:i w:val="0"/>
          <w:iCs w:val="0"/>
          <w:color w:val="000000" w:themeColor="text1"/>
          <w:sz w:val="22"/>
          <w:szCs w:val="22"/>
        </w:rPr>
        <w:t xml:space="preserve">(D) Selected proteins </w:t>
      </w:r>
      <w:r w:rsidRPr="00C74EBE">
        <w:rPr>
          <w:rFonts w:eastAsia="Calibri" w:cs="Times New Roman"/>
          <w:i w:val="0"/>
          <w:iCs w:val="0"/>
          <w:color w:val="auto"/>
          <w:kern w:val="0"/>
          <w:sz w:val="22"/>
          <w:szCs w:val="22"/>
          <w14:ligatures w14:val="none"/>
        </w:rPr>
        <w:t xml:space="preserve">that are significantly altered in MIS-C compared to seropositive healthy controls, </w:t>
      </w:r>
      <w:r w:rsidR="00C74EBE" w:rsidRPr="00C74EBE">
        <w:rPr>
          <w:rFonts w:eastAsia="Calibri" w:cs="Times New Roman"/>
          <w:i w:val="0"/>
          <w:iCs w:val="0"/>
          <w:color w:val="auto"/>
          <w:kern w:val="0"/>
          <w:sz w:val="22"/>
          <w:szCs w:val="22"/>
          <w14:ligatures w14:val="none"/>
        </w:rPr>
        <w:t>but</w:t>
      </w:r>
      <w:r w:rsidRPr="00C74EBE">
        <w:rPr>
          <w:rFonts w:eastAsia="Calibri" w:cs="Times New Roman"/>
          <w:i w:val="0"/>
          <w:iCs w:val="0"/>
          <w:color w:val="auto"/>
          <w:kern w:val="0"/>
          <w:sz w:val="22"/>
          <w:szCs w:val="22"/>
          <w14:ligatures w14:val="none"/>
        </w:rPr>
        <w:t xml:space="preserve"> not significantly altered in febrile controls </w:t>
      </w:r>
      <w:proofErr w:type="gramStart"/>
      <w:r w:rsidRPr="00C74EBE">
        <w:rPr>
          <w:rFonts w:eastAsia="Calibri" w:cs="Times New Roman"/>
          <w:i w:val="0"/>
          <w:iCs w:val="0"/>
          <w:color w:val="auto"/>
          <w:kern w:val="0"/>
          <w:sz w:val="22"/>
          <w:szCs w:val="22"/>
          <w14:ligatures w14:val="none"/>
        </w:rPr>
        <w:t>in  comparison</w:t>
      </w:r>
      <w:proofErr w:type="gramEnd"/>
      <w:r w:rsidRPr="00C74EBE">
        <w:rPr>
          <w:rFonts w:eastAsia="Calibri" w:cs="Times New Roman"/>
          <w:i w:val="0"/>
          <w:iCs w:val="0"/>
          <w:color w:val="auto"/>
          <w:kern w:val="0"/>
          <w:sz w:val="22"/>
          <w:szCs w:val="22"/>
          <w14:ligatures w14:val="none"/>
        </w:rPr>
        <w:t xml:space="preserve"> to matched healthy controls.</w:t>
      </w:r>
    </w:p>
    <w:p w14:paraId="309E65BD" w14:textId="6B3488D5" w:rsidR="008D4B3A" w:rsidRDefault="00DC0D4B" w:rsidP="00DC0D4B">
      <w:pPr>
        <w:pStyle w:val="Heading2"/>
      </w:pPr>
      <w:r>
        <w:lastRenderedPageBreak/>
        <w:t>MIS-C Vs Febrile controls</w:t>
      </w:r>
    </w:p>
    <w:p w14:paraId="1A793FCB" w14:textId="77777777" w:rsidR="00C74EBE" w:rsidRDefault="00C74EBE" w:rsidP="00C74EBE">
      <w:pPr>
        <w:keepNext/>
      </w:pPr>
      <w:r>
        <w:rPr>
          <w:noProof/>
        </w:rPr>
        <w:drawing>
          <wp:inline distT="0" distB="0" distL="0" distR="0" wp14:anchorId="50F49E9C" wp14:editId="49592A73">
            <wp:extent cx="5731510" cy="3133725"/>
            <wp:effectExtent l="0" t="0" r="0" b="0"/>
            <wp:docPr id="1029614975" name="Picture 5" descr="A screenshot of a video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614975" name="Picture 5" descr="A screenshot of a video game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33458" w14:textId="4ADDEEF8" w:rsidR="00DC0D4B" w:rsidRPr="00426E36" w:rsidRDefault="00C74EBE" w:rsidP="00C74EBE">
      <w:pPr>
        <w:pStyle w:val="Caption"/>
        <w:rPr>
          <w:i w:val="0"/>
          <w:iCs w:val="0"/>
          <w:color w:val="000000" w:themeColor="text1"/>
          <w:sz w:val="22"/>
          <w:szCs w:val="22"/>
        </w:rPr>
      </w:pPr>
      <w:r w:rsidRPr="00426E36">
        <w:rPr>
          <w:i w:val="0"/>
          <w:iCs w:val="0"/>
          <w:color w:val="000000" w:themeColor="text1"/>
          <w:sz w:val="22"/>
          <w:szCs w:val="22"/>
        </w:rPr>
        <w:t xml:space="preserve">Supplementary figure </w:t>
      </w:r>
      <w:r w:rsidR="00334D01">
        <w:rPr>
          <w:i w:val="0"/>
          <w:iCs w:val="0"/>
          <w:color w:val="000000" w:themeColor="text1"/>
          <w:sz w:val="22"/>
          <w:szCs w:val="22"/>
        </w:rPr>
        <w:t>6</w:t>
      </w:r>
      <w:r w:rsidRPr="00426E36">
        <w:rPr>
          <w:i w:val="0"/>
          <w:iCs w:val="0"/>
          <w:color w:val="000000" w:themeColor="text1"/>
          <w:sz w:val="22"/>
          <w:szCs w:val="22"/>
        </w:rPr>
        <w:t>:</w:t>
      </w:r>
      <w:r w:rsidR="00426E36" w:rsidRPr="00426E36">
        <w:rPr>
          <w:i w:val="0"/>
          <w:iCs w:val="0"/>
          <w:color w:val="000000" w:themeColor="text1"/>
          <w:sz w:val="22"/>
          <w:szCs w:val="22"/>
        </w:rPr>
        <w:t xml:space="preserve"> Pro-inflammatory proteins differentially abundant between MIS-C and febrile controls.</w:t>
      </w:r>
    </w:p>
    <w:p w14:paraId="393BE7BF" w14:textId="77777777" w:rsidR="00C74EBE" w:rsidRPr="00426E36" w:rsidRDefault="00C74EBE" w:rsidP="00DC0D4B">
      <w:pPr>
        <w:rPr>
          <w:color w:val="000000" w:themeColor="text1"/>
          <w:sz w:val="28"/>
          <w:szCs w:val="28"/>
        </w:rPr>
      </w:pPr>
    </w:p>
    <w:p w14:paraId="53C73EF0" w14:textId="5640F82E" w:rsidR="00F729BC" w:rsidRDefault="00F729BC" w:rsidP="00F729BC">
      <w:pPr>
        <w:keepNext/>
      </w:pPr>
    </w:p>
    <w:p w14:paraId="023D3348" w14:textId="35166201" w:rsidR="008A31C4" w:rsidRPr="008A31C4" w:rsidRDefault="008A31C4" w:rsidP="00F729BC">
      <w:pPr>
        <w:pStyle w:val="Caption"/>
      </w:pPr>
    </w:p>
    <w:p w14:paraId="2886C46F" w14:textId="77777777" w:rsidR="009E5D6C" w:rsidRDefault="009E5D6C" w:rsidP="009E5D6C"/>
    <w:p w14:paraId="5CB026BD" w14:textId="6478D389" w:rsidR="009E5D6C" w:rsidRDefault="00A73098" w:rsidP="00A73098">
      <w:pPr>
        <w:pStyle w:val="Heading2"/>
      </w:pPr>
      <w:r>
        <w:t>In silico validation</w:t>
      </w:r>
    </w:p>
    <w:p w14:paraId="73BE5BBF" w14:textId="77777777" w:rsidR="00A73098" w:rsidRDefault="00A73098" w:rsidP="00A73098"/>
    <w:p w14:paraId="38D5C7DB" w14:textId="7A129205" w:rsidR="00C84A11" w:rsidRDefault="004B274B" w:rsidP="00C84A11">
      <w:pPr>
        <w:keepNext/>
      </w:pPr>
      <w:r>
        <w:rPr>
          <w:noProof/>
        </w:rPr>
        <w:lastRenderedPageBreak/>
        <w:drawing>
          <wp:inline distT="0" distB="0" distL="0" distR="0" wp14:anchorId="34F3F004" wp14:editId="0E3DF5FD">
            <wp:extent cx="5078095" cy="5602605"/>
            <wp:effectExtent l="0" t="0" r="0" b="0"/>
            <wp:docPr id="7369315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560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7C54B1" w14:textId="308464DC" w:rsidR="00C84A11" w:rsidRPr="00BF0D92" w:rsidRDefault="00C84A11" w:rsidP="00C84A11">
      <w:pPr>
        <w:pStyle w:val="Caption"/>
        <w:rPr>
          <w:i w:val="0"/>
          <w:iCs w:val="0"/>
          <w:color w:val="auto"/>
          <w:sz w:val="22"/>
          <w:szCs w:val="22"/>
        </w:rPr>
      </w:pPr>
      <w:r w:rsidRPr="00BF0D92">
        <w:rPr>
          <w:i w:val="0"/>
          <w:iCs w:val="0"/>
          <w:color w:val="auto"/>
          <w:sz w:val="22"/>
          <w:szCs w:val="22"/>
        </w:rPr>
        <w:t xml:space="preserve">Supplementary figure 7: </w:t>
      </w:r>
      <w:r w:rsidR="004535F6" w:rsidRPr="004535F6">
        <w:rPr>
          <w:i w:val="0"/>
          <w:iCs w:val="0"/>
          <w:color w:val="auto"/>
          <w:sz w:val="22"/>
          <w:szCs w:val="22"/>
        </w:rPr>
        <w:t>Correlation of protein</w:t>
      </w:r>
      <w:r w:rsidR="001D4249">
        <w:rPr>
          <w:i w:val="0"/>
          <w:iCs w:val="0"/>
          <w:color w:val="auto"/>
          <w:sz w:val="22"/>
          <w:szCs w:val="22"/>
        </w:rPr>
        <w:t>s significantly different with a</w:t>
      </w:r>
      <w:r w:rsidR="004535F6" w:rsidRPr="004535F6">
        <w:rPr>
          <w:i w:val="0"/>
          <w:iCs w:val="0"/>
          <w:color w:val="auto"/>
          <w:sz w:val="22"/>
          <w:szCs w:val="22"/>
        </w:rPr>
        <w:t xml:space="preserve"> fold change</w:t>
      </w:r>
      <w:r w:rsidR="001D4249">
        <w:rPr>
          <w:i w:val="0"/>
          <w:iCs w:val="0"/>
          <w:color w:val="auto"/>
          <w:sz w:val="22"/>
          <w:szCs w:val="22"/>
        </w:rPr>
        <w:t xml:space="preserve"> &gt; +/-2 </w:t>
      </w:r>
      <w:r w:rsidR="004535F6" w:rsidRPr="004535F6">
        <w:rPr>
          <w:i w:val="0"/>
          <w:iCs w:val="0"/>
          <w:color w:val="auto"/>
          <w:sz w:val="22"/>
          <w:szCs w:val="22"/>
        </w:rPr>
        <w:t xml:space="preserve">between MIS-C and febrile controls identified in this study with those reported in independent external datasets. </w:t>
      </w:r>
      <w:bookmarkStart w:id="0" w:name="OLE_LINK1"/>
      <w:r w:rsidR="004535F6" w:rsidRPr="004535F6">
        <w:rPr>
          <w:i w:val="0"/>
          <w:iCs w:val="0"/>
          <w:color w:val="auto"/>
          <w:sz w:val="22"/>
          <w:szCs w:val="22"/>
        </w:rPr>
        <w:t>Fold changes of top differentially abundant proteins (DAPs) were compared to corresponding values from external studies using similar MIS-C versus diseased control comparisons</w:t>
      </w:r>
      <w:r w:rsidR="00BF0D92" w:rsidRPr="00BF0D92">
        <w:rPr>
          <w:i w:val="0"/>
          <w:iCs w:val="0"/>
          <w:color w:val="auto"/>
          <w:sz w:val="22"/>
          <w:szCs w:val="22"/>
        </w:rPr>
        <w:t xml:space="preserve"> </w:t>
      </w:r>
      <w:bookmarkEnd w:id="0"/>
      <w:r w:rsidR="00BF0D92" w:rsidRPr="00BF0D92">
        <w:rPr>
          <w:i w:val="0"/>
          <w:iCs w:val="0"/>
          <w:color w:val="auto"/>
          <w:sz w:val="22"/>
          <w:szCs w:val="22"/>
        </w:rPr>
        <w:t xml:space="preserve">(B) Correlations of </w:t>
      </w:r>
      <w:r w:rsidR="006170E6">
        <w:rPr>
          <w:i w:val="0"/>
          <w:iCs w:val="0"/>
          <w:color w:val="auto"/>
          <w:sz w:val="22"/>
          <w:szCs w:val="22"/>
        </w:rPr>
        <w:t xml:space="preserve">protein </w:t>
      </w:r>
      <w:r w:rsidR="00BF0D92" w:rsidRPr="00BF0D92">
        <w:rPr>
          <w:i w:val="0"/>
          <w:iCs w:val="0"/>
          <w:color w:val="auto"/>
          <w:sz w:val="22"/>
          <w:szCs w:val="22"/>
        </w:rPr>
        <w:t xml:space="preserve">fold changes </w:t>
      </w:r>
      <w:r w:rsidR="006170E6" w:rsidRPr="004535F6">
        <w:rPr>
          <w:i w:val="0"/>
          <w:iCs w:val="0"/>
          <w:color w:val="auto"/>
          <w:sz w:val="22"/>
          <w:szCs w:val="22"/>
        </w:rPr>
        <w:t xml:space="preserve">between MIS-C and </w:t>
      </w:r>
      <w:r w:rsidR="006170E6">
        <w:rPr>
          <w:i w:val="0"/>
          <w:iCs w:val="0"/>
          <w:color w:val="auto"/>
          <w:sz w:val="22"/>
          <w:szCs w:val="22"/>
        </w:rPr>
        <w:t xml:space="preserve">seropositive </w:t>
      </w:r>
      <w:r w:rsidR="00CD65C7">
        <w:rPr>
          <w:i w:val="0"/>
          <w:iCs w:val="0"/>
          <w:color w:val="auto"/>
          <w:sz w:val="22"/>
          <w:szCs w:val="22"/>
        </w:rPr>
        <w:t>healthy</w:t>
      </w:r>
      <w:r w:rsidR="006170E6" w:rsidRPr="004535F6">
        <w:rPr>
          <w:i w:val="0"/>
          <w:iCs w:val="0"/>
          <w:color w:val="auto"/>
          <w:sz w:val="22"/>
          <w:szCs w:val="22"/>
        </w:rPr>
        <w:t xml:space="preserve"> controls identified in this study with those reported in independent external datasets</w:t>
      </w:r>
      <w:r w:rsidR="00987C3C">
        <w:rPr>
          <w:i w:val="0"/>
          <w:iCs w:val="0"/>
          <w:color w:val="auto"/>
          <w:sz w:val="22"/>
          <w:szCs w:val="22"/>
        </w:rPr>
        <w:t>.</w:t>
      </w:r>
      <w:r w:rsidR="00987C3C" w:rsidRPr="00987C3C">
        <w:rPr>
          <w:i w:val="0"/>
          <w:iCs w:val="0"/>
          <w:color w:val="auto"/>
          <w:sz w:val="22"/>
          <w:szCs w:val="22"/>
        </w:rPr>
        <w:t xml:space="preserve"> </w:t>
      </w:r>
      <w:r w:rsidR="00987C3C" w:rsidRPr="004535F6">
        <w:rPr>
          <w:i w:val="0"/>
          <w:iCs w:val="0"/>
          <w:color w:val="auto"/>
          <w:sz w:val="22"/>
          <w:szCs w:val="22"/>
        </w:rPr>
        <w:t xml:space="preserve">Fold changes of top differentially abundant proteins (DAPs) were compared to corresponding values from external studies using similar MIS-C versus </w:t>
      </w:r>
      <w:r w:rsidR="003D3CF0">
        <w:rPr>
          <w:i w:val="0"/>
          <w:iCs w:val="0"/>
          <w:color w:val="auto"/>
          <w:sz w:val="22"/>
          <w:szCs w:val="22"/>
        </w:rPr>
        <w:t>healthy control comparisons.</w:t>
      </w:r>
      <w:r w:rsidR="006170E6" w:rsidRPr="00BF0D92">
        <w:rPr>
          <w:i w:val="0"/>
          <w:iCs w:val="0"/>
          <w:color w:val="auto"/>
          <w:sz w:val="22"/>
          <w:szCs w:val="22"/>
        </w:rPr>
        <w:t xml:space="preserve"> </w:t>
      </w:r>
    </w:p>
    <w:sectPr w:rsidR="00C84A11" w:rsidRPr="00BF0D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25758"/>
    <w:multiLevelType w:val="hybridMultilevel"/>
    <w:tmpl w:val="072EE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805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B3A"/>
    <w:rsid w:val="0006777F"/>
    <w:rsid w:val="000C6B18"/>
    <w:rsid w:val="00153ACA"/>
    <w:rsid w:val="001A2001"/>
    <w:rsid w:val="001A7FA8"/>
    <w:rsid w:val="001D4249"/>
    <w:rsid w:val="001F7843"/>
    <w:rsid w:val="00264373"/>
    <w:rsid w:val="00334D01"/>
    <w:rsid w:val="003D3CF0"/>
    <w:rsid w:val="00426E36"/>
    <w:rsid w:val="004535F6"/>
    <w:rsid w:val="0049688A"/>
    <w:rsid w:val="004B274B"/>
    <w:rsid w:val="004E0BC0"/>
    <w:rsid w:val="004E4304"/>
    <w:rsid w:val="00590B92"/>
    <w:rsid w:val="005A6211"/>
    <w:rsid w:val="006170E6"/>
    <w:rsid w:val="008A31C4"/>
    <w:rsid w:val="008D33AE"/>
    <w:rsid w:val="008D4B3A"/>
    <w:rsid w:val="00904879"/>
    <w:rsid w:val="00980CA1"/>
    <w:rsid w:val="00987C3C"/>
    <w:rsid w:val="009E5D6C"/>
    <w:rsid w:val="00A73098"/>
    <w:rsid w:val="00B251E0"/>
    <w:rsid w:val="00BF0D92"/>
    <w:rsid w:val="00C74EBE"/>
    <w:rsid w:val="00C84A11"/>
    <w:rsid w:val="00CD65C7"/>
    <w:rsid w:val="00DC0D4B"/>
    <w:rsid w:val="00DE5560"/>
    <w:rsid w:val="00F729BC"/>
    <w:rsid w:val="00F8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4D3A8"/>
  <w15:chartTrackingRefBased/>
  <w15:docId w15:val="{6CA15052-E270-48C8-AE1F-9FA5EB40F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4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4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4B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B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B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4B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4B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B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B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B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B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B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B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B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B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B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B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B3A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8D4B3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251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51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51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51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51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aab77ea-b4a5-49e3-a1e8-d6dd23a1f286}" enabled="0" method="" siteId="{eaab77ea-b4a5-49e3-a1e8-d6dd23a1f2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Cathal Roarty</dc:creator>
  <cp:keywords/>
  <dc:description/>
  <cp:lastModifiedBy>Cathal Roarty</cp:lastModifiedBy>
  <cp:revision>25</cp:revision>
  <dcterms:created xsi:type="dcterms:W3CDTF">2025-06-03T08:40:00Z</dcterms:created>
  <dcterms:modified xsi:type="dcterms:W3CDTF">2025-06-05T14:22:00Z</dcterms:modified>
</cp:coreProperties>
</file>