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80822" w14:textId="1494D27C" w:rsidR="00B563CB" w:rsidRDefault="00383424" w:rsidP="00383424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  <w14:ligatures w14:val="none"/>
        </w:rPr>
        <w:drawing>
          <wp:inline distT="0" distB="0" distL="0" distR="0" wp14:anchorId="70102A3E" wp14:editId="6B7133A5">
            <wp:extent cx="2651760" cy="2200102"/>
            <wp:effectExtent l="0" t="0" r="0" b="0"/>
            <wp:docPr id="1812426153" name="Immagine 5" descr="Immagine che contiene schermata, Elementi grafici, grafic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26153" name="Immagine 5" descr="Immagine che contiene schermata, Elementi grafici, grafica, design&#10;&#10;Il contenuto generato dall'IA potrebbe non essere corret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220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E856" w14:textId="67E64D36" w:rsidR="00296D5C" w:rsidRPr="00296D5C" w:rsidRDefault="00B563CB" w:rsidP="00296D5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D27C5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Figure 1. Comparative analysis of qPCR and </w:t>
      </w:r>
      <w:proofErr w:type="spellStart"/>
      <w:r w:rsidRPr="006D27C5">
        <w:rPr>
          <w:rFonts w:ascii="Times New Roman" w:hAnsi="Times New Roman" w:cs="Times New Roman"/>
          <w:b/>
          <w:bCs/>
          <w:sz w:val="22"/>
          <w:szCs w:val="22"/>
          <w:lang w:val="en-US"/>
        </w:rPr>
        <w:t>dPCR</w:t>
      </w:r>
      <w:proofErr w:type="spellEnd"/>
      <w:r w:rsidRPr="006D27C5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performance across serial dilutions of cellular RNA samples.</w:t>
      </w:r>
      <w:r w:rsidR="006D27C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Quantification of miR-4488 and miR-579-3p was performed using both </w:t>
      </w:r>
      <w:proofErr w:type="spellStart"/>
      <w:r w:rsidR="00173E56" w:rsidRPr="00173E56">
        <w:rPr>
          <w:rFonts w:ascii="Times New Roman" w:hAnsi="Times New Roman" w:cs="Times New Roman"/>
          <w:sz w:val="22"/>
          <w:szCs w:val="22"/>
          <w:lang w:val="en-US"/>
        </w:rPr>
        <w:t>qRT</w:t>
      </w:r>
      <w:proofErr w:type="spellEnd"/>
      <w:r w:rsidR="00173E56" w:rsidRPr="00173E56">
        <w:rPr>
          <w:rFonts w:ascii="Times New Roman" w:hAnsi="Times New Roman" w:cs="Times New Roman"/>
          <w:sz w:val="22"/>
          <w:szCs w:val="22"/>
          <w:lang w:val="en-US"/>
        </w:rPr>
        <w:t xml:space="preserve">-PCR </w:t>
      </w:r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proofErr w:type="spellStart"/>
      <w:r w:rsidR="00173E56">
        <w:rPr>
          <w:rFonts w:ascii="Times New Roman" w:hAnsi="Times New Roman" w:cs="Times New Roman"/>
          <w:sz w:val="22"/>
          <w:szCs w:val="22"/>
          <w:lang w:val="en-US"/>
        </w:rPr>
        <w:t>d</w:t>
      </w:r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>PCR</w:t>
      </w:r>
      <w:proofErr w:type="spellEnd"/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 across seven serial dilutions of cellular RNA, starting from undiluted sample (1) and halving the input at each subsequent step (2–7).</w:t>
      </w:r>
      <w:r w:rsidR="00296D5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296D5C" w:rsidRPr="00296D5C">
        <w:rPr>
          <w:rFonts w:ascii="Times New Roman" w:hAnsi="Times New Roman" w:cs="Times New Roman"/>
          <w:b/>
          <w:bCs/>
          <w:sz w:val="22"/>
          <w:szCs w:val="22"/>
          <w:lang w:val="en-US"/>
        </w:rPr>
        <w:t>Panel A</w:t>
      </w:r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 shows the relative expression of miR-4488 measured by qPCR and reported as 2^(-Ct) values;</w:t>
      </w:r>
      <w:r w:rsidR="00296D5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296D5C" w:rsidRPr="001D1579">
        <w:rPr>
          <w:rFonts w:ascii="Times New Roman" w:hAnsi="Times New Roman" w:cs="Times New Roman"/>
          <w:b/>
          <w:bCs/>
          <w:sz w:val="22"/>
          <w:szCs w:val="22"/>
          <w:lang w:val="en-US"/>
        </w:rPr>
        <w:t>Panel B</w:t>
      </w:r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 displays the absolute quantification of miR-4488 by </w:t>
      </w:r>
      <w:proofErr w:type="spellStart"/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>dPCR</w:t>
      </w:r>
      <w:proofErr w:type="spellEnd"/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>, expressed in copies/</w:t>
      </w:r>
      <w:proofErr w:type="spellStart"/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>μL</w:t>
      </w:r>
      <w:proofErr w:type="spellEnd"/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1D157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296D5C" w:rsidRPr="001D1579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Panel C </w:t>
      </w:r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r w:rsidR="00296D5C" w:rsidRPr="001D1579">
        <w:rPr>
          <w:rFonts w:ascii="Times New Roman" w:hAnsi="Times New Roman" w:cs="Times New Roman"/>
          <w:b/>
          <w:bCs/>
          <w:sz w:val="22"/>
          <w:szCs w:val="22"/>
          <w:lang w:val="en-US"/>
        </w:rPr>
        <w:t>Panel D</w:t>
      </w:r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 present the corresponding </w:t>
      </w:r>
      <w:proofErr w:type="spellStart"/>
      <w:r w:rsidR="00A67410" w:rsidRPr="00A67410">
        <w:rPr>
          <w:rFonts w:ascii="Times New Roman" w:hAnsi="Times New Roman" w:cs="Times New Roman"/>
          <w:sz w:val="22"/>
          <w:szCs w:val="22"/>
          <w:lang w:val="en-US"/>
        </w:rPr>
        <w:t>qRT</w:t>
      </w:r>
      <w:proofErr w:type="spellEnd"/>
      <w:r w:rsidR="00A67410" w:rsidRPr="00A67410">
        <w:rPr>
          <w:rFonts w:ascii="Times New Roman" w:hAnsi="Times New Roman" w:cs="Times New Roman"/>
          <w:sz w:val="22"/>
          <w:szCs w:val="22"/>
          <w:lang w:val="en-US"/>
        </w:rPr>
        <w:t xml:space="preserve">-PCR </w:t>
      </w:r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proofErr w:type="spellStart"/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>dPCR</w:t>
      </w:r>
      <w:proofErr w:type="spellEnd"/>
      <w:r w:rsidR="00296D5C" w:rsidRPr="00296D5C">
        <w:rPr>
          <w:rFonts w:ascii="Times New Roman" w:hAnsi="Times New Roman" w:cs="Times New Roman"/>
          <w:sz w:val="22"/>
          <w:szCs w:val="22"/>
          <w:lang w:val="en-US"/>
        </w:rPr>
        <w:t xml:space="preserve"> results for miR-579-3p, following the same dilution series.</w:t>
      </w:r>
    </w:p>
    <w:p w14:paraId="527B332D" w14:textId="71B8B550" w:rsidR="00777BB7" w:rsidRDefault="00777BB7" w:rsidP="00777BB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389CC39" w14:textId="12C8A9A4" w:rsidR="00A45992" w:rsidRDefault="00A45992" w:rsidP="00777BB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5A90B3E" w14:textId="3C19EA3F" w:rsidR="00A45992" w:rsidRDefault="00A45992" w:rsidP="00777BB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3918405D" w14:textId="68260972" w:rsidR="00A45992" w:rsidRDefault="00A45992" w:rsidP="00777BB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75C63AD" w14:textId="7E94B6ED" w:rsidR="00A45992" w:rsidRDefault="00A45992" w:rsidP="00777BB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71EAE1E" w14:textId="5D8DA498" w:rsidR="00A45992" w:rsidRDefault="00A45992" w:rsidP="00777BB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90635DE" w14:textId="37D06135" w:rsidR="00A45992" w:rsidRDefault="00A45992" w:rsidP="00777BB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4F40286" w14:textId="22489E4C" w:rsidR="00A45992" w:rsidRDefault="00A45992" w:rsidP="00777BB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C038F47" w14:textId="74011714" w:rsidR="006E6D74" w:rsidRDefault="00FE6308" w:rsidP="00B0115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bookmarkStart w:id="0" w:name="_Hlk197350813"/>
      <w:r>
        <w:rPr>
          <w:rFonts w:ascii="Times New Roman" w:hAnsi="Times New Roman" w:cs="Times New Roman"/>
          <w:b/>
          <w:bCs/>
          <w:noProof/>
          <w:sz w:val="22"/>
          <w:szCs w:val="22"/>
          <w:lang w:val="en-US"/>
          <w14:ligatures w14:val="none"/>
        </w:rPr>
        <w:lastRenderedPageBreak/>
        <w:drawing>
          <wp:inline distT="0" distB="0" distL="0" distR="0" wp14:anchorId="68DF621C" wp14:editId="24B09129">
            <wp:extent cx="6120130" cy="4984115"/>
            <wp:effectExtent l="0" t="0" r="0" b="6985"/>
            <wp:docPr id="2110314747" name="Immagine 1" descr="Immagine che contiene testo, schermata, Carattere, Rettang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14747" name="Immagine 1" descr="Immagine che contiene testo, schermata, Carattere, Rettangolo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DDC3A" w14:textId="293ABE36" w:rsidR="00A45992" w:rsidRPr="00B01151" w:rsidRDefault="00B01151" w:rsidP="00B0115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Figure 2. Representative duplex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d</w:t>
      </w: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>PCR</w:t>
      </w:r>
      <w:proofErr w:type="spellEnd"/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plots from </w:t>
      </w:r>
      <w:r w:rsidR="00B32E50">
        <w:rPr>
          <w:rFonts w:ascii="Times New Roman" w:hAnsi="Times New Roman" w:cs="Times New Roman"/>
          <w:b/>
          <w:bCs/>
          <w:sz w:val="22"/>
          <w:szCs w:val="22"/>
          <w:lang w:val="en-US"/>
        </w:rPr>
        <w:t>PD</w:t>
      </w: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and </w:t>
      </w:r>
      <w:r w:rsidR="00B32E50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DC </w:t>
      </w: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>melanoma patients across clinical timepoints.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Duplex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d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>PCR</w:t>
      </w:r>
      <w:proofErr w:type="spellEnd"/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 analysis of serum samples from two representative patients with divergent clinical outcomes. </w:t>
      </w: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>Panels A–C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 show a </w:t>
      </w:r>
      <w:r w:rsidR="00580427">
        <w:rPr>
          <w:rFonts w:ascii="Times New Roman" w:hAnsi="Times New Roman" w:cs="Times New Roman"/>
          <w:sz w:val="22"/>
          <w:szCs w:val="22"/>
          <w:lang w:val="en-US"/>
        </w:rPr>
        <w:t>PD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>A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, baseline (T0); </w:t>
      </w: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>B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, on-treatment (T1); </w:t>
      </w:r>
      <w:r w:rsidRPr="00A1738A">
        <w:rPr>
          <w:rFonts w:ascii="Times New Roman" w:hAnsi="Times New Roman" w:cs="Times New Roman"/>
          <w:b/>
          <w:bCs/>
          <w:sz w:val="22"/>
          <w:szCs w:val="22"/>
          <w:lang w:val="en-US"/>
        </w:rPr>
        <w:t>C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, at disease progression (T2). </w:t>
      </w: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>Panels D–F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 display data from a </w:t>
      </w:r>
      <w:r w:rsidR="00580427">
        <w:rPr>
          <w:rFonts w:ascii="Times New Roman" w:hAnsi="Times New Roman" w:cs="Times New Roman"/>
          <w:sz w:val="22"/>
          <w:szCs w:val="22"/>
          <w:lang w:val="en-US"/>
        </w:rPr>
        <w:t>DC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Pr="00B01151">
        <w:rPr>
          <w:rFonts w:ascii="Times New Roman" w:hAnsi="Times New Roman" w:cs="Times New Roman"/>
          <w:b/>
          <w:bCs/>
          <w:sz w:val="22"/>
          <w:szCs w:val="22"/>
          <w:lang w:val="en-US"/>
        </w:rPr>
        <w:t>D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, baseline (T0); </w:t>
      </w:r>
      <w:r w:rsidRPr="00A1738A">
        <w:rPr>
          <w:rFonts w:ascii="Times New Roman" w:hAnsi="Times New Roman" w:cs="Times New Roman"/>
          <w:b/>
          <w:bCs/>
          <w:sz w:val="22"/>
          <w:szCs w:val="22"/>
          <w:lang w:val="en-US"/>
        </w:rPr>
        <w:t>E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 xml:space="preserve">, on-treatment (T1); </w:t>
      </w:r>
      <w:r w:rsidRPr="00A1738A">
        <w:rPr>
          <w:rFonts w:ascii="Times New Roman" w:hAnsi="Times New Roman" w:cs="Times New Roman"/>
          <w:b/>
          <w:bCs/>
          <w:sz w:val="22"/>
          <w:szCs w:val="22"/>
          <w:lang w:val="en-US"/>
        </w:rPr>
        <w:t>F</w:t>
      </w:r>
      <w:r w:rsidRPr="00B01151">
        <w:rPr>
          <w:rFonts w:ascii="Times New Roman" w:hAnsi="Times New Roman" w:cs="Times New Roman"/>
          <w:sz w:val="22"/>
          <w:szCs w:val="22"/>
          <w:lang w:val="en-US"/>
        </w:rPr>
        <w:t>, at best clinical response (T2). miR-579-3p is detected in the VIC channel (violet), and miR-4488 in the FAM channel (orange). Double-negative droplets appear in grey (lower-left quadrant), while double-positive droplets are shown in green (upper-right quadrant).</w:t>
      </w:r>
    </w:p>
    <w:bookmarkEnd w:id="0"/>
    <w:p w14:paraId="2D92BFBC" w14:textId="77777777" w:rsidR="00A45992" w:rsidRDefault="00A45992" w:rsidP="00A45992">
      <w:pPr>
        <w:spacing w:before="100" w:beforeAutospacing="1" w:after="100" w:afterAutospacing="1" w:line="360" w:lineRule="auto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val="en-US" w:eastAsia="en-US"/>
        </w:rPr>
      </w:pPr>
    </w:p>
    <w:p w14:paraId="105FD4DC" w14:textId="77777777" w:rsidR="00AD32CA" w:rsidRPr="00B563CB" w:rsidRDefault="00AD32CA">
      <w:pPr>
        <w:rPr>
          <w:lang w:val="en-US"/>
        </w:rPr>
      </w:pPr>
    </w:p>
    <w:sectPr w:rsidR="00AD32CA" w:rsidRPr="00B563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77"/>
    <w:rsid w:val="000232F9"/>
    <w:rsid w:val="000313CF"/>
    <w:rsid w:val="000A2A67"/>
    <w:rsid w:val="000A4303"/>
    <w:rsid w:val="000D210D"/>
    <w:rsid w:val="000F56C7"/>
    <w:rsid w:val="00112D3F"/>
    <w:rsid w:val="001160C4"/>
    <w:rsid w:val="00143F8C"/>
    <w:rsid w:val="001714B9"/>
    <w:rsid w:val="00173E56"/>
    <w:rsid w:val="001D1579"/>
    <w:rsid w:val="001F27F5"/>
    <w:rsid w:val="0025482A"/>
    <w:rsid w:val="00296D5C"/>
    <w:rsid w:val="002A631C"/>
    <w:rsid w:val="002E1698"/>
    <w:rsid w:val="00383424"/>
    <w:rsid w:val="004338C9"/>
    <w:rsid w:val="004F6668"/>
    <w:rsid w:val="00533EBE"/>
    <w:rsid w:val="00580427"/>
    <w:rsid w:val="006546A8"/>
    <w:rsid w:val="006C63B6"/>
    <w:rsid w:val="006D27C5"/>
    <w:rsid w:val="006E6D74"/>
    <w:rsid w:val="00717FBE"/>
    <w:rsid w:val="00721151"/>
    <w:rsid w:val="00727B84"/>
    <w:rsid w:val="00750A77"/>
    <w:rsid w:val="00772F18"/>
    <w:rsid w:val="00776A75"/>
    <w:rsid w:val="00777BB7"/>
    <w:rsid w:val="00795711"/>
    <w:rsid w:val="00860F2A"/>
    <w:rsid w:val="008E5F4D"/>
    <w:rsid w:val="008F292D"/>
    <w:rsid w:val="008F6459"/>
    <w:rsid w:val="009502EE"/>
    <w:rsid w:val="00973A4C"/>
    <w:rsid w:val="009F1167"/>
    <w:rsid w:val="00A1738A"/>
    <w:rsid w:val="00A45992"/>
    <w:rsid w:val="00A50FB8"/>
    <w:rsid w:val="00A67410"/>
    <w:rsid w:val="00A73F86"/>
    <w:rsid w:val="00A93BE4"/>
    <w:rsid w:val="00AD32CA"/>
    <w:rsid w:val="00B01151"/>
    <w:rsid w:val="00B2391A"/>
    <w:rsid w:val="00B32E50"/>
    <w:rsid w:val="00B563CB"/>
    <w:rsid w:val="00B86041"/>
    <w:rsid w:val="00B96A6E"/>
    <w:rsid w:val="00BE320C"/>
    <w:rsid w:val="00CB19E3"/>
    <w:rsid w:val="00CE4D96"/>
    <w:rsid w:val="00D47C66"/>
    <w:rsid w:val="00DF17AB"/>
    <w:rsid w:val="00ED53AB"/>
    <w:rsid w:val="00F22F42"/>
    <w:rsid w:val="00FE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4877A"/>
  <w15:chartTrackingRefBased/>
  <w15:docId w15:val="{CF8C698C-4452-40AA-94E1-BEC6EC05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63CB"/>
    <w:pPr>
      <w:spacing w:line="278" w:lineRule="auto"/>
    </w:pPr>
    <w:rPr>
      <w:rFonts w:eastAsiaTheme="minorEastAsia"/>
      <w:kern w:val="2"/>
      <w:sz w:val="24"/>
      <w:szCs w:val="24"/>
      <w:lang w:eastAsia="ja-JP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A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0A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0A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eastAsia="en-US"/>
      <w14:ligatures w14:val="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0A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:lang w:eastAsia="en-US"/>
      <w14:ligatures w14:val="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0A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:lang w:eastAsia="en-US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0A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0A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0A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:lang w:eastAsia="en-US"/>
      <w14:ligatures w14:val="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0A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:lang w:eastAsia="en-US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0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0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0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0A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0A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0A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0A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0A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0A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0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750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0A7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0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0A77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0"/>
      <w:sz w:val="22"/>
      <w:szCs w:val="22"/>
      <w:lang w:eastAsia="en-US"/>
      <w14:ligatures w14:val="none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0A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0A77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styleId="Enfasiintensa">
    <w:name w:val="Intense Emphasis"/>
    <w:basedOn w:val="Carpredefinitoparagrafo"/>
    <w:uiPriority w:val="21"/>
    <w:qFormat/>
    <w:rsid w:val="00750A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0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0"/>
      <w:sz w:val="22"/>
      <w:szCs w:val="22"/>
      <w:lang w:eastAsia="en-US"/>
      <w14:ligatures w14:val="none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0A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0A77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777B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77B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77BB7"/>
    <w:rPr>
      <w:rFonts w:eastAsiaTheme="minorEastAsia"/>
      <w:kern w:val="2"/>
      <w:sz w:val="20"/>
      <w:szCs w:val="20"/>
      <w:lang w:eastAsia="ja-JP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3A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3A4C"/>
    <w:rPr>
      <w:rFonts w:eastAsiaTheme="minorEastAsia"/>
      <w:b/>
      <w:bCs/>
      <w:kern w:val="2"/>
      <w:sz w:val="20"/>
      <w:szCs w:val="20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De Gregorio</dc:creator>
  <cp:keywords/>
  <dc:description/>
  <cp:lastModifiedBy>Alex De Gregorio</cp:lastModifiedBy>
  <cp:revision>13</cp:revision>
  <dcterms:created xsi:type="dcterms:W3CDTF">2025-05-05T14:13:00Z</dcterms:created>
  <dcterms:modified xsi:type="dcterms:W3CDTF">2025-05-22T14:02:00Z</dcterms:modified>
</cp:coreProperties>
</file>