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C73532">
        <w:rPr>
          <w:rFonts w:ascii="Times New Roman" w:hAnsi="Times New Roman" w:cs="Times New Roman"/>
          <w:b/>
          <w:bCs/>
        </w:rPr>
        <w:t xml:space="preserve">Figure S1. </w:t>
      </w:r>
      <w:r w:rsidRPr="00C73532">
        <w:rPr>
          <w:rFonts w:ascii="Times New Roman" w:hAnsi="Times New Roman" w:cs="Times New Roman"/>
        </w:rPr>
        <w:t xml:space="preserve">Gene set enrichment analysis (GSEA) of multiple pathways among differentially expressed genes of III-1 oocytes. </w:t>
      </w:r>
    </w:p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C73532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3CD69006" wp14:editId="0E5FFE44">
            <wp:extent cx="5943600" cy="6056630"/>
            <wp:effectExtent l="0" t="0" r="0" b="1270"/>
            <wp:docPr id="1480066798" name="Picture 2" descr="A graph of a 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66798" name="Picture 2" descr="A graph of a graph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5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152" w:rsidRPr="00C73532" w:rsidRDefault="000E1152" w:rsidP="000E1152">
      <w:pPr>
        <w:rPr>
          <w:rFonts w:ascii="Times New Roman" w:hAnsi="Times New Roman" w:cs="Times New Roman"/>
        </w:rPr>
      </w:pPr>
      <w:r w:rsidRPr="00C73532">
        <w:rPr>
          <w:rFonts w:ascii="Times New Roman" w:hAnsi="Times New Roman" w:cs="Times New Roman"/>
        </w:rPr>
        <w:br w:type="page"/>
      </w:r>
    </w:p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C73532">
        <w:rPr>
          <w:rFonts w:ascii="Times New Roman" w:hAnsi="Times New Roman" w:cs="Times New Roman"/>
          <w:b/>
          <w:bCs/>
        </w:rPr>
        <w:lastRenderedPageBreak/>
        <w:t>Figure S2.</w:t>
      </w:r>
      <w:r w:rsidRPr="00C73532">
        <w:rPr>
          <w:rFonts w:ascii="Times New Roman" w:hAnsi="Times New Roman" w:cs="Times New Roman"/>
        </w:rPr>
        <w:t xml:space="preserve"> Scatter plot of curated gene ontology analysis.</w:t>
      </w:r>
    </w:p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C73532">
        <w:rPr>
          <w:rFonts w:ascii="Times New Roman" w:hAnsi="Times New Roman" w:cs="Times New Roman"/>
        </w:rPr>
        <w:t>Gene expression levels between normal oocytes (x-axis, log2 scale) and index oocytes (y-axis, log2 scale). DEGs (FC ≥ 2, FDR &lt; 0.05) are highlighted. Red: upregulated, blue: downregulated transcripts; gray: statistically not significant.</w:t>
      </w:r>
    </w:p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C73532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13AA2024" wp14:editId="009FC9B7">
            <wp:extent cx="5029200" cy="5029200"/>
            <wp:effectExtent l="0" t="0" r="0" b="0"/>
            <wp:docPr id="1965380326" name="Picture 1" descr="A graph of a normal oocyte express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380326" name="Picture 1" descr="A graph of a normal oocyte expression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152" w:rsidRPr="00C73532" w:rsidRDefault="000E1152" w:rsidP="000E1152">
      <w:pPr>
        <w:rPr>
          <w:rFonts w:ascii="Times New Roman" w:hAnsi="Times New Roman" w:cs="Times New Roman"/>
        </w:rPr>
      </w:pPr>
      <w:r w:rsidRPr="00C73532">
        <w:rPr>
          <w:rFonts w:ascii="Times New Roman" w:hAnsi="Times New Roman" w:cs="Times New Roman"/>
        </w:rPr>
        <w:br w:type="page"/>
      </w:r>
    </w:p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</w:rPr>
      </w:pPr>
      <w:bookmarkStart w:id="0" w:name="_Hlk201581147"/>
      <w:r w:rsidRPr="00C73532">
        <w:rPr>
          <w:rFonts w:ascii="Times New Roman" w:hAnsi="Times New Roman" w:cs="Times New Roman"/>
          <w:b/>
          <w:bCs/>
        </w:rPr>
        <w:lastRenderedPageBreak/>
        <w:t>Table S1:</w:t>
      </w:r>
      <w:r w:rsidRPr="00C73532">
        <w:rPr>
          <w:rFonts w:ascii="Times New Roman" w:hAnsi="Times New Roman" w:cs="Times New Roman"/>
        </w:rPr>
        <w:t xml:space="preserve"> Summary of antibodies used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895"/>
        <w:gridCol w:w="2160"/>
        <w:gridCol w:w="2160"/>
      </w:tblGrid>
      <w:tr w:rsidR="000E1152" w:rsidRPr="00C73532" w:rsidTr="00506647">
        <w:tc>
          <w:tcPr>
            <w:tcW w:w="2425" w:type="dxa"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Reagent</w:t>
            </w:r>
          </w:p>
        </w:tc>
        <w:tc>
          <w:tcPr>
            <w:tcW w:w="1895" w:type="dxa"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Catalog Number</w:t>
            </w:r>
          </w:p>
        </w:tc>
        <w:tc>
          <w:tcPr>
            <w:tcW w:w="2160" w:type="dxa"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Conjugate / Fluorophore</w:t>
            </w:r>
          </w:p>
        </w:tc>
        <w:tc>
          <w:tcPr>
            <w:tcW w:w="2160" w:type="dxa"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Supplier</w:t>
            </w:r>
          </w:p>
        </w:tc>
      </w:tr>
      <w:tr w:rsidR="000E1152" w:rsidRPr="00C73532" w:rsidTr="00506647">
        <w:tc>
          <w:tcPr>
            <w:tcW w:w="2425" w:type="dxa"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Wheat Germ Agglutinin (WGA)</w:t>
            </w:r>
          </w:p>
        </w:tc>
        <w:tc>
          <w:tcPr>
            <w:tcW w:w="1895" w:type="dxa"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W21404</w:t>
            </w:r>
          </w:p>
        </w:tc>
        <w:tc>
          <w:tcPr>
            <w:tcW w:w="2160" w:type="dxa"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Alexa Fluor 633</w:t>
            </w:r>
          </w:p>
        </w:tc>
        <w:tc>
          <w:tcPr>
            <w:tcW w:w="2160" w:type="dxa"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3532">
              <w:rPr>
                <w:rFonts w:ascii="Times New Roman" w:hAnsi="Times New Roman" w:cs="Times New Roman"/>
              </w:rPr>
              <w:t>ThermoFisher</w:t>
            </w:r>
            <w:proofErr w:type="spellEnd"/>
            <w:r w:rsidRPr="00C73532">
              <w:rPr>
                <w:rFonts w:ascii="Times New Roman" w:hAnsi="Times New Roman" w:cs="Times New Roman"/>
              </w:rPr>
              <w:t xml:space="preserve"> Scientific, USA</w:t>
            </w:r>
          </w:p>
        </w:tc>
      </w:tr>
      <w:tr w:rsidR="000E1152" w:rsidRPr="00C73532" w:rsidTr="00506647">
        <w:tc>
          <w:tcPr>
            <w:tcW w:w="2425" w:type="dxa"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α-Tubulin Monoclonal Antibody (B-5-1-2)</w:t>
            </w:r>
          </w:p>
        </w:tc>
        <w:tc>
          <w:tcPr>
            <w:tcW w:w="1895" w:type="dxa"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322588</w:t>
            </w:r>
          </w:p>
        </w:tc>
        <w:tc>
          <w:tcPr>
            <w:tcW w:w="2160" w:type="dxa"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Alexa Fluor 488</w:t>
            </w:r>
          </w:p>
        </w:tc>
        <w:tc>
          <w:tcPr>
            <w:tcW w:w="2160" w:type="dxa"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3532">
              <w:rPr>
                <w:rFonts w:ascii="Times New Roman" w:hAnsi="Times New Roman" w:cs="Times New Roman"/>
              </w:rPr>
              <w:t>ThermoFisher</w:t>
            </w:r>
            <w:proofErr w:type="spellEnd"/>
            <w:r w:rsidRPr="00C73532">
              <w:rPr>
                <w:rFonts w:ascii="Times New Roman" w:hAnsi="Times New Roman" w:cs="Times New Roman"/>
              </w:rPr>
              <w:t xml:space="preserve"> Scientific, USA</w:t>
            </w:r>
          </w:p>
        </w:tc>
      </w:tr>
      <w:tr w:rsidR="000E1152" w:rsidRPr="00C73532" w:rsidTr="00506647">
        <w:tc>
          <w:tcPr>
            <w:tcW w:w="2425" w:type="dxa"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Hoechst 33342</w:t>
            </w:r>
          </w:p>
        </w:tc>
        <w:tc>
          <w:tcPr>
            <w:tcW w:w="1895" w:type="dxa"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62249</w:t>
            </w:r>
          </w:p>
        </w:tc>
        <w:tc>
          <w:tcPr>
            <w:tcW w:w="2160" w:type="dxa"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Alexa Fluor 350</w:t>
            </w:r>
          </w:p>
        </w:tc>
        <w:tc>
          <w:tcPr>
            <w:tcW w:w="2160" w:type="dxa"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3532">
              <w:rPr>
                <w:rFonts w:ascii="Times New Roman" w:hAnsi="Times New Roman" w:cs="Times New Roman"/>
              </w:rPr>
              <w:t>ThermoFisher</w:t>
            </w:r>
            <w:proofErr w:type="spellEnd"/>
            <w:r w:rsidRPr="00C73532">
              <w:rPr>
                <w:rFonts w:ascii="Times New Roman" w:hAnsi="Times New Roman" w:cs="Times New Roman"/>
              </w:rPr>
              <w:t xml:space="preserve"> Scientific, USA</w:t>
            </w:r>
          </w:p>
        </w:tc>
      </w:tr>
      <w:bookmarkEnd w:id="0"/>
    </w:tbl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</w:p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  <w:bCs/>
        </w:rPr>
      </w:pPr>
      <w:r w:rsidRPr="00C73532">
        <w:rPr>
          <w:rFonts w:ascii="Times New Roman" w:hAnsi="Times New Roman" w:cs="Times New Roman"/>
          <w:b/>
          <w:bCs/>
        </w:rPr>
        <w:t>Table S2.</w:t>
      </w:r>
      <w:r w:rsidRPr="00C73532">
        <w:rPr>
          <w:rFonts w:ascii="Times New Roman" w:hAnsi="Times New Roman" w:cs="Times New Roman"/>
          <w:bCs/>
        </w:rPr>
        <w:t xml:space="preserve"> Genes highly expressed in the testis, for which male fertility phenotypes have been reported in male mice and men, and a phenotype is available in the OMIM database.</w:t>
      </w:r>
    </w:p>
    <w:tbl>
      <w:tblPr>
        <w:tblStyle w:val="TableGridLight"/>
        <w:tblW w:w="2367" w:type="dxa"/>
        <w:tblLook w:val="04A0" w:firstRow="1" w:lastRow="0" w:firstColumn="1" w:lastColumn="0" w:noHBand="0" w:noVBand="1"/>
      </w:tblPr>
      <w:tblGrid>
        <w:gridCol w:w="1170"/>
        <w:gridCol w:w="1197"/>
      </w:tblGrid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bookmarkStart w:id="1" w:name="_GoBack"/>
            <w:bookmarkEnd w:id="1"/>
            <w:r w:rsidRPr="00C73532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3532">
              <w:rPr>
                <w:rFonts w:ascii="Times New Roman" w:hAnsi="Times New Roman" w:cs="Times New Roman"/>
                <w:b/>
                <w:bCs/>
              </w:rPr>
              <w:t>OMIM ID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PLK4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605031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KASH5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618125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SYCP3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604759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TRIP13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604507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FANCA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607139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XRCC2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600375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MEI1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608797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TEX15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605795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MEIOB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617670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SYCE1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611486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TEX11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300311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STAG3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608489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TEX14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605792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DMC1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602721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lastRenderedPageBreak/>
              <w:t>TDRD9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617963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HENMT1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612178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PNLDC1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613893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M1AP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619098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MSH4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602105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SPATA16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609856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DPY19L2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613893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ZPBP1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608498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CCD62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613481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CEP70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614310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NUP210L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N/A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IQCN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620160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HOOK1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607820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SPEF2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610172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TTC21A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611430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TTC29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618735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SPAG17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616554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AGTPBP1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606830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CFAP45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605152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CFAP52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609804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CEP69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617949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CEP128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617333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CEP135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611423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AKAP3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604689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AKAP4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300185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FSIP2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615796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DNAH1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603332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lastRenderedPageBreak/>
              <w:t>DNAH2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603335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DNAH10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605884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DNAI1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602135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DNAH17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610063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CFAP70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618661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CFAP43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617558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CFAP44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617559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CFAP47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310577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CFAP57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614259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CFAP65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614207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CFAP54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N/A</w:t>
            </w:r>
          </w:p>
        </w:tc>
      </w:tr>
      <w:tr w:rsidR="000E1152" w:rsidRPr="00C73532" w:rsidTr="00457A6E">
        <w:trPr>
          <w:trHeight w:val="288"/>
        </w:trPr>
        <w:tc>
          <w:tcPr>
            <w:tcW w:w="1170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CFAP91</w:t>
            </w:r>
          </w:p>
        </w:tc>
        <w:tc>
          <w:tcPr>
            <w:tcW w:w="1197" w:type="dxa"/>
            <w:noWrap/>
            <w:hideMark/>
          </w:tcPr>
          <w:p w:rsidR="000E1152" w:rsidRPr="00C73532" w:rsidRDefault="000E1152" w:rsidP="0050664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C73532">
              <w:rPr>
                <w:rFonts w:ascii="Times New Roman" w:hAnsi="Times New Roman" w:cs="Times New Roman"/>
              </w:rPr>
              <w:t>609910</w:t>
            </w:r>
          </w:p>
        </w:tc>
      </w:tr>
    </w:tbl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  <w:vanish/>
        </w:rPr>
      </w:pPr>
    </w:p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</w:p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</w:p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C73532">
        <w:rPr>
          <w:rFonts w:ascii="Times New Roman" w:hAnsi="Times New Roman" w:cs="Times New Roman"/>
          <w:b/>
          <w:bCs/>
        </w:rPr>
        <w:t xml:space="preserve">Table S3. </w:t>
      </w:r>
      <w:r w:rsidRPr="00C73532">
        <w:rPr>
          <w:rFonts w:ascii="Times New Roman" w:hAnsi="Times New Roman" w:cs="Times New Roman"/>
        </w:rPr>
        <w:t>Patient versus normal</w:t>
      </w:r>
      <w:r w:rsidRPr="00C73532">
        <w:rPr>
          <w:rFonts w:ascii="Times New Roman" w:hAnsi="Times New Roman" w:cs="Times New Roman"/>
          <w:b/>
          <w:bCs/>
        </w:rPr>
        <w:t xml:space="preserve"> </w:t>
      </w:r>
      <w:r w:rsidRPr="00C73532">
        <w:rPr>
          <w:rFonts w:ascii="Times New Roman" w:hAnsi="Times New Roman" w:cs="Times New Roman"/>
        </w:rPr>
        <w:t xml:space="preserve">discovered DEGs.  </w:t>
      </w:r>
    </w:p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C73532">
        <w:rPr>
          <w:rFonts w:ascii="Times New Roman" w:hAnsi="Times New Roman" w:cs="Times New Roman"/>
          <w:b/>
          <w:bCs/>
        </w:rPr>
        <w:t xml:space="preserve">Table S4. </w:t>
      </w:r>
      <w:r w:rsidRPr="00C73532">
        <w:rPr>
          <w:rFonts w:ascii="Times New Roman" w:hAnsi="Times New Roman" w:cs="Times New Roman"/>
        </w:rPr>
        <w:t>Curated gene ontology analysis, examining 448 genes.</w:t>
      </w:r>
    </w:p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C73532">
        <w:rPr>
          <w:rFonts w:ascii="Times New Roman" w:hAnsi="Times New Roman" w:cs="Times New Roman"/>
          <w:b/>
          <w:bCs/>
        </w:rPr>
        <w:t xml:space="preserve">Table S5. </w:t>
      </w:r>
      <w:r w:rsidRPr="00C73532">
        <w:rPr>
          <w:rFonts w:ascii="Times New Roman" w:hAnsi="Times New Roman" w:cs="Times New Roman"/>
        </w:rPr>
        <w:t xml:space="preserve">The </w:t>
      </w:r>
      <w:proofErr w:type="spellStart"/>
      <w:r w:rsidRPr="00C73532">
        <w:rPr>
          <w:rFonts w:ascii="Times New Roman" w:hAnsi="Times New Roman" w:cs="Times New Roman"/>
          <w:color w:val="0070C0"/>
        </w:rPr>
        <w:t>oGRN</w:t>
      </w:r>
      <w:proofErr w:type="spellEnd"/>
      <w:r w:rsidRPr="00C73532">
        <w:rPr>
          <w:rFonts w:ascii="Times New Roman" w:hAnsi="Times New Roman" w:cs="Times New Roman"/>
          <w:color w:val="0070C0"/>
        </w:rPr>
        <w:t xml:space="preserve"> </w:t>
      </w:r>
      <w:r w:rsidRPr="00C73532">
        <w:rPr>
          <w:rFonts w:ascii="Times New Roman" w:hAnsi="Times New Roman" w:cs="Times New Roman"/>
        </w:rPr>
        <w:t>associated 45 TFs.</w:t>
      </w:r>
    </w:p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C73532">
        <w:rPr>
          <w:rFonts w:ascii="Times New Roman" w:hAnsi="Times New Roman" w:cs="Times New Roman"/>
          <w:b/>
          <w:bCs/>
        </w:rPr>
        <w:t xml:space="preserve">Table S6. </w:t>
      </w:r>
      <w:r w:rsidRPr="00C73532">
        <w:rPr>
          <w:rFonts w:ascii="Times New Roman" w:hAnsi="Times New Roman" w:cs="Times New Roman"/>
        </w:rPr>
        <w:t>TFs with loss of binding to associated regulatory regions in III-1 genome.</w:t>
      </w:r>
    </w:p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E1152" w:rsidRPr="00C73532" w:rsidRDefault="000E1152" w:rsidP="000E1152">
      <w:pPr>
        <w:rPr>
          <w:rFonts w:ascii="Times New Roman" w:hAnsi="Times New Roman" w:cs="Times New Roman"/>
          <w:b/>
          <w:bCs/>
        </w:rPr>
      </w:pPr>
    </w:p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C73532">
        <w:rPr>
          <w:rFonts w:ascii="Times New Roman" w:hAnsi="Times New Roman" w:cs="Times New Roman"/>
          <w:b/>
          <w:bCs/>
        </w:rPr>
        <w:t>Video S1.</w:t>
      </w:r>
      <w:r w:rsidRPr="00C73532">
        <w:rPr>
          <w:rFonts w:ascii="Times New Roman" w:hAnsi="Times New Roman" w:cs="Times New Roman"/>
        </w:rPr>
        <w:t xml:space="preserve"> Time-lapse of one of the patient’s oocytes that failed to fertilize in the first cycle (no extrusion of the second polar body and no </w:t>
      </w:r>
      <w:proofErr w:type="spellStart"/>
      <w:r w:rsidRPr="00C73532">
        <w:rPr>
          <w:rFonts w:ascii="Times New Roman" w:hAnsi="Times New Roman" w:cs="Times New Roman"/>
        </w:rPr>
        <w:t>pronuclei</w:t>
      </w:r>
      <w:proofErr w:type="spellEnd"/>
      <w:r w:rsidRPr="00C73532">
        <w:rPr>
          <w:rFonts w:ascii="Times New Roman" w:hAnsi="Times New Roman" w:cs="Times New Roman"/>
        </w:rPr>
        <w:t xml:space="preserve"> formation).</w:t>
      </w:r>
    </w:p>
    <w:p w:rsidR="000E1152" w:rsidRPr="00C73532" w:rsidRDefault="000E1152" w:rsidP="000E115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C73532">
        <w:rPr>
          <w:rFonts w:ascii="Times New Roman" w:hAnsi="Times New Roman" w:cs="Times New Roman"/>
          <w:b/>
          <w:bCs/>
        </w:rPr>
        <w:t>Video S2.</w:t>
      </w:r>
      <w:r w:rsidRPr="00C73532">
        <w:rPr>
          <w:rFonts w:ascii="Times New Roman" w:hAnsi="Times New Roman" w:cs="Times New Roman"/>
        </w:rPr>
        <w:t xml:space="preserve"> Time-lapse of one of the patient’s oocytes after ICSI-AOA showing extrusion of the second polar body followed by formation of two </w:t>
      </w:r>
      <w:proofErr w:type="spellStart"/>
      <w:r w:rsidRPr="00C73532">
        <w:rPr>
          <w:rFonts w:ascii="Times New Roman" w:hAnsi="Times New Roman" w:cs="Times New Roman"/>
        </w:rPr>
        <w:t>pronuclei</w:t>
      </w:r>
      <w:proofErr w:type="spellEnd"/>
      <w:r w:rsidRPr="00C73532">
        <w:rPr>
          <w:rFonts w:ascii="Times New Roman" w:hAnsi="Times New Roman" w:cs="Times New Roman"/>
        </w:rPr>
        <w:t>, cleavage and embryo development to the 8-cells stage.</w:t>
      </w:r>
    </w:p>
    <w:p w:rsidR="00B5598C" w:rsidRDefault="00B5598C"/>
    <w:sectPr w:rsidR="00B559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52"/>
    <w:rsid w:val="000E1152"/>
    <w:rsid w:val="00203CE6"/>
    <w:rsid w:val="00280E0D"/>
    <w:rsid w:val="00457A6E"/>
    <w:rsid w:val="00462BCC"/>
    <w:rsid w:val="0058035F"/>
    <w:rsid w:val="005E79B7"/>
    <w:rsid w:val="008655FA"/>
    <w:rsid w:val="00921A5F"/>
    <w:rsid w:val="009A1D72"/>
    <w:rsid w:val="00AD288E"/>
    <w:rsid w:val="00AD745E"/>
    <w:rsid w:val="00B5598C"/>
    <w:rsid w:val="00DA5573"/>
    <w:rsid w:val="00F7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407BEE-466B-4DFB-B853-6D726C94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152"/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1152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E1152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Edmund Abraham</dc:creator>
  <cp:keywords/>
  <dc:description/>
  <cp:lastModifiedBy>Ziaur Bijli G</cp:lastModifiedBy>
  <cp:revision>3</cp:revision>
  <dcterms:created xsi:type="dcterms:W3CDTF">2025-08-25T14:44:00Z</dcterms:created>
  <dcterms:modified xsi:type="dcterms:W3CDTF">2025-08-27T14:59:00Z</dcterms:modified>
</cp:coreProperties>
</file>