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AD7FE">
      <w:pPr>
        <w:widowControl/>
        <w:spacing w:before="312" w:beforeLines="100" w:after="312" w:afterLines="100" w:line="360" w:lineRule="auto"/>
        <w:jc w:val="center"/>
        <w:rPr>
          <w:rFonts w:ascii="Times New Roman" w:hAnsi="Times New Roman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/>
          <w:b/>
          <w:bCs/>
          <w:color w:val="000000"/>
          <w:kern w:val="0"/>
          <w:sz w:val="32"/>
          <w:szCs w:val="32"/>
          <w:lang w:bidi="ar"/>
        </w:rPr>
        <w:t>Supporting Information</w:t>
      </w:r>
    </w:p>
    <w:p w14:paraId="608FBD45">
      <w:pPr>
        <w:widowControl/>
        <w:spacing w:before="312" w:beforeLines="100" w:after="312" w:afterLines="100" w:line="360" w:lineRule="auto"/>
        <w:rPr>
          <w:rFonts w:ascii="Times New Roman" w:hAnsi="Times New Roman"/>
          <w:b/>
          <w:bCs/>
          <w:color w:val="000000"/>
          <w:kern w:val="0"/>
          <w:sz w:val="24"/>
          <w:szCs w:val="24"/>
          <w:lang w:bidi="ar"/>
        </w:rPr>
      </w:pPr>
      <w:r>
        <w:rPr>
          <w:rFonts w:hint="eastAsia" w:ascii="Times New Roman" w:hAnsi="Times New Roman"/>
          <w:b/>
          <w:bCs/>
          <w:color w:val="000000"/>
          <w:kern w:val="0"/>
          <w:sz w:val="24"/>
          <w:szCs w:val="24"/>
          <w:lang w:bidi="ar"/>
        </w:rPr>
        <w:t>A single-cell digital PCR method tailored for quantification of HBV DNA positive cells in liver biopsy tissues</w:t>
      </w:r>
    </w:p>
    <w:p w14:paraId="795137FA">
      <w:pPr>
        <w:widowControl/>
        <w:spacing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  <w:lang w:bidi="ar"/>
        </w:rPr>
      </w:pPr>
      <w:r>
        <w:rPr>
          <w:rFonts w:ascii="Times New Roman" w:hAnsi="Times New Roman"/>
          <w:color w:val="000000"/>
          <w:kern w:val="0"/>
          <w:sz w:val="24"/>
          <w:szCs w:val="24"/>
          <w:lang w:bidi="ar"/>
        </w:rPr>
        <w:t xml:space="preserve">Jingmei Li </w:t>
      </w:r>
      <w:r>
        <w:rPr>
          <w:rFonts w:ascii="Times New Roman" w:hAnsi="Times New Roman"/>
          <w:color w:val="000000"/>
          <w:kern w:val="0"/>
          <w:sz w:val="24"/>
          <w:szCs w:val="24"/>
          <w:vertAlign w:val="superscript"/>
          <w:lang w:bidi="ar"/>
        </w:rPr>
        <w:t>1, §</w:t>
      </w:r>
      <w:r>
        <w:rPr>
          <w:rFonts w:ascii="Times New Roman" w:hAnsi="Times New Roman"/>
          <w:color w:val="000000"/>
          <w:kern w:val="0"/>
          <w:sz w:val="24"/>
          <w:szCs w:val="24"/>
          <w:lang w:bidi="ar"/>
        </w:rPr>
        <w:t xml:space="preserve">, Hui Li </w:t>
      </w:r>
      <w:r>
        <w:rPr>
          <w:rFonts w:ascii="Times New Roman" w:hAnsi="Times New Roman"/>
          <w:color w:val="000000"/>
          <w:kern w:val="0"/>
          <w:sz w:val="24"/>
          <w:szCs w:val="24"/>
          <w:vertAlign w:val="superscript"/>
          <w:lang w:bidi="ar"/>
        </w:rPr>
        <w:t>2, §</w:t>
      </w:r>
      <w:r>
        <w:rPr>
          <w:rFonts w:ascii="Times New Roman" w:hAnsi="Times New Roman"/>
          <w:color w:val="000000"/>
          <w:kern w:val="0"/>
          <w:sz w:val="24"/>
          <w:szCs w:val="24"/>
          <w:lang w:bidi="ar"/>
        </w:rPr>
        <w:t xml:space="preserve">, Xin Zhang </w:t>
      </w:r>
      <w:r>
        <w:rPr>
          <w:rFonts w:ascii="Times New Roman" w:hAnsi="Times New Roman"/>
          <w:color w:val="000000"/>
          <w:kern w:val="0"/>
          <w:sz w:val="24"/>
          <w:szCs w:val="24"/>
          <w:vertAlign w:val="superscript"/>
          <w:lang w:bidi="ar"/>
        </w:rPr>
        <w:t>1, §</w:t>
      </w:r>
      <w:r>
        <w:rPr>
          <w:rFonts w:ascii="Times New Roman" w:hAnsi="Times New Roman"/>
          <w:color w:val="000000"/>
          <w:kern w:val="0"/>
          <w:sz w:val="24"/>
          <w:szCs w:val="24"/>
          <w:lang w:bidi="ar"/>
        </w:rPr>
        <w:t xml:space="preserve">, Xueyan Liu </w:t>
      </w:r>
      <w:r>
        <w:rPr>
          <w:rFonts w:ascii="Times New Roman" w:hAnsi="Times New Roman"/>
          <w:color w:val="000000"/>
          <w:kern w:val="0"/>
          <w:sz w:val="24"/>
          <w:szCs w:val="24"/>
          <w:vertAlign w:val="superscript"/>
          <w:lang w:bidi="ar"/>
        </w:rPr>
        <w:t>1</w:t>
      </w:r>
      <w:r>
        <w:rPr>
          <w:rFonts w:ascii="Times New Roman" w:hAnsi="Times New Roman"/>
          <w:color w:val="000000"/>
          <w:kern w:val="0"/>
          <w:sz w:val="24"/>
          <w:szCs w:val="24"/>
          <w:lang w:bidi="ar"/>
        </w:rPr>
        <w:t xml:space="preserve">, Zumi Zhou </w:t>
      </w:r>
      <w:r>
        <w:rPr>
          <w:rFonts w:ascii="Times New Roman" w:hAnsi="Times New Roman"/>
          <w:color w:val="000000"/>
          <w:kern w:val="0"/>
          <w:sz w:val="24"/>
          <w:szCs w:val="24"/>
          <w:vertAlign w:val="superscript"/>
          <w:lang w:bidi="ar"/>
        </w:rPr>
        <w:t>3</w:t>
      </w:r>
      <w:r>
        <w:rPr>
          <w:rFonts w:ascii="Times New Roman" w:hAnsi="Times New Roman"/>
          <w:color w:val="000000"/>
          <w:kern w:val="0"/>
          <w:sz w:val="24"/>
          <w:szCs w:val="24"/>
          <w:lang w:bidi="ar"/>
        </w:rPr>
        <w:t xml:space="preserve">, Jia Wei </w:t>
      </w:r>
      <w:r>
        <w:rPr>
          <w:rFonts w:ascii="Times New Roman" w:hAnsi="Times New Roman"/>
          <w:color w:val="000000"/>
          <w:kern w:val="0"/>
          <w:sz w:val="24"/>
          <w:szCs w:val="24"/>
          <w:vertAlign w:val="superscript"/>
          <w:lang w:bidi="ar"/>
        </w:rPr>
        <w:t>2</w:t>
      </w:r>
      <w:r>
        <w:rPr>
          <w:rFonts w:ascii="Times New Roman" w:hAnsi="Times New Roman"/>
          <w:color w:val="000000"/>
          <w:kern w:val="0"/>
          <w:sz w:val="24"/>
          <w:szCs w:val="24"/>
          <w:lang w:bidi="ar"/>
        </w:rPr>
        <w:t>, Rujuan Zhao</w:t>
      </w:r>
      <w:r>
        <w:rPr>
          <w:rFonts w:ascii="Times New Roman" w:hAnsi="Times New Roman"/>
          <w:color w:val="000000"/>
          <w:kern w:val="0"/>
          <w:sz w:val="24"/>
          <w:szCs w:val="24"/>
          <w:vertAlign w:val="superscript"/>
          <w:lang w:bidi="ar"/>
        </w:rPr>
        <w:t xml:space="preserve"> 2</w:t>
      </w:r>
      <w:r>
        <w:rPr>
          <w:rFonts w:ascii="Times New Roman" w:hAnsi="Times New Roman"/>
          <w:color w:val="000000"/>
          <w:kern w:val="0"/>
          <w:sz w:val="24"/>
          <w:szCs w:val="24"/>
          <w:lang w:bidi="ar"/>
        </w:rPr>
        <w:t>, Tai</w:t>
      </w:r>
      <w:r>
        <w:rPr>
          <w:rFonts w:hint="eastAsia" w:ascii="Times New Roman" w:hAnsi="Times New Roman"/>
          <w:color w:val="000000"/>
          <w:kern w:val="0"/>
          <w:sz w:val="24"/>
          <w:szCs w:val="24"/>
          <w:lang w:val="en-US" w:eastAsia="zh-CN" w:bidi="ar"/>
        </w:rPr>
        <w:t>-C</w:t>
      </w:r>
      <w:r>
        <w:rPr>
          <w:rFonts w:ascii="Times New Roman" w:hAnsi="Times New Roman"/>
          <w:color w:val="000000"/>
          <w:kern w:val="0"/>
          <w:sz w:val="24"/>
          <w:szCs w:val="24"/>
          <w:lang w:bidi="ar"/>
        </w:rPr>
        <w:t xml:space="preserve">heng Zhou </w:t>
      </w:r>
      <w:r>
        <w:rPr>
          <w:rFonts w:ascii="Times New Roman" w:hAnsi="Times New Roman"/>
          <w:color w:val="000000"/>
          <w:kern w:val="0"/>
          <w:sz w:val="24"/>
          <w:szCs w:val="24"/>
          <w:vertAlign w:val="superscript"/>
          <w:lang w:bidi="ar"/>
        </w:rPr>
        <w:t>2,</w:t>
      </w:r>
      <w:r>
        <w:rPr>
          <w:rFonts w:ascii="Times New Roman" w:hAnsi="Times New Roman"/>
          <w:color w:val="000000"/>
          <w:kern w:val="0"/>
          <w:sz w:val="24"/>
          <w:szCs w:val="24"/>
          <w:lang w:bidi="ar"/>
        </w:rPr>
        <w:t xml:space="preserve"> *, Zijie Zhang </w:t>
      </w:r>
      <w:r>
        <w:rPr>
          <w:rFonts w:ascii="Times New Roman" w:hAnsi="Times New Roman"/>
          <w:color w:val="000000"/>
          <w:kern w:val="0"/>
          <w:sz w:val="24"/>
          <w:szCs w:val="24"/>
          <w:vertAlign w:val="superscript"/>
          <w:lang w:bidi="ar"/>
        </w:rPr>
        <w:t>1,4,5,</w:t>
      </w:r>
      <w:r>
        <w:rPr>
          <w:rFonts w:ascii="Times New Roman" w:hAnsi="Times New Roman"/>
          <w:color w:val="000000"/>
          <w:kern w:val="0"/>
          <w:sz w:val="24"/>
          <w:szCs w:val="24"/>
          <w:lang w:bidi="ar"/>
        </w:rPr>
        <w:t xml:space="preserve"> *, Chunmei Li </w:t>
      </w:r>
      <w:r>
        <w:rPr>
          <w:rFonts w:ascii="Times New Roman" w:hAnsi="Times New Roman"/>
          <w:color w:val="000000"/>
          <w:kern w:val="0"/>
          <w:sz w:val="24"/>
          <w:szCs w:val="24"/>
          <w:vertAlign w:val="superscript"/>
          <w:lang w:bidi="ar"/>
        </w:rPr>
        <w:t>1,</w:t>
      </w:r>
      <w:r>
        <w:rPr>
          <w:rFonts w:ascii="Times New Roman" w:hAnsi="Times New Roman"/>
          <w:color w:val="000000"/>
          <w:kern w:val="0"/>
          <w:sz w:val="24"/>
          <w:szCs w:val="24"/>
          <w:lang w:bidi="ar"/>
        </w:rPr>
        <w:t xml:space="preserve"> *</w:t>
      </w:r>
    </w:p>
    <w:p w14:paraId="35B93DB8">
      <w:pPr>
        <w:widowControl/>
        <w:jc w:val="left"/>
        <w:rPr>
          <w:rFonts w:ascii="Times New Roman" w:hAnsi="Times New Roman"/>
          <w:b/>
          <w:bCs/>
          <w:color w:val="000000"/>
          <w:kern w:val="0"/>
          <w:sz w:val="24"/>
          <w:szCs w:val="24"/>
          <w:lang w:bidi="ar"/>
        </w:rPr>
      </w:pPr>
    </w:p>
    <w:p w14:paraId="52837D3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color w:val="0070C0"/>
          <w:kern w:val="2"/>
          <w:sz w:val="24"/>
          <w:szCs w:val="36"/>
          <w:lang w:val="en-US" w:eastAsia="zh-CN" w:bidi="ar"/>
        </w:rPr>
        <w:t>Bio-X Center for Interdisciplinary Innovation</w:t>
      </w:r>
      <w:r>
        <w:rPr>
          <w:rFonts w:ascii="Times New Roman" w:hAnsi="Times New Roman"/>
          <w:sz w:val="24"/>
          <w:szCs w:val="24"/>
        </w:rPr>
        <w:t>, Yunnan University, Kunming, Yunnan 650091, China.</w:t>
      </w:r>
    </w:p>
    <w:p w14:paraId="177893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/>
          <w:sz w:val="24"/>
          <w:szCs w:val="24"/>
        </w:rPr>
        <w:t>Central Lab and Infectious Disease Department, the Affiliated Hospital of Yunnan University, Yunnan University, Kunming, Yunnan 650091, China.</w:t>
      </w:r>
    </w:p>
    <w:p w14:paraId="5F2FC58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3 </w:t>
      </w:r>
      <w:r>
        <w:rPr>
          <w:rFonts w:ascii="Times New Roman" w:hAnsi="Times New Roman"/>
          <w:sz w:val="24"/>
          <w:szCs w:val="24"/>
        </w:rPr>
        <w:t>Yunnan Genvoo Biomedicals Ltd., Yunnan 650031, China.</w:t>
      </w:r>
    </w:p>
    <w:p w14:paraId="30200DE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4</w:t>
      </w:r>
      <w:r>
        <w:rPr>
          <w:rFonts w:ascii="Times New Roman" w:hAnsi="Times New Roman"/>
          <w:sz w:val="24"/>
          <w:szCs w:val="24"/>
        </w:rPr>
        <w:t xml:space="preserve"> Southwest United Graduate School, Yunnan, China.</w:t>
      </w:r>
    </w:p>
    <w:p w14:paraId="2C2E0F2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5</w:t>
      </w:r>
      <w:r>
        <w:rPr>
          <w:rFonts w:ascii="Times New Roman" w:hAnsi="Times New Roman"/>
          <w:sz w:val="24"/>
          <w:szCs w:val="24"/>
        </w:rPr>
        <w:t xml:space="preserve"> Yunnan Vaccine Laboratory, Yunnan, China.</w:t>
      </w:r>
    </w:p>
    <w:p w14:paraId="131096AE">
      <w:pPr>
        <w:rPr>
          <w:rFonts w:ascii="Times New Roman" w:hAnsi="Times New Roman"/>
          <w:sz w:val="24"/>
          <w:szCs w:val="24"/>
        </w:rPr>
      </w:pPr>
    </w:p>
    <w:p w14:paraId="6275D2DF">
      <w:pPr>
        <w:jc w:val="left"/>
        <w:rPr>
          <w:rFonts w:ascii="Times New Roman" w:hAnsi="Times New Roman"/>
          <w:sz w:val="24"/>
          <w:szCs w:val="24"/>
        </w:rPr>
      </w:pPr>
    </w:p>
    <w:p w14:paraId="504D8872">
      <w:pPr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Correspondence </w:t>
      </w: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author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67D81563">
      <w:pPr>
        <w:jc w:val="left"/>
        <w:rPr>
          <w:rFonts w:hint="default" w:ascii="Times New Roman" w:hAnsi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Email: licm89</w:t>
      </w:r>
      <w:r>
        <w:rPr>
          <w:rFonts w:ascii="Times New Roman" w:hAnsi="Times New Roman"/>
          <w:sz w:val="24"/>
          <w:szCs w:val="24"/>
        </w:rPr>
        <w:t>@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126.com</w:t>
      </w:r>
    </w:p>
    <w:p w14:paraId="7472AAB5">
      <w:pPr>
        <w:rPr>
          <w:rFonts w:hint="default" w:ascii="Times New Roman" w:hAnsi="Times New Roman" w:cs="Times New Roman"/>
          <w:sz w:val="24"/>
        </w:rPr>
      </w:pPr>
    </w:p>
    <w:p w14:paraId="6E0BE9BF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drawing>
          <wp:inline distT="0" distB="0" distL="114300" distR="114300">
            <wp:extent cx="5273675" cy="7465695"/>
            <wp:effectExtent l="0" t="0" r="14605" b="1905"/>
            <wp:docPr id="5" name="图片 5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6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3384D">
      <w:pPr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b/>
          <w:bCs/>
          <w:sz w:val="24"/>
        </w:rPr>
        <w:t xml:space="preserve">Figure S1. the </w:t>
      </w:r>
      <w:r>
        <w:rPr>
          <w:rFonts w:hint="default" w:ascii="Times New Roman" w:hAnsi="Times New Roman" w:eastAsia="宋体" w:cs="Times New Roman"/>
          <w:b/>
          <w:bCs/>
          <w:sz w:val="24"/>
          <w:lang w:bidi="ar"/>
        </w:rPr>
        <w:t>melting curves of amplification</w:t>
      </w:r>
      <w:r>
        <w:rPr>
          <w:rFonts w:hint="default" w:ascii="Times New Roman" w:hAnsi="Times New Roman" w:eastAsia="宋体" w:cs="Times New Roman"/>
          <w:sz w:val="24"/>
          <w:lang w:bidi="ar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z w:val="24"/>
          <w:lang w:bidi="ar"/>
        </w:rPr>
        <w:t>products for cccDNA and β-actin primers.</w:t>
      </w:r>
      <w:r>
        <w:rPr>
          <w:rFonts w:hint="default" w:ascii="Times New Roman" w:hAnsi="Times New Roman" w:eastAsia="宋体" w:cs="Times New Roman"/>
          <w:sz w:val="24"/>
          <w:lang w:bidi="ar"/>
        </w:rPr>
        <w:t xml:space="preserve"> The peaks showed in the figures is the melting temperature (Tm) of the products, at which 50% of the DNA is double-stranded and 50% is dissociated into single-stranded DNA. The melting curve of a single amplification product displays a single peak at the Tm of the product (cccDNA-3 and β-actin-2). Multiple peaks in a melting curve indicate additional amplification products, usually from non-specific amplification (cccDNA-1, cccDNA-2 and β-actin-1).</w:t>
      </w:r>
    </w:p>
    <w:p w14:paraId="2E63BBD0">
      <w:pPr>
        <w:rPr>
          <w:rFonts w:hint="default" w:ascii="Times New Roman" w:hAnsi="Times New Roman" w:cs="Times New Roman"/>
          <w:sz w:val="24"/>
        </w:rPr>
      </w:pPr>
    </w:p>
    <w:p w14:paraId="4328EC3C">
      <w:pPr>
        <w:rPr>
          <w:rFonts w:hint="default" w:ascii="Times New Roman" w:hAnsi="Times New Roman" w:cs="Times New Roman"/>
          <w:sz w:val="24"/>
        </w:rPr>
      </w:pPr>
    </w:p>
    <w:p w14:paraId="13FB9330">
      <w:pPr>
        <w:rPr>
          <w:rFonts w:hint="default" w:ascii="Times New Roman" w:hAnsi="Times New Roman" w:cs="Times New Roman"/>
          <w:sz w:val="24"/>
        </w:rPr>
      </w:pPr>
    </w:p>
    <w:p w14:paraId="354A66AA">
      <w:pPr>
        <w:jc w:val="center"/>
        <w:rPr>
          <w:rFonts w:hint="eastAsia" w:ascii="Times New Roman" w:hAnsi="Times New Roman" w:cs="Times New Roman" w:eastAsiaTheme="minorEastAsia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lang w:eastAsia="zh-CN"/>
        </w:rPr>
        <w:drawing>
          <wp:inline distT="0" distB="0" distL="114300" distR="114300">
            <wp:extent cx="5267960" cy="2172335"/>
            <wp:effectExtent l="0" t="0" r="8890" b="8890"/>
            <wp:docPr id="1" name="图片 1" descr="FigureS2-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S2-202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7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15384">
      <w:pPr>
        <w:jc w:val="center"/>
        <w:rPr>
          <w:rFonts w:hint="default" w:ascii="Times New Roman" w:hAnsi="Times New Roman" w:cs="Times New Roman"/>
          <w:sz w:val="24"/>
        </w:rPr>
      </w:pPr>
    </w:p>
    <w:p w14:paraId="04FD9492">
      <w:pPr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b/>
          <w:bCs/>
          <w:sz w:val="24"/>
        </w:rPr>
        <w:t xml:space="preserve">Figure S2.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T</w:t>
      </w:r>
      <w:r>
        <w:rPr>
          <w:rFonts w:hint="default" w:ascii="Times New Roman" w:hAnsi="Times New Roman" w:cs="Times New Roman"/>
          <w:b/>
          <w:bCs/>
          <w:sz w:val="24"/>
        </w:rPr>
        <w:t xml:space="preserve">he results of different annealing temperature for the β-actin2 and cccDNA3 primer-probe pairs under the scID-PCR system. </w:t>
      </w:r>
      <w:r>
        <w:rPr>
          <w:rFonts w:hint="default" w:ascii="Times New Roman" w:hAnsi="Times New Roman" w:cs="Times New Roman"/>
          <w:b w:val="0"/>
          <w:bCs w:val="0"/>
          <w:sz w:val="24"/>
        </w:rPr>
        <w:t xml:space="preserve">The PCR template inputs were HepG2.2.15 cells. </w:t>
      </w:r>
      <w:r>
        <w:rPr>
          <w:rFonts w:hint="default" w:ascii="Times New Roman" w:hAnsi="Times New Roman" w:cs="Times New Roman"/>
          <w:sz w:val="24"/>
        </w:rPr>
        <w:t>The above figure shows the results of cccDNA detection, and the figure below shows the results of β-actin gene detection; The X-axis is the total number of droplets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(event number)</w:t>
      </w:r>
      <w:r>
        <w:rPr>
          <w:rFonts w:hint="default" w:ascii="Times New Roman" w:hAnsi="Times New Roman" w:cs="Times New Roman"/>
          <w:sz w:val="24"/>
        </w:rPr>
        <w:t>, the Y-axis is the fluorescence signal intensity</w:t>
      </w:r>
      <w:r>
        <w:rPr>
          <w:rFonts w:hint="eastAsia" w:ascii="Times New Roman" w:hAnsi="Times New Roman" w:cs="Times New Roman"/>
          <w:sz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</w:rPr>
        <w:t xml:space="preserve"> Droplets with fluorescence signal intensity greater than the threshold are positive droplets, i.e., </w:t>
      </w:r>
      <w:r>
        <w:rPr>
          <w:rFonts w:hint="eastAsia" w:ascii="Times New Roman" w:hAnsi="Times New Roman" w:cs="Times New Roman"/>
          <w:sz w:val="24"/>
          <w:lang w:val="en-US" w:eastAsia="zh-CN"/>
        </w:rPr>
        <w:t>yellow</w:t>
      </w:r>
      <w:r>
        <w:rPr>
          <w:rFonts w:hint="default" w:ascii="Times New Roman" w:hAnsi="Times New Roman" w:cs="Times New Roman"/>
          <w:sz w:val="24"/>
        </w:rPr>
        <w:t>/blue droplets; Droplets with fluorescence signal intensity less than the threshold are negative droplets, i.e., gray droplets; PBS as a blank control.</w:t>
      </w:r>
    </w:p>
    <w:p w14:paraId="0F395F90">
      <w:pPr>
        <w:rPr>
          <w:rFonts w:hint="default" w:ascii="Times New Roman" w:hAnsi="Times New Roman" w:cs="Times New Roman"/>
          <w:sz w:val="24"/>
        </w:rPr>
      </w:pPr>
    </w:p>
    <w:p w14:paraId="2713DC77">
      <w:pPr>
        <w:rPr>
          <w:rFonts w:hint="default" w:ascii="Times New Roman" w:hAnsi="Times New Roman" w:cs="Times New Roman"/>
          <w:sz w:val="24"/>
        </w:rPr>
      </w:pPr>
    </w:p>
    <w:p w14:paraId="3FFD7E8F">
      <w:pPr>
        <w:jc w:val="center"/>
        <w:rPr>
          <w:rFonts w:hint="default" w:ascii="Times New Roman" w:hAnsi="Times New Roman" w:cs="Times New Roman"/>
          <w:sz w:val="24"/>
        </w:rPr>
      </w:pPr>
    </w:p>
    <w:p w14:paraId="1B0FEDFE">
      <w:pPr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br w:type="page"/>
      </w:r>
    </w:p>
    <w:p w14:paraId="7AED146B">
      <w:pPr>
        <w:jc w:val="center"/>
        <w:rPr>
          <w:rFonts w:hint="eastAsia" w:ascii="Times New Roman" w:hAnsi="Times New Roman" w:cs="Times New Roman" w:eastAsiaTheme="minorEastAsia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lang w:eastAsia="zh-CN"/>
        </w:rPr>
        <w:drawing>
          <wp:inline distT="0" distB="0" distL="114300" distR="114300">
            <wp:extent cx="4663440" cy="5803265"/>
            <wp:effectExtent l="0" t="0" r="3810" b="6985"/>
            <wp:docPr id="3" name="图片 3" descr="比对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比对图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580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53492">
      <w:pPr>
        <w:rPr>
          <w:rFonts w:hint="default" w:ascii="Times New Roman" w:hAnsi="Times New Roman" w:cs="Times New Roman"/>
          <w:b w:val="0"/>
          <w:bCs w:val="0"/>
          <w:sz w:val="24"/>
        </w:rPr>
      </w:pPr>
      <w:r>
        <w:rPr>
          <w:rFonts w:hint="default" w:ascii="Times New Roman" w:hAnsi="Times New Roman" w:cs="Times New Roman"/>
          <w:b/>
          <w:bCs/>
          <w:sz w:val="24"/>
        </w:rPr>
        <w:t xml:space="preserve">Figure S3. Multiple sequence alignment results for cccDNA-3 primer-probe pairs with HBV DNA sequences from genotypes A-H. </w:t>
      </w:r>
      <w:r>
        <w:rPr>
          <w:rFonts w:hint="default" w:ascii="Times New Roman" w:hAnsi="Times New Roman" w:cs="Times New Roman"/>
          <w:b w:val="0"/>
          <w:bCs w:val="0"/>
          <w:sz w:val="24"/>
        </w:rPr>
        <w:t>HBV DNA sequences were downloaded from NCBI and aligned using the MUSCLE program in MEGA with default parameters.</w:t>
      </w:r>
    </w:p>
    <w:p w14:paraId="382EADDD">
      <w:pPr>
        <w:rPr>
          <w:rFonts w:hint="default" w:ascii="Times New Roman" w:hAnsi="Times New Roman" w:cs="Times New Roman"/>
          <w:sz w:val="24"/>
        </w:rPr>
      </w:pPr>
    </w:p>
    <w:p w14:paraId="71D0D59E">
      <w:pPr>
        <w:rPr>
          <w:rFonts w:hint="default" w:ascii="Times New Roman" w:hAnsi="Times New Roman" w:cs="Times New Roman"/>
          <w:sz w:val="24"/>
        </w:rPr>
      </w:pPr>
    </w:p>
    <w:p w14:paraId="73A00289">
      <w:pPr>
        <w:jc w:val="center"/>
        <w:rPr>
          <w:rFonts w:hint="default" w:ascii="Times New Roman" w:hAnsi="Times New Roman" w:cs="Times New Roman"/>
        </w:rPr>
      </w:pPr>
    </w:p>
    <w:p w14:paraId="5C8E309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55EADD35">
      <w:pPr>
        <w:jc w:val="center"/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hint="eastAsia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69865" cy="1160145"/>
            <wp:effectExtent l="0" t="0" r="6985" b="1905"/>
            <wp:docPr id="4" name="图片 4" descr="FigureS4-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S4-202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16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5179E">
      <w:pPr>
        <w:rPr>
          <w:rFonts w:hint="default" w:ascii="Times New Roman" w:hAnsi="Times New Roman" w:eastAsia="宋体" w:cs="Times New Roman"/>
          <w:color w:val="000000"/>
          <w:sz w:val="24"/>
          <w:lang w:bidi="ar"/>
        </w:rPr>
      </w:pPr>
      <w:r>
        <w:rPr>
          <w:rFonts w:hint="default" w:ascii="Times New Roman" w:hAnsi="Times New Roman" w:cs="Times New Roman"/>
          <w:b/>
          <w:bCs/>
          <w:sz w:val="24"/>
        </w:rPr>
        <w:t xml:space="preserve">Figure S4.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 w:bidi="ar"/>
        </w:rPr>
        <w:t>T</w:t>
      </w:r>
      <w:r>
        <w:rPr>
          <w:rFonts w:hint="default" w:ascii="Times New Roman" w:hAnsi="Times New Roman" w:eastAsia="宋体" w:cs="Times New Roman"/>
          <w:b/>
          <w:bCs/>
          <w:sz w:val="24"/>
          <w:lang w:bidi="ar"/>
        </w:rPr>
        <w:t>he results of DNA input for the scID-PCR system.</w:t>
      </w:r>
      <w:r>
        <w:rPr>
          <w:rFonts w:hint="default" w:ascii="Times New Roman" w:hAnsi="Times New Roman" w:eastAsia="宋体" w:cs="Times New Roman"/>
          <w:b/>
          <w:bCs/>
          <w:color w:val="000000"/>
          <w:sz w:val="24"/>
          <w:lang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lang w:bidi="ar"/>
        </w:rPr>
        <w:t xml:space="preserve">The above figure shows the results of cccDNA detection, and the figure below shows the results of β-actin gene detection; The X-axis is the total number of droplets (event number), the Y-axis is the fluorescence signal intensity. Droplets with fluorescence signal intensity greater than the threshold are positive droplets, i.e., yellow/blue droplets; Droplets with fluorescence signal intensity less than the threshold are negative droplets, i.e., gray droplets; PBS as a blank control. </w:t>
      </w:r>
    </w:p>
    <w:p w14:paraId="2D1739A9">
      <w:pPr>
        <w:rPr>
          <w:rFonts w:hint="default" w:ascii="Times New Roman" w:hAnsi="Times New Roman" w:eastAsia="宋体" w:cs="Times New Roman"/>
          <w:color w:val="000000"/>
          <w:sz w:val="24"/>
          <w:lang w:bidi="ar"/>
        </w:rPr>
      </w:pPr>
    </w:p>
    <w:p w14:paraId="3820E2AB">
      <w:pPr>
        <w:jc w:val="center"/>
        <w:rPr>
          <w:rFonts w:hint="eastAsia" w:ascii="Times New Roman" w:hAnsi="Times New Roman" w:eastAsia="宋体" w:cs="Times New Roman"/>
          <w:color w:val="000000"/>
          <w:sz w:val="24"/>
          <w:lang w:eastAsia="zh-CN" w:bidi="ar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eastAsia="zh-CN" w:bidi="ar"/>
        </w:rPr>
        <w:drawing>
          <wp:inline distT="0" distB="0" distL="114300" distR="114300">
            <wp:extent cx="5270500" cy="1955165"/>
            <wp:effectExtent l="0" t="0" r="6350" b="6985"/>
            <wp:docPr id="6" name="图片 6" descr="FigureS5-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S5-202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5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2292C">
      <w:pPr>
        <w:rPr>
          <w:rFonts w:hint="default" w:ascii="Times New Roman" w:hAnsi="Times New Roman" w:eastAsia="宋体" w:cs="Times New Roman"/>
          <w:color w:val="000000"/>
          <w:sz w:val="24"/>
          <w:lang w:bidi="ar"/>
        </w:rPr>
      </w:pPr>
      <w:r>
        <w:rPr>
          <w:rFonts w:hint="default" w:ascii="Times New Roman" w:hAnsi="Times New Roman" w:cs="Times New Roman"/>
          <w:b/>
          <w:bCs/>
          <w:sz w:val="24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 w:bidi="ar"/>
        </w:rPr>
        <w:t>The change of HBeAg between 0 week (0w) and 48 weeks (48w), with the proportion of cccDNA+ cell (</w:t>
      </w:r>
      <w:r>
        <w:rPr>
          <w:rFonts w:hint="eastAsia" w:ascii="Times New Roman" w:hAnsi="Times New Roman" w:eastAsia="宋体" w:cs="Times New Roman"/>
          <w:b/>
          <w:bCs/>
          <w:i/>
          <w:iCs/>
          <w:sz w:val="24"/>
          <w:lang w:val="en-US" w:eastAsia="zh-CN" w:bidi="ar"/>
        </w:rPr>
        <w:t>R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 w:bidi="ar"/>
        </w:rPr>
        <w:t xml:space="preserve">) in liver at 48 weeks of anti-HBV therapy. </w:t>
      </w:r>
      <w:r>
        <w:rPr>
          <w:rFonts w:hint="default" w:ascii="Times New Roman" w:hAnsi="Times New Roman" w:eastAsia="宋体" w:cs="Times New Roman"/>
          <w:color w:val="000000"/>
          <w:sz w:val="24"/>
          <w:lang w:bidi="ar"/>
        </w:rPr>
        <w:t xml:space="preserve"> </w:t>
      </w:r>
    </w:p>
    <w:p w14:paraId="444F1CF4">
      <w:pPr>
        <w:rPr>
          <w:rFonts w:hint="default" w:ascii="Times New Roman" w:hAnsi="Times New Roman" w:eastAsia="宋体" w:cs="Times New Roman"/>
          <w:color w:val="000000"/>
          <w:sz w:val="24"/>
          <w:lang w:bidi="ar"/>
        </w:rPr>
      </w:pPr>
    </w:p>
    <w:p w14:paraId="45D7C850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br w:type="page"/>
      </w:r>
    </w:p>
    <w:p w14:paraId="0CEFA2F9">
      <w:pPr>
        <w:rPr>
          <w:rFonts w:hint="default" w:ascii="Times New Roman" w:hAnsi="Times New Roman" w:cs="Times New Roman"/>
          <w:sz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FB41998">
      <w:pPr>
        <w:rPr>
          <w:rFonts w:hint="default" w:ascii="Times New Roman" w:hAnsi="Times New Roman" w:eastAsia="宋体" w:cs="Times New Roman"/>
          <w:sz w:val="24"/>
        </w:rPr>
      </w:pPr>
      <w:bookmarkStart w:id="0" w:name="_Hlk169278012"/>
      <w:r>
        <w:rPr>
          <w:rFonts w:hint="default" w:ascii="Times New Roman" w:hAnsi="Times New Roman" w:cs="Times New Roman"/>
          <w:sz w:val="24"/>
        </w:rPr>
        <w:t>Table S1</w:t>
      </w:r>
      <w:bookmarkEnd w:id="0"/>
      <w:r>
        <w:rPr>
          <w:rFonts w:hint="default" w:ascii="Times New Roman" w:hAnsi="Times New Roman" w:cs="Times New Roman"/>
          <w:sz w:val="24"/>
        </w:rPr>
        <w:t xml:space="preserve">. the </w:t>
      </w:r>
      <w:r>
        <w:rPr>
          <w:rFonts w:hint="default" w:ascii="Times New Roman" w:hAnsi="Times New Roman" w:eastAsia="宋体" w:cs="Times New Roman"/>
          <w:sz w:val="24"/>
        </w:rPr>
        <w:t xml:space="preserve">probability distribution for </w:t>
      </w:r>
      <w:r>
        <w:rPr>
          <w:rFonts w:hint="default" w:ascii="Times New Roman" w:hAnsi="Times New Roman" w:cs="Times New Roman"/>
          <w:sz w:val="24"/>
        </w:rPr>
        <w:t>encapsulat</w:t>
      </w:r>
      <w:r>
        <w:rPr>
          <w:rFonts w:hint="default" w:ascii="Times New Roman" w:hAnsi="Times New Roman" w:eastAsia="宋体" w:cs="Times New Roman"/>
          <w:sz w:val="24"/>
        </w:rPr>
        <w:t>ing 2000, 4000, and 8000 cells into 20000, 50000, and 100000 droplets, based on the Poisson distribution.</w:t>
      </w:r>
    </w:p>
    <w:tbl>
      <w:tblPr>
        <w:tblStyle w:val="6"/>
        <w:tblW w:w="505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"/>
        <w:gridCol w:w="1597"/>
        <w:gridCol w:w="1510"/>
        <w:gridCol w:w="1510"/>
        <w:gridCol w:w="1510"/>
        <w:gridCol w:w="1510"/>
        <w:gridCol w:w="1510"/>
        <w:gridCol w:w="1510"/>
        <w:gridCol w:w="1513"/>
        <w:gridCol w:w="1662"/>
      </w:tblGrid>
      <w:tr w14:paraId="19498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0" w:type="pct"/>
            <w:shd w:val="clear" w:color="auto" w:fill="auto"/>
            <w:noWrap/>
            <w:vAlign w:val="center"/>
          </w:tcPr>
          <w:p w14:paraId="3B46E8A3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x</w:t>
            </w:r>
          </w:p>
        </w:tc>
        <w:tc>
          <w:tcPr>
            <w:tcW w:w="557" w:type="pct"/>
            <w:shd w:val="clear" w:color="auto" w:fill="auto"/>
            <w:noWrap/>
            <w:vAlign w:val="center"/>
          </w:tcPr>
          <w:p w14:paraId="2A578EE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2000 cells to 20000 droplets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7C121E0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2000 cells to 50000 droplets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5E16611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2000 cells to 1e+05 droplets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1B97568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4000 cells to 20000 droplets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17DFEC4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4000 cells to 50000 droplets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0477910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4000 cells to 1e+05 droplets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7A04308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8000 cells to 20000 droplets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0DC5B91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8000 cells to 50000 droplets</w:t>
            </w:r>
          </w:p>
        </w:tc>
        <w:tc>
          <w:tcPr>
            <w:tcW w:w="580" w:type="pct"/>
            <w:shd w:val="clear" w:color="auto" w:fill="auto"/>
            <w:noWrap/>
            <w:vAlign w:val="center"/>
          </w:tcPr>
          <w:p w14:paraId="755A039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8000 cells to 1e+05 droplets</w:t>
            </w:r>
          </w:p>
        </w:tc>
      </w:tr>
      <w:tr w14:paraId="4E0A5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70" w:type="pct"/>
            <w:shd w:val="clear" w:color="auto" w:fill="auto"/>
            <w:noWrap/>
            <w:vAlign w:val="center"/>
          </w:tcPr>
          <w:p w14:paraId="3496A688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57" w:type="pct"/>
            <w:shd w:val="clear" w:color="auto" w:fill="auto"/>
            <w:noWrap/>
            <w:vAlign w:val="center"/>
          </w:tcPr>
          <w:p w14:paraId="127F7D7C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0.9048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3FFDBBDD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0.9608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041CE182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0.9802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6303F1FF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0.8187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29679F33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0.9231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07534005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0.9608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1FCBC727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0.6703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67A3D3A5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0.8521</w:t>
            </w:r>
          </w:p>
        </w:tc>
        <w:tc>
          <w:tcPr>
            <w:tcW w:w="580" w:type="pct"/>
            <w:shd w:val="clear" w:color="auto" w:fill="auto"/>
            <w:noWrap/>
            <w:vAlign w:val="center"/>
          </w:tcPr>
          <w:p w14:paraId="12FB4ECA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0.9231</w:t>
            </w:r>
          </w:p>
        </w:tc>
      </w:tr>
      <w:tr w14:paraId="4E264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0" w:type="pct"/>
            <w:shd w:val="clear" w:color="auto" w:fill="auto"/>
            <w:noWrap/>
            <w:vAlign w:val="center"/>
          </w:tcPr>
          <w:p w14:paraId="7E23CCB5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557" w:type="pct"/>
            <w:shd w:val="clear" w:color="auto" w:fill="auto"/>
            <w:noWrap/>
            <w:vAlign w:val="center"/>
          </w:tcPr>
          <w:p w14:paraId="3E7147A5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0.0905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1AD66394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0.0384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2DB6E80D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0.0196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5CF118E8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0.1637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2855627C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0.0738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6EAFFF98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0.0384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70ED4E2C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0.2681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5ADCD3D0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0.1363</w:t>
            </w:r>
          </w:p>
        </w:tc>
        <w:tc>
          <w:tcPr>
            <w:tcW w:w="580" w:type="pct"/>
            <w:shd w:val="clear" w:color="auto" w:fill="auto"/>
            <w:noWrap/>
            <w:vAlign w:val="center"/>
          </w:tcPr>
          <w:p w14:paraId="64B6A6B4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0.0738</w:t>
            </w:r>
          </w:p>
        </w:tc>
      </w:tr>
      <w:tr w14:paraId="1CCF8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0" w:type="pct"/>
            <w:shd w:val="clear" w:color="auto" w:fill="auto"/>
            <w:noWrap/>
            <w:vAlign w:val="center"/>
          </w:tcPr>
          <w:p w14:paraId="2D7B850E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557" w:type="pct"/>
            <w:shd w:val="clear" w:color="auto" w:fill="auto"/>
            <w:noWrap/>
            <w:vAlign w:val="center"/>
          </w:tcPr>
          <w:p w14:paraId="76AC4233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0.0045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49748FBE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0.0008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17BB578C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0.0002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091A6271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0.0164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543F2E97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0.0030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16EB30C6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0.0008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57BACE35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0.0536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34859C86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0.0109</w:t>
            </w:r>
          </w:p>
        </w:tc>
        <w:tc>
          <w:tcPr>
            <w:tcW w:w="580" w:type="pct"/>
            <w:shd w:val="clear" w:color="auto" w:fill="auto"/>
            <w:noWrap/>
            <w:vAlign w:val="center"/>
          </w:tcPr>
          <w:p w14:paraId="04D28F49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0.0030</w:t>
            </w:r>
          </w:p>
        </w:tc>
      </w:tr>
      <w:tr w14:paraId="702A3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0" w:type="pct"/>
            <w:shd w:val="clear" w:color="auto" w:fill="auto"/>
            <w:noWrap/>
            <w:vAlign w:val="center"/>
          </w:tcPr>
          <w:p w14:paraId="603D04B3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557" w:type="pct"/>
            <w:shd w:val="clear" w:color="auto" w:fill="auto"/>
            <w:noWrap/>
            <w:vAlign w:val="center"/>
          </w:tcPr>
          <w:p w14:paraId="1FEA29C9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0.0002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7551C6ED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1.02E-05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5D497A2A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1.31E-06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66E09810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0.0011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513692DA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7.88E-05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35AC8465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1.02E-05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365FF04E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0.0072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1992C378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0.0006</w:t>
            </w:r>
          </w:p>
        </w:tc>
        <w:tc>
          <w:tcPr>
            <w:tcW w:w="580" w:type="pct"/>
            <w:shd w:val="clear" w:color="auto" w:fill="auto"/>
            <w:noWrap/>
            <w:vAlign w:val="center"/>
          </w:tcPr>
          <w:p w14:paraId="2E6191FC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7.88E-05</w:t>
            </w:r>
          </w:p>
        </w:tc>
      </w:tr>
      <w:tr w14:paraId="342A3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0" w:type="pct"/>
            <w:shd w:val="clear" w:color="auto" w:fill="auto"/>
            <w:noWrap/>
            <w:vAlign w:val="center"/>
          </w:tcPr>
          <w:p w14:paraId="1F8BDFA0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557" w:type="pct"/>
            <w:shd w:val="clear" w:color="auto" w:fill="auto"/>
            <w:noWrap/>
            <w:vAlign w:val="center"/>
          </w:tcPr>
          <w:p w14:paraId="540EBA31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3.77E-06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5409C510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1.02E-07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15D9D9CC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6.53E-09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6185188F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5.46E-05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4A0C21A8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1.58E-06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4E73FF99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1.02E-07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53217B0E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0.0007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467AA632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2.33E-05</w:t>
            </w:r>
          </w:p>
        </w:tc>
        <w:tc>
          <w:tcPr>
            <w:tcW w:w="580" w:type="pct"/>
            <w:shd w:val="clear" w:color="auto" w:fill="auto"/>
            <w:noWrap/>
            <w:vAlign w:val="center"/>
          </w:tcPr>
          <w:p w14:paraId="6A46AB65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1.58E-06</w:t>
            </w:r>
          </w:p>
        </w:tc>
      </w:tr>
      <w:tr w14:paraId="0FE0B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0" w:type="pct"/>
            <w:shd w:val="clear" w:color="auto" w:fill="auto"/>
            <w:noWrap/>
            <w:vAlign w:val="center"/>
          </w:tcPr>
          <w:p w14:paraId="536868C9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557" w:type="pct"/>
            <w:shd w:val="clear" w:color="auto" w:fill="auto"/>
            <w:noWrap/>
            <w:vAlign w:val="center"/>
          </w:tcPr>
          <w:p w14:paraId="6788D037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7.54E-08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06A8CF16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8.20E-10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151D3132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2.61E-11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1BF51977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2.18E-06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24DEBCF4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2.52E-08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1003A480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8.20E-10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76CA7D64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5.72E-05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51395CB0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7.45E-07</w:t>
            </w:r>
          </w:p>
        </w:tc>
        <w:tc>
          <w:tcPr>
            <w:tcW w:w="580" w:type="pct"/>
            <w:shd w:val="clear" w:color="auto" w:fill="auto"/>
            <w:noWrap/>
            <w:vAlign w:val="center"/>
          </w:tcPr>
          <w:p w14:paraId="20A5B36A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2.52E-08</w:t>
            </w:r>
          </w:p>
        </w:tc>
      </w:tr>
      <w:tr w14:paraId="0EC34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0" w:type="pct"/>
            <w:shd w:val="clear" w:color="auto" w:fill="auto"/>
            <w:noWrap/>
            <w:vAlign w:val="center"/>
          </w:tcPr>
          <w:p w14:paraId="3BCFE939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557" w:type="pct"/>
            <w:shd w:val="clear" w:color="auto" w:fill="auto"/>
            <w:noWrap/>
            <w:vAlign w:val="center"/>
          </w:tcPr>
          <w:p w14:paraId="3232F564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1.26E-09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67FCD451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5.47E-12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696A2335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8.71E-14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27D584CB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7.28E-08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45541FBC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3.36E-10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47524DC8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5.47E-12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3B7ECD5E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3.81E-06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0A997594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1.99E-08</w:t>
            </w:r>
          </w:p>
        </w:tc>
        <w:tc>
          <w:tcPr>
            <w:tcW w:w="580" w:type="pct"/>
            <w:shd w:val="clear" w:color="auto" w:fill="auto"/>
            <w:noWrap/>
            <w:vAlign w:val="center"/>
          </w:tcPr>
          <w:p w14:paraId="3C406DDB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3.36E-10</w:t>
            </w:r>
          </w:p>
        </w:tc>
      </w:tr>
      <w:tr w14:paraId="4AFC4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0" w:type="pct"/>
            <w:shd w:val="clear" w:color="auto" w:fill="auto"/>
            <w:noWrap/>
            <w:vAlign w:val="center"/>
          </w:tcPr>
          <w:p w14:paraId="73CD929A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557" w:type="pct"/>
            <w:shd w:val="clear" w:color="auto" w:fill="auto"/>
            <w:noWrap/>
            <w:vAlign w:val="center"/>
          </w:tcPr>
          <w:p w14:paraId="307E263E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1.80E-11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728DDB95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3.12E-14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472DD2C6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2.49E-16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43FBC248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2.08E-09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2C592185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3.84E-12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7267AB3A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3.12E-14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0E20CDF4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2.18E-07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1B89C31D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4.54E-10</w:t>
            </w:r>
          </w:p>
        </w:tc>
        <w:tc>
          <w:tcPr>
            <w:tcW w:w="580" w:type="pct"/>
            <w:shd w:val="clear" w:color="auto" w:fill="auto"/>
            <w:noWrap/>
            <w:vAlign w:val="center"/>
          </w:tcPr>
          <w:p w14:paraId="0F0EEF3A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3.84E-12</w:t>
            </w:r>
          </w:p>
        </w:tc>
      </w:tr>
      <w:tr w14:paraId="02AF5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0" w:type="pct"/>
            <w:shd w:val="clear" w:color="auto" w:fill="auto"/>
            <w:noWrap/>
            <w:vAlign w:val="center"/>
          </w:tcPr>
          <w:p w14:paraId="4B306D68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557" w:type="pct"/>
            <w:shd w:val="clear" w:color="auto" w:fill="auto"/>
            <w:noWrap/>
            <w:vAlign w:val="center"/>
          </w:tcPr>
          <w:p w14:paraId="1BE213B6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2.24E-13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4B1AFA4B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1.56E-16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6500EC88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6.22E-19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6F7EFCB6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5.20E-11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75B1D41D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3.84E-14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4223626F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1.56E-16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62840694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1.09E-08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7DFD35D3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9.08E-12</w:t>
            </w:r>
          </w:p>
        </w:tc>
        <w:tc>
          <w:tcPr>
            <w:tcW w:w="580" w:type="pct"/>
            <w:shd w:val="clear" w:color="auto" w:fill="auto"/>
            <w:noWrap/>
            <w:vAlign w:val="center"/>
          </w:tcPr>
          <w:p w14:paraId="7606EC97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3.84E-14</w:t>
            </w:r>
          </w:p>
        </w:tc>
      </w:tr>
      <w:tr w14:paraId="52D0E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0" w:type="pct"/>
            <w:shd w:val="clear" w:color="auto" w:fill="auto"/>
            <w:noWrap/>
            <w:vAlign w:val="center"/>
          </w:tcPr>
          <w:p w14:paraId="1AA9302F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557" w:type="pct"/>
            <w:shd w:val="clear" w:color="auto" w:fill="auto"/>
            <w:noWrap/>
            <w:vAlign w:val="center"/>
          </w:tcPr>
          <w:p w14:paraId="67AA3F1C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2.49E-15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09440352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6.94E-19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114014B8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1.38E-21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62678599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1.16E-12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387D259C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3.41E-16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3418A225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6.94E-19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3011426E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4.84E-10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212E3966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1.61E-13</w:t>
            </w:r>
          </w:p>
        </w:tc>
        <w:tc>
          <w:tcPr>
            <w:tcW w:w="580" w:type="pct"/>
            <w:shd w:val="clear" w:color="auto" w:fill="auto"/>
            <w:noWrap/>
            <w:vAlign w:val="center"/>
          </w:tcPr>
          <w:p w14:paraId="055CC3D1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3.41E-16</w:t>
            </w:r>
          </w:p>
        </w:tc>
      </w:tr>
      <w:tr w14:paraId="190AD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0" w:type="pct"/>
            <w:shd w:val="clear" w:color="auto" w:fill="auto"/>
            <w:noWrap/>
            <w:vAlign w:val="center"/>
          </w:tcPr>
          <w:p w14:paraId="324245FA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557" w:type="pct"/>
            <w:shd w:val="clear" w:color="auto" w:fill="auto"/>
            <w:noWrap/>
            <w:vAlign w:val="center"/>
          </w:tcPr>
          <w:p w14:paraId="338364BC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2.49E-17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52BC3CC3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2.78E-21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1A73F516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2.77E-24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6D8E0436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2.31E-14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7C4486CC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2.73E-18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6BF431A0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2.78E-21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1220A829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1.94E-11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09DFE911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2.58E-15</w:t>
            </w:r>
          </w:p>
        </w:tc>
        <w:tc>
          <w:tcPr>
            <w:tcW w:w="580" w:type="pct"/>
            <w:shd w:val="clear" w:color="auto" w:fill="auto"/>
            <w:noWrap/>
            <w:vAlign w:val="center"/>
          </w:tcPr>
          <w:p w14:paraId="6DFCDF2E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2.73E-18</w:t>
            </w:r>
          </w:p>
        </w:tc>
      </w:tr>
    </w:tbl>
    <w:p w14:paraId="4FB82D0D">
      <w:pPr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x: the cell number in one droplet.</w:t>
      </w:r>
    </w:p>
    <w:p w14:paraId="5259D853">
      <w:pPr>
        <w:rPr>
          <w:rFonts w:hint="default" w:ascii="Times New Roman" w:hAnsi="Times New Roman" w:eastAsia="宋体" w:cs="Times New Roman"/>
          <w:sz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6932BFE">
      <w:pPr>
        <w:rPr>
          <w:rFonts w:hint="default" w:ascii="Times New Roman" w:hAnsi="Times New Roman" w:cs="Times New Roman"/>
          <w:kern w:val="0"/>
          <w:sz w:val="24"/>
          <w:lang w:bidi="ar"/>
        </w:rPr>
      </w:pPr>
      <w:r>
        <w:rPr>
          <w:rFonts w:hint="default" w:ascii="Times New Roman" w:hAnsi="Times New Roman" w:cs="Times New Roman"/>
          <w:sz w:val="24"/>
        </w:rPr>
        <w:t xml:space="preserve">Table S2. </w:t>
      </w:r>
      <w:r>
        <w:rPr>
          <w:rFonts w:hint="default" w:ascii="Times New Roman" w:hAnsi="Times New Roman" w:cs="Times New Roman"/>
          <w:kern w:val="0"/>
          <w:sz w:val="24"/>
          <w:lang w:bidi="ar"/>
        </w:rPr>
        <w:t>Primer and probe sequences for HBV cccDNA quantification.</w:t>
      </w:r>
    </w:p>
    <w:tbl>
      <w:tblPr>
        <w:tblStyle w:val="6"/>
        <w:tblW w:w="5132" w:type="pct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1143"/>
        <w:gridCol w:w="5316"/>
        <w:gridCol w:w="1020"/>
      </w:tblGrid>
      <w:tr w14:paraId="1B2C8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724" w:type="pct"/>
            <w:noWrap/>
            <w:vAlign w:val="center"/>
          </w:tcPr>
          <w:p w14:paraId="170B83A5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Gene</w:t>
            </w:r>
          </w:p>
        </w:tc>
        <w:tc>
          <w:tcPr>
            <w:tcW w:w="653" w:type="pct"/>
            <w:vAlign w:val="center"/>
          </w:tcPr>
          <w:p w14:paraId="2FC618A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primers and probes</w:t>
            </w:r>
          </w:p>
        </w:tc>
        <w:tc>
          <w:tcPr>
            <w:tcW w:w="3038" w:type="pct"/>
            <w:vAlign w:val="center"/>
          </w:tcPr>
          <w:p w14:paraId="5DAC6BA0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Sequence（5'-3'）</w:t>
            </w:r>
          </w:p>
        </w:tc>
        <w:tc>
          <w:tcPr>
            <w:tcW w:w="583" w:type="pct"/>
            <w:noWrap/>
            <w:vAlign w:val="center"/>
          </w:tcPr>
          <w:p w14:paraId="3AA9B25E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Length</w:t>
            </w:r>
          </w:p>
        </w:tc>
      </w:tr>
      <w:tr w14:paraId="3D7B3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4" w:type="pct"/>
            <w:vMerge w:val="restart"/>
            <w:noWrap/>
            <w:vAlign w:val="center"/>
          </w:tcPr>
          <w:p w14:paraId="15481CAF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β-actin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53" w:type="pct"/>
            <w:noWrap/>
            <w:vAlign w:val="center"/>
          </w:tcPr>
          <w:p w14:paraId="0A8130CE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Forward</w:t>
            </w:r>
          </w:p>
        </w:tc>
        <w:tc>
          <w:tcPr>
            <w:tcW w:w="3038" w:type="pct"/>
            <w:vAlign w:val="center"/>
          </w:tcPr>
          <w:p w14:paraId="193A1067">
            <w:pPr>
              <w:widowControl/>
              <w:spacing w:line="44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ACTGTGCCCATCTACGAGG</w:t>
            </w:r>
          </w:p>
        </w:tc>
        <w:tc>
          <w:tcPr>
            <w:tcW w:w="583" w:type="pct"/>
            <w:noWrap/>
            <w:vAlign w:val="center"/>
          </w:tcPr>
          <w:p w14:paraId="6393F06B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</w:tr>
      <w:tr w14:paraId="69EC0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4" w:type="pct"/>
            <w:vMerge w:val="continue"/>
            <w:noWrap/>
            <w:vAlign w:val="center"/>
          </w:tcPr>
          <w:p w14:paraId="3A18AD49">
            <w:pPr>
              <w:jc w:val="left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53" w:type="pct"/>
            <w:noWrap/>
            <w:vAlign w:val="center"/>
          </w:tcPr>
          <w:p w14:paraId="5FBC8B61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Reverse</w:t>
            </w:r>
          </w:p>
        </w:tc>
        <w:tc>
          <w:tcPr>
            <w:tcW w:w="3038" w:type="pct"/>
            <w:vAlign w:val="center"/>
          </w:tcPr>
          <w:p w14:paraId="5F3BFB7A">
            <w:pPr>
              <w:widowControl/>
              <w:spacing w:line="44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CAGGCAGCTCGTAGCTCTT</w:t>
            </w:r>
          </w:p>
        </w:tc>
        <w:tc>
          <w:tcPr>
            <w:tcW w:w="583" w:type="pct"/>
            <w:noWrap/>
            <w:vAlign w:val="center"/>
          </w:tcPr>
          <w:p w14:paraId="1B2B5F19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</w:tr>
      <w:tr w14:paraId="4862C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4" w:type="pct"/>
            <w:vMerge w:val="continue"/>
            <w:noWrap/>
            <w:vAlign w:val="center"/>
          </w:tcPr>
          <w:p w14:paraId="1F827ABB">
            <w:pPr>
              <w:jc w:val="left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53" w:type="pct"/>
            <w:noWrap/>
            <w:vAlign w:val="center"/>
          </w:tcPr>
          <w:p w14:paraId="6BAB1F1D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Probe</w:t>
            </w:r>
          </w:p>
        </w:tc>
        <w:tc>
          <w:tcPr>
            <w:tcW w:w="3038" w:type="pct"/>
            <w:vAlign w:val="center"/>
          </w:tcPr>
          <w:p w14:paraId="1ED58ACE">
            <w:pPr>
              <w:widowControl/>
              <w:spacing w:line="44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VIC-CGGGAAATCGTGCGTGAC-BHQ1</w:t>
            </w:r>
          </w:p>
        </w:tc>
        <w:tc>
          <w:tcPr>
            <w:tcW w:w="583" w:type="pct"/>
            <w:noWrap/>
            <w:vAlign w:val="center"/>
          </w:tcPr>
          <w:p w14:paraId="013AD0A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18</w:t>
            </w:r>
          </w:p>
        </w:tc>
      </w:tr>
      <w:tr w14:paraId="1FE50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4" w:type="pct"/>
            <w:vMerge w:val="restart"/>
            <w:noWrap/>
            <w:vAlign w:val="center"/>
          </w:tcPr>
          <w:p w14:paraId="0FB38A5D">
            <w:pPr>
              <w:jc w:val="left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β-actin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653" w:type="pct"/>
            <w:noWrap/>
            <w:vAlign w:val="center"/>
          </w:tcPr>
          <w:p w14:paraId="75CFB945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Forward</w:t>
            </w:r>
          </w:p>
        </w:tc>
        <w:tc>
          <w:tcPr>
            <w:tcW w:w="3038" w:type="pct"/>
            <w:vAlign w:val="center"/>
          </w:tcPr>
          <w:p w14:paraId="3D0381B4">
            <w:pPr>
              <w:widowControl/>
              <w:spacing w:line="44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GCTAAGTCCTGCCCTCATTTC</w:t>
            </w:r>
          </w:p>
        </w:tc>
        <w:tc>
          <w:tcPr>
            <w:tcW w:w="583" w:type="pct"/>
            <w:noWrap/>
            <w:vAlign w:val="center"/>
          </w:tcPr>
          <w:p w14:paraId="4A93B71F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21</w:t>
            </w:r>
          </w:p>
        </w:tc>
      </w:tr>
      <w:tr w14:paraId="418B3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4" w:type="pct"/>
            <w:vMerge w:val="continue"/>
            <w:noWrap/>
            <w:vAlign w:val="center"/>
          </w:tcPr>
          <w:p w14:paraId="31388824">
            <w:pPr>
              <w:jc w:val="left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53" w:type="pct"/>
            <w:noWrap/>
            <w:vAlign w:val="center"/>
          </w:tcPr>
          <w:p w14:paraId="60CB9768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Reverse</w:t>
            </w:r>
          </w:p>
        </w:tc>
        <w:tc>
          <w:tcPr>
            <w:tcW w:w="3038" w:type="pct"/>
            <w:vAlign w:val="center"/>
          </w:tcPr>
          <w:p w14:paraId="7D7C51CF">
            <w:pPr>
              <w:widowControl/>
              <w:spacing w:line="44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ATCTTCATTGTGCTGGGTGCC</w:t>
            </w:r>
          </w:p>
        </w:tc>
        <w:tc>
          <w:tcPr>
            <w:tcW w:w="583" w:type="pct"/>
            <w:noWrap/>
            <w:vAlign w:val="center"/>
          </w:tcPr>
          <w:p w14:paraId="255B7B05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21</w:t>
            </w:r>
          </w:p>
        </w:tc>
      </w:tr>
      <w:tr w14:paraId="7D56B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4" w:type="pct"/>
            <w:vMerge w:val="continue"/>
            <w:noWrap/>
            <w:vAlign w:val="center"/>
          </w:tcPr>
          <w:p w14:paraId="1597BBEA">
            <w:pPr>
              <w:jc w:val="left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53" w:type="pct"/>
            <w:noWrap/>
            <w:vAlign w:val="center"/>
          </w:tcPr>
          <w:p w14:paraId="7910CAB5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Probe</w:t>
            </w:r>
          </w:p>
        </w:tc>
        <w:tc>
          <w:tcPr>
            <w:tcW w:w="3038" w:type="pct"/>
            <w:vAlign w:val="center"/>
          </w:tcPr>
          <w:p w14:paraId="143D85A1">
            <w:pPr>
              <w:widowControl/>
              <w:spacing w:line="44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VIC-TGACGTGGACATCCGCAAAGAC-BHQ1</w:t>
            </w:r>
          </w:p>
        </w:tc>
        <w:tc>
          <w:tcPr>
            <w:tcW w:w="583" w:type="pct"/>
            <w:noWrap/>
            <w:vAlign w:val="center"/>
          </w:tcPr>
          <w:p w14:paraId="173C3F57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22</w:t>
            </w:r>
          </w:p>
        </w:tc>
      </w:tr>
      <w:tr w14:paraId="16E2D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4" w:type="pct"/>
            <w:vMerge w:val="restart"/>
            <w:noWrap/>
            <w:vAlign w:val="center"/>
          </w:tcPr>
          <w:p w14:paraId="03728753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cccDNA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653" w:type="pct"/>
            <w:noWrap/>
            <w:vAlign w:val="center"/>
          </w:tcPr>
          <w:p w14:paraId="5BBE33DF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Forward</w:t>
            </w:r>
          </w:p>
        </w:tc>
        <w:tc>
          <w:tcPr>
            <w:tcW w:w="3038" w:type="pct"/>
            <w:vAlign w:val="center"/>
          </w:tcPr>
          <w:p w14:paraId="2AD8DF1C">
            <w:pPr>
              <w:widowControl/>
              <w:spacing w:line="4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GGGGCGCACCTCTCTTTA</w:t>
            </w:r>
          </w:p>
        </w:tc>
        <w:tc>
          <w:tcPr>
            <w:tcW w:w="583" w:type="pct"/>
            <w:noWrap/>
            <w:vAlign w:val="center"/>
          </w:tcPr>
          <w:p w14:paraId="5CF3FAA1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18</w:t>
            </w:r>
          </w:p>
        </w:tc>
      </w:tr>
      <w:tr w14:paraId="765DC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4" w:type="pct"/>
            <w:vMerge w:val="continue"/>
            <w:noWrap/>
            <w:vAlign w:val="center"/>
          </w:tcPr>
          <w:p w14:paraId="17F60AF9">
            <w:pPr>
              <w:jc w:val="left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53" w:type="pct"/>
            <w:noWrap/>
            <w:vAlign w:val="center"/>
          </w:tcPr>
          <w:p w14:paraId="550FA781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Reverse</w:t>
            </w:r>
          </w:p>
        </w:tc>
        <w:tc>
          <w:tcPr>
            <w:tcW w:w="3038" w:type="pct"/>
            <w:vAlign w:val="center"/>
          </w:tcPr>
          <w:p w14:paraId="5499F0C7">
            <w:pPr>
              <w:widowControl/>
              <w:spacing w:line="4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AGGCACAGCTTGGAGGC</w:t>
            </w:r>
          </w:p>
        </w:tc>
        <w:tc>
          <w:tcPr>
            <w:tcW w:w="583" w:type="pct"/>
            <w:noWrap/>
            <w:vAlign w:val="center"/>
          </w:tcPr>
          <w:p w14:paraId="30B6F83B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</w:tr>
      <w:tr w14:paraId="4199B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4" w:type="pct"/>
            <w:vMerge w:val="continue"/>
            <w:noWrap/>
            <w:vAlign w:val="center"/>
          </w:tcPr>
          <w:p w14:paraId="066F9A92">
            <w:pPr>
              <w:jc w:val="left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53" w:type="pct"/>
            <w:noWrap/>
            <w:vAlign w:val="center"/>
          </w:tcPr>
          <w:p w14:paraId="0289944E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Probe</w:t>
            </w:r>
          </w:p>
        </w:tc>
        <w:tc>
          <w:tcPr>
            <w:tcW w:w="3038" w:type="pct"/>
            <w:vAlign w:val="center"/>
          </w:tcPr>
          <w:p w14:paraId="730B2FD4">
            <w:pPr>
              <w:widowControl/>
              <w:spacing w:line="4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FAM-TCACCTCTGCCTAATCATCTC-BHQ1</w:t>
            </w:r>
          </w:p>
        </w:tc>
        <w:tc>
          <w:tcPr>
            <w:tcW w:w="583" w:type="pct"/>
            <w:noWrap/>
            <w:vAlign w:val="center"/>
          </w:tcPr>
          <w:p w14:paraId="0F36BA67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21</w:t>
            </w:r>
          </w:p>
        </w:tc>
      </w:tr>
      <w:tr w14:paraId="25532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4" w:type="pct"/>
            <w:vMerge w:val="restart"/>
            <w:noWrap/>
            <w:vAlign w:val="center"/>
          </w:tcPr>
          <w:p w14:paraId="414780A8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cccDNA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653" w:type="pct"/>
            <w:noWrap/>
            <w:vAlign w:val="center"/>
          </w:tcPr>
          <w:p w14:paraId="6F1F806D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Forward</w:t>
            </w:r>
          </w:p>
        </w:tc>
        <w:tc>
          <w:tcPr>
            <w:tcW w:w="3038" w:type="pct"/>
            <w:vAlign w:val="center"/>
          </w:tcPr>
          <w:p w14:paraId="268EB5CF">
            <w:pPr>
              <w:widowControl/>
              <w:spacing w:line="4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CGTCTGTGCCTTCTCATCTGC</w:t>
            </w:r>
          </w:p>
        </w:tc>
        <w:tc>
          <w:tcPr>
            <w:tcW w:w="583" w:type="pct"/>
            <w:noWrap/>
            <w:vAlign w:val="center"/>
          </w:tcPr>
          <w:p w14:paraId="4BE1825E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21</w:t>
            </w:r>
          </w:p>
        </w:tc>
      </w:tr>
      <w:tr w14:paraId="236F0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4" w:type="pct"/>
            <w:vMerge w:val="continue"/>
            <w:noWrap/>
            <w:vAlign w:val="center"/>
          </w:tcPr>
          <w:p w14:paraId="01ACCA07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53" w:type="pct"/>
            <w:noWrap/>
            <w:vAlign w:val="center"/>
          </w:tcPr>
          <w:p w14:paraId="5CCF1B80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Reverse</w:t>
            </w:r>
          </w:p>
        </w:tc>
        <w:tc>
          <w:tcPr>
            <w:tcW w:w="3038" w:type="pct"/>
            <w:vAlign w:val="center"/>
          </w:tcPr>
          <w:p w14:paraId="105ED6BF">
            <w:pPr>
              <w:widowControl/>
              <w:spacing w:line="4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GCACAGCTTGGAGGCTTGAA</w:t>
            </w:r>
          </w:p>
        </w:tc>
        <w:tc>
          <w:tcPr>
            <w:tcW w:w="583" w:type="pct"/>
            <w:noWrap/>
            <w:vAlign w:val="center"/>
          </w:tcPr>
          <w:p w14:paraId="21610E51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20</w:t>
            </w:r>
          </w:p>
        </w:tc>
      </w:tr>
      <w:tr w14:paraId="2E9D8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4" w:type="pct"/>
            <w:vMerge w:val="continue"/>
            <w:noWrap/>
            <w:vAlign w:val="center"/>
          </w:tcPr>
          <w:p w14:paraId="7506E31C">
            <w:pPr>
              <w:jc w:val="left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53" w:type="pct"/>
            <w:noWrap/>
            <w:vAlign w:val="center"/>
          </w:tcPr>
          <w:p w14:paraId="24439106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Probe</w:t>
            </w:r>
          </w:p>
        </w:tc>
        <w:tc>
          <w:tcPr>
            <w:tcW w:w="3038" w:type="pct"/>
            <w:vAlign w:val="center"/>
          </w:tcPr>
          <w:p w14:paraId="4F1F63BA">
            <w:pPr>
              <w:widowControl/>
              <w:spacing w:line="4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FAM-CTGTAGGCATAAATTGGTCTGCGAA-BHQ1</w:t>
            </w:r>
          </w:p>
        </w:tc>
        <w:tc>
          <w:tcPr>
            <w:tcW w:w="583" w:type="pct"/>
            <w:noWrap/>
            <w:vAlign w:val="center"/>
          </w:tcPr>
          <w:p w14:paraId="0241BA87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25</w:t>
            </w:r>
          </w:p>
        </w:tc>
      </w:tr>
      <w:tr w14:paraId="4F21E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4" w:type="pct"/>
            <w:vMerge w:val="restart"/>
            <w:noWrap/>
            <w:vAlign w:val="center"/>
          </w:tcPr>
          <w:p w14:paraId="6D1E6B8E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cccDNA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653" w:type="pct"/>
            <w:noWrap/>
            <w:vAlign w:val="center"/>
          </w:tcPr>
          <w:p w14:paraId="43111807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Forward</w:t>
            </w:r>
          </w:p>
        </w:tc>
        <w:tc>
          <w:tcPr>
            <w:tcW w:w="3038" w:type="pct"/>
            <w:vAlign w:val="center"/>
          </w:tcPr>
          <w:p w14:paraId="01D39EB0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CTTCTCATCTGCCGGACC</w:t>
            </w:r>
          </w:p>
        </w:tc>
        <w:tc>
          <w:tcPr>
            <w:tcW w:w="583" w:type="pct"/>
            <w:noWrap/>
            <w:vAlign w:val="center"/>
          </w:tcPr>
          <w:p w14:paraId="2E7B66C2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18</w:t>
            </w:r>
          </w:p>
        </w:tc>
      </w:tr>
      <w:tr w14:paraId="504D6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4" w:type="pct"/>
            <w:vMerge w:val="continue"/>
            <w:noWrap/>
            <w:vAlign w:val="center"/>
          </w:tcPr>
          <w:p w14:paraId="63033B54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53" w:type="pct"/>
            <w:noWrap/>
            <w:vAlign w:val="center"/>
          </w:tcPr>
          <w:p w14:paraId="0E07E07B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Reverse</w:t>
            </w:r>
          </w:p>
        </w:tc>
        <w:tc>
          <w:tcPr>
            <w:tcW w:w="3038" w:type="pct"/>
            <w:vAlign w:val="center"/>
          </w:tcPr>
          <w:p w14:paraId="5F3B95CA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AGTATGCCTCAAGGTCGGTCGT</w:t>
            </w:r>
          </w:p>
        </w:tc>
        <w:tc>
          <w:tcPr>
            <w:tcW w:w="583" w:type="pct"/>
            <w:noWrap/>
            <w:vAlign w:val="center"/>
          </w:tcPr>
          <w:p w14:paraId="0BEE4EB0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22</w:t>
            </w:r>
          </w:p>
        </w:tc>
      </w:tr>
      <w:tr w14:paraId="7E877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4" w:type="pct"/>
            <w:vMerge w:val="continue"/>
            <w:noWrap/>
            <w:vAlign w:val="center"/>
          </w:tcPr>
          <w:p w14:paraId="43EBE387">
            <w:pPr>
              <w:jc w:val="left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53" w:type="pct"/>
            <w:noWrap/>
            <w:vAlign w:val="center"/>
          </w:tcPr>
          <w:p w14:paraId="4B847BD9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Probe</w:t>
            </w:r>
          </w:p>
        </w:tc>
        <w:tc>
          <w:tcPr>
            <w:tcW w:w="3038" w:type="pct"/>
            <w:vAlign w:val="center"/>
          </w:tcPr>
          <w:p w14:paraId="34900A73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CTCTGCACGTCGCATGGAGAC</w:t>
            </w:r>
          </w:p>
        </w:tc>
        <w:tc>
          <w:tcPr>
            <w:tcW w:w="583" w:type="pct"/>
            <w:noWrap/>
            <w:vAlign w:val="center"/>
          </w:tcPr>
          <w:p w14:paraId="14EDB6B8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21</w:t>
            </w:r>
          </w:p>
        </w:tc>
      </w:tr>
    </w:tbl>
    <w:p w14:paraId="2E9E673E">
      <w:pPr>
        <w:rPr>
          <w:rFonts w:hint="default" w:ascii="Times New Roman" w:hAnsi="Times New Roman" w:cs="Times New Roman"/>
          <w:sz w:val="24"/>
        </w:rPr>
      </w:pPr>
    </w:p>
    <w:p w14:paraId="0DEB7F55">
      <w:pPr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br w:type="page"/>
      </w:r>
    </w:p>
    <w:p w14:paraId="1E809023">
      <w:pPr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Table S3. The Ct results of 5 pairs of primers.</w:t>
      </w:r>
    </w:p>
    <w:tbl>
      <w:tblPr>
        <w:tblStyle w:val="6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1235"/>
        <w:gridCol w:w="1236"/>
        <w:gridCol w:w="1398"/>
        <w:gridCol w:w="1398"/>
        <w:gridCol w:w="1398"/>
        <w:gridCol w:w="770"/>
      </w:tblGrid>
      <w:tr w14:paraId="0BFEB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6414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sample</w:t>
            </w:r>
          </w:p>
        </w:tc>
        <w:tc>
          <w:tcPr>
            <w:tcW w:w="436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3A50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Ct</w:t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value</w:t>
            </w:r>
          </w:p>
        </w:tc>
      </w:tr>
      <w:tr w14:paraId="07D8C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20C2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7F74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β-actin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6157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β-actin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34D2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cccDNA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49F5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cccDNA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1F7A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cccDNA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728E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vertAlign w:val="subscript"/>
                <w:lang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O </w:t>
            </w:r>
          </w:p>
        </w:tc>
      </w:tr>
      <w:tr w14:paraId="420AD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8331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sample 1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CCFF8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22.4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35C6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24.59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C7FE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22.83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13D2B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23.35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8158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19.49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F458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</w:tr>
      <w:tr w14:paraId="138B7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E25B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sample 2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9EDB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21.47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1789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22.96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B52E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22.50 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7536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22.37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7BC8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18.47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8A1F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</w:tr>
      <w:tr w14:paraId="54745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2EB6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sample 3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CD01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26.25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37D2C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28.64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D0C2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25.85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73BE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25.8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21F0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22.54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D312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</w:tr>
      <w:tr w14:paraId="145BF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0697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sample 4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5A2F9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25.03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1041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27.33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66B1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25.52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26A2D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25.55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15A3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21.98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E902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</w:tr>
    </w:tbl>
    <w:p w14:paraId="26748CF3">
      <w:pPr>
        <w:widowControl/>
        <w:spacing w:line="360" w:lineRule="auto"/>
        <w:rPr>
          <w:rFonts w:hint="default" w:ascii="Times New Roman" w:hAnsi="Times New Roman" w:eastAsia="宋体" w:cs="Times New Roman"/>
          <w:b/>
          <w:bCs/>
          <w:color w:val="000000"/>
          <w:sz w:val="24"/>
          <w:lang w:bidi="ar"/>
        </w:rPr>
      </w:pPr>
      <w:bookmarkStart w:id="1" w:name="OLE_LINK48"/>
    </w:p>
    <w:bookmarkEnd w:id="1"/>
    <w:p w14:paraId="60500092">
      <w:pPr>
        <w:widowControl/>
        <w:spacing w:line="360" w:lineRule="auto"/>
        <w:ind w:firstLine="480" w:firstLineChars="200"/>
        <w:rPr>
          <w:rFonts w:hint="default" w:ascii="Times New Roman" w:hAnsi="Times New Roman" w:eastAsia="宋体" w:cs="Times New Roman"/>
          <w:kern w:val="0"/>
          <w:sz w:val="24"/>
          <w:lang w:bidi="ar"/>
        </w:rPr>
      </w:pPr>
    </w:p>
    <w:p w14:paraId="7832C703">
      <w:pPr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Table S4. Demographic information of study participants</w:t>
      </w:r>
    </w:p>
    <w:tbl>
      <w:tblPr>
        <w:tblStyle w:val="6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08"/>
        <w:gridCol w:w="2123"/>
        <w:gridCol w:w="2188"/>
      </w:tblGrid>
      <w:tr w14:paraId="66A79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469" w:type="pct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4F09C67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Variable</w:t>
            </w:r>
          </w:p>
        </w:tc>
        <w:tc>
          <w:tcPr>
            <w:tcW w:w="1246" w:type="pct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450F66D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CHB patients</w:t>
            </w:r>
          </w:p>
          <w:p w14:paraId="7AE86AD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(n =5)</w:t>
            </w:r>
          </w:p>
        </w:tc>
        <w:tc>
          <w:tcPr>
            <w:tcW w:w="1284" w:type="pct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4157B12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HCC patients </w:t>
            </w:r>
          </w:p>
          <w:p w14:paraId="5C348A3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(n =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14:paraId="34521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469" w:type="pct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4576C84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Age, years</w:t>
            </w:r>
          </w:p>
        </w:tc>
        <w:tc>
          <w:tcPr>
            <w:tcW w:w="1246" w:type="pct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78EEDF6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37.4</w:t>
            </w:r>
          </w:p>
        </w:tc>
        <w:tc>
          <w:tcPr>
            <w:tcW w:w="1284" w:type="pct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7EFC68E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50</w:t>
            </w:r>
          </w:p>
        </w:tc>
      </w:tr>
      <w:tr w14:paraId="06B03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4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C00E5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Males/females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40B7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4/1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686323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</w:t>
            </w:r>
          </w:p>
        </w:tc>
      </w:tr>
      <w:tr w14:paraId="31CE2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4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BC04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Treated with anti-HBV 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lang w:bidi="ar"/>
              </w:rPr>
              <w:t>therapy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3CB0F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5D1A7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</w:tr>
      <w:tr w14:paraId="0AB1D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4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CD27D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HBsAg positive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7D8AD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434FF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</w:t>
            </w:r>
          </w:p>
        </w:tc>
      </w:tr>
      <w:tr w14:paraId="4FB96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469" w:type="pct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422CA5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Cirrhosis</w:t>
            </w:r>
          </w:p>
        </w:tc>
        <w:tc>
          <w:tcPr>
            <w:tcW w:w="1246" w:type="pct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5B9B22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1284" w:type="pct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FF4DC6F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</w:t>
            </w:r>
          </w:p>
        </w:tc>
      </w:tr>
    </w:tbl>
    <w:p w14:paraId="178D3D0B">
      <w:pPr>
        <w:rPr>
          <w:rFonts w:hint="default" w:ascii="Times New Roman" w:hAnsi="Times New Roman" w:cs="Times New Roman"/>
          <w:sz w:val="24"/>
        </w:rPr>
      </w:pPr>
    </w:p>
    <w:p w14:paraId="206B932F">
      <w:pPr>
        <w:rPr>
          <w:rFonts w:hint="default" w:ascii="Times New Roman" w:hAnsi="Times New Roman" w:cs="Times New Roman"/>
          <w:sz w:val="24"/>
        </w:rPr>
      </w:pPr>
    </w:p>
    <w:p w14:paraId="1CC02CFB">
      <w:pPr>
        <w:rPr>
          <w:rFonts w:hint="default"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  <w:lang w:val="en-US" w:eastAsia="zh-CN"/>
        </w:rPr>
        <w:t>T</w:t>
      </w:r>
      <w:r>
        <w:rPr>
          <w:rFonts w:hint="default" w:ascii="Times New Roman" w:hAnsi="Times New Roman" w:cs="Times New Roman"/>
          <w:sz w:val="24"/>
        </w:rPr>
        <w:t>able S</w:t>
      </w:r>
      <w:r>
        <w:rPr>
          <w:rFonts w:hint="eastAsia" w:ascii="Times New Roman" w:hAnsi="Times New Roman" w:cs="Times New Roman"/>
          <w:sz w:val="24"/>
          <w:lang w:val="en-US" w:eastAsia="zh-CN"/>
        </w:rPr>
        <w:t>5</w:t>
      </w:r>
      <w:r>
        <w:rPr>
          <w:rFonts w:hint="default" w:ascii="Times New Roman" w:hAnsi="Times New Roman" w:cs="Times New Roman"/>
          <w:sz w:val="24"/>
        </w:rPr>
        <w:t>. Serological markers and the proportion of the cccDNA</w:t>
      </w:r>
      <w:r>
        <w:rPr>
          <w:rFonts w:hint="default" w:ascii="Times New Roman" w:hAnsi="Times New Roman" w:cs="Times New Roman"/>
          <w:sz w:val="24"/>
          <w:vertAlign w:val="superscript"/>
        </w:rPr>
        <w:t>+</w:t>
      </w:r>
      <w:r>
        <w:rPr>
          <w:rFonts w:hint="default" w:ascii="Times New Roman" w:hAnsi="Times New Roman" w:cs="Times New Roman"/>
          <w:sz w:val="24"/>
        </w:rPr>
        <w:t xml:space="preserve"> cells in liver for 5 CHB patients.</w:t>
      </w:r>
    </w:p>
    <w:tbl>
      <w:tblPr>
        <w:tblStyle w:val="6"/>
        <w:tblW w:w="516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"/>
        <w:gridCol w:w="1102"/>
        <w:gridCol w:w="1069"/>
        <w:gridCol w:w="986"/>
        <w:gridCol w:w="1043"/>
        <w:gridCol w:w="1092"/>
        <w:gridCol w:w="864"/>
        <w:gridCol w:w="828"/>
        <w:gridCol w:w="768"/>
      </w:tblGrid>
      <w:tr w14:paraId="40583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  <w:jc w:val="center"/>
        </w:trPr>
        <w:tc>
          <w:tcPr>
            <w:tcW w:w="59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F2DA4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Patient</w:t>
            </w:r>
          </w:p>
        </w:tc>
        <w:tc>
          <w:tcPr>
            <w:tcW w:w="62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745B15">
            <w:pPr>
              <w:widowControl/>
              <w:ind w:left="240" w:hanging="240" w:hanging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HBsAg</w:t>
            </w:r>
          </w:p>
          <w:p w14:paraId="0E901C53">
            <w:pPr>
              <w:widowControl/>
              <w:ind w:left="240" w:hanging="240" w:hanging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(0w)</w:t>
            </w:r>
          </w:p>
          <w:p w14:paraId="50967A9A">
            <w:pPr>
              <w:widowControl/>
              <w:ind w:left="240" w:hanging="240" w:hanging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(IU/mL)</w:t>
            </w:r>
          </w:p>
        </w:tc>
        <w:tc>
          <w:tcPr>
            <w:tcW w:w="60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14C9E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HBsAg</w:t>
            </w:r>
          </w:p>
          <w:p w14:paraId="407827C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(48w)</w:t>
            </w:r>
          </w:p>
          <w:p w14:paraId="77D1469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(IU/mL)</w:t>
            </w:r>
          </w:p>
        </w:tc>
        <w:tc>
          <w:tcPr>
            <w:tcW w:w="56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93A92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HBeAg</w:t>
            </w:r>
          </w:p>
          <w:p w14:paraId="656C899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(0w)</w:t>
            </w:r>
          </w:p>
          <w:p w14:paraId="1976432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(S/CO)</w:t>
            </w:r>
          </w:p>
        </w:tc>
        <w:tc>
          <w:tcPr>
            <w:tcW w:w="5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ECF6B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HBeAg (48w)</w:t>
            </w:r>
          </w:p>
          <w:p w14:paraId="34214CF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(S/CO)</w:t>
            </w:r>
          </w:p>
        </w:tc>
        <w:tc>
          <w:tcPr>
            <w:tcW w:w="6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6064E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HBV-DNA (48w)</w:t>
            </w:r>
          </w:p>
          <w:p w14:paraId="2CC6A12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(IU/mL)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7F24A">
            <w:pPr>
              <w:widowControl/>
              <w:jc w:val="center"/>
              <w:textAlignment w:val="center"/>
              <w:rPr>
                <w:rFonts w:hint="default" w:ascii="Times New Roman" w:hAnsi="Times New Roman" w:eastAsia="微软雅黑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ALT</w:t>
            </w:r>
          </w:p>
          <w:p w14:paraId="21F6AA0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(48w)</w:t>
            </w:r>
          </w:p>
          <w:p w14:paraId="502BCB5C">
            <w:pPr>
              <w:widowControl/>
              <w:jc w:val="center"/>
              <w:textAlignment w:val="center"/>
              <w:rPr>
                <w:rFonts w:hint="default" w:ascii="Times New Roman" w:hAnsi="Times New Roman" w:eastAsia="微软雅黑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(U/L)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AAF43">
            <w:pPr>
              <w:widowControl/>
              <w:jc w:val="center"/>
              <w:textAlignment w:val="center"/>
              <w:rPr>
                <w:rFonts w:hint="default" w:ascii="Times New Roman" w:hAnsi="Times New Roman" w:eastAsia="微软雅黑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AST</w:t>
            </w:r>
          </w:p>
          <w:p w14:paraId="0021EB9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(48w)</w:t>
            </w:r>
          </w:p>
          <w:p w14:paraId="2C69D0D8">
            <w:pPr>
              <w:widowControl/>
              <w:jc w:val="center"/>
              <w:textAlignment w:val="center"/>
              <w:rPr>
                <w:rFonts w:hint="default" w:ascii="Times New Roman" w:hAnsi="Times New Roman" w:eastAsia="微软雅黑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(U/L)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F2267">
            <w:pPr>
              <w:widowControl/>
              <w:jc w:val="center"/>
              <w:textAlignment w:val="center"/>
              <w:rPr>
                <w:rFonts w:hint="default" w:ascii="Times New Roman" w:hAnsi="Times New Roman" w:eastAsia="微软雅黑" w:cs="Times New Roman"/>
                <w:i/>
                <w:i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i/>
                <w:i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R</w:t>
            </w:r>
          </w:p>
          <w:p w14:paraId="455DDD68">
            <w:pPr>
              <w:widowControl/>
              <w:jc w:val="center"/>
              <w:textAlignment w:val="center"/>
              <w:rPr>
                <w:rFonts w:hint="default" w:ascii="Times New Roman" w:hAnsi="Times New Roman" w:eastAsia="微软雅黑" w:cs="Times New Roman"/>
                <w:i/>
                <w:i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(%)</w:t>
            </w:r>
          </w:p>
        </w:tc>
      </w:tr>
      <w:tr w14:paraId="3528B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59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45926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CHB-1</w:t>
            </w:r>
          </w:p>
        </w:tc>
        <w:tc>
          <w:tcPr>
            <w:tcW w:w="62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C9A46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791.12</w:t>
            </w:r>
          </w:p>
        </w:tc>
        <w:tc>
          <w:tcPr>
            <w:tcW w:w="60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531E1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56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40D5F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124.71</w:t>
            </w:r>
          </w:p>
        </w:tc>
        <w:tc>
          <w:tcPr>
            <w:tcW w:w="5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2CD38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0.45</w:t>
            </w:r>
          </w:p>
        </w:tc>
        <w:tc>
          <w:tcPr>
            <w:tcW w:w="6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550407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25.3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7C1C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27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74A6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9B41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35.81</w:t>
            </w:r>
          </w:p>
        </w:tc>
      </w:tr>
      <w:tr w14:paraId="02264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59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330AA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CHB-2</w:t>
            </w:r>
          </w:p>
        </w:tc>
        <w:tc>
          <w:tcPr>
            <w:tcW w:w="62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ACA68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1184.78</w:t>
            </w:r>
          </w:p>
        </w:tc>
        <w:tc>
          <w:tcPr>
            <w:tcW w:w="60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B1CD6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56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39A21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57.13</w:t>
            </w:r>
          </w:p>
        </w:tc>
        <w:tc>
          <w:tcPr>
            <w:tcW w:w="5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B59DE3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0.3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599F6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9A5E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51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09DB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242D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38.83</w:t>
            </w:r>
          </w:p>
        </w:tc>
      </w:tr>
      <w:tr w14:paraId="4BFBE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59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6F694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CHB-3</w:t>
            </w:r>
          </w:p>
        </w:tc>
        <w:tc>
          <w:tcPr>
            <w:tcW w:w="62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5859E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0.40</w:t>
            </w:r>
          </w:p>
        </w:tc>
        <w:tc>
          <w:tcPr>
            <w:tcW w:w="60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180CD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0.96</w:t>
            </w:r>
          </w:p>
        </w:tc>
        <w:tc>
          <w:tcPr>
            <w:tcW w:w="56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13F5E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0.27</w:t>
            </w:r>
          </w:p>
        </w:tc>
        <w:tc>
          <w:tcPr>
            <w:tcW w:w="5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2F540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0.43</w:t>
            </w:r>
          </w:p>
        </w:tc>
        <w:tc>
          <w:tcPr>
            <w:tcW w:w="6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902CB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AFD1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9970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ADB6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19.29</w:t>
            </w:r>
          </w:p>
        </w:tc>
      </w:tr>
      <w:tr w14:paraId="5114D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59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09EA8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CHB-4</w:t>
            </w:r>
          </w:p>
        </w:tc>
        <w:tc>
          <w:tcPr>
            <w:tcW w:w="62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DCD0A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0.23</w:t>
            </w:r>
          </w:p>
        </w:tc>
        <w:tc>
          <w:tcPr>
            <w:tcW w:w="60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E75B8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56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7F06A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  <w:tc>
          <w:tcPr>
            <w:tcW w:w="5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DA8F9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0.66</w:t>
            </w:r>
          </w:p>
        </w:tc>
        <w:tc>
          <w:tcPr>
            <w:tcW w:w="6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7B765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3FF2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34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D0CF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23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1F77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22.64</w:t>
            </w:r>
          </w:p>
        </w:tc>
      </w:tr>
      <w:tr w14:paraId="012D7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59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84E81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CHB-5</w:t>
            </w:r>
          </w:p>
        </w:tc>
        <w:tc>
          <w:tcPr>
            <w:tcW w:w="62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DCC19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700.75</w:t>
            </w:r>
          </w:p>
        </w:tc>
        <w:tc>
          <w:tcPr>
            <w:tcW w:w="60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24FA4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56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B3684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63.02</w:t>
            </w:r>
          </w:p>
        </w:tc>
        <w:tc>
          <w:tcPr>
            <w:tcW w:w="5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5C64F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2.13</w:t>
            </w:r>
          </w:p>
        </w:tc>
        <w:tc>
          <w:tcPr>
            <w:tcW w:w="6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06558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3B37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51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8B19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46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493D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12.88</w:t>
            </w:r>
          </w:p>
        </w:tc>
      </w:tr>
      <w:tr w14:paraId="0ECC5E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593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11F13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HCC</w:t>
            </w:r>
          </w:p>
        </w:tc>
        <w:tc>
          <w:tcPr>
            <w:tcW w:w="626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EAC34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NA</w:t>
            </w:r>
          </w:p>
        </w:tc>
        <w:tc>
          <w:tcPr>
            <w:tcW w:w="607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F251C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NA</w:t>
            </w:r>
          </w:p>
        </w:tc>
        <w:tc>
          <w:tcPr>
            <w:tcW w:w="560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6EFA3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NA</w:t>
            </w:r>
          </w:p>
        </w:tc>
        <w:tc>
          <w:tcPr>
            <w:tcW w:w="592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3008F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NA</w:t>
            </w:r>
          </w:p>
        </w:tc>
        <w:tc>
          <w:tcPr>
            <w:tcW w:w="620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258AE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NA</w:t>
            </w:r>
          </w:p>
        </w:tc>
        <w:tc>
          <w:tcPr>
            <w:tcW w:w="49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380A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NA</w:t>
            </w:r>
          </w:p>
        </w:tc>
        <w:tc>
          <w:tcPr>
            <w:tcW w:w="47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91A7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NA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03D8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</w:tr>
      <w:tr w14:paraId="21C75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593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A6AA36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6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B1C33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7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BA8C2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0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50809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1A3E5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0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1DB33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1800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89F2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06EA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</w:tr>
    </w:tbl>
    <w:p w14:paraId="5D314A7D">
      <w:pPr>
        <w:rPr>
          <w:rFonts w:hint="default" w:ascii="Times New Roman" w:hAnsi="Times New Roman" w:cs="Times New Roman"/>
          <w:sz w:val="24"/>
        </w:rPr>
      </w:pPr>
    </w:p>
    <w:p w14:paraId="71667383">
      <w:pPr>
        <w:rPr>
          <w:rFonts w:hint="default" w:ascii="Times New Roman" w:hAnsi="Times New Roman" w:cs="Times New Roman"/>
          <w:sz w:val="24"/>
        </w:rPr>
      </w:pPr>
    </w:p>
    <w:p w14:paraId="07CDDF45">
      <w:pPr>
        <w:rPr>
          <w:rFonts w:hint="default" w:ascii="Times New Roman" w:hAnsi="Times New Roman" w:cs="Times New Roman"/>
          <w:sz w:val="24"/>
        </w:rPr>
      </w:pPr>
    </w:p>
    <w:p w14:paraId="7737ECBE">
      <w:pPr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br w:type="page"/>
      </w:r>
    </w:p>
    <w:p w14:paraId="579977F6">
      <w:pPr>
        <w:rPr>
          <w:rFonts w:hint="default" w:ascii="Times New Roman" w:hAnsi="Times New Roman" w:cs="Times New Roman" w:eastAsiaTheme="minorEastAsia"/>
          <w:color w:val="FF0000"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</w:rPr>
        <w:t>Table S</w:t>
      </w:r>
      <w:r>
        <w:rPr>
          <w:rFonts w:hint="eastAsia" w:ascii="Times New Roman" w:hAnsi="Times New Roman" w:cs="Times New Roman"/>
          <w:sz w:val="24"/>
          <w:lang w:val="en-US" w:eastAsia="zh-CN"/>
        </w:rPr>
        <w:t>6</w:t>
      </w:r>
      <w:r>
        <w:rPr>
          <w:rFonts w:hint="default" w:ascii="Times New Roman" w:hAnsi="Times New Roman" w:cs="Times New Roman"/>
          <w:sz w:val="24"/>
        </w:rPr>
        <w:t>. Single-cell suspensions quality of liver biopsy tissues.</w:t>
      </w:r>
      <w:bookmarkStart w:id="2" w:name="_GoBack"/>
      <w:bookmarkEnd w:id="2"/>
    </w:p>
    <w:tbl>
      <w:tblPr>
        <w:tblStyle w:val="6"/>
        <w:tblW w:w="83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3"/>
        <w:gridCol w:w="2131"/>
        <w:gridCol w:w="2251"/>
        <w:gridCol w:w="1773"/>
      </w:tblGrid>
      <w:tr w14:paraId="17CED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7D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Patient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FC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Cell viability (%)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AE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Cell concentration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21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Cell counts</w:t>
            </w:r>
          </w:p>
        </w:tc>
      </w:tr>
      <w:tr w14:paraId="02F7F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3D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CHB-1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92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96.72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25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1.00E+06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FC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5.00E+05</w:t>
            </w:r>
          </w:p>
        </w:tc>
      </w:tr>
      <w:tr w14:paraId="0EFA7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D2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CHB-2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2B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98.46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0D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1.85E+06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27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9.25E+05</w:t>
            </w:r>
          </w:p>
        </w:tc>
      </w:tr>
      <w:tr w14:paraId="29EB0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B4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CHB-3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49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98.2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C1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7.47E+05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63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3.74E+05</w:t>
            </w:r>
          </w:p>
        </w:tc>
      </w:tr>
      <w:tr w14:paraId="347C9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4A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CHB-4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8C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97.41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64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6.36E+05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06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1.91E+05</w:t>
            </w:r>
          </w:p>
        </w:tc>
      </w:tr>
      <w:tr w14:paraId="10C40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C4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CHB-5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25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97.89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E0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4.25E+05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12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1.28E+05</w:t>
            </w:r>
          </w:p>
        </w:tc>
      </w:tr>
      <w:tr w14:paraId="38002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22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HCC-Tumor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80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96.73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8A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1.01E+07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47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1.01E+07</w:t>
            </w:r>
          </w:p>
        </w:tc>
      </w:tr>
      <w:tr w14:paraId="502E2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C8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HCC-Adjacent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52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94.35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E2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3.15E+06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D3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3.15E+06</w:t>
            </w:r>
          </w:p>
        </w:tc>
      </w:tr>
    </w:tbl>
    <w:p w14:paraId="0E5D84AC">
      <w:pPr>
        <w:rPr>
          <w:rFonts w:hint="default" w:ascii="Times New Roman" w:hAnsi="Times New Roman" w:cs="Times New Roman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00050F2D"/>
    <w:rsid w:val="00050F2D"/>
    <w:rsid w:val="002E257F"/>
    <w:rsid w:val="003070F0"/>
    <w:rsid w:val="00946592"/>
    <w:rsid w:val="009937C8"/>
    <w:rsid w:val="00C3095C"/>
    <w:rsid w:val="00D76A63"/>
    <w:rsid w:val="00DA370C"/>
    <w:rsid w:val="055A7042"/>
    <w:rsid w:val="099948FD"/>
    <w:rsid w:val="0A5E78F5"/>
    <w:rsid w:val="0CE55B25"/>
    <w:rsid w:val="0F300AE2"/>
    <w:rsid w:val="13491142"/>
    <w:rsid w:val="1594066F"/>
    <w:rsid w:val="164C2CF7"/>
    <w:rsid w:val="165C73DE"/>
    <w:rsid w:val="16B93A41"/>
    <w:rsid w:val="184F2FB9"/>
    <w:rsid w:val="1CCA131B"/>
    <w:rsid w:val="21B61638"/>
    <w:rsid w:val="22CB312D"/>
    <w:rsid w:val="253C0C00"/>
    <w:rsid w:val="259C15A5"/>
    <w:rsid w:val="27057FE0"/>
    <w:rsid w:val="2A1A1E6D"/>
    <w:rsid w:val="2C5129BE"/>
    <w:rsid w:val="2DD92706"/>
    <w:rsid w:val="2E43499F"/>
    <w:rsid w:val="303E28B2"/>
    <w:rsid w:val="31313C3D"/>
    <w:rsid w:val="348957C0"/>
    <w:rsid w:val="352E65AB"/>
    <w:rsid w:val="3592207D"/>
    <w:rsid w:val="37C117EA"/>
    <w:rsid w:val="401E123E"/>
    <w:rsid w:val="424C5326"/>
    <w:rsid w:val="42A67168"/>
    <w:rsid w:val="43454DED"/>
    <w:rsid w:val="469B78E4"/>
    <w:rsid w:val="47EB0341"/>
    <w:rsid w:val="481D7ECC"/>
    <w:rsid w:val="4A2046B3"/>
    <w:rsid w:val="4C1B3017"/>
    <w:rsid w:val="4DA457ED"/>
    <w:rsid w:val="4E092599"/>
    <w:rsid w:val="511D4726"/>
    <w:rsid w:val="55DD623B"/>
    <w:rsid w:val="5AD76A44"/>
    <w:rsid w:val="5C475170"/>
    <w:rsid w:val="5EC21603"/>
    <w:rsid w:val="5F85487D"/>
    <w:rsid w:val="5FC90B10"/>
    <w:rsid w:val="607A6FD5"/>
    <w:rsid w:val="63213CAA"/>
    <w:rsid w:val="64BE0021"/>
    <w:rsid w:val="6542386E"/>
    <w:rsid w:val="662B2F95"/>
    <w:rsid w:val="69DA1D26"/>
    <w:rsid w:val="6A8C7E28"/>
    <w:rsid w:val="6F01162E"/>
    <w:rsid w:val="7383654B"/>
    <w:rsid w:val="7708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font3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font21"/>
    <w:basedOn w:val="7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3">
    <w:name w:val="font101"/>
    <w:basedOn w:val="7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14">
    <w:name w:val="font91"/>
    <w:basedOn w:val="7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15">
    <w:name w:val="font141"/>
    <w:basedOn w:val="7"/>
    <w:qFormat/>
    <w:uiPriority w:val="0"/>
    <w:rPr>
      <w:rFonts w:hint="default" w:ascii="Times New Roman" w:hAnsi="Times New Roman" w:cs="Times New Roman"/>
      <w:b/>
      <w:bCs/>
      <w:color w:val="FF0000"/>
      <w:sz w:val="24"/>
      <w:szCs w:val="24"/>
      <w:u w:val="none"/>
    </w:rPr>
  </w:style>
  <w:style w:type="character" w:customStyle="1" w:styleId="16">
    <w:name w:val="font4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81"/>
    <w:basedOn w:val="7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18">
    <w:name w:val="font71"/>
    <w:basedOn w:val="7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969</Words>
  <Characters>5582</Characters>
  <Lines>46</Lines>
  <Paragraphs>13</Paragraphs>
  <TotalTime>1</TotalTime>
  <ScaleCrop>false</ScaleCrop>
  <LinksUpToDate>false</LinksUpToDate>
  <CharactersWithSpaces>6161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2024-05-29T09:58:00Z</dcterms:created>
  <dc:creator>huawei</dc:creator>
  <cp:lastModifiedBy>Chunmei Li</cp:lastModifiedBy>
  <dcterms:modified xsi:type="dcterms:W3CDTF">2025-05-28T09:13:02Z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D810EC159BDF4B1AB436750CAEDA6362_13</vt:lpwstr>
  </property>
  <property fmtid="{D5CDD505-2E9C-101B-9397-08002B2CF9AE}" pid="4" name="KSOTemplateDocerSaveRecord">
    <vt:lpwstr>eyJoZGlkIjoiYjk5ODM0YmMxOWJiYWQyNDU4MGIzYWRmYTA0ZmI5NDciLCJ1c2VySWQiOiIxMzAzMzIyNzYyIn0=</vt:lpwstr>
  </property>
</Properties>
</file>