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 Bold" w:hAnsi="Times New Roman Bold" w:cs="Times New Roman Bold"/>
          <w:b/>
          <w:sz w:val="24"/>
        </w:rPr>
      </w:pPr>
      <w:r>
        <w:rPr>
          <w:rFonts w:hint="eastAsia" w:ascii="Times New Roman Bold" w:hAnsi="Times New Roman Bold" w:cs="Times New Roman Bold"/>
          <w:b/>
          <w:sz w:val="24"/>
        </w:rPr>
        <w:t>Supplementary figures</w:t>
      </w:r>
    </w:p>
    <w:p>
      <w:pPr>
        <w:spacing w:line="36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</w:rPr>
        <w:t xml:space="preserve">Spatiotemporal </w:t>
      </w:r>
      <w:r>
        <w:rPr>
          <w:rFonts w:hint="eastAsia" w:ascii="Times New Roman" w:hAnsi="Times New Roman"/>
          <w:b/>
          <w:bCs/>
          <w:sz w:val="28"/>
        </w:rPr>
        <w:t>t</w:t>
      </w:r>
      <w:r>
        <w:rPr>
          <w:rFonts w:ascii="Times New Roman" w:hAnsi="Times New Roman"/>
          <w:b/>
          <w:bCs/>
          <w:sz w:val="28"/>
        </w:rPr>
        <w:t xml:space="preserve">ranscriptomic </w:t>
      </w:r>
      <w:r>
        <w:rPr>
          <w:rFonts w:hint="eastAsia" w:ascii="Times New Roman" w:hAnsi="Times New Roman"/>
          <w:b/>
          <w:bCs/>
          <w:sz w:val="28"/>
        </w:rPr>
        <w:t>c</w:t>
      </w:r>
      <w:r>
        <w:rPr>
          <w:rFonts w:ascii="Times New Roman" w:hAnsi="Times New Roman"/>
          <w:b/>
          <w:bCs/>
          <w:sz w:val="28"/>
        </w:rPr>
        <w:t xml:space="preserve">haracteristics of </w:t>
      </w:r>
      <w:r>
        <w:rPr>
          <w:rFonts w:hint="eastAsia" w:ascii="Times New Roman" w:hAnsi="Times New Roman"/>
          <w:b/>
          <w:bCs/>
          <w:sz w:val="28"/>
        </w:rPr>
        <w:t>i</w:t>
      </w:r>
      <w:r>
        <w:rPr>
          <w:rFonts w:ascii="Times New Roman" w:hAnsi="Times New Roman"/>
          <w:b/>
          <w:bCs/>
          <w:sz w:val="28"/>
        </w:rPr>
        <w:t xml:space="preserve">mmune and </w:t>
      </w:r>
      <w:r>
        <w:rPr>
          <w:rFonts w:hint="eastAsia" w:ascii="Times New Roman" w:hAnsi="Times New Roman"/>
          <w:b/>
          <w:bCs/>
          <w:sz w:val="28"/>
        </w:rPr>
        <w:t>m</w:t>
      </w:r>
      <w:r>
        <w:rPr>
          <w:rFonts w:ascii="Times New Roman" w:hAnsi="Times New Roman"/>
          <w:b/>
          <w:bCs/>
          <w:sz w:val="28"/>
        </w:rPr>
        <w:t xml:space="preserve">etabolic </w:t>
      </w:r>
      <w:r>
        <w:rPr>
          <w:rFonts w:hint="eastAsia" w:ascii="Times New Roman" w:hAnsi="Times New Roman"/>
          <w:b/>
          <w:bCs/>
          <w:sz w:val="28"/>
        </w:rPr>
        <w:t>d</w:t>
      </w:r>
      <w:r>
        <w:rPr>
          <w:rFonts w:ascii="Times New Roman" w:hAnsi="Times New Roman"/>
          <w:b/>
          <w:bCs/>
          <w:sz w:val="28"/>
        </w:rPr>
        <w:t>ysregulation</w:t>
      </w:r>
      <w:r>
        <w:rPr>
          <w:rFonts w:hint="eastAsia"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 xml:space="preserve">during </w:t>
      </w:r>
      <w:r>
        <w:rPr>
          <w:rFonts w:hint="eastAsia" w:ascii="Times New Roman" w:hAnsi="Times New Roman"/>
          <w:b/>
          <w:bCs/>
          <w:sz w:val="28"/>
        </w:rPr>
        <w:t>m</w:t>
      </w:r>
      <w:r>
        <w:rPr>
          <w:rFonts w:ascii="Times New Roman" w:hAnsi="Times New Roman"/>
          <w:b/>
          <w:bCs/>
          <w:sz w:val="28"/>
        </w:rPr>
        <w:t xml:space="preserve">ouse </w:t>
      </w:r>
      <w:r>
        <w:rPr>
          <w:rFonts w:hint="eastAsia" w:ascii="Times New Roman" w:hAnsi="Times New Roman"/>
          <w:b/>
          <w:bCs/>
          <w:sz w:val="28"/>
        </w:rPr>
        <w:t>b</w:t>
      </w:r>
      <w:r>
        <w:rPr>
          <w:rFonts w:ascii="Times New Roman" w:hAnsi="Times New Roman"/>
          <w:b/>
          <w:bCs/>
          <w:sz w:val="28"/>
        </w:rPr>
        <w:t xml:space="preserve">rain </w:t>
      </w:r>
      <w:r>
        <w:rPr>
          <w:rFonts w:hint="eastAsia" w:ascii="Times New Roman" w:hAnsi="Times New Roman"/>
          <w:b/>
          <w:bCs/>
          <w:sz w:val="28"/>
        </w:rPr>
        <w:t>a</w:t>
      </w:r>
      <w:r>
        <w:rPr>
          <w:rFonts w:ascii="Times New Roman" w:hAnsi="Times New Roman"/>
          <w:b/>
          <w:bCs/>
          <w:sz w:val="28"/>
        </w:rPr>
        <w:t>ging</w:t>
      </w:r>
    </w:p>
    <w:p>
      <w:pPr>
        <w:spacing w:line="360" w:lineRule="auto"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szCs w:val="28"/>
        </w:rPr>
        <w:t>Minghao Qin</w:t>
      </w:r>
      <w:r>
        <w:rPr>
          <w:rFonts w:hint="eastAsia" w:ascii="Times New Roman" w:hAnsi="Times New Roman"/>
          <w:sz w:val="24"/>
          <w:szCs w:val="28"/>
          <w:vertAlign w:val="superscript"/>
        </w:rPr>
        <w:t>1, 2</w:t>
      </w:r>
      <w:r>
        <w:rPr>
          <w:rFonts w:ascii="Times New Roman" w:hAnsi="Times New Roman"/>
          <w:sz w:val="24"/>
          <w:szCs w:val="28"/>
        </w:rPr>
        <w:t>†, Xuanwen Jin</w:t>
      </w:r>
      <w:r>
        <w:rPr>
          <w:rFonts w:ascii="Times New Roman" w:hAnsi="Times New Roman"/>
          <w:sz w:val="24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8"/>
        </w:rPr>
        <w:t>†, Yuheng Yang</w:t>
      </w:r>
      <w:r>
        <w:rPr>
          <w:rFonts w:ascii="Times New Roman" w:hAnsi="Times New Roman"/>
          <w:sz w:val="24"/>
          <w:szCs w:val="28"/>
          <w:vertAlign w:val="superscript"/>
        </w:rPr>
        <w:t>2</w:t>
      </w:r>
      <w:r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color w:val="000000"/>
          <w:sz w:val="24"/>
        </w:rPr>
        <w:t>Fengcongzhe Gong</w:t>
      </w:r>
      <w:r>
        <w:rPr>
          <w:rFonts w:ascii="Times New Roman" w:hAnsi="Times New Roman"/>
          <w:color w:val="000000"/>
          <w:sz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</w:rPr>
        <w:t>, Jin Wan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</w:rPr>
        <w:t>, Jiawen Wei</w:t>
      </w:r>
      <w:r>
        <w:rPr>
          <w:rFonts w:ascii="Times New Roman" w:hAnsi="Times New Roman"/>
          <w:color w:val="000000"/>
          <w:sz w:val="24"/>
          <w:vertAlign w:val="superscript"/>
        </w:rPr>
        <w:t>2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hint="eastAsia" w:ascii="Times New Roman" w:hAnsi="Times New Roman"/>
          <w:color w:val="auto"/>
          <w:sz w:val="24"/>
          <w:highlight w:val="none"/>
        </w:rPr>
        <w:t>Baofa Sun</w:t>
      </w:r>
      <w:r>
        <w:rPr>
          <w:rFonts w:ascii="Times New Roman" w:hAnsi="Times New Roman"/>
          <w:color w:val="auto"/>
          <w:sz w:val="24"/>
          <w:highlight w:val="none"/>
          <w:vertAlign w:val="superscript"/>
        </w:rPr>
        <w:t>2</w:t>
      </w:r>
      <w:r>
        <w:rPr>
          <w:rFonts w:hint="eastAsia" w:ascii="Times New Roman" w:hAnsi="Times New Roman"/>
          <w:sz w:val="24"/>
        </w:rPr>
        <w:t>, X</w:t>
      </w:r>
      <w:r>
        <w:rPr>
          <w:rFonts w:ascii="Times New Roman" w:hAnsi="Times New Roman"/>
          <w:sz w:val="24"/>
        </w:rPr>
        <w:t>ueying Li</w:t>
      </w:r>
      <w:r>
        <w:rPr>
          <w:rFonts w:ascii="Times New Roman" w:hAnsi="Times New Roman"/>
          <w:sz w:val="24"/>
          <w:vertAlign w:val="superscript"/>
        </w:rPr>
        <w:t>2*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and Yajuan Hao</w:t>
      </w:r>
      <w:r>
        <w:rPr>
          <w:rFonts w:ascii="Times New Roman" w:hAnsi="Times New Roman"/>
          <w:color w:val="000000"/>
          <w:sz w:val="24"/>
          <w:vertAlign w:val="superscript"/>
        </w:rPr>
        <w:t>1</w:t>
      </w:r>
      <w:r>
        <w:rPr>
          <w:rFonts w:hint="eastAsia" w:ascii="Times New Roman" w:hAnsi="Times New Roman"/>
          <w:color w:val="000000"/>
          <w:sz w:val="24"/>
          <w:vertAlign w:val="superscript"/>
        </w:rPr>
        <w:t>, 3</w:t>
      </w:r>
      <w:r>
        <w:rPr>
          <w:rFonts w:ascii="Times New Roman" w:hAnsi="Times New Roman"/>
          <w:sz w:val="24"/>
          <w:vertAlign w:val="superscript"/>
        </w:rPr>
        <w:t>*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 xml:space="preserve">1 </w:t>
      </w:r>
      <w:r>
        <w:rPr>
          <w:rFonts w:ascii="Times New Roman" w:hAnsi="Times New Roman" w:cs="Times New Roman"/>
          <w:sz w:val="24"/>
        </w:rPr>
        <w:t>Department of Urology, Shanghai Tenth People's Hospital, Tongji University, Shanghai,</w:t>
      </w:r>
      <w:r>
        <w:rPr>
          <w:rFonts w:hint="eastAsia" w:ascii="Times New Roman" w:hAnsi="Times New Roman" w:cs="Times New Roman"/>
          <w:sz w:val="24"/>
        </w:rPr>
        <w:t xml:space="preserve"> 200072,</w:t>
      </w:r>
      <w:r>
        <w:rPr>
          <w:rFonts w:ascii="Times New Roman" w:hAnsi="Times New Roman" w:cs="Times New Roman"/>
          <w:sz w:val="24"/>
        </w:rPr>
        <w:t xml:space="preserve"> China.</w:t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 xml:space="preserve">2 </w:t>
      </w:r>
      <w:r>
        <w:rPr>
          <w:rFonts w:hint="eastAsia" w:ascii="Times New Roman" w:hAnsi="Times New Roman" w:eastAsia="宋体" w:cs="Times New Roman"/>
          <w:sz w:val="24"/>
        </w:rPr>
        <w:t>State Key Laboratory of Medicinal Chemical Biology, Frontiers Science Center for Cell Responses, College of Life Sciences, Nankai University, Tianjin, 300071, China.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vertAlign w:val="superscript"/>
        </w:rPr>
        <w:t xml:space="preserve">3 </w:t>
      </w:r>
      <w:r>
        <w:rPr>
          <w:rFonts w:ascii="Times New Roman" w:hAnsi="Times New Roman" w:cs="Times New Roman"/>
          <w:sz w:val="24"/>
        </w:rPr>
        <w:t>Urologic Cancer Institute, School of Medicine, Tongji University, Shanghai,</w:t>
      </w:r>
      <w:r>
        <w:rPr>
          <w:rFonts w:hint="eastAsia" w:ascii="Times New Roman" w:hAnsi="Times New Roman" w:cs="Times New Roman"/>
          <w:sz w:val="24"/>
        </w:rPr>
        <w:t xml:space="preserve"> 200072,</w:t>
      </w:r>
      <w:r>
        <w:rPr>
          <w:rFonts w:ascii="Times New Roman" w:hAnsi="Times New Roman" w:cs="Times New Roman"/>
          <w:sz w:val="24"/>
        </w:rPr>
        <w:t xml:space="preserve"> China.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b/>
          <w:bCs/>
          <w:sz w:val="24"/>
        </w:rPr>
        <w:t>Correspond</w:t>
      </w:r>
      <w:r>
        <w:rPr>
          <w:rFonts w:hint="eastAsia" w:ascii="Times New Roman" w:hAnsi="Times New Roman" w:cs="Times New Roman"/>
          <w:b/>
          <w:bCs/>
          <w:sz w:val="24"/>
        </w:rPr>
        <w:t>ence</w:t>
      </w:r>
      <w:r>
        <w:rPr>
          <w:rFonts w:ascii="Times New Roman" w:hAnsi="Times New Roman" w:cs="Times New Roman"/>
          <w:b/>
          <w:bCs/>
          <w:sz w:val="24"/>
        </w:rPr>
        <w:t>:</w:t>
      </w:r>
      <w:r>
        <w:rPr>
          <w:rFonts w:ascii="Times New Roman" w:hAnsi="Times New Roman" w:cs="Times New Roman"/>
          <w:sz w:val="24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Yajuan Hao</w:t>
      </w:r>
      <w:r>
        <w:rPr>
          <w:rFonts w:hint="eastAsia" w:ascii="Times New Roman" w:hAnsi="Times New Roman" w:cs="Times New Roman"/>
          <w:sz w:val="24"/>
        </w:rPr>
        <w:t xml:space="preserve">, </w:t>
      </w:r>
      <w:r>
        <w:fldChar w:fldCharType="begin"/>
      </w:r>
      <w:r>
        <w:instrText xml:space="preserve"> HYPERLINK "mailto:haoyajuan1989@126.com" </w:instrText>
      </w:r>
      <w:r>
        <w:fldChar w:fldCharType="separate"/>
      </w:r>
      <w:r>
        <w:rPr>
          <w:rStyle w:val="6"/>
          <w:rFonts w:hint="eastAsia" w:ascii="Times New Roman" w:hAnsi="Times New Roman" w:cs="Times New Roman"/>
          <w:sz w:val="24"/>
        </w:rPr>
        <w:t>haoyajuan1989@126.com</w:t>
      </w:r>
      <w:r>
        <w:rPr>
          <w:rStyle w:val="6"/>
          <w:rFonts w:hint="eastAsia" w:ascii="Times New Roman" w:hAnsi="Times New Roman" w:cs="Times New Roman"/>
          <w:sz w:val="24"/>
        </w:rPr>
        <w:fldChar w:fldCharType="end"/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Xueying Li, </w:t>
      </w:r>
      <w:r>
        <w:fldChar w:fldCharType="begin"/>
      </w:r>
      <w:r>
        <w:instrText xml:space="preserve"> HYPERLINK "mailto:lixueying0206@163.com" </w:instrText>
      </w:r>
      <w:r>
        <w:fldChar w:fldCharType="separate"/>
      </w:r>
      <w:r>
        <w:rPr>
          <w:rStyle w:val="6"/>
          <w:rFonts w:hint="eastAsia" w:ascii="Times New Roman" w:hAnsi="Times New Roman" w:cs="Times New Roman"/>
          <w:sz w:val="24"/>
        </w:rPr>
        <w:t>lixueying0206@163.com</w:t>
      </w:r>
      <w:r>
        <w:rPr>
          <w:rStyle w:val="6"/>
          <w:rFonts w:hint="eastAsia" w:ascii="Times New Roman" w:hAnsi="Times New Roman" w:cs="Times New Roman"/>
          <w:sz w:val="24"/>
        </w:rPr>
        <w:fldChar w:fldCharType="end"/>
      </w:r>
    </w:p>
    <w:p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  <w:szCs w:val="28"/>
        </w:rPr>
        <w:t>†</w:t>
      </w:r>
      <w:r>
        <w:rPr>
          <w:rFonts w:hint="eastAsia" w:ascii="Times New Roman" w:hAnsi="Times New Roman" w:cs="Times New Roman"/>
          <w:sz w:val="24"/>
        </w:rPr>
        <w:t xml:space="preserve"> These authors contributed equally to this work.</w:t>
      </w:r>
    </w:p>
    <w:p>
      <w:pPr>
        <w:rPr>
          <w:rFonts w:ascii="Times New Roman Bold" w:hAnsi="Times New Roman Bold" w:cs="Times New Roman Bold"/>
          <w:b/>
          <w:sz w:val="24"/>
        </w:rPr>
      </w:pPr>
    </w:p>
    <w:p>
      <w:r>
        <w:drawing>
          <wp:inline distT="0" distB="0" distL="0" distR="0">
            <wp:extent cx="5270500" cy="6673850"/>
            <wp:effectExtent l="0" t="0" r="6350" b="0"/>
            <wp:docPr id="64438810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38810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7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spacing w:line="360" w:lineRule="auto"/>
        <w:rPr>
          <w:rFonts w:ascii="Times New Roman Regular" w:hAnsi="Times New Roman Regular" w:cs="Times New Roman Regular"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S1.</w:t>
      </w:r>
      <w:r>
        <w:rPr>
          <w:rFonts w:hint="eastAsia" w:ascii="Times New Roman Regular" w:hAnsi="Times New Roman Regular" w:cs="Times New Roman Regular"/>
          <w:sz w:val="24"/>
        </w:rPr>
        <w:t xml:space="preserve"> </w:t>
      </w:r>
      <w:r>
        <w:rPr>
          <w:rFonts w:ascii="Times New Roman Regular" w:hAnsi="Times New Roman Regular" w:cs="Times New Roman Regular"/>
          <w:b/>
          <w:bCs/>
          <w:sz w:val="24"/>
        </w:rPr>
        <w:t>Overview of inter-regional transcriptomic differences in the mouse brain.</w:t>
      </w:r>
      <w:r>
        <w:rPr>
          <w:rFonts w:ascii="Times New Roman Regular" w:hAnsi="Times New Roman Regular" w:cs="Times New Roman Regular"/>
          <w:sz w:val="24"/>
        </w:rPr>
        <w:br w:type="textWrapping"/>
      </w:r>
      <w:r>
        <w:rPr>
          <w:rFonts w:ascii="Times New Roman Regular" w:hAnsi="Times New Roman Regular" w:cs="Times New Roman Regular"/>
          <w:b/>
          <w:bCs/>
          <w:sz w:val="24"/>
        </w:rPr>
        <w:t>A.</w:t>
      </w:r>
      <w:r>
        <w:rPr>
          <w:rFonts w:ascii="Times New Roman Regular" w:hAnsi="Times New Roman Regular" w:cs="Times New Roman Regular"/>
          <w:sz w:val="24"/>
        </w:rPr>
        <w:t xml:space="preserve"> PCA of the whole-brain transcriptome. Each dot represent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ed</w:t>
      </w:r>
      <w:r>
        <w:rPr>
          <w:rFonts w:ascii="Times New Roman Regular" w:hAnsi="Times New Roman Regular" w:cs="Times New Roman Regular"/>
          <w:sz w:val="24"/>
        </w:rPr>
        <w:t xml:space="preserve"> a sample from a different brain region, color-coded accordingly. The axes correspond to the principal components, reflecting similarities and differences in overall gene expression patterns among the regions.</w:t>
      </w:r>
      <w:r>
        <w:rPr>
          <w:rFonts w:ascii="Times New Roman Regular" w:hAnsi="Times New Roman Regular" w:cs="Times New Roman Regular"/>
          <w:sz w:val="24"/>
        </w:rPr>
        <w:br w:type="textWrapping"/>
      </w:r>
      <w:r>
        <w:rPr>
          <w:rFonts w:ascii="Times New Roman Regular" w:hAnsi="Times New Roman Regular" w:cs="Times New Roman Regular"/>
          <w:b/>
          <w:bCs/>
          <w:sz w:val="24"/>
        </w:rPr>
        <w:t>B.</w:t>
      </w:r>
      <w:r>
        <w:rPr>
          <w:rFonts w:ascii="Times New Roman Regular" w:hAnsi="Times New Roman Regular" w:cs="Times New Roman Regular"/>
          <w:sz w:val="24"/>
        </w:rPr>
        <w:t xml:space="preserve"> PCA based on immune-related genes, analyzed using the same method as in Figure S1A.</w:t>
      </w:r>
      <w:r>
        <w:rPr>
          <w:rFonts w:ascii="Times New Roman Regular" w:hAnsi="Times New Roman Regular" w:cs="Times New Roman Regular"/>
          <w:sz w:val="24"/>
        </w:rPr>
        <w:br w:type="textWrapping"/>
      </w:r>
      <w:r>
        <w:rPr>
          <w:rFonts w:ascii="Times New Roman Regular" w:hAnsi="Times New Roman Regular" w:cs="Times New Roman Regular"/>
          <w:b/>
          <w:bCs/>
          <w:sz w:val="24"/>
        </w:rPr>
        <w:t>C.</w:t>
      </w:r>
      <w:r>
        <w:rPr>
          <w:rFonts w:ascii="Times New Roman Regular" w:hAnsi="Times New Roman Regular" w:cs="Times New Roman Regular"/>
          <w:sz w:val="24"/>
        </w:rPr>
        <w:t xml:space="preserve"> PCA based on metabolism-related genes, also using the same approach as i</w:t>
      </w:r>
      <w:r>
        <w:rPr>
          <w:rFonts w:hint="eastAsia" w:ascii="Times New Roman Regular" w:hAnsi="Times New Roman Regular" w:cs="Times New Roman Regular"/>
          <w:sz w:val="24"/>
        </w:rPr>
        <w:t>n Figure S1A.</w:t>
      </w:r>
      <w:r>
        <w:rPr>
          <w:rFonts w:ascii="Times New Roman Regular" w:hAnsi="Times New Roman Regular" w:cs="Times New Roman Regular"/>
          <w:sz w:val="24"/>
        </w:rPr>
        <w:br w:type="textWrapping"/>
      </w:r>
      <w:r>
        <w:rPr>
          <w:rFonts w:ascii="Times New Roman Regular" w:hAnsi="Times New Roman Regular" w:cs="Times New Roman Regular"/>
          <w:b/>
          <w:bCs/>
          <w:sz w:val="24"/>
        </w:rPr>
        <w:t>D.</w:t>
      </w:r>
      <w:r>
        <w:rPr>
          <w:rFonts w:ascii="Times New Roman Regular" w:hAnsi="Times New Roman Regular" w:cs="Times New Roman Regular"/>
          <w:sz w:val="24"/>
        </w:rPr>
        <w:t xml:space="preserve"> UpSet plot of upregulated DEGs. The vertical axis indicate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d</w:t>
      </w:r>
      <w:r>
        <w:rPr>
          <w:rFonts w:ascii="Times New Roman Regular" w:hAnsi="Times New Roman Regular" w:cs="Times New Roman Regular"/>
          <w:sz w:val="24"/>
        </w:rPr>
        <w:t xml:space="preserve"> the number of DEGs for each intersection or union of brain regions, while the horizontal axis show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ed</w:t>
      </w:r>
      <w:r>
        <w:rPr>
          <w:rFonts w:ascii="Times New Roman Regular" w:hAnsi="Times New Roman Regular" w:cs="Times New Roman Regular"/>
          <w:sz w:val="24"/>
        </w:rPr>
        <w:t xml:space="preserve"> the specific combinations of regions. This plot illustrate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d</w:t>
      </w:r>
      <w:r>
        <w:rPr>
          <w:rFonts w:ascii="Times New Roman Regular" w:hAnsi="Times New Roman Regular" w:cs="Times New Roman Regular"/>
          <w:sz w:val="24"/>
        </w:rPr>
        <w:t xml:space="preserve"> the extent of overlap and regional specificity of upregulated genes.</w:t>
      </w:r>
      <w:r>
        <w:rPr>
          <w:rFonts w:ascii="Times New Roman Regular" w:hAnsi="Times New Roman Regular" w:cs="Times New Roman Regular"/>
          <w:sz w:val="24"/>
        </w:rPr>
        <w:br w:type="textWrapping"/>
      </w:r>
      <w:r>
        <w:rPr>
          <w:rFonts w:ascii="Times New Roman Regular" w:hAnsi="Times New Roman Regular" w:cs="Times New Roman Regular"/>
          <w:b/>
          <w:bCs/>
          <w:sz w:val="24"/>
        </w:rPr>
        <w:t>E.</w:t>
      </w:r>
      <w:r>
        <w:rPr>
          <w:rFonts w:ascii="Times New Roman Regular" w:hAnsi="Times New Roman Regular" w:cs="Times New Roman Regular"/>
          <w:sz w:val="24"/>
        </w:rPr>
        <w:t xml:space="preserve"> UpSet plot of downregulated DEGs. Using the same analysis approach as in </w:t>
      </w:r>
      <w:r>
        <w:rPr>
          <w:rFonts w:hint="eastAsia" w:ascii="Times New Roman Regular" w:hAnsi="Times New Roman Regular" w:cs="Times New Roman Regular"/>
          <w:sz w:val="24"/>
        </w:rPr>
        <w:t>Figure S1</w:t>
      </w:r>
      <w:r>
        <w:rPr>
          <w:rFonts w:ascii="Times New Roman Regular" w:hAnsi="Times New Roman Regular" w:cs="Times New Roman Regular"/>
          <w:sz w:val="24"/>
        </w:rPr>
        <w:t>D</w:t>
      </w:r>
      <w:r>
        <w:rPr>
          <w:rFonts w:hint="eastAsia" w:ascii="Times New Roman Regular" w:hAnsi="Times New Roman Regular" w:cs="Times New Roman Regular"/>
          <w:sz w:val="24"/>
        </w:rPr>
        <w:t>.</w:t>
      </w:r>
      <w:r>
        <w:rPr>
          <w:rFonts w:ascii="Times New Roman Regular" w:hAnsi="Times New Roman Regular" w:cs="Times New Roman Regular"/>
          <w:sz w:val="24"/>
        </w:rPr>
        <w:t xml:space="preserve"> 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T</w:t>
      </w:r>
      <w:r>
        <w:rPr>
          <w:rFonts w:ascii="Times New Roman Regular" w:hAnsi="Times New Roman Regular" w:cs="Times New Roman Regular"/>
          <w:sz w:val="24"/>
        </w:rPr>
        <w:t>his plot display</w:t>
      </w:r>
      <w:r>
        <w:rPr>
          <w:rFonts w:hint="eastAsia" w:ascii="Times New Roman Regular" w:hAnsi="Times New Roman Regular" w:cs="Times New Roman Regular"/>
          <w:sz w:val="24"/>
          <w:lang w:val="en-US" w:eastAsia="zh-CN"/>
        </w:rPr>
        <w:t>ed</w:t>
      </w:r>
      <w:r>
        <w:rPr>
          <w:rFonts w:ascii="Times New Roman Regular" w:hAnsi="Times New Roman Regular" w:cs="Times New Roman Regular"/>
          <w:sz w:val="24"/>
        </w:rPr>
        <w:t xml:space="preserve"> the overlap and distribution of downregulated genes across different brain regions.</w:t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drawing>
          <wp:inline distT="0" distB="0" distL="0" distR="0">
            <wp:extent cx="5274310" cy="7287895"/>
            <wp:effectExtent l="0" t="0" r="2540" b="8255"/>
            <wp:docPr id="1216838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838845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8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Times New Roman Regular" w:hAnsi="Times New Roman Regular" w:cs="Times New Roman Regular"/>
          <w:sz w:val="24"/>
        </w:rPr>
      </w:pP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2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 xml:space="preserve">GO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e</w:t>
      </w:r>
      <w:r>
        <w:rPr>
          <w:rFonts w:ascii="Times New Roman Bold" w:hAnsi="Times New Roman Bold" w:cs="Times New Roman Bold"/>
          <w:b/>
          <w:bCs/>
          <w:sz w:val="24"/>
        </w:rPr>
        <w:t xml:space="preserve">nrichment of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u</w:t>
      </w:r>
      <w:r>
        <w:rPr>
          <w:rFonts w:hint="default" w:ascii="Times New Roman Bold" w:hAnsi="Times New Roman Bold" w:cs="Times New Roman Bold"/>
          <w:b/>
          <w:bCs/>
          <w:sz w:val="24"/>
        </w:rPr>
        <w:t>p</w:t>
      </w:r>
      <w:r>
        <w:rPr>
          <w:rFonts w:ascii="Times New Roman Bold" w:hAnsi="Times New Roman Bold" w:cs="Times New Roman Bold"/>
          <w:b/>
          <w:bCs/>
          <w:sz w:val="24"/>
        </w:rPr>
        <w:t>regulated DEGs at 12, 15, 18, 21, 26, and 28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</w:t>
      </w:r>
      <w:r>
        <w:rPr>
          <w:rFonts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c</w:t>
      </w:r>
      <w:r>
        <w:rPr>
          <w:rFonts w:ascii="Times New Roman Bold" w:hAnsi="Times New Roman Bold" w:cs="Times New Roman Bold"/>
          <w:b/>
          <w:bCs/>
          <w:sz w:val="24"/>
        </w:rPr>
        <w:t xml:space="preserve">ompared with 3 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 xml:space="preserve"> mice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>
      <w:pPr>
        <w:spacing w:line="360" w:lineRule="auto"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drawing>
          <wp:inline distT="0" distB="0" distL="0" distR="0">
            <wp:extent cx="5274310" cy="7350125"/>
            <wp:effectExtent l="0" t="0" r="2540" b="3175"/>
            <wp:docPr id="9128146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14627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5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Times New Roman Regular" w:hAnsi="Times New Roman Regular" w:cs="Times New Roman Regular"/>
          <w:sz w:val="24"/>
        </w:rPr>
      </w:pPr>
    </w:p>
    <w:p>
      <w:pPr>
        <w:spacing w:line="360" w:lineRule="auto"/>
        <w:rPr>
          <w:rFonts w:hint="default"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3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 xml:space="preserve">GO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e</w:t>
      </w:r>
      <w:r>
        <w:rPr>
          <w:rFonts w:ascii="Times New Roman Bold" w:hAnsi="Times New Roman Bold" w:cs="Times New Roman Bold"/>
          <w:b/>
          <w:bCs/>
          <w:sz w:val="24"/>
        </w:rPr>
        <w:t xml:space="preserve">nrichment of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d</w:t>
      </w:r>
      <w:r>
        <w:rPr>
          <w:rFonts w:ascii="Times New Roman Bold" w:hAnsi="Times New Roman Bold" w:cs="Times New Roman Bold"/>
          <w:b/>
          <w:bCs/>
          <w:sz w:val="24"/>
        </w:rPr>
        <w:t>ownregulated DEGs at 12, 15, 18, 21, 26, and 28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</w:t>
      </w:r>
      <w:r>
        <w:rPr>
          <w:rFonts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c</w:t>
      </w:r>
      <w:r>
        <w:rPr>
          <w:rFonts w:ascii="Times New Roman Bold" w:hAnsi="Times New Roman Bold" w:cs="Times New Roman Bold"/>
          <w:b/>
          <w:bCs/>
          <w:sz w:val="24"/>
        </w:rPr>
        <w:t xml:space="preserve">ompared with 3 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 xml:space="preserve"> mice</w:t>
      </w:r>
      <w:bookmarkStart w:id="0" w:name="_GoBack"/>
      <w:bookmarkEnd w:id="0"/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p>
      <w:pPr>
        <w:widowControl/>
        <w:jc w:val="left"/>
        <w:rPr>
          <w:rFonts w:hint="eastAsia"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drawing>
          <wp:inline distT="0" distB="0" distL="0" distR="0">
            <wp:extent cx="5274310" cy="4759960"/>
            <wp:effectExtent l="0" t="0" r="2540" b="2540"/>
            <wp:docPr id="8240920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92000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59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hint="eastAsia" w:ascii="Times New Roman Regular" w:hAnsi="Times New Roman Regular" w:cs="Times New Roman Regular"/>
          <w:sz w:val="24"/>
        </w:rPr>
      </w:pPr>
    </w:p>
    <w:p>
      <w:pPr>
        <w:widowControl/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4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 xml:space="preserve">Overview of the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t</w:t>
      </w:r>
      <w:r>
        <w:rPr>
          <w:rFonts w:ascii="Times New Roman Bold" w:hAnsi="Times New Roman Bold" w:cs="Times New Roman Bold"/>
          <w:b/>
          <w:bCs/>
          <w:sz w:val="24"/>
        </w:rPr>
        <w:t xml:space="preserve">op 1%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e</w:t>
      </w:r>
      <w:r>
        <w:rPr>
          <w:rFonts w:ascii="Times New Roman Bold" w:hAnsi="Times New Roman Bold" w:cs="Times New Roman Bold"/>
          <w:b/>
          <w:bCs/>
          <w:sz w:val="24"/>
        </w:rPr>
        <w:t xml:space="preserve">nriched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p</w:t>
      </w:r>
      <w:r>
        <w:rPr>
          <w:rFonts w:ascii="Times New Roman Bold" w:hAnsi="Times New Roman Bold" w:cs="Times New Roman Bold"/>
          <w:b/>
          <w:bCs/>
          <w:sz w:val="24"/>
        </w:rPr>
        <w:t xml:space="preserve">athways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a</w:t>
      </w:r>
      <w:r>
        <w:rPr>
          <w:rFonts w:ascii="Times New Roman Bold" w:hAnsi="Times New Roman Bold" w:cs="Times New Roman Bold"/>
          <w:b/>
          <w:bCs/>
          <w:sz w:val="24"/>
        </w:rPr>
        <w:t xml:space="preserve">cross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t</w:t>
      </w:r>
      <w:r>
        <w:rPr>
          <w:rFonts w:ascii="Times New Roman Bold" w:hAnsi="Times New Roman Bold" w:cs="Times New Roman Bold"/>
          <w:b/>
          <w:bCs/>
          <w:sz w:val="24"/>
        </w:rPr>
        <w:t xml:space="preserve">ime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p</w:t>
      </w:r>
      <w:r>
        <w:rPr>
          <w:rFonts w:ascii="Times New Roman Bold" w:hAnsi="Times New Roman Bold" w:cs="Times New Roman Bold"/>
          <w:b/>
          <w:bCs/>
          <w:sz w:val="24"/>
        </w:rPr>
        <w:t>oints (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u</w:t>
      </w:r>
      <w:r>
        <w:rPr>
          <w:rFonts w:ascii="Times New Roman Bold" w:hAnsi="Times New Roman Bold" w:cs="Times New Roman Bold"/>
          <w:b/>
          <w:bCs/>
          <w:sz w:val="24"/>
        </w:rPr>
        <w:t>pregulated DEGs)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p>
      <w:pPr>
        <w:widowControl/>
        <w:jc w:val="left"/>
        <w:rPr>
          <w:rFonts w:hint="eastAsia"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  <w:r>
        <w:rPr>
          <w:rFonts w:hint="eastAsia" w:ascii="Times New Roman Regular" w:hAnsi="Times New Roman Regular" w:cs="Times New Roman Regular"/>
          <w:sz w:val="24"/>
        </w:rPr>
        <w:drawing>
          <wp:inline distT="0" distB="0" distL="0" distR="0">
            <wp:extent cx="5274310" cy="4607560"/>
            <wp:effectExtent l="0" t="0" r="2540" b="2540"/>
            <wp:docPr id="209782476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824767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 Regular" w:hAnsi="Times New Roman Regular" w:cs="Times New Roman Regular"/>
          <w:sz w:val="24"/>
        </w:rPr>
      </w:pPr>
    </w:p>
    <w:p>
      <w:pPr>
        <w:widowControl/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5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 xml:space="preserve">Overview of the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t</w:t>
      </w:r>
      <w:r>
        <w:rPr>
          <w:rFonts w:ascii="Times New Roman Bold" w:hAnsi="Times New Roman Bold" w:cs="Times New Roman Bold"/>
          <w:b/>
          <w:bCs/>
          <w:sz w:val="24"/>
        </w:rPr>
        <w:t xml:space="preserve">op 1%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e</w:t>
      </w:r>
      <w:r>
        <w:rPr>
          <w:rFonts w:ascii="Times New Roman Bold" w:hAnsi="Times New Roman Bold" w:cs="Times New Roman Bold"/>
          <w:b/>
          <w:bCs/>
          <w:sz w:val="24"/>
        </w:rPr>
        <w:t xml:space="preserve">nriched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p</w:t>
      </w:r>
      <w:r>
        <w:rPr>
          <w:rFonts w:ascii="Times New Roman Bold" w:hAnsi="Times New Roman Bold" w:cs="Times New Roman Bold"/>
          <w:b/>
          <w:bCs/>
          <w:sz w:val="24"/>
        </w:rPr>
        <w:t xml:space="preserve">athways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a</w:t>
      </w:r>
      <w:r>
        <w:rPr>
          <w:rFonts w:ascii="Times New Roman Bold" w:hAnsi="Times New Roman Bold" w:cs="Times New Roman Bold"/>
          <w:b/>
          <w:bCs/>
          <w:sz w:val="24"/>
        </w:rPr>
        <w:t xml:space="preserve">cross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t</w:t>
      </w:r>
      <w:r>
        <w:rPr>
          <w:rFonts w:ascii="Times New Roman Bold" w:hAnsi="Times New Roman Bold" w:cs="Times New Roman Bold"/>
          <w:b/>
          <w:bCs/>
          <w:sz w:val="24"/>
        </w:rPr>
        <w:t xml:space="preserve">ime 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p</w:t>
      </w:r>
      <w:r>
        <w:rPr>
          <w:rFonts w:ascii="Times New Roman Bold" w:hAnsi="Times New Roman Bold" w:cs="Times New Roman Bold"/>
          <w:b/>
          <w:bCs/>
          <w:sz w:val="24"/>
        </w:rPr>
        <w:t>oints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>(</w:t>
      </w:r>
      <w:r>
        <w:rPr>
          <w:rFonts w:hint="eastAsia" w:ascii="Times New Roman Bold" w:hAnsi="Times New Roman Bold" w:cs="Times New Roman Bold"/>
          <w:b/>
          <w:bCs/>
          <w:sz w:val="24"/>
          <w:lang w:val="en-US" w:eastAsia="zh-CN"/>
        </w:rPr>
        <w:t>d</w:t>
      </w:r>
      <w:r>
        <w:rPr>
          <w:rFonts w:hint="default" w:ascii="Times New Roman Bold" w:hAnsi="Times New Roman Bold" w:cs="Times New Roman Bold"/>
          <w:b/>
          <w:bCs/>
          <w:sz w:val="24"/>
        </w:rPr>
        <w:t>own</w:t>
      </w:r>
      <w:r>
        <w:rPr>
          <w:rFonts w:ascii="Times New Roman Bold" w:hAnsi="Times New Roman Bold" w:cs="Times New Roman Bold"/>
          <w:b/>
          <w:bCs/>
          <w:sz w:val="24"/>
        </w:rPr>
        <w:t>regulated DEGs)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p>
      <w:pPr>
        <w:widowControl/>
        <w:jc w:val="left"/>
        <w:rPr>
          <w:rFonts w:hint="eastAsia"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br w:type="page"/>
      </w:r>
    </w:p>
    <w:p>
      <w:pPr>
        <w:rPr>
          <w:rFonts w:ascii="Times New Roman Regular" w:hAnsi="Times New Roman Regular" w:cs="Times New Roman Regular"/>
          <w:sz w:val="24"/>
        </w:rPr>
      </w:pPr>
      <w:r>
        <w:drawing>
          <wp:inline distT="0" distB="0" distL="114300" distR="114300">
            <wp:extent cx="5263515" cy="664337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4149" cy="664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 Regular" w:hAnsi="Times New Roman Regular" w:cs="Times New Roman Regular"/>
          <w:sz w:val="24"/>
        </w:rPr>
      </w:pP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6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Differential gene expression across brain regions in 26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 versus 3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 mice.</w:t>
      </w:r>
    </w:p>
    <w:p>
      <w:pPr>
        <w:widowControl/>
        <w:jc w:val="left"/>
        <w:rPr>
          <w:rFonts w:hint="eastAsia"/>
        </w:rPr>
      </w:pPr>
      <w:r>
        <w:br w:type="page"/>
      </w:r>
    </w:p>
    <w:p>
      <w:r>
        <w:drawing>
          <wp:inline distT="0" distB="0" distL="114300" distR="114300">
            <wp:extent cx="5273675" cy="4544695"/>
            <wp:effectExtent l="0" t="0" r="317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857" cy="454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7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Lollipop plots of immune pathway regulation significance at each time point across brain regions.</w:t>
      </w:r>
    </w:p>
    <w:p>
      <w:r>
        <w:rPr>
          <w:rFonts w:hint="eastAsia"/>
        </w:rPr>
        <w:drawing>
          <wp:inline distT="0" distB="0" distL="114300" distR="114300">
            <wp:extent cx="5270500" cy="6627495"/>
            <wp:effectExtent l="0" t="0" r="635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637" cy="662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8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Region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specific GSEA of the inflammatory response function in 26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 versus 3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month</w:t>
      </w:r>
      <w:r>
        <w:rPr>
          <w:rFonts w:hint="default" w:ascii="Times New Roman Bold" w:hAnsi="Times New Roman Bold" w:cs="Times New Roman Bold"/>
          <w:b/>
          <w:bCs/>
          <w:sz w:val="24"/>
        </w:rPr>
        <w:noBreakHyphen/>
      </w:r>
      <w:r>
        <w:rPr>
          <w:rFonts w:hint="default" w:ascii="Times New Roman Bold" w:hAnsi="Times New Roman Bold" w:cs="Times New Roman Bold"/>
          <w:b/>
          <w:bCs/>
          <w:sz w:val="24"/>
        </w:rPr>
        <w:t>old mice.</w:t>
      </w:r>
    </w:p>
    <w:p>
      <w:r>
        <w:drawing>
          <wp:inline distT="0" distB="0" distL="114300" distR="114300">
            <wp:extent cx="5213350" cy="7520305"/>
            <wp:effectExtent l="0" t="0" r="6350" b="444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553" cy="752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9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Boxplots of all WGCNA module expression across brain regions and time points.</w:t>
      </w:r>
    </w:p>
    <w:p>
      <w:r>
        <w:drawing>
          <wp:inline distT="0" distB="0" distL="0" distR="0">
            <wp:extent cx="5274310" cy="6245860"/>
            <wp:effectExtent l="0" t="0" r="2540" b="2540"/>
            <wp:docPr id="127571340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713402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6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 Bold" w:hAnsi="Times New Roman Bold" w:cs="Times New Roman Bold"/>
          <w:b/>
          <w:bCs/>
          <w:sz w:val="24"/>
        </w:rPr>
      </w:pPr>
      <w:r>
        <w:rPr>
          <w:rFonts w:ascii="Times New Roman Bold" w:hAnsi="Times New Roman Bold" w:cs="Times New Roman Bold"/>
          <w:b/>
          <w:bCs/>
          <w:sz w:val="24"/>
        </w:rPr>
        <w:t>Figure S</w:t>
      </w:r>
      <w:r>
        <w:rPr>
          <w:rFonts w:hint="eastAsia" w:ascii="Times New Roman Bold" w:hAnsi="Times New Roman Bold" w:cs="Times New Roman Bold"/>
          <w:b/>
          <w:bCs/>
          <w:sz w:val="24"/>
        </w:rPr>
        <w:t>10</w:t>
      </w:r>
      <w:r>
        <w:rPr>
          <w:rFonts w:ascii="Times New Roman Bold" w:hAnsi="Times New Roman Bold" w:cs="Times New Roman Bold"/>
          <w:b/>
          <w:bCs/>
          <w:sz w:val="24"/>
        </w:rPr>
        <w:t>.</w:t>
      </w:r>
      <w:r>
        <w:rPr>
          <w:rFonts w:hint="default" w:ascii="Times New Roman Bold" w:hAnsi="Times New Roman Bold" w:cs="Times New Roman Bold"/>
          <w:b/>
          <w:bCs/>
          <w:sz w:val="24"/>
        </w:rPr>
        <w:t xml:space="preserve"> </w:t>
      </w:r>
      <w:r>
        <w:rPr>
          <w:rFonts w:ascii="Times New Roman Bold" w:hAnsi="Times New Roman Bold" w:cs="Times New Roman Bold"/>
          <w:b/>
          <w:bCs/>
          <w:sz w:val="24"/>
        </w:rPr>
        <w:t>Bubble plots of functional enrichment for all WGCNA modules</w:t>
      </w:r>
      <w:r>
        <w:rPr>
          <w:rFonts w:hint="default" w:ascii="Times New Roman Bold" w:hAnsi="Times New Roman Bold" w:cs="Times New Roman Bold"/>
          <w:b/>
          <w:bCs/>
          <w:sz w:val="24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4B4626D"/>
    <w:rsid w:val="00264905"/>
    <w:rsid w:val="00380BAF"/>
    <w:rsid w:val="006304E1"/>
    <w:rsid w:val="00692B5F"/>
    <w:rsid w:val="006B5E24"/>
    <w:rsid w:val="006F1AB0"/>
    <w:rsid w:val="0072629A"/>
    <w:rsid w:val="007F4276"/>
    <w:rsid w:val="0087362B"/>
    <w:rsid w:val="00965D69"/>
    <w:rsid w:val="00AC3169"/>
    <w:rsid w:val="00CE7A3D"/>
    <w:rsid w:val="00F33596"/>
    <w:rsid w:val="07BC859D"/>
    <w:rsid w:val="1D96E20A"/>
    <w:rsid w:val="37DF3D14"/>
    <w:rsid w:val="5BCB69BD"/>
    <w:rsid w:val="5FF5077E"/>
    <w:rsid w:val="63D77915"/>
    <w:rsid w:val="64EF427E"/>
    <w:rsid w:val="66DD08D1"/>
    <w:rsid w:val="6D773C3E"/>
    <w:rsid w:val="796C7FB4"/>
    <w:rsid w:val="7B9D2A74"/>
    <w:rsid w:val="7FA2A839"/>
    <w:rsid w:val="7FBFDB2F"/>
    <w:rsid w:val="B3BF75BC"/>
    <w:rsid w:val="D3FF3B36"/>
    <w:rsid w:val="D4FD4F9D"/>
    <w:rsid w:val="E4B4626D"/>
    <w:rsid w:val="FAB94EE6"/>
    <w:rsid w:val="FBFED545"/>
    <w:rsid w:val="FF36D9DF"/>
    <w:rsid w:val="FF79D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416</Words>
  <Characters>2377</Characters>
  <Lines>19</Lines>
  <Paragraphs>5</Paragraphs>
  <TotalTime>4</TotalTime>
  <ScaleCrop>false</ScaleCrop>
  <LinksUpToDate>false</LinksUpToDate>
  <CharactersWithSpaces>2788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2025-04-30T23:47:00Z</dcterms:created>
  <dc:creator>郝亚娟</dc:creator>
  <cp:lastModifiedBy>郝亚娟</cp:lastModifiedBy>
  <dcterms:modified xsi:type="dcterms:W3CDTF">2025-08-19T15:56:17Z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F9DD0B0EF8E4224B192EA4688C037A23_43</vt:lpwstr>
  </property>
</Properties>
</file>