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88875" w14:textId="77777777" w:rsidR="005959E3" w:rsidRDefault="005959E3" w:rsidP="005959E3">
      <w:pPr>
        <w:rPr>
          <w:b/>
          <w:bCs/>
        </w:rPr>
      </w:pPr>
      <w:r>
        <w:rPr>
          <w:b/>
          <w:bCs/>
        </w:rPr>
        <w:t>Supplementary File:</w:t>
      </w:r>
    </w:p>
    <w:p w14:paraId="16DD9A3E" w14:textId="77777777" w:rsidR="00F9350A" w:rsidRPr="00C32A20" w:rsidRDefault="00F9350A" w:rsidP="00F9350A">
      <w:pPr>
        <w:jc w:val="center"/>
        <w:rPr>
          <w:b/>
          <w:bCs/>
        </w:rPr>
      </w:pPr>
      <w:r>
        <w:rPr>
          <w:b/>
          <w:bCs/>
        </w:rPr>
        <w:t>Low-Dose</w:t>
      </w:r>
      <w:r w:rsidRPr="00F72A6F">
        <w:rPr>
          <w:b/>
          <w:bCs/>
        </w:rPr>
        <w:t xml:space="preserve"> Rapamycin </w:t>
      </w:r>
      <w:r w:rsidRPr="7CE7E351">
        <w:rPr>
          <w:b/>
          <w:bCs/>
        </w:rPr>
        <w:t xml:space="preserve">Alleviates </w:t>
      </w:r>
      <w:r w:rsidRPr="00F72A6F">
        <w:rPr>
          <w:b/>
          <w:bCs/>
        </w:rPr>
        <w:t xml:space="preserve">Clinical Symptoms of Fatigue </w:t>
      </w:r>
      <w:r>
        <w:rPr>
          <w:b/>
          <w:bCs/>
        </w:rPr>
        <w:t>and PEM in</w:t>
      </w:r>
      <w:r w:rsidRPr="00F72A6F">
        <w:rPr>
          <w:b/>
          <w:bCs/>
        </w:rPr>
        <w:t xml:space="preserve"> ME/CFS Patients via Improvement of </w:t>
      </w:r>
      <w:r w:rsidRPr="7CE7E351">
        <w:rPr>
          <w:b/>
          <w:bCs/>
        </w:rPr>
        <w:t>Autophagy: A Pilot Study</w:t>
      </w:r>
    </w:p>
    <w:p w14:paraId="4E72F252" w14:textId="77777777" w:rsidR="00F9350A" w:rsidRPr="00C32A20" w:rsidRDefault="00F9350A" w:rsidP="00F9350A">
      <w:pPr>
        <w:jc w:val="both"/>
        <w:rPr>
          <w:b/>
          <w:bCs/>
        </w:rPr>
      </w:pPr>
    </w:p>
    <w:p w14:paraId="7B6D81D0" w14:textId="77777777" w:rsidR="00357A86" w:rsidRPr="00ED31FA" w:rsidRDefault="00357A86" w:rsidP="00AF0040">
      <w:pPr>
        <w:rPr>
          <w:b/>
          <w:bCs/>
        </w:rPr>
      </w:pPr>
    </w:p>
    <w:p w14:paraId="0DBD2576" w14:textId="2AF33E05" w:rsidR="00357A86" w:rsidRPr="00ED31FA" w:rsidRDefault="00357A86" w:rsidP="00877E1F">
      <w:pPr>
        <w:rPr>
          <w:vertAlign w:val="superscript"/>
        </w:rPr>
      </w:pPr>
      <w:r w:rsidRPr="00ED31FA">
        <w:t xml:space="preserve">Brian T. </w:t>
      </w:r>
      <w:r w:rsidR="00207DCD">
        <w:t>Ruan</w:t>
      </w:r>
      <w:r w:rsidR="00DE341E">
        <w:rPr>
          <w:vertAlign w:val="superscript"/>
        </w:rPr>
        <w:t>1</w:t>
      </w:r>
      <w:r w:rsidRPr="00ED31FA">
        <w:t xml:space="preserve">, </w:t>
      </w:r>
      <w:r w:rsidR="00DE341E" w:rsidRPr="00ED31FA">
        <w:t>Sarojini Bulbule</w:t>
      </w:r>
      <w:r w:rsidR="00DE341E">
        <w:rPr>
          <w:vertAlign w:val="superscript"/>
        </w:rPr>
        <w:t>2</w:t>
      </w:r>
      <w:r w:rsidR="00DE341E" w:rsidRPr="00ED31FA">
        <w:t xml:space="preserve">, </w:t>
      </w:r>
      <w:r w:rsidR="002633B8">
        <w:t>Brooke Gile</w:t>
      </w:r>
      <w:r w:rsidR="002633B8" w:rsidRPr="00877E1F">
        <w:rPr>
          <w:vertAlign w:val="superscript"/>
        </w:rPr>
        <w:t>2</w:t>
      </w:r>
      <w:r w:rsidR="002633B8">
        <w:t xml:space="preserve">, </w:t>
      </w:r>
      <w:r w:rsidRPr="00ED31FA">
        <w:t>Amy Reyes</w:t>
      </w:r>
      <w:r w:rsidR="00DE341E">
        <w:rPr>
          <w:vertAlign w:val="superscript"/>
        </w:rPr>
        <w:t>2</w:t>
      </w:r>
      <w:r w:rsidR="00DE341E" w:rsidRPr="00ED31FA">
        <w:t>, Bela</w:t>
      </w:r>
      <w:r w:rsidRPr="00ED31FA">
        <w:t xml:space="preserve"> Chheda</w:t>
      </w:r>
      <w:r w:rsidRPr="00ED31FA">
        <w:rPr>
          <w:vertAlign w:val="superscript"/>
        </w:rPr>
        <w:t>3</w:t>
      </w:r>
      <w:r w:rsidRPr="00ED31FA">
        <w:t>, Lucinda Bateman</w:t>
      </w:r>
      <w:r w:rsidRPr="00ED31FA">
        <w:rPr>
          <w:vertAlign w:val="superscript"/>
        </w:rPr>
        <w:t>4</w:t>
      </w:r>
      <w:r w:rsidRPr="00ED31FA">
        <w:t>, Jennifer Bell</w:t>
      </w:r>
      <w:r w:rsidRPr="00ED31FA">
        <w:rPr>
          <w:vertAlign w:val="superscript"/>
        </w:rPr>
        <w:t>4</w:t>
      </w:r>
      <w:r w:rsidRPr="00ED31FA">
        <w:t xml:space="preserve">, </w:t>
      </w:r>
      <w:r w:rsidR="00F9350A" w:rsidRPr="00ED31FA">
        <w:t>Brayd</w:t>
      </w:r>
      <w:r w:rsidR="00F9350A">
        <w:t>e</w:t>
      </w:r>
      <w:r w:rsidR="00F9350A" w:rsidRPr="00ED31FA">
        <w:t xml:space="preserve">n </w:t>
      </w:r>
      <w:r w:rsidRPr="00ED31FA">
        <w:t>Yellman</w:t>
      </w:r>
      <w:r w:rsidRPr="00ED31FA">
        <w:rPr>
          <w:vertAlign w:val="superscript"/>
        </w:rPr>
        <w:t>4</w:t>
      </w:r>
      <w:r w:rsidRPr="00ED31FA">
        <w:t>, Maureen Hanson</w:t>
      </w:r>
      <w:r w:rsidRPr="00ED31FA">
        <w:rPr>
          <w:vertAlign w:val="superscript"/>
        </w:rPr>
        <w:t>2</w:t>
      </w:r>
      <w:r w:rsidRPr="00ED31FA">
        <w:t>, Stephanie Grach</w:t>
      </w:r>
      <w:r w:rsidRPr="00ED31FA">
        <w:rPr>
          <w:vertAlign w:val="superscript"/>
        </w:rPr>
        <w:t>5</w:t>
      </w:r>
      <w:r w:rsidRPr="00ED31FA">
        <w:t>, Jon Berner</w:t>
      </w:r>
      <w:r w:rsidRPr="00ED31FA">
        <w:rPr>
          <w:vertAlign w:val="superscript"/>
        </w:rPr>
        <w:t>6</w:t>
      </w:r>
      <w:r w:rsidRPr="00ED31FA">
        <w:t>, Daniel L. Peterson</w:t>
      </w:r>
      <w:r w:rsidRPr="00ED31FA">
        <w:rPr>
          <w:vertAlign w:val="superscript"/>
        </w:rPr>
        <w:t>7</w:t>
      </w:r>
      <w:r w:rsidRPr="00ED31FA">
        <w:t xml:space="preserve">, </w:t>
      </w:r>
      <w:r w:rsidR="003271E4">
        <w:t>*</w:t>
      </w:r>
      <w:r w:rsidRPr="00ED31FA">
        <w:t xml:space="preserve">David </w:t>
      </w:r>
      <w:r w:rsidR="00AA3370" w:rsidRPr="00ED31FA">
        <w:t xml:space="preserve">Kaufman </w:t>
      </w:r>
      <w:r w:rsidR="00AA3370" w:rsidRPr="00ED31FA">
        <w:rPr>
          <w:vertAlign w:val="superscript"/>
        </w:rPr>
        <w:t>3</w:t>
      </w:r>
      <w:r w:rsidRPr="00ED31FA">
        <w:t xml:space="preserve">, </w:t>
      </w:r>
      <w:r w:rsidR="003271E4">
        <w:t>*</w:t>
      </w:r>
      <w:r w:rsidRPr="00ED31FA">
        <w:t>Avik Roy</w:t>
      </w:r>
      <w:r w:rsidR="00DE341E">
        <w:rPr>
          <w:vertAlign w:val="superscript"/>
        </w:rPr>
        <w:t>2</w:t>
      </w:r>
      <w:r w:rsidRPr="00ED31FA">
        <w:rPr>
          <w:vertAlign w:val="superscript"/>
        </w:rPr>
        <w:t>,9</w:t>
      </w:r>
      <w:r w:rsidRPr="00ED31FA">
        <w:t xml:space="preserve">, </w:t>
      </w:r>
      <w:r w:rsidR="003271E4">
        <w:t>*</w:t>
      </w:r>
      <w:r w:rsidRPr="00ED31FA">
        <w:t>C. Gunnar Gottschalk</w:t>
      </w:r>
      <w:r w:rsidR="00DE341E">
        <w:rPr>
          <w:vertAlign w:val="superscript"/>
        </w:rPr>
        <w:t>2</w:t>
      </w:r>
      <w:r w:rsidRPr="00ED31FA">
        <w:rPr>
          <w:vertAlign w:val="superscript"/>
        </w:rPr>
        <w:t>,8</w:t>
      </w:r>
    </w:p>
    <w:p w14:paraId="654DEF9B" w14:textId="77777777" w:rsidR="00357A86" w:rsidRPr="00ED31FA" w:rsidRDefault="00357A86" w:rsidP="00357A86">
      <w:pPr>
        <w:jc w:val="center"/>
        <w:rPr>
          <w:vertAlign w:val="superscript"/>
        </w:rPr>
      </w:pPr>
    </w:p>
    <w:p w14:paraId="380B5FFE" w14:textId="77777777" w:rsidR="00357A86" w:rsidRPr="00ED31FA" w:rsidRDefault="00357A86" w:rsidP="00357A86">
      <w:pPr>
        <w:jc w:val="center"/>
        <w:rPr>
          <w:vertAlign w:val="superscript"/>
        </w:rPr>
      </w:pPr>
    </w:p>
    <w:p w14:paraId="522345CB" w14:textId="77777777" w:rsidR="00357A86" w:rsidRPr="00ED31FA" w:rsidRDefault="00357A86" w:rsidP="00357A86">
      <w:pPr>
        <w:jc w:val="center"/>
      </w:pPr>
    </w:p>
    <w:p w14:paraId="2C52CA34" w14:textId="77777777" w:rsidR="00357A86" w:rsidRPr="00ED31FA" w:rsidRDefault="00357A86" w:rsidP="00357A86">
      <w:pPr>
        <w:jc w:val="both"/>
      </w:pPr>
      <w:r w:rsidRPr="00ED31FA">
        <w:rPr>
          <w:b/>
          <w:bCs/>
        </w:rPr>
        <w:t>Affiliations:</w:t>
      </w:r>
    </w:p>
    <w:p w14:paraId="2C04D95A" w14:textId="46519912" w:rsidR="00DE341E" w:rsidRPr="00ED31FA" w:rsidRDefault="00357A86" w:rsidP="00DE341E">
      <w:pPr>
        <w:jc w:val="both"/>
      </w:pPr>
      <w:r w:rsidRPr="00ED31FA">
        <w:rPr>
          <w:vertAlign w:val="superscript"/>
        </w:rPr>
        <w:t xml:space="preserve">1. </w:t>
      </w:r>
      <w:r w:rsidR="00DE341E" w:rsidRPr="00ED31FA">
        <w:t>Corne</w:t>
      </w:r>
      <w:r w:rsidR="00FC4A36">
        <w:t>l</w:t>
      </w:r>
      <w:r w:rsidR="00DE341E" w:rsidRPr="00ED31FA">
        <w:t>l EIND Center, Cornell University, Ithaca, NY</w:t>
      </w:r>
    </w:p>
    <w:p w14:paraId="21FDFE4F" w14:textId="509F2161" w:rsidR="00357A86" w:rsidRPr="00ED31FA" w:rsidRDefault="00357A86" w:rsidP="00357A86">
      <w:pPr>
        <w:jc w:val="both"/>
      </w:pPr>
      <w:r w:rsidRPr="00ED31FA">
        <w:rPr>
          <w:vertAlign w:val="superscript"/>
        </w:rPr>
        <w:t>2.</w:t>
      </w:r>
      <w:r w:rsidRPr="00ED31FA">
        <w:t xml:space="preserve"> </w:t>
      </w:r>
      <w:r w:rsidR="00DE341E" w:rsidRPr="00ED31FA">
        <w:t>Simmaron Research Inc. Research and Development Lab, University of Wisconsin</w:t>
      </w:r>
      <w:r w:rsidR="001A56DB">
        <w:t>-</w:t>
      </w:r>
      <w:r w:rsidR="00DE341E" w:rsidRPr="00ED31FA">
        <w:t>Milwaukee</w:t>
      </w:r>
    </w:p>
    <w:p w14:paraId="2811E3A8" w14:textId="77777777" w:rsidR="00357A86" w:rsidRPr="00ED31FA" w:rsidRDefault="00357A86" w:rsidP="00357A86">
      <w:pPr>
        <w:jc w:val="both"/>
      </w:pPr>
      <w:r w:rsidRPr="00ED31FA">
        <w:rPr>
          <w:vertAlign w:val="superscript"/>
        </w:rPr>
        <w:t>3.</w:t>
      </w:r>
      <w:r w:rsidRPr="00ED31FA">
        <w:t xml:space="preserve"> Centers for Complex Diseases, Palo Alto, CA and Seattle, Washington</w:t>
      </w:r>
    </w:p>
    <w:p w14:paraId="51577E65" w14:textId="77777777" w:rsidR="00357A86" w:rsidRPr="00ED31FA" w:rsidRDefault="00357A86" w:rsidP="00357A86">
      <w:pPr>
        <w:jc w:val="both"/>
      </w:pPr>
      <w:r w:rsidRPr="00ED31FA">
        <w:rPr>
          <w:vertAlign w:val="superscript"/>
        </w:rPr>
        <w:t>4.</w:t>
      </w:r>
      <w:r w:rsidRPr="00ED31FA">
        <w:t xml:space="preserve"> The Bateman Horne Center, Salt Lake City, UT</w:t>
      </w:r>
    </w:p>
    <w:p w14:paraId="2498C4C8" w14:textId="77777777" w:rsidR="00357A86" w:rsidRPr="00ED31FA" w:rsidRDefault="00357A86" w:rsidP="00357A86">
      <w:pPr>
        <w:jc w:val="both"/>
      </w:pPr>
      <w:r w:rsidRPr="00ED31FA">
        <w:rPr>
          <w:vertAlign w:val="superscript"/>
        </w:rPr>
        <w:t xml:space="preserve">5. </w:t>
      </w:r>
      <w:r w:rsidRPr="00ED31FA">
        <w:t>The Mayo Clinic, Rochester, NY</w:t>
      </w:r>
    </w:p>
    <w:p w14:paraId="13C1E934" w14:textId="5B7FA100" w:rsidR="00357A86" w:rsidRPr="00ED31FA" w:rsidRDefault="00357A86" w:rsidP="00357A86">
      <w:pPr>
        <w:jc w:val="both"/>
      </w:pPr>
      <w:r w:rsidRPr="00ED31FA">
        <w:rPr>
          <w:vertAlign w:val="superscript"/>
        </w:rPr>
        <w:t xml:space="preserve">6. </w:t>
      </w:r>
      <w:r w:rsidRPr="00ED31FA">
        <w:t>Woodinville Psychiatry, Woodinville, WA</w:t>
      </w:r>
    </w:p>
    <w:p w14:paraId="111C1A61" w14:textId="77777777" w:rsidR="00357A86" w:rsidRPr="00ED31FA" w:rsidRDefault="00357A86" w:rsidP="00357A86">
      <w:pPr>
        <w:jc w:val="both"/>
        <w:rPr>
          <w:lang w:val="it-IT"/>
        </w:rPr>
      </w:pPr>
      <w:r w:rsidRPr="00ED31FA">
        <w:rPr>
          <w:vertAlign w:val="superscript"/>
          <w:lang w:val="it-IT"/>
        </w:rPr>
        <w:t>7.</w:t>
      </w:r>
      <w:r w:rsidRPr="00ED31FA">
        <w:rPr>
          <w:lang w:val="it-IT"/>
        </w:rPr>
        <w:t xml:space="preserve"> Sierra Internal Medicine, Incline Village, NV</w:t>
      </w:r>
    </w:p>
    <w:p w14:paraId="7E2CAE56" w14:textId="77777777" w:rsidR="00357A86" w:rsidRPr="00ED31FA" w:rsidRDefault="00357A86" w:rsidP="00357A86">
      <w:pPr>
        <w:jc w:val="both"/>
      </w:pPr>
      <w:r w:rsidRPr="00ED31FA">
        <w:rPr>
          <w:vertAlign w:val="superscript"/>
        </w:rPr>
        <w:t xml:space="preserve">8. </w:t>
      </w:r>
      <w:r w:rsidRPr="00ED31FA">
        <w:t>Simmaron Research Center for Translational Science, ICBI at Indiana University Methodist Hospital, Indianapolis, IN</w:t>
      </w:r>
    </w:p>
    <w:p w14:paraId="007DB842" w14:textId="5E670AEA" w:rsidR="00357A86" w:rsidRPr="00ED31FA" w:rsidRDefault="00357A86" w:rsidP="00357A86">
      <w:pPr>
        <w:jc w:val="both"/>
      </w:pPr>
      <w:r w:rsidRPr="00ED31FA">
        <w:rPr>
          <w:vertAlign w:val="superscript"/>
        </w:rPr>
        <w:t>9.</w:t>
      </w:r>
      <w:r w:rsidRPr="00ED31FA">
        <w:t xml:space="preserve"> Milwaukee Institute for Drug Discovery, University of Wisconsin-Milwaukee, 2000 E Kenwood Blvd, Milwaukee, WI 53211</w:t>
      </w:r>
    </w:p>
    <w:p w14:paraId="132914CD" w14:textId="77777777" w:rsidR="00357A86" w:rsidRPr="00ED31FA" w:rsidRDefault="00357A86" w:rsidP="00357A86">
      <w:pPr>
        <w:jc w:val="both"/>
      </w:pPr>
    </w:p>
    <w:p w14:paraId="6984C11C" w14:textId="77777777" w:rsidR="00357A86" w:rsidRPr="00ED31FA" w:rsidRDefault="00357A86" w:rsidP="00357A86">
      <w:pPr>
        <w:jc w:val="center"/>
      </w:pPr>
    </w:p>
    <w:p w14:paraId="16DBDEF6" w14:textId="7C597702" w:rsidR="00357A86" w:rsidRPr="00ED31FA" w:rsidRDefault="003271E4" w:rsidP="00854716">
      <w:r>
        <w:t>*</w:t>
      </w:r>
      <w:r w:rsidR="00854716" w:rsidRPr="00ED31FA">
        <w:t xml:space="preserve">Correspondence to </w:t>
      </w:r>
    </w:p>
    <w:p w14:paraId="0068B068" w14:textId="77777777" w:rsidR="00854716" w:rsidRPr="00ED31FA" w:rsidRDefault="00854716" w:rsidP="00854716"/>
    <w:p w14:paraId="1678598E" w14:textId="77777777" w:rsidR="00854716" w:rsidRPr="00ED31FA" w:rsidRDefault="00854716" w:rsidP="00357A86">
      <w:pPr>
        <w:sectPr w:rsidR="00854716" w:rsidRPr="00ED31FA">
          <w:pgSz w:w="12240" w:h="15840"/>
          <w:pgMar w:top="1440" w:right="1440" w:bottom="1440" w:left="1440" w:header="720" w:footer="720" w:gutter="0"/>
          <w:cols w:space="720"/>
          <w:docGrid w:linePitch="360"/>
        </w:sectPr>
      </w:pPr>
    </w:p>
    <w:p w14:paraId="2A0FC42E" w14:textId="3B6E91A1" w:rsidR="00357A86" w:rsidRPr="00ED31FA" w:rsidRDefault="00357A86" w:rsidP="00854716">
      <w:r w:rsidRPr="00ED31FA">
        <w:t>C. Gunnar Gottschalk PhD</w:t>
      </w:r>
    </w:p>
    <w:p w14:paraId="1D16AA15" w14:textId="77777777" w:rsidR="00854716" w:rsidRPr="00ED31FA" w:rsidRDefault="00854716" w:rsidP="00854716">
      <w:pPr>
        <w:jc w:val="both"/>
      </w:pPr>
      <w:r w:rsidRPr="00ED31FA">
        <w:t xml:space="preserve">Simmaron Research Center for Translational Science, </w:t>
      </w:r>
    </w:p>
    <w:p w14:paraId="0E37906A" w14:textId="77777777" w:rsidR="00854716" w:rsidRPr="00ED31FA" w:rsidRDefault="00854716" w:rsidP="00854716">
      <w:pPr>
        <w:jc w:val="both"/>
      </w:pPr>
      <w:r w:rsidRPr="00ED31FA">
        <w:t xml:space="preserve">ICBI </w:t>
      </w:r>
    </w:p>
    <w:p w14:paraId="2A47D243" w14:textId="77777777" w:rsidR="00854716" w:rsidRPr="00ED31FA" w:rsidRDefault="00854716" w:rsidP="00854716">
      <w:pPr>
        <w:jc w:val="both"/>
      </w:pPr>
      <w:r w:rsidRPr="00ED31FA">
        <w:t>Indiana University Methodist Hospital</w:t>
      </w:r>
    </w:p>
    <w:p w14:paraId="6E8F4099" w14:textId="7A29A264" w:rsidR="00854716" w:rsidRPr="00ED31FA" w:rsidRDefault="00854716" w:rsidP="00854716">
      <w:pPr>
        <w:jc w:val="both"/>
      </w:pPr>
      <w:r w:rsidRPr="00ED31FA">
        <w:t>Indianapolis, IN</w:t>
      </w:r>
    </w:p>
    <w:p w14:paraId="5AF62A20" w14:textId="77777777" w:rsidR="00854716" w:rsidRPr="00ED31FA" w:rsidRDefault="00854716" w:rsidP="00854716">
      <w:hyperlink r:id="rId8" w:history="1">
        <w:r w:rsidRPr="00ED31FA">
          <w:rPr>
            <w:rStyle w:val="Hyperlink"/>
          </w:rPr>
          <w:t>ggottschalk@simmaron.com</w:t>
        </w:r>
      </w:hyperlink>
    </w:p>
    <w:p w14:paraId="3E7CF600" w14:textId="77777777" w:rsidR="00854716" w:rsidRPr="00ED31FA" w:rsidRDefault="00854716" w:rsidP="00854716">
      <w:pPr>
        <w:jc w:val="both"/>
      </w:pPr>
    </w:p>
    <w:p w14:paraId="252A7E98" w14:textId="1663882B" w:rsidR="00854716" w:rsidRDefault="000A28CD" w:rsidP="00854716">
      <w:pPr>
        <w:jc w:val="both"/>
      </w:pPr>
      <w:r>
        <w:t>David Kaufman</w:t>
      </w:r>
      <w:r w:rsidR="00B55317">
        <w:t>, MD</w:t>
      </w:r>
    </w:p>
    <w:p w14:paraId="4B291B02" w14:textId="77777777" w:rsidR="00854716" w:rsidRPr="00ED31FA" w:rsidRDefault="00854716" w:rsidP="00854716">
      <w:r w:rsidRPr="00ED31FA">
        <w:t>Avik Roy, PhD</w:t>
      </w:r>
    </w:p>
    <w:p w14:paraId="02FDF366" w14:textId="5DD9824A" w:rsidR="00854716" w:rsidRPr="00ED31FA" w:rsidRDefault="00854716" w:rsidP="00854716">
      <w:r w:rsidRPr="00ED31FA">
        <w:t>Simmaron Research</w:t>
      </w:r>
      <w:r w:rsidR="00FB0540">
        <w:t xml:space="preserve"> </w:t>
      </w:r>
      <w:r w:rsidRPr="00ED31FA">
        <w:t>&amp; Development Laboratory</w:t>
      </w:r>
      <w:r w:rsidR="00DE341E">
        <w:t xml:space="preserve">, </w:t>
      </w:r>
    </w:p>
    <w:p w14:paraId="66D6306D" w14:textId="77777777" w:rsidR="00FB0540" w:rsidRDefault="00C86B47" w:rsidP="00854716">
      <w:r>
        <w:t>Milwaukee Institute for Drug Discovery</w:t>
      </w:r>
    </w:p>
    <w:p w14:paraId="7DD6A91C" w14:textId="308AF4AE" w:rsidR="00FB0540" w:rsidRDefault="00FB0540" w:rsidP="00854716">
      <w:r>
        <w:t>University of Wisconsin-Milwaukee</w:t>
      </w:r>
    </w:p>
    <w:p w14:paraId="636F3119" w14:textId="0A512A73" w:rsidR="00854716" w:rsidRPr="00ED31FA" w:rsidRDefault="00854716" w:rsidP="00854716">
      <w:r w:rsidRPr="00ED31FA">
        <w:t>2000 E Kenwood Blvd</w:t>
      </w:r>
    </w:p>
    <w:p w14:paraId="3BBB69E5" w14:textId="77777777" w:rsidR="00854716" w:rsidRPr="00ED31FA" w:rsidRDefault="00854716" w:rsidP="00854716">
      <w:r w:rsidRPr="00ED31FA">
        <w:t>SBIR suite # 320</w:t>
      </w:r>
    </w:p>
    <w:p w14:paraId="1FDA508F" w14:textId="77777777" w:rsidR="00854716" w:rsidRPr="00ED31FA" w:rsidRDefault="00854716" w:rsidP="00854716">
      <w:r w:rsidRPr="00ED31FA">
        <w:t>Milwaukee, WI 53211</w:t>
      </w:r>
    </w:p>
    <w:p w14:paraId="155133AD" w14:textId="77777777" w:rsidR="00854716" w:rsidRPr="00ED31FA" w:rsidRDefault="00854716" w:rsidP="00854716">
      <w:hyperlink r:id="rId9" w:history="1">
        <w:r w:rsidRPr="00ED31FA">
          <w:rPr>
            <w:rStyle w:val="Hyperlink"/>
          </w:rPr>
          <w:t>aroy@simmaron.com</w:t>
        </w:r>
      </w:hyperlink>
    </w:p>
    <w:p w14:paraId="60D723A4" w14:textId="77777777" w:rsidR="00854716" w:rsidRPr="00ED31FA" w:rsidRDefault="00854716" w:rsidP="00854716">
      <w:pPr>
        <w:jc w:val="center"/>
        <w:sectPr w:rsidR="00854716" w:rsidRPr="00ED31FA" w:rsidSect="00854716">
          <w:type w:val="continuous"/>
          <w:pgSz w:w="12240" w:h="15840"/>
          <w:pgMar w:top="1440" w:right="1440" w:bottom="1440" w:left="1440" w:header="720" w:footer="720" w:gutter="0"/>
          <w:cols w:num="2" w:space="720"/>
          <w:docGrid w:linePitch="360"/>
        </w:sectPr>
      </w:pPr>
    </w:p>
    <w:p w14:paraId="53EA5BF8" w14:textId="139A81E9" w:rsidR="00854716" w:rsidRDefault="000A28CD" w:rsidP="000A28CD">
      <w:r>
        <w:t>Center for Complex Disease</w:t>
      </w:r>
      <w:r w:rsidR="00DC4CA0">
        <w:t>s</w:t>
      </w:r>
      <w:r w:rsidR="00A47834">
        <w:t>,</w:t>
      </w:r>
      <w:r w:rsidR="00DC4CA0">
        <w:t xml:space="preserve"> </w:t>
      </w:r>
      <w:r w:rsidR="00A47834">
        <w:t>CA</w:t>
      </w:r>
    </w:p>
    <w:p w14:paraId="6F0DF971" w14:textId="56389497" w:rsidR="00C20AC3" w:rsidRPr="00DC4CA0" w:rsidRDefault="00C20AC3">
      <w:r w:rsidRPr="00DC4CA0">
        <w:t>Center for Complex Disease</w:t>
      </w:r>
      <w:r w:rsidR="00DC4CA0" w:rsidRPr="00DC4CA0">
        <w:t>s</w:t>
      </w:r>
    </w:p>
    <w:p w14:paraId="379BF632" w14:textId="1DBB5EA6" w:rsidR="000A28CD" w:rsidRDefault="00C20AC3">
      <w:pPr>
        <w:rPr>
          <w:b/>
          <w:bCs/>
        </w:rPr>
      </w:pPr>
      <w:r w:rsidRPr="00DC4CA0">
        <w:t>Email:</w:t>
      </w:r>
      <w:r w:rsidR="00476959" w:rsidRPr="00DC4CA0">
        <w:t xml:space="preserve"> david@centerforcomplexdiseases.com</w:t>
      </w:r>
      <w:r w:rsidR="000A28CD">
        <w:rPr>
          <w:b/>
          <w:bCs/>
        </w:rPr>
        <w:br w:type="page"/>
      </w:r>
    </w:p>
    <w:p w14:paraId="3C7DC191" w14:textId="25A83F4B" w:rsidR="004E44CE" w:rsidRPr="00CA36F6" w:rsidRDefault="004E44CE">
      <w:pPr>
        <w:spacing w:after="160" w:line="278" w:lineRule="auto"/>
        <w:rPr>
          <w:b/>
          <w:bCs/>
        </w:rPr>
      </w:pPr>
      <w:r w:rsidRPr="00CA36F6">
        <w:rPr>
          <w:b/>
          <w:bCs/>
        </w:rPr>
        <w:lastRenderedPageBreak/>
        <w:t xml:space="preserve">Legends to </w:t>
      </w:r>
      <w:r w:rsidR="005959E3" w:rsidRPr="00CA36F6">
        <w:rPr>
          <w:b/>
          <w:bCs/>
        </w:rPr>
        <w:t xml:space="preserve">Supplementary </w:t>
      </w:r>
      <w:r w:rsidRPr="00CA36F6">
        <w:rPr>
          <w:b/>
          <w:bCs/>
        </w:rPr>
        <w:t>Figures:</w:t>
      </w:r>
    </w:p>
    <w:p w14:paraId="43A62CD2" w14:textId="77777777" w:rsidR="00877E1F" w:rsidRPr="00877E1F" w:rsidRDefault="00877E1F" w:rsidP="004E44CE">
      <w:pPr>
        <w:spacing w:after="160"/>
        <w:jc w:val="both"/>
      </w:pPr>
      <w:r w:rsidRPr="00877E1F">
        <w:rPr>
          <w:b/>
          <w:bCs/>
        </w:rPr>
        <w:t xml:space="preserve">Supplementary Figure 1. Normality testing results of residuals of mixed effect model. </w:t>
      </w:r>
      <w:r w:rsidRPr="00877E1F">
        <w:t xml:space="preserve">QQ plots do not show any significant deviation which may be suggestive of violation of mixed effect model testing assumptions. (A) QQ plot of BAS, (B) QQ plot of SSS symptoms, (C) QQ plot of MFI, (D) QQ plot of SF-36 subscales and aggregates, (E) QQ plots of before and after log-transformation of BECLIN-1 concentration, (F) QQ plots of before and after log-transformation of pSer258ATG13 concentration. </w:t>
      </w:r>
    </w:p>
    <w:p w14:paraId="6909219F" w14:textId="03D05EBC" w:rsidR="004E44CE" w:rsidRDefault="002F5F4D" w:rsidP="004E44CE">
      <w:pPr>
        <w:spacing w:after="160"/>
        <w:jc w:val="both"/>
      </w:pPr>
      <w:r>
        <w:rPr>
          <w:b/>
          <w:bCs/>
        </w:rPr>
        <w:t xml:space="preserve">Supplement </w:t>
      </w:r>
      <w:r w:rsidR="004E44CE" w:rsidRPr="004E44CE">
        <w:rPr>
          <w:b/>
          <w:bCs/>
        </w:rPr>
        <w:t xml:space="preserve">Figure </w:t>
      </w:r>
      <w:r w:rsidR="00877E1F">
        <w:rPr>
          <w:b/>
          <w:bCs/>
        </w:rPr>
        <w:t>2</w:t>
      </w:r>
      <w:r w:rsidR="004E44CE" w:rsidRPr="004E44CE">
        <w:rPr>
          <w:b/>
          <w:bCs/>
        </w:rPr>
        <w:t>. Low-dose rapamycin therapy schema and analysis of metabolic panel at different milestones of rapamycin treatment.</w:t>
      </w:r>
      <w:r w:rsidR="004E44CE" w:rsidRPr="004E44CE">
        <w:t xml:space="preserve"> (</w:t>
      </w:r>
      <w:r w:rsidR="004E44CE" w:rsidRPr="003E6071">
        <w:t>A</w:t>
      </w:r>
      <w:r w:rsidR="004E44CE" w:rsidRPr="004E44CE">
        <w:t xml:space="preserve">) A schema represents </w:t>
      </w:r>
      <w:proofErr w:type="gramStart"/>
      <w:r w:rsidR="000E6C24">
        <w:t>timepoints</w:t>
      </w:r>
      <w:proofErr w:type="gramEnd"/>
      <w:r w:rsidR="004E44CE" w:rsidRPr="004E44CE">
        <w:t xml:space="preserve"> (T) of </w:t>
      </w:r>
      <w:r w:rsidR="000E6C24">
        <w:t>r</w:t>
      </w:r>
      <w:r w:rsidR="000E6C24" w:rsidRPr="004E44CE">
        <w:t>apamycin</w:t>
      </w:r>
      <w:r w:rsidR="004E44CE" w:rsidRPr="004E44CE">
        <w:t xml:space="preserve"> treatment. T1 represents the first </w:t>
      </w:r>
      <w:r w:rsidR="000E6C24">
        <w:t>thirty-six (36)</w:t>
      </w:r>
      <w:r w:rsidR="004E44CE" w:rsidRPr="004E44CE">
        <w:t xml:space="preserve"> days of treatment with increasing doses of rapamycin starting from 1 (6 days)</w:t>
      </w:r>
      <w:r w:rsidR="000E6C24">
        <w:t xml:space="preserve"> </w:t>
      </w:r>
      <w:r w:rsidR="004E44CE" w:rsidRPr="004E44CE">
        <w:t>→ 2 (6 days) → 3 (6 days)</w:t>
      </w:r>
      <w:r w:rsidR="000E6C24">
        <w:t xml:space="preserve"> </w:t>
      </w:r>
      <w:r w:rsidR="004E44CE" w:rsidRPr="004E44CE">
        <w:t>→ 4 (6 days) → 5 (6 days)</w:t>
      </w:r>
      <w:r w:rsidR="000E6C24">
        <w:t xml:space="preserve"> </w:t>
      </w:r>
      <w:r w:rsidR="004E44CE" w:rsidRPr="004E44CE">
        <w:t xml:space="preserve">→ 6 mg (6 days). After ramping period, </w:t>
      </w:r>
      <w:r w:rsidR="000E6C24">
        <w:t>t</w:t>
      </w:r>
      <w:r w:rsidR="004E44CE" w:rsidRPr="004E44CE">
        <w:t xml:space="preserve">he treatment enters </w:t>
      </w:r>
      <w:r w:rsidR="000E6C24">
        <w:t>T2</w:t>
      </w:r>
      <w:r w:rsidR="004E44CE" w:rsidRPr="004E44CE">
        <w:t xml:space="preserve"> (60 days) phase with constant dosing of 6mg/week</w:t>
      </w:r>
      <w:r w:rsidR="000E6C24">
        <w:t>,</w:t>
      </w:r>
      <w:r w:rsidR="004E44CE" w:rsidRPr="004E44CE">
        <w:t xml:space="preserve"> then</w:t>
      </w:r>
      <w:r w:rsidR="000E6C24">
        <w:t>,</w:t>
      </w:r>
      <w:r w:rsidR="004E44CE" w:rsidRPr="004E44CE">
        <w:t xml:space="preserve"> finally, to T3 (90 days) phase. (</w:t>
      </w:r>
      <w:r w:rsidR="004E44CE" w:rsidRPr="004E44CE">
        <w:rPr>
          <w:b/>
          <w:bCs/>
        </w:rPr>
        <w:t>B</w:t>
      </w:r>
      <w:r w:rsidR="004E44CE" w:rsidRPr="004E44CE">
        <w:t xml:space="preserve">) The table itemized important documentation such as acquisitions of consent, detailed medical history, disease onset before the treatment began at BSL stage. Improvement of daily activity, fatigue, the overall quality of health, metabolic changes associated with lipid, sugar, and inflammatory </w:t>
      </w:r>
      <w:r w:rsidR="000E6C24">
        <w:t>metabolic processes</w:t>
      </w:r>
      <w:r w:rsidR="004E44CE" w:rsidRPr="004E44CE">
        <w:t xml:space="preserve"> were monitored at the end of each milestones. </w:t>
      </w:r>
    </w:p>
    <w:p w14:paraId="6DC95872" w14:textId="6BCEF343" w:rsidR="004E44CE" w:rsidRDefault="002F5F4D" w:rsidP="00FD1D11">
      <w:pPr>
        <w:pStyle w:val="NormalWeb"/>
        <w:jc w:val="both"/>
        <w:rPr>
          <w:rFonts w:eastAsia="+mn-ea"/>
          <w:color w:val="000000"/>
          <w:kern w:val="24"/>
        </w:rPr>
      </w:pPr>
      <w:r>
        <w:rPr>
          <w:rFonts w:eastAsia="+mn-ea"/>
          <w:b/>
          <w:bCs/>
          <w:color w:val="000000"/>
          <w:kern w:val="24"/>
        </w:rPr>
        <w:t xml:space="preserve">Supplement </w:t>
      </w:r>
      <w:r w:rsidR="004E44CE" w:rsidRPr="00FD1D11">
        <w:rPr>
          <w:rFonts w:eastAsia="+mn-ea"/>
          <w:b/>
          <w:bCs/>
          <w:color w:val="000000"/>
          <w:kern w:val="24"/>
        </w:rPr>
        <w:t xml:space="preserve">Figure </w:t>
      </w:r>
      <w:r w:rsidR="00877E1F">
        <w:rPr>
          <w:rFonts w:eastAsia="+mn-ea"/>
          <w:b/>
          <w:bCs/>
          <w:color w:val="000000"/>
          <w:kern w:val="24"/>
        </w:rPr>
        <w:t>3</w:t>
      </w:r>
      <w:r w:rsidR="004E44CE" w:rsidRPr="00FD1D11">
        <w:rPr>
          <w:rFonts w:eastAsia="+mn-ea"/>
          <w:b/>
          <w:bCs/>
          <w:color w:val="000000"/>
          <w:kern w:val="24"/>
        </w:rPr>
        <w:t xml:space="preserve">. A flow-chart for the participants. </w:t>
      </w:r>
      <w:r w:rsidR="004E44CE" w:rsidRPr="00FD1D11">
        <w:rPr>
          <w:rFonts w:eastAsia="+mn-ea"/>
          <w:color w:val="000000"/>
          <w:kern w:val="24"/>
        </w:rPr>
        <w:t>Response criteria was set based on the positive</w:t>
      </w:r>
      <w:r w:rsidR="000E6C24">
        <w:rPr>
          <w:rFonts w:eastAsia="+mn-ea"/>
          <w:color w:val="000000"/>
          <w:kern w:val="24"/>
        </w:rPr>
        <w:t xml:space="preserve">, </w:t>
      </w:r>
      <w:r w:rsidR="004E44CE" w:rsidRPr="00FD1D11">
        <w:rPr>
          <w:rFonts w:eastAsia="+mn-ea"/>
          <w:color w:val="000000"/>
          <w:kern w:val="24"/>
        </w:rPr>
        <w:t>no change</w:t>
      </w:r>
      <w:r w:rsidR="000E6C24">
        <w:rPr>
          <w:rFonts w:eastAsia="+mn-ea"/>
          <w:color w:val="000000"/>
          <w:kern w:val="24"/>
        </w:rPr>
        <w:t xml:space="preserve">, and/or </w:t>
      </w:r>
      <w:r w:rsidR="004E44CE" w:rsidRPr="00FD1D11">
        <w:rPr>
          <w:rFonts w:eastAsia="+mn-ea"/>
          <w:color w:val="000000"/>
          <w:kern w:val="24"/>
        </w:rPr>
        <w:t>negative reports of symptoms as reported on the SSS</w:t>
      </w:r>
      <w:r w:rsidR="000E6C24">
        <w:rPr>
          <w:rFonts w:eastAsia="+mn-ea"/>
          <w:color w:val="000000"/>
          <w:kern w:val="24"/>
        </w:rPr>
        <w:t>, MFI, and SF-36 inventories</w:t>
      </w:r>
      <w:r w:rsidR="004E44CE" w:rsidRPr="00FD1D11">
        <w:rPr>
          <w:rFonts w:eastAsia="+mn-ea"/>
          <w:color w:val="000000"/>
          <w:kern w:val="24"/>
        </w:rPr>
        <w:t>.  Twenty</w:t>
      </w:r>
      <w:r w:rsidR="000E6C24">
        <w:rPr>
          <w:rFonts w:eastAsia="+mn-ea"/>
          <w:color w:val="000000"/>
          <w:kern w:val="24"/>
        </w:rPr>
        <w:t xml:space="preserve"> (</w:t>
      </w:r>
      <w:r w:rsidR="0031115B">
        <w:rPr>
          <w:rFonts w:eastAsia="+mn-ea"/>
          <w:color w:val="000000"/>
          <w:kern w:val="24"/>
        </w:rPr>
        <w:t>17</w:t>
      </w:r>
      <w:r w:rsidR="000E6C24">
        <w:rPr>
          <w:rFonts w:eastAsia="+mn-ea"/>
          <w:color w:val="000000"/>
          <w:kern w:val="24"/>
        </w:rPr>
        <w:t>)</w:t>
      </w:r>
      <w:r w:rsidR="004E44CE" w:rsidRPr="00FD1D11">
        <w:rPr>
          <w:rFonts w:eastAsia="+mn-ea"/>
          <w:color w:val="000000"/>
          <w:kern w:val="24"/>
        </w:rPr>
        <w:t xml:space="preserve"> responders </w:t>
      </w:r>
      <w:r w:rsidR="00FD1D11" w:rsidRPr="00FD1D11">
        <w:rPr>
          <w:rFonts w:eastAsia="+mn-ea"/>
          <w:color w:val="000000"/>
          <w:kern w:val="24"/>
        </w:rPr>
        <w:t xml:space="preserve">reported positive changes in </w:t>
      </w:r>
      <w:r w:rsidR="000E6C24">
        <w:rPr>
          <w:rFonts w:eastAsia="+mn-ea"/>
          <w:color w:val="000000"/>
          <w:kern w:val="24"/>
        </w:rPr>
        <w:t>selected symptoms from the SSS, all domains of the MFI, and the PCS of the SF-36. Nine</w:t>
      </w:r>
      <w:r w:rsidR="004E44CE" w:rsidRPr="00FD1D11">
        <w:rPr>
          <w:rFonts w:eastAsia="+mn-ea"/>
          <w:color w:val="000000"/>
          <w:kern w:val="24"/>
        </w:rPr>
        <w:t xml:space="preserve"> </w:t>
      </w:r>
      <w:r w:rsidR="000E6C24">
        <w:rPr>
          <w:rFonts w:eastAsia="+mn-ea"/>
          <w:color w:val="000000"/>
          <w:kern w:val="24"/>
        </w:rPr>
        <w:t>(</w:t>
      </w:r>
      <w:r w:rsidR="0031115B">
        <w:rPr>
          <w:rFonts w:eastAsia="+mn-ea"/>
          <w:color w:val="000000"/>
          <w:kern w:val="24"/>
        </w:rPr>
        <w:t>18</w:t>
      </w:r>
      <w:r w:rsidR="000E6C24">
        <w:rPr>
          <w:rFonts w:eastAsia="+mn-ea"/>
          <w:color w:val="000000"/>
          <w:kern w:val="24"/>
        </w:rPr>
        <w:t>)</w:t>
      </w:r>
      <w:r w:rsidR="004E44CE" w:rsidRPr="00FD1D11">
        <w:rPr>
          <w:rFonts w:eastAsia="+mn-ea"/>
          <w:color w:val="000000"/>
          <w:kern w:val="24"/>
        </w:rPr>
        <w:t xml:space="preserve"> partial responders </w:t>
      </w:r>
      <w:r w:rsidR="00FD1D11" w:rsidRPr="00FD1D11">
        <w:rPr>
          <w:rFonts w:eastAsia="+mn-ea"/>
          <w:color w:val="000000"/>
          <w:kern w:val="24"/>
        </w:rPr>
        <w:t xml:space="preserve">reported positive changes </w:t>
      </w:r>
      <w:r w:rsidR="000E6C24">
        <w:rPr>
          <w:rFonts w:eastAsia="+mn-ea"/>
          <w:color w:val="000000"/>
          <w:kern w:val="24"/>
        </w:rPr>
        <w:t>in some SSS symptoms and either the MFI or SF-36</w:t>
      </w:r>
      <w:r w:rsidR="00FD1D11" w:rsidRPr="00FD1D11">
        <w:rPr>
          <w:rFonts w:eastAsia="+mn-ea"/>
          <w:color w:val="000000"/>
          <w:kern w:val="24"/>
        </w:rPr>
        <w:t>, whereas</w:t>
      </w:r>
      <w:r w:rsidR="004E44CE" w:rsidRPr="00FD1D11">
        <w:rPr>
          <w:rFonts w:eastAsia="+mn-ea"/>
          <w:color w:val="000000"/>
          <w:kern w:val="24"/>
        </w:rPr>
        <w:t xml:space="preserve"> </w:t>
      </w:r>
      <w:r w:rsidR="000E6C24">
        <w:rPr>
          <w:rFonts w:eastAsia="+mn-ea"/>
          <w:color w:val="000000"/>
          <w:kern w:val="24"/>
        </w:rPr>
        <w:t>eleven (</w:t>
      </w:r>
      <w:r w:rsidR="0031115B">
        <w:rPr>
          <w:rFonts w:eastAsia="+mn-ea"/>
          <w:color w:val="000000"/>
          <w:kern w:val="24"/>
        </w:rPr>
        <w:t>5</w:t>
      </w:r>
      <w:r w:rsidR="000E6C24">
        <w:rPr>
          <w:rFonts w:eastAsia="+mn-ea"/>
          <w:color w:val="000000"/>
          <w:kern w:val="24"/>
        </w:rPr>
        <w:t>)</w:t>
      </w:r>
      <w:r w:rsidR="004E44CE" w:rsidRPr="00FD1D11">
        <w:rPr>
          <w:rFonts w:eastAsia="+mn-ea"/>
          <w:color w:val="000000"/>
          <w:kern w:val="24"/>
        </w:rPr>
        <w:t xml:space="preserve"> non-responders </w:t>
      </w:r>
      <w:r w:rsidR="00FD1D11" w:rsidRPr="00FD1D11">
        <w:rPr>
          <w:rFonts w:eastAsia="+mn-ea"/>
          <w:color w:val="000000"/>
          <w:kern w:val="24"/>
        </w:rPr>
        <w:t>reported n</w:t>
      </w:r>
      <w:r w:rsidR="004E44CE" w:rsidRPr="00FD1D11">
        <w:rPr>
          <w:rFonts w:eastAsia="+mn-ea"/>
          <w:color w:val="000000"/>
          <w:kern w:val="24"/>
        </w:rPr>
        <w:t xml:space="preserve">o change/negative reports in the </w:t>
      </w:r>
      <w:r w:rsidR="000E6C24">
        <w:rPr>
          <w:rFonts w:eastAsia="+mn-ea"/>
          <w:color w:val="000000"/>
          <w:kern w:val="24"/>
        </w:rPr>
        <w:t>SSS symptoms, MFI aggregate score, and SF-36 PCS aggregate</w:t>
      </w:r>
      <w:r w:rsidR="004E44CE" w:rsidRPr="00FD1D11">
        <w:rPr>
          <w:rFonts w:eastAsia="+mn-ea"/>
          <w:color w:val="000000"/>
          <w:kern w:val="24"/>
        </w:rPr>
        <w:t xml:space="preserve">. </w:t>
      </w:r>
    </w:p>
    <w:p w14:paraId="7E7726A0" w14:textId="7D574E8B" w:rsidR="005959E3" w:rsidRDefault="005959E3" w:rsidP="00FD1D11">
      <w:pPr>
        <w:pStyle w:val="NormalWeb"/>
        <w:jc w:val="both"/>
        <w:rPr>
          <w:rFonts w:eastAsia="+mn-ea"/>
          <w:color w:val="000000"/>
          <w:kern w:val="24"/>
        </w:rPr>
      </w:pPr>
      <w:r w:rsidRPr="005959E3">
        <w:rPr>
          <w:rFonts w:eastAsia="+mn-ea"/>
          <w:b/>
          <w:bCs/>
          <w:color w:val="000000"/>
          <w:kern w:val="24"/>
        </w:rPr>
        <w:t>Supplementary Fig</w:t>
      </w:r>
      <w:r w:rsidR="003E6071">
        <w:rPr>
          <w:rFonts w:eastAsia="+mn-ea"/>
          <w:b/>
          <w:bCs/>
          <w:color w:val="000000"/>
          <w:kern w:val="24"/>
        </w:rPr>
        <w:t>ure</w:t>
      </w:r>
      <w:r w:rsidRPr="005959E3">
        <w:rPr>
          <w:rFonts w:eastAsia="+mn-ea"/>
          <w:b/>
          <w:bCs/>
          <w:color w:val="000000"/>
          <w:kern w:val="24"/>
        </w:rPr>
        <w:t xml:space="preserve"> </w:t>
      </w:r>
      <w:r w:rsidR="00877E1F">
        <w:rPr>
          <w:rFonts w:eastAsia="+mn-ea"/>
          <w:b/>
          <w:bCs/>
          <w:color w:val="000000"/>
          <w:kern w:val="24"/>
        </w:rPr>
        <w:t>4</w:t>
      </w:r>
      <w:r w:rsidRPr="005959E3">
        <w:rPr>
          <w:rFonts w:eastAsia="+mn-ea"/>
          <w:b/>
          <w:bCs/>
          <w:color w:val="000000"/>
          <w:kern w:val="24"/>
        </w:rPr>
        <w:t xml:space="preserve">. Development of </w:t>
      </w:r>
      <w:r w:rsidR="000E6C24">
        <w:rPr>
          <w:rFonts w:eastAsia="+mn-ea"/>
          <w:b/>
          <w:bCs/>
          <w:color w:val="000000"/>
          <w:kern w:val="24"/>
        </w:rPr>
        <w:t>pSer258ATG13</w:t>
      </w:r>
      <w:r w:rsidRPr="005959E3">
        <w:rPr>
          <w:rFonts w:eastAsia="+mn-ea"/>
          <w:b/>
          <w:bCs/>
          <w:color w:val="000000"/>
          <w:kern w:val="24"/>
        </w:rPr>
        <w:t xml:space="preserve"> ELISA.</w:t>
      </w:r>
      <w:r>
        <w:rPr>
          <w:rFonts w:eastAsia="+mn-ea"/>
          <w:color w:val="000000"/>
          <w:kern w:val="24"/>
        </w:rPr>
        <w:t xml:space="preserve"> (A) </w:t>
      </w:r>
      <w:r w:rsidR="00137C1A">
        <w:rPr>
          <w:rFonts w:eastAsia="+mn-ea"/>
          <w:color w:val="000000"/>
          <w:kern w:val="24"/>
        </w:rPr>
        <w:t xml:space="preserve">The </w:t>
      </w:r>
      <w:r w:rsidR="0086709B">
        <w:rPr>
          <w:rFonts w:eastAsia="+mn-ea"/>
          <w:color w:val="000000"/>
          <w:kern w:val="24"/>
        </w:rPr>
        <w:t>peptide</w:t>
      </w:r>
      <w:r w:rsidR="00137C1A">
        <w:rPr>
          <w:rFonts w:eastAsia="+mn-ea"/>
          <w:color w:val="000000"/>
          <w:kern w:val="24"/>
        </w:rPr>
        <w:t xml:space="preserve"> sequence </w:t>
      </w:r>
      <w:r w:rsidR="0086709B">
        <w:rPr>
          <w:rFonts w:eastAsia="+mn-ea"/>
          <w:color w:val="000000"/>
          <w:kern w:val="24"/>
        </w:rPr>
        <w:t xml:space="preserve">was </w:t>
      </w:r>
      <w:r w:rsidR="00137C1A">
        <w:rPr>
          <w:rFonts w:eastAsia="+mn-ea"/>
          <w:color w:val="000000"/>
          <w:kern w:val="24"/>
        </w:rPr>
        <w:t xml:space="preserve">used </w:t>
      </w:r>
      <w:r w:rsidR="00EE3172">
        <w:rPr>
          <w:rFonts w:eastAsia="+mn-ea"/>
          <w:color w:val="000000"/>
          <w:kern w:val="24"/>
        </w:rPr>
        <w:t xml:space="preserve">as a substrate antigen </w:t>
      </w:r>
      <w:r w:rsidR="00C05387">
        <w:rPr>
          <w:rFonts w:eastAsia="+mn-ea"/>
          <w:color w:val="000000"/>
          <w:kern w:val="24"/>
        </w:rPr>
        <w:t xml:space="preserve">to elicit </w:t>
      </w:r>
      <w:r w:rsidR="00EE3172">
        <w:rPr>
          <w:rFonts w:eastAsia="+mn-ea"/>
          <w:color w:val="000000"/>
          <w:kern w:val="24"/>
        </w:rPr>
        <w:t>immunogenic</w:t>
      </w:r>
      <w:r w:rsidR="00C05387">
        <w:rPr>
          <w:rFonts w:eastAsia="+mn-ea"/>
          <w:color w:val="000000"/>
          <w:kern w:val="24"/>
        </w:rPr>
        <w:t xml:space="preserve"> response in rabbit. Anti-sera</w:t>
      </w:r>
      <w:r w:rsidR="0086709B">
        <w:rPr>
          <w:rFonts w:eastAsia="+mn-ea"/>
          <w:color w:val="000000"/>
          <w:kern w:val="24"/>
        </w:rPr>
        <w:t xml:space="preserve"> were collected after 90 and 120 days of immunization</w:t>
      </w:r>
      <w:r w:rsidR="00EE3172">
        <w:rPr>
          <w:rFonts w:eastAsia="+mn-ea"/>
          <w:color w:val="000000"/>
          <w:kern w:val="24"/>
        </w:rPr>
        <w:t xml:space="preserve"> and then</w:t>
      </w:r>
      <w:r w:rsidR="0086709B">
        <w:rPr>
          <w:rFonts w:eastAsia="+mn-ea"/>
          <w:color w:val="000000"/>
          <w:kern w:val="24"/>
        </w:rPr>
        <w:t xml:space="preserve"> affinity purified</w:t>
      </w:r>
      <w:r w:rsidR="00EE3172">
        <w:rPr>
          <w:rFonts w:eastAsia="+mn-ea"/>
          <w:color w:val="000000"/>
          <w:kern w:val="24"/>
        </w:rPr>
        <w:t xml:space="preserve"> as per the protocol </w:t>
      </w:r>
      <w:r w:rsidR="00FC2E6F">
        <w:rPr>
          <w:rFonts w:eastAsia="+mn-ea"/>
          <w:color w:val="000000"/>
          <w:kern w:val="24"/>
        </w:rPr>
        <w:t>optimized by ThermoFisher Scientific</w:t>
      </w:r>
      <w:r w:rsidR="0086709B">
        <w:rPr>
          <w:rFonts w:eastAsia="+mn-ea"/>
          <w:color w:val="000000"/>
          <w:kern w:val="24"/>
        </w:rPr>
        <w:t xml:space="preserve">. (B) </w:t>
      </w:r>
      <w:r w:rsidR="00FC2E6F">
        <w:rPr>
          <w:rFonts w:eastAsia="+mn-ea"/>
          <w:color w:val="000000"/>
          <w:kern w:val="24"/>
        </w:rPr>
        <w:t xml:space="preserve">Dose and time optimization of signal intensity </w:t>
      </w:r>
      <w:r w:rsidR="00BF7C96">
        <w:rPr>
          <w:rFonts w:eastAsia="+mn-ea"/>
          <w:color w:val="000000"/>
          <w:kern w:val="24"/>
        </w:rPr>
        <w:t>were performed</w:t>
      </w:r>
      <w:r w:rsidR="00FC2E6F">
        <w:rPr>
          <w:rFonts w:eastAsia="+mn-ea"/>
          <w:color w:val="000000"/>
          <w:kern w:val="24"/>
        </w:rPr>
        <w:t xml:space="preserve"> </w:t>
      </w:r>
      <w:r w:rsidR="00BF7C96">
        <w:rPr>
          <w:rFonts w:eastAsia="+mn-ea"/>
          <w:color w:val="000000"/>
          <w:kern w:val="24"/>
        </w:rPr>
        <w:t xml:space="preserve">followed by the (C) derivation of standard curve. Results are </w:t>
      </w:r>
      <w:r w:rsidR="006D2B84">
        <w:rPr>
          <w:rFonts w:eastAsia="+mn-ea"/>
          <w:color w:val="000000"/>
          <w:kern w:val="24"/>
        </w:rPr>
        <w:t>mean</w:t>
      </w:r>
      <w:r w:rsidR="000E6C24">
        <w:rPr>
          <w:rFonts w:eastAsia="+mn-ea"/>
          <w:color w:val="000000"/>
          <w:kern w:val="24"/>
        </w:rPr>
        <w:t xml:space="preserve"> </w:t>
      </w:r>
      <w:r w:rsidR="006D2B84">
        <w:rPr>
          <w:rFonts w:eastAsia="+mn-ea"/>
          <w:color w:val="000000"/>
          <w:kern w:val="24"/>
        </w:rPr>
        <w:t>±</w:t>
      </w:r>
      <w:r w:rsidR="000E6C24">
        <w:rPr>
          <w:rFonts w:eastAsia="+mn-ea"/>
          <w:color w:val="000000"/>
          <w:kern w:val="24"/>
        </w:rPr>
        <w:t xml:space="preserve"> </w:t>
      </w:r>
      <w:r w:rsidR="006D2B84">
        <w:rPr>
          <w:rFonts w:eastAsia="+mn-ea"/>
          <w:color w:val="000000"/>
          <w:kern w:val="24"/>
        </w:rPr>
        <w:t>SD after 3 different experiments</w:t>
      </w:r>
      <w:r w:rsidR="000E6C24">
        <w:rPr>
          <w:rFonts w:eastAsia="+mn-ea"/>
          <w:color w:val="000000"/>
          <w:kern w:val="24"/>
        </w:rPr>
        <w:t>.</w:t>
      </w:r>
    </w:p>
    <w:p w14:paraId="4C6E3A39" w14:textId="69D78C2E" w:rsidR="006D2B84" w:rsidRDefault="006D2B84" w:rsidP="006254F9">
      <w:pPr>
        <w:pStyle w:val="NormalWeb"/>
        <w:jc w:val="both"/>
        <w:rPr>
          <w:rFonts w:eastAsia="+mn-ea"/>
          <w:color w:val="000000"/>
          <w:kern w:val="24"/>
        </w:rPr>
      </w:pPr>
      <w:r w:rsidRPr="00326F26">
        <w:rPr>
          <w:rFonts w:eastAsia="+mn-ea"/>
          <w:b/>
          <w:bCs/>
          <w:color w:val="000000"/>
          <w:kern w:val="24"/>
        </w:rPr>
        <w:t>Supplementary Figure</w:t>
      </w:r>
      <w:r w:rsidR="008F5034" w:rsidRPr="00326F26">
        <w:rPr>
          <w:rFonts w:eastAsia="+mn-ea"/>
          <w:b/>
          <w:bCs/>
          <w:color w:val="000000"/>
          <w:kern w:val="24"/>
        </w:rPr>
        <w:t xml:space="preserve"> 5.</w:t>
      </w:r>
      <w:r w:rsidR="00651552" w:rsidRPr="00326F26">
        <w:rPr>
          <w:rFonts w:eastAsia="+mn-ea"/>
          <w:b/>
          <w:bCs/>
          <w:color w:val="000000"/>
          <w:kern w:val="24"/>
        </w:rPr>
        <w:t xml:space="preserve"> The effect of r</w:t>
      </w:r>
      <w:r w:rsidR="00E32DD5" w:rsidRPr="00326F26">
        <w:rPr>
          <w:rFonts w:eastAsia="+mn-ea"/>
          <w:b/>
          <w:bCs/>
          <w:color w:val="000000"/>
          <w:kern w:val="24"/>
        </w:rPr>
        <w:t>apamycin on blood cell count in ME/CFS subjects.</w:t>
      </w:r>
      <w:r w:rsidR="00E32DD5">
        <w:rPr>
          <w:rFonts w:eastAsia="+mn-ea"/>
          <w:color w:val="000000"/>
          <w:kern w:val="24"/>
        </w:rPr>
        <w:t xml:space="preserve"> </w:t>
      </w:r>
      <w:r w:rsidR="00E94E3D">
        <w:rPr>
          <w:rFonts w:eastAsia="+mn-ea"/>
          <w:color w:val="000000"/>
          <w:kern w:val="24"/>
        </w:rPr>
        <w:t>Quantification</w:t>
      </w:r>
      <w:r w:rsidR="00326F26">
        <w:rPr>
          <w:rFonts w:eastAsia="+mn-ea"/>
          <w:color w:val="000000"/>
          <w:kern w:val="24"/>
        </w:rPr>
        <w:t>s</w:t>
      </w:r>
      <w:r w:rsidR="00E94E3D">
        <w:rPr>
          <w:rFonts w:eastAsia="+mn-ea"/>
          <w:color w:val="000000"/>
          <w:kern w:val="24"/>
        </w:rPr>
        <w:t xml:space="preserve"> of </w:t>
      </w:r>
      <w:r w:rsidR="00E32DD5">
        <w:rPr>
          <w:rFonts w:eastAsia="+mn-ea"/>
          <w:color w:val="000000"/>
          <w:kern w:val="24"/>
        </w:rPr>
        <w:t xml:space="preserve">(A) WBC </w:t>
      </w:r>
      <w:r w:rsidR="00FA58F7">
        <w:rPr>
          <w:rFonts w:eastAsia="+mn-ea"/>
          <w:color w:val="000000"/>
          <w:kern w:val="24"/>
        </w:rPr>
        <w:t>(10</w:t>
      </w:r>
      <w:r w:rsidR="00FA58F7" w:rsidRPr="00FA58F7">
        <w:rPr>
          <w:rFonts w:eastAsia="+mn-ea"/>
          <w:color w:val="000000"/>
          <w:kern w:val="24"/>
          <w:vertAlign w:val="superscript"/>
        </w:rPr>
        <w:t>3</w:t>
      </w:r>
      <w:r w:rsidR="00FA58F7">
        <w:rPr>
          <w:rFonts w:eastAsia="+mn-ea"/>
          <w:color w:val="000000"/>
          <w:kern w:val="24"/>
        </w:rPr>
        <w:t>/µL), (B)</w:t>
      </w:r>
      <w:r w:rsidR="0064126B">
        <w:rPr>
          <w:rFonts w:eastAsia="+mn-ea"/>
          <w:color w:val="000000"/>
          <w:kern w:val="24"/>
        </w:rPr>
        <w:t xml:space="preserve"> RBC (10</w:t>
      </w:r>
      <w:r w:rsidR="0064126B">
        <w:rPr>
          <w:rFonts w:eastAsia="+mn-ea"/>
          <w:color w:val="000000"/>
          <w:kern w:val="24"/>
          <w:vertAlign w:val="superscript"/>
        </w:rPr>
        <w:t>6</w:t>
      </w:r>
      <w:r w:rsidR="0064126B">
        <w:rPr>
          <w:rFonts w:eastAsia="+mn-ea"/>
          <w:color w:val="000000"/>
          <w:kern w:val="24"/>
        </w:rPr>
        <w:t>/µL), (C)</w:t>
      </w:r>
      <w:r w:rsidR="00F33AFB">
        <w:rPr>
          <w:rFonts w:eastAsia="+mn-ea"/>
          <w:color w:val="000000"/>
          <w:kern w:val="24"/>
        </w:rPr>
        <w:t xml:space="preserve"> hemoglobin (g/dL), (D) hematocrit (%), (E)</w:t>
      </w:r>
      <w:r w:rsidR="0029404B">
        <w:rPr>
          <w:rFonts w:eastAsia="+mn-ea"/>
          <w:color w:val="000000"/>
          <w:kern w:val="24"/>
        </w:rPr>
        <w:t xml:space="preserve"> platelet</w:t>
      </w:r>
      <w:r w:rsidR="00E94E3D">
        <w:rPr>
          <w:rFonts w:eastAsia="+mn-ea"/>
          <w:color w:val="000000"/>
          <w:kern w:val="24"/>
        </w:rPr>
        <w:t xml:space="preserve"> </w:t>
      </w:r>
      <w:r w:rsidR="0029404B">
        <w:rPr>
          <w:rFonts w:eastAsia="+mn-ea"/>
          <w:color w:val="000000"/>
          <w:kern w:val="24"/>
        </w:rPr>
        <w:t>(10</w:t>
      </w:r>
      <w:r w:rsidR="0029404B" w:rsidRPr="00FA58F7">
        <w:rPr>
          <w:rFonts w:eastAsia="+mn-ea"/>
          <w:color w:val="000000"/>
          <w:kern w:val="24"/>
          <w:vertAlign w:val="superscript"/>
        </w:rPr>
        <w:t>3</w:t>
      </w:r>
      <w:r w:rsidR="0029404B">
        <w:rPr>
          <w:rFonts w:eastAsia="+mn-ea"/>
          <w:color w:val="000000"/>
          <w:kern w:val="24"/>
        </w:rPr>
        <w:t>/µL), and (F)</w:t>
      </w:r>
      <w:r w:rsidR="00E94E3D">
        <w:rPr>
          <w:rFonts w:eastAsia="+mn-ea"/>
          <w:color w:val="000000"/>
          <w:kern w:val="24"/>
        </w:rPr>
        <w:t xml:space="preserve"> hemoglobin A1C (%) were performed in all subjects </w:t>
      </w:r>
      <w:r w:rsidR="00326F26">
        <w:rPr>
          <w:rFonts w:eastAsia="+mn-ea"/>
          <w:color w:val="000000"/>
          <w:kern w:val="24"/>
        </w:rPr>
        <w:t>at BSL, T1-T3 stages. No significant change was observed among different groups in any of these measurement criteria.</w:t>
      </w:r>
    </w:p>
    <w:p w14:paraId="3161FB7E" w14:textId="0B524C1E" w:rsidR="00CA36F6" w:rsidRDefault="008F5034" w:rsidP="00CA36F6">
      <w:pPr>
        <w:pStyle w:val="NormalWeb"/>
        <w:jc w:val="both"/>
        <w:rPr>
          <w:rFonts w:eastAsia="+mn-ea"/>
          <w:color w:val="000000"/>
          <w:kern w:val="24"/>
        </w:rPr>
      </w:pPr>
      <w:r w:rsidRPr="00326F26">
        <w:rPr>
          <w:rFonts w:eastAsia="+mn-ea"/>
          <w:b/>
          <w:bCs/>
          <w:color w:val="000000"/>
          <w:kern w:val="24"/>
        </w:rPr>
        <w:t xml:space="preserve">Supplementary Figure 6. </w:t>
      </w:r>
      <w:r w:rsidR="00E32DD5" w:rsidRPr="00326F26">
        <w:rPr>
          <w:rFonts w:eastAsia="+mn-ea"/>
          <w:b/>
          <w:bCs/>
          <w:color w:val="000000"/>
          <w:kern w:val="24"/>
        </w:rPr>
        <w:t>The effect of rapamycin on the metabolic status of ME/CFS subjects</w:t>
      </w:r>
      <w:r w:rsidR="00E32DD5" w:rsidRPr="00326F26">
        <w:rPr>
          <w:rFonts w:eastAsia="+mn-ea"/>
          <w:color w:val="000000"/>
          <w:kern w:val="24"/>
        </w:rPr>
        <w:t>.</w:t>
      </w:r>
      <w:r w:rsidR="00326F26" w:rsidRPr="00326F26">
        <w:rPr>
          <w:rFonts w:eastAsia="+mn-ea"/>
          <w:color w:val="000000"/>
          <w:kern w:val="24"/>
        </w:rPr>
        <w:t xml:space="preserve"> </w:t>
      </w:r>
      <w:r w:rsidR="00F600D9">
        <w:rPr>
          <w:rFonts w:eastAsia="+mn-ea"/>
          <w:color w:val="000000"/>
          <w:kern w:val="24"/>
        </w:rPr>
        <w:t>Glucose and lip</w:t>
      </w:r>
      <w:r w:rsidR="00CA36F6">
        <w:rPr>
          <w:rFonts w:eastAsia="+mn-ea"/>
          <w:color w:val="000000"/>
          <w:kern w:val="24"/>
        </w:rPr>
        <w:t>i</w:t>
      </w:r>
      <w:r w:rsidR="00F600D9">
        <w:rPr>
          <w:rFonts w:eastAsia="+mn-ea"/>
          <w:color w:val="000000"/>
          <w:kern w:val="24"/>
        </w:rPr>
        <w:t>d metabolic</w:t>
      </w:r>
      <w:r w:rsidR="008F1123">
        <w:rPr>
          <w:rFonts w:eastAsia="+mn-ea"/>
          <w:color w:val="000000"/>
          <w:kern w:val="24"/>
        </w:rPr>
        <w:t xml:space="preserve"> status of the cohort was evaluated </w:t>
      </w:r>
      <w:r w:rsidR="00326F26" w:rsidRPr="00326F26">
        <w:rPr>
          <w:rFonts w:eastAsia="+mn-ea"/>
          <w:color w:val="000000"/>
          <w:kern w:val="24"/>
        </w:rPr>
        <w:t xml:space="preserve"> by measuring (A)</w:t>
      </w:r>
      <w:r w:rsidR="00755D37">
        <w:rPr>
          <w:rFonts w:eastAsia="+mn-ea"/>
          <w:color w:val="000000"/>
          <w:kern w:val="24"/>
        </w:rPr>
        <w:t xml:space="preserve"> glucose </w:t>
      </w:r>
      <w:r w:rsidR="008B1C38">
        <w:rPr>
          <w:rFonts w:eastAsia="+mn-ea"/>
          <w:color w:val="000000"/>
          <w:kern w:val="24"/>
        </w:rPr>
        <w:t>(</w:t>
      </w:r>
      <w:r w:rsidR="00755D37">
        <w:rPr>
          <w:rFonts w:eastAsia="+mn-ea"/>
          <w:color w:val="000000"/>
          <w:kern w:val="24"/>
        </w:rPr>
        <w:t>mg/dL, (B) creatine (mg/L), (C)</w:t>
      </w:r>
      <w:r w:rsidR="008B1C38">
        <w:rPr>
          <w:rFonts w:eastAsia="+mn-ea"/>
          <w:color w:val="000000"/>
          <w:kern w:val="24"/>
        </w:rPr>
        <w:t xml:space="preserve"> triglyceride (mg/dl), (D) total cholesterol (mg/dL), (E)</w:t>
      </w:r>
      <w:r w:rsidR="00F600D9">
        <w:rPr>
          <w:rFonts w:eastAsia="+mn-ea"/>
          <w:color w:val="000000"/>
          <w:kern w:val="24"/>
        </w:rPr>
        <w:t xml:space="preserve"> HDL (mg/dL), and (F) LDL (mg/dL)</w:t>
      </w:r>
      <w:r w:rsidR="00CA36F6">
        <w:rPr>
          <w:rFonts w:eastAsia="+mn-ea"/>
          <w:color w:val="000000"/>
          <w:kern w:val="24"/>
        </w:rPr>
        <w:t xml:space="preserve"> at different stages of rapamycin treatment.</w:t>
      </w:r>
      <w:r w:rsidR="00CA36F6" w:rsidRPr="00CA36F6">
        <w:rPr>
          <w:rFonts w:eastAsia="+mn-ea"/>
          <w:color w:val="000000"/>
          <w:kern w:val="24"/>
        </w:rPr>
        <w:t xml:space="preserve"> </w:t>
      </w:r>
      <w:r w:rsidR="00CA36F6">
        <w:rPr>
          <w:rFonts w:eastAsia="+mn-ea"/>
          <w:color w:val="000000"/>
          <w:kern w:val="24"/>
        </w:rPr>
        <w:t>No significant change was observed among different groups in any of these measurement criteria.</w:t>
      </w:r>
    </w:p>
    <w:p w14:paraId="674A2D46" w14:textId="064E941C" w:rsidR="008062B6" w:rsidRDefault="008062B6" w:rsidP="008062B6">
      <w:pPr>
        <w:pStyle w:val="NormalWeb"/>
        <w:jc w:val="both"/>
        <w:rPr>
          <w:rFonts w:eastAsia="+mn-ea"/>
          <w:color w:val="000000"/>
          <w:kern w:val="24"/>
        </w:rPr>
      </w:pPr>
      <w:r>
        <w:rPr>
          <w:rFonts w:eastAsia="+mn-ea"/>
          <w:b/>
          <w:bCs/>
          <w:color w:val="000000"/>
          <w:kern w:val="24"/>
        </w:rPr>
        <w:lastRenderedPageBreak/>
        <w:t xml:space="preserve">Supplementary </w:t>
      </w:r>
      <w:r w:rsidR="009E1553">
        <w:rPr>
          <w:rFonts w:eastAsia="+mn-ea"/>
          <w:b/>
          <w:bCs/>
          <w:color w:val="000000"/>
          <w:kern w:val="24"/>
        </w:rPr>
        <w:t>Table 1</w:t>
      </w:r>
      <w:r>
        <w:rPr>
          <w:rFonts w:eastAsia="+mn-ea"/>
          <w:b/>
          <w:bCs/>
          <w:color w:val="000000"/>
          <w:kern w:val="24"/>
        </w:rPr>
        <w:t xml:space="preserve">. </w:t>
      </w:r>
      <w:r w:rsidRPr="00792C5A">
        <w:rPr>
          <w:rFonts w:eastAsia="+mn-ea"/>
          <w:b/>
          <w:bCs/>
          <w:color w:val="000000"/>
          <w:kern w:val="24"/>
        </w:rPr>
        <w:t xml:space="preserve">Summary of missing data for patient-reported outcome </w:t>
      </w:r>
      <w:r>
        <w:rPr>
          <w:rFonts w:eastAsia="+mn-ea"/>
          <w:b/>
          <w:bCs/>
          <w:color w:val="000000"/>
          <w:kern w:val="24"/>
        </w:rPr>
        <w:t xml:space="preserve">measures </w:t>
      </w:r>
      <w:r w:rsidRPr="00792C5A">
        <w:rPr>
          <w:rFonts w:eastAsia="+mn-ea"/>
          <w:b/>
          <w:bCs/>
          <w:color w:val="000000"/>
          <w:kern w:val="24"/>
        </w:rPr>
        <w:t xml:space="preserve">included in the machine learning model </w:t>
      </w:r>
      <w:r>
        <w:rPr>
          <w:rFonts w:eastAsia="+mn-ea"/>
          <w:b/>
          <w:bCs/>
          <w:color w:val="000000"/>
          <w:kern w:val="24"/>
        </w:rPr>
        <w:t>analysis</w:t>
      </w:r>
      <w:r w:rsidRPr="00792C5A">
        <w:rPr>
          <w:rFonts w:eastAsia="+mn-ea"/>
          <w:b/>
          <w:bCs/>
          <w:color w:val="000000"/>
          <w:kern w:val="24"/>
        </w:rPr>
        <w:t>.</w:t>
      </w:r>
      <w:r>
        <w:rPr>
          <w:rFonts w:eastAsia="+mn-ea"/>
          <w:b/>
          <w:bCs/>
          <w:color w:val="000000"/>
          <w:kern w:val="24"/>
        </w:rPr>
        <w:t xml:space="preserve"> </w:t>
      </w:r>
      <w:r>
        <w:rPr>
          <w:rFonts w:eastAsia="+mn-ea"/>
          <w:color w:val="000000"/>
          <w:kern w:val="24"/>
        </w:rPr>
        <w:t xml:space="preserve">Subscales with missing values were imputed using </w:t>
      </w:r>
      <w:r w:rsidR="00275E40">
        <w:rPr>
          <w:rFonts w:eastAsia="+mn-ea"/>
          <w:color w:val="000000"/>
          <w:kern w:val="24"/>
        </w:rPr>
        <w:t>MICE</w:t>
      </w:r>
      <w:r>
        <w:rPr>
          <w:rFonts w:eastAsia="+mn-ea"/>
          <w:color w:val="000000"/>
          <w:kern w:val="24"/>
        </w:rPr>
        <w:t>.</w:t>
      </w:r>
      <w:r w:rsidRPr="00792C5A">
        <w:rPr>
          <w:rFonts w:eastAsia="+mn-ea"/>
          <w:color w:val="000000"/>
          <w:kern w:val="24"/>
        </w:rPr>
        <w:t xml:space="preserve"> </w:t>
      </w:r>
      <w:r w:rsidR="00275E40">
        <w:rPr>
          <w:rFonts w:eastAsia="+mn-ea"/>
          <w:color w:val="000000"/>
          <w:kern w:val="24"/>
        </w:rPr>
        <w:t xml:space="preserve">(A) </w:t>
      </w:r>
      <w:r w:rsidR="00972E75">
        <w:rPr>
          <w:rFonts w:eastAsia="+mn-ea"/>
          <w:color w:val="000000"/>
          <w:kern w:val="24"/>
        </w:rPr>
        <w:t xml:space="preserve">All 70 completers and non-completers across 4 timepoints (BSL, T1, T2, and T3), totaling to 280 </w:t>
      </w:r>
      <w:r w:rsidR="00852966">
        <w:rPr>
          <w:rFonts w:eastAsia="+mn-ea"/>
          <w:color w:val="000000"/>
          <w:kern w:val="24"/>
        </w:rPr>
        <w:t>possible values;</w:t>
      </w:r>
      <w:r w:rsidR="00972E75">
        <w:rPr>
          <w:rFonts w:eastAsia="+mn-ea"/>
          <w:color w:val="000000"/>
          <w:kern w:val="24"/>
        </w:rPr>
        <w:t xml:space="preserve"> (B) only 40 completers across 4 timepoints</w:t>
      </w:r>
      <w:r w:rsidR="00852966">
        <w:rPr>
          <w:rFonts w:eastAsia="+mn-ea"/>
          <w:color w:val="000000"/>
          <w:kern w:val="24"/>
        </w:rPr>
        <w:t>, totaling to 160 possible values; (C) only 30 non-completers across 4 timepoints, totaling to 120 possible values</w:t>
      </w:r>
    </w:p>
    <w:p w14:paraId="5BC52A37" w14:textId="0FAFEF6C" w:rsidR="00852966" w:rsidRDefault="00852966" w:rsidP="008062B6">
      <w:pPr>
        <w:pStyle w:val="NormalWeb"/>
        <w:jc w:val="both"/>
        <w:rPr>
          <w:rFonts w:eastAsia="+mn-ea"/>
          <w:color w:val="000000"/>
          <w:kern w:val="24"/>
        </w:rPr>
      </w:pPr>
      <w:r>
        <w:rPr>
          <w:rFonts w:eastAsia="+mn-ea"/>
          <w:b/>
          <w:bCs/>
          <w:color w:val="000000"/>
          <w:kern w:val="24"/>
        </w:rPr>
        <w:t xml:space="preserve">Supplementary Figure </w:t>
      </w:r>
      <w:r w:rsidR="009E1553">
        <w:rPr>
          <w:rFonts w:eastAsia="+mn-ea"/>
          <w:b/>
          <w:bCs/>
          <w:color w:val="000000"/>
          <w:kern w:val="24"/>
        </w:rPr>
        <w:t>7</w:t>
      </w:r>
      <w:r>
        <w:rPr>
          <w:rFonts w:eastAsia="+mn-ea"/>
          <w:b/>
          <w:bCs/>
          <w:color w:val="000000"/>
          <w:kern w:val="24"/>
        </w:rPr>
        <w:t xml:space="preserve">. Confusion matrix and calibration curves summarizing the performance of the </w:t>
      </w:r>
      <w:r w:rsidR="003A6430">
        <w:rPr>
          <w:rFonts w:eastAsia="+mn-ea"/>
          <w:b/>
          <w:bCs/>
          <w:color w:val="000000"/>
          <w:kern w:val="24"/>
        </w:rPr>
        <w:t xml:space="preserve">full feature </w:t>
      </w:r>
      <w:r>
        <w:rPr>
          <w:rFonts w:eastAsia="+mn-ea"/>
          <w:b/>
          <w:bCs/>
          <w:color w:val="000000"/>
          <w:kern w:val="24"/>
        </w:rPr>
        <w:t>multinomial logistic model.</w:t>
      </w:r>
      <w:r>
        <w:rPr>
          <w:rFonts w:eastAsia="+mn-ea"/>
          <w:color w:val="000000"/>
          <w:kern w:val="24"/>
        </w:rPr>
        <w:t xml:space="preserve"> </w:t>
      </w:r>
      <w:r w:rsidR="003A6430">
        <w:rPr>
          <w:rFonts w:eastAsia="+mn-ea"/>
          <w:color w:val="000000"/>
          <w:kern w:val="24"/>
        </w:rPr>
        <w:t>(A) Confusion matrix shows almost fully correct categorization of classes</w:t>
      </w:r>
      <w:r w:rsidR="00470472">
        <w:rPr>
          <w:rFonts w:eastAsia="+mn-ea"/>
          <w:color w:val="000000"/>
          <w:kern w:val="24"/>
        </w:rPr>
        <w:t>, and (B) shows point estimates for calibration.</w:t>
      </w:r>
    </w:p>
    <w:p w14:paraId="09B44732" w14:textId="38C91BE0" w:rsidR="00470472" w:rsidRPr="009D0965" w:rsidRDefault="00470472" w:rsidP="00470472">
      <w:pPr>
        <w:pStyle w:val="NormalWeb"/>
        <w:jc w:val="both"/>
        <w:rPr>
          <w:rFonts w:eastAsia="+mn-ea"/>
          <w:color w:val="000000"/>
          <w:kern w:val="24"/>
        </w:rPr>
      </w:pPr>
      <w:r>
        <w:rPr>
          <w:rFonts w:eastAsia="+mn-ea"/>
          <w:b/>
          <w:bCs/>
          <w:color w:val="000000"/>
          <w:kern w:val="24"/>
        </w:rPr>
        <w:t xml:space="preserve">Supplementary Table </w:t>
      </w:r>
      <w:r w:rsidR="009E1553">
        <w:rPr>
          <w:rFonts w:eastAsia="+mn-ea"/>
          <w:b/>
          <w:bCs/>
          <w:color w:val="000000"/>
          <w:kern w:val="24"/>
        </w:rPr>
        <w:t>2</w:t>
      </w:r>
      <w:r>
        <w:rPr>
          <w:rFonts w:eastAsia="+mn-ea"/>
          <w:b/>
          <w:bCs/>
          <w:color w:val="000000"/>
          <w:kern w:val="24"/>
        </w:rPr>
        <w:t xml:space="preserve">. Summary of </w:t>
      </w:r>
      <w:r w:rsidR="009E1553">
        <w:rPr>
          <w:rFonts w:eastAsia="+mn-ea"/>
          <w:b/>
          <w:bCs/>
          <w:color w:val="000000"/>
          <w:kern w:val="24"/>
        </w:rPr>
        <w:t>regression coefficients (95% confidence interval) and odds ratios (95% confidence interval) for each feature in the model</w:t>
      </w:r>
      <w:r w:rsidR="00404121">
        <w:rPr>
          <w:rFonts w:eastAsia="+mn-ea"/>
          <w:b/>
          <w:bCs/>
          <w:color w:val="000000"/>
          <w:kern w:val="24"/>
        </w:rPr>
        <w:t xml:space="preserve"> for non-responders only. </w:t>
      </w:r>
      <w:r w:rsidR="009D0965">
        <w:rPr>
          <w:rFonts w:eastAsia="+mn-ea"/>
          <w:color w:val="000000"/>
          <w:kern w:val="24"/>
        </w:rPr>
        <w:t xml:space="preserve">This table also includes the features with confidence intervals that were </w:t>
      </w:r>
      <w:r w:rsidR="003D714D">
        <w:rPr>
          <w:rFonts w:eastAsia="+mn-ea"/>
          <w:color w:val="000000"/>
          <w:kern w:val="24"/>
        </w:rPr>
        <w:t xml:space="preserve">too large and non-interpretable (thus excluded from the table). </w:t>
      </w:r>
    </w:p>
    <w:p w14:paraId="7F4F63A5" w14:textId="77777777" w:rsidR="003D714D" w:rsidRDefault="003D714D" w:rsidP="003D714D">
      <w:pPr>
        <w:pStyle w:val="NormalWeb"/>
        <w:jc w:val="both"/>
        <w:rPr>
          <w:rFonts w:eastAsia="+mn-ea"/>
          <w:color w:val="000000"/>
          <w:kern w:val="24"/>
        </w:rPr>
      </w:pPr>
      <w:r>
        <w:rPr>
          <w:rFonts w:eastAsia="+mn-ea"/>
          <w:b/>
          <w:bCs/>
          <w:color w:val="000000"/>
          <w:kern w:val="24"/>
        </w:rPr>
        <w:t>Supplementary Figure 8. Confusion matrix and calibration curves summarizing the performance of the refined multinomial logistic model.</w:t>
      </w:r>
      <w:r>
        <w:rPr>
          <w:rFonts w:eastAsia="+mn-ea"/>
          <w:color w:val="000000"/>
          <w:kern w:val="24"/>
        </w:rPr>
        <w:t xml:space="preserve"> (A) Confusion matrix shows identical categorization of classes as with the full feature model, and (B) shows point estimates for calibration.</w:t>
      </w:r>
    </w:p>
    <w:p w14:paraId="64F85177" w14:textId="304A4910" w:rsidR="00470472" w:rsidRPr="00852966" w:rsidRDefault="003D714D" w:rsidP="008062B6">
      <w:pPr>
        <w:pStyle w:val="NormalWeb"/>
        <w:jc w:val="both"/>
        <w:rPr>
          <w:rFonts w:eastAsia="+mn-ea"/>
          <w:color w:val="000000"/>
          <w:kern w:val="24"/>
        </w:rPr>
      </w:pPr>
      <w:r>
        <w:rPr>
          <w:rFonts w:eastAsia="+mn-ea"/>
          <w:b/>
          <w:bCs/>
          <w:color w:val="000000"/>
          <w:kern w:val="24"/>
        </w:rPr>
        <w:t xml:space="preserve">Supplementary Table 3. Summary of regression coefficients (95% confidence interval) and odds ratios (95% confidence interval) for each </w:t>
      </w:r>
      <w:r w:rsidR="00874609">
        <w:rPr>
          <w:rFonts w:eastAsia="+mn-ea"/>
          <w:b/>
          <w:bCs/>
          <w:color w:val="000000"/>
          <w:kern w:val="24"/>
        </w:rPr>
        <w:t>selected feature</w:t>
      </w:r>
      <w:r>
        <w:rPr>
          <w:rFonts w:eastAsia="+mn-ea"/>
          <w:b/>
          <w:bCs/>
          <w:color w:val="000000"/>
          <w:kern w:val="24"/>
        </w:rPr>
        <w:t xml:space="preserve"> in the model for each responder group. </w:t>
      </w:r>
      <w:r w:rsidR="00874609">
        <w:rPr>
          <w:rFonts w:eastAsia="+mn-ea"/>
          <w:color w:val="000000"/>
          <w:kern w:val="24"/>
        </w:rPr>
        <w:t>Each coefficient is compared using the other classes as reference groups.</w:t>
      </w:r>
    </w:p>
    <w:p w14:paraId="161EF5B7" w14:textId="77777777" w:rsidR="008062B6" w:rsidRDefault="008062B6" w:rsidP="00CA36F6">
      <w:pPr>
        <w:pStyle w:val="NormalWeb"/>
        <w:jc w:val="both"/>
        <w:rPr>
          <w:rFonts w:eastAsia="+mn-ea"/>
          <w:color w:val="000000"/>
          <w:kern w:val="24"/>
        </w:rPr>
      </w:pPr>
    </w:p>
    <w:p w14:paraId="70B30915" w14:textId="77777777" w:rsidR="008062B6" w:rsidRDefault="008062B6">
      <w:pPr>
        <w:spacing w:after="160" w:line="278" w:lineRule="auto"/>
        <w:rPr>
          <w:rFonts w:eastAsia="+mn-ea"/>
          <w:b/>
          <w:bCs/>
          <w:color w:val="000000"/>
          <w:kern w:val="24"/>
          <w:lang w:eastAsia="en-US"/>
        </w:rPr>
      </w:pPr>
      <w:r>
        <w:rPr>
          <w:rFonts w:eastAsia="+mn-ea"/>
          <w:b/>
          <w:bCs/>
          <w:color w:val="000000"/>
          <w:kern w:val="24"/>
        </w:rPr>
        <w:br w:type="page"/>
      </w:r>
    </w:p>
    <w:p w14:paraId="46810B5B" w14:textId="1E9052C8" w:rsidR="00877E1F" w:rsidRDefault="00877E1F" w:rsidP="007316B3">
      <w:pPr>
        <w:pStyle w:val="NormalWeb"/>
        <w:jc w:val="both"/>
        <w:rPr>
          <w:rFonts w:eastAsia="+mn-ea"/>
          <w:color w:val="000000"/>
          <w:kern w:val="24"/>
        </w:rPr>
      </w:pPr>
    </w:p>
    <w:p w14:paraId="3506567D" w14:textId="77777777" w:rsidR="00877E1F" w:rsidRDefault="00877E1F">
      <w:pPr>
        <w:spacing w:after="160" w:line="278" w:lineRule="auto"/>
        <w:rPr>
          <w:rFonts w:eastAsia="+mn-ea"/>
          <w:color w:val="000000"/>
          <w:kern w:val="24"/>
          <w:lang w:eastAsia="en-US"/>
        </w:rPr>
      </w:pPr>
      <w:r>
        <w:rPr>
          <w:rFonts w:eastAsia="+mn-ea"/>
          <w:color w:val="000000"/>
          <w:kern w:val="24"/>
        </w:rPr>
        <w:br w:type="page"/>
      </w:r>
    </w:p>
    <w:p w14:paraId="77FF68D3" w14:textId="25D00E8A" w:rsidR="00877E1F" w:rsidRPr="00877E1F" w:rsidRDefault="00877E1F" w:rsidP="00877E1F">
      <w:pPr>
        <w:pStyle w:val="NormalWeb"/>
        <w:jc w:val="both"/>
        <w:rPr>
          <w:rFonts w:eastAsia="+mn-ea"/>
          <w:b/>
          <w:bCs/>
          <w:color w:val="000000"/>
          <w:kern w:val="24"/>
        </w:rPr>
      </w:pPr>
      <w:r w:rsidRPr="00877E1F">
        <w:rPr>
          <w:rFonts w:eastAsia="+mn-ea"/>
          <w:b/>
          <w:bCs/>
          <w:noProof/>
          <w:color w:val="000000"/>
          <w:kern w:val="24"/>
        </w:rPr>
        <w:lastRenderedPageBreak/>
        <w:drawing>
          <wp:anchor distT="0" distB="0" distL="114300" distR="114300" simplePos="0" relativeHeight="251662336" behindDoc="0" locked="0" layoutInCell="1" allowOverlap="1" wp14:anchorId="234CB48C" wp14:editId="1D5C023B">
            <wp:simplePos x="0" y="0"/>
            <wp:positionH relativeFrom="margin">
              <wp:align>right</wp:align>
            </wp:positionH>
            <wp:positionV relativeFrom="paragraph">
              <wp:posOffset>0</wp:posOffset>
            </wp:positionV>
            <wp:extent cx="5944235" cy="7693660"/>
            <wp:effectExtent l="0" t="0" r="0" b="2540"/>
            <wp:wrapSquare wrapText="bothSides"/>
            <wp:docPr id="1185524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4235" cy="7693660"/>
                    </a:xfrm>
                    <a:prstGeom prst="rect">
                      <a:avLst/>
                    </a:prstGeom>
                    <a:noFill/>
                  </pic:spPr>
                </pic:pic>
              </a:graphicData>
            </a:graphic>
          </wp:anchor>
        </w:drawing>
      </w:r>
      <w:r w:rsidRPr="00877E1F">
        <w:rPr>
          <w:rFonts w:eastAsia="+mn-ea"/>
          <w:b/>
          <w:bCs/>
          <w:color w:val="000000"/>
          <w:kern w:val="24"/>
        </w:rPr>
        <w:t>Supplementary Fig. 1.</w:t>
      </w:r>
      <w:r w:rsidRPr="00877E1F">
        <w:rPr>
          <w:rFonts w:eastAsia="+mn-ea"/>
          <w:b/>
          <w:bCs/>
          <w:color w:val="000000"/>
          <w:kern w:val="24"/>
        </w:rPr>
        <w:br w:type="page"/>
      </w:r>
    </w:p>
    <w:p w14:paraId="21D3F6CF" w14:textId="4C644BDB" w:rsidR="00046E77" w:rsidRPr="006938A2" w:rsidRDefault="00CA36F6" w:rsidP="006254F9">
      <w:pPr>
        <w:pStyle w:val="NormalWeb"/>
        <w:jc w:val="both"/>
        <w:rPr>
          <w:rFonts w:eastAsia="+mn-ea"/>
          <w:color w:val="000000"/>
          <w:kern w:val="24"/>
        </w:rPr>
      </w:pPr>
      <w:r>
        <w:rPr>
          <w:rFonts w:eastAsia="+mn-ea"/>
          <w:noProof/>
          <w:color w:val="000000"/>
          <w:kern w:val="24"/>
          <w14:ligatures w14:val="standardContextual"/>
        </w:rPr>
        <w:lastRenderedPageBreak/>
        <w:drawing>
          <wp:inline distT="0" distB="0" distL="0" distR="0" wp14:anchorId="3EBEF9FC" wp14:editId="46A7D84A">
            <wp:extent cx="5943600" cy="7138670"/>
            <wp:effectExtent l="0" t="0" r="0" b="5080"/>
            <wp:docPr id="1594329549" name="Picture 3" descr="A screenshot of a medical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29549" name="Picture 3" descr="A screenshot of a medical repor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138670"/>
                    </a:xfrm>
                    <a:prstGeom prst="rect">
                      <a:avLst/>
                    </a:prstGeom>
                  </pic:spPr>
                </pic:pic>
              </a:graphicData>
            </a:graphic>
          </wp:inline>
        </w:drawing>
      </w:r>
    </w:p>
    <w:p w14:paraId="236BA10A" w14:textId="57DB1F45" w:rsidR="00FD1D11" w:rsidRPr="00CA36F6" w:rsidRDefault="00CA36F6" w:rsidP="00FD1D11">
      <w:pPr>
        <w:pStyle w:val="NormalWeb"/>
        <w:jc w:val="both"/>
        <w:rPr>
          <w:rFonts w:eastAsia="+mn-ea"/>
          <w:b/>
          <w:bCs/>
          <w:color w:val="000000"/>
          <w:kern w:val="24"/>
          <w:u w:val="single"/>
        </w:rPr>
      </w:pPr>
      <w:r w:rsidRPr="00CA36F6">
        <w:rPr>
          <w:rFonts w:eastAsia="+mn-ea"/>
          <w:b/>
          <w:bCs/>
          <w:color w:val="000000"/>
          <w:kern w:val="24"/>
          <w:u w:val="single"/>
        </w:rPr>
        <w:t xml:space="preserve">Supplementary Fig. </w:t>
      </w:r>
      <w:r w:rsidR="00877E1F">
        <w:rPr>
          <w:rFonts w:eastAsia="+mn-ea"/>
          <w:b/>
          <w:bCs/>
          <w:color w:val="000000"/>
          <w:kern w:val="24"/>
          <w:u w:val="single"/>
        </w:rPr>
        <w:t>2</w:t>
      </w:r>
      <w:r w:rsidRPr="00CA36F6">
        <w:rPr>
          <w:rFonts w:eastAsia="+mn-ea"/>
          <w:b/>
          <w:bCs/>
          <w:color w:val="000000"/>
          <w:kern w:val="24"/>
          <w:u w:val="single"/>
        </w:rPr>
        <w:t>.</w:t>
      </w:r>
    </w:p>
    <w:p w14:paraId="6052F078" w14:textId="77777777" w:rsidR="004E44CE" w:rsidRPr="004E44CE" w:rsidRDefault="004E44CE" w:rsidP="004E44CE">
      <w:pPr>
        <w:pStyle w:val="NormalWeb"/>
        <w:rPr>
          <w:rFonts w:ascii="Arial" w:eastAsia="+mn-ea" w:hAnsi="Arial" w:cs="Arial"/>
          <w:color w:val="000000"/>
          <w:kern w:val="24"/>
          <w:sz w:val="22"/>
          <w:szCs w:val="22"/>
        </w:rPr>
      </w:pPr>
    </w:p>
    <w:p w14:paraId="7600BC33" w14:textId="0C4B8345" w:rsidR="004E44CE" w:rsidRDefault="004653EA" w:rsidP="00877E1F">
      <w:pPr>
        <w:pStyle w:val="NormalWeb"/>
      </w:pPr>
      <w:r>
        <w:rPr>
          <w:noProof/>
        </w:rPr>
        <w:lastRenderedPageBreak/>
        <w:drawing>
          <wp:inline distT="0" distB="0" distL="0" distR="0" wp14:anchorId="38956233" wp14:editId="7D494153">
            <wp:extent cx="5211935" cy="5730667"/>
            <wp:effectExtent l="0" t="0" r="0" b="0"/>
            <wp:docPr id="1851517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5211935" cy="5730667"/>
                    </a:xfrm>
                    <a:prstGeom prst="rect">
                      <a:avLst/>
                    </a:prstGeom>
                    <a:noFill/>
                  </pic:spPr>
                </pic:pic>
              </a:graphicData>
            </a:graphic>
          </wp:inline>
        </w:drawing>
      </w:r>
    </w:p>
    <w:p w14:paraId="550EC698" w14:textId="39D3AF8E" w:rsidR="00AB785F" w:rsidRPr="00877E1F" w:rsidRDefault="00AB785F" w:rsidP="00877E1F">
      <w:pPr>
        <w:pStyle w:val="NormalWeb"/>
        <w:rPr>
          <w:rFonts w:ascii="Arial" w:eastAsia="+mn-ea" w:hAnsi="Arial" w:cs="Arial"/>
          <w:b/>
          <w:bCs/>
          <w:color w:val="000000"/>
          <w:kern w:val="24"/>
          <w:sz w:val="22"/>
          <w:szCs w:val="22"/>
          <w:u w:val="single"/>
        </w:rPr>
      </w:pPr>
      <w:r>
        <w:rPr>
          <w:b/>
          <w:bCs/>
          <w:u w:val="single"/>
        </w:rPr>
        <w:t xml:space="preserve">Supplementary Fig. </w:t>
      </w:r>
      <w:r w:rsidR="00877E1F">
        <w:rPr>
          <w:b/>
          <w:bCs/>
          <w:u w:val="single"/>
        </w:rPr>
        <w:t>3</w:t>
      </w:r>
      <w:r>
        <w:rPr>
          <w:b/>
          <w:bCs/>
          <w:u w:val="single"/>
        </w:rPr>
        <w:t>.</w:t>
      </w:r>
    </w:p>
    <w:p w14:paraId="212A84A9" w14:textId="47F7A271" w:rsidR="00D64BF2" w:rsidRPr="00C20AC3" w:rsidRDefault="00E31175" w:rsidP="00C20AC3">
      <w:pPr>
        <w:spacing w:after="160" w:line="278" w:lineRule="auto"/>
        <w:rPr>
          <w:b/>
          <w:bCs/>
          <w:u w:val="single"/>
        </w:rPr>
      </w:pPr>
      <w:r w:rsidRPr="00C20AC3">
        <w:rPr>
          <w:b/>
          <w:bCs/>
          <w:u w:val="single"/>
        </w:rPr>
        <w:br w:type="page"/>
      </w:r>
      <w:r w:rsidR="00C20AC3">
        <w:rPr>
          <w:b/>
          <w:bCs/>
          <w:noProof/>
          <w:u w:val="single"/>
          <w14:ligatures w14:val="standardContextual"/>
        </w:rPr>
        <w:lastRenderedPageBreak/>
        <w:drawing>
          <wp:anchor distT="0" distB="0" distL="114300" distR="114300" simplePos="0" relativeHeight="251658240" behindDoc="0" locked="0" layoutInCell="1" allowOverlap="1" wp14:anchorId="0BC68838" wp14:editId="039F84DB">
            <wp:simplePos x="0" y="0"/>
            <wp:positionH relativeFrom="margin">
              <wp:align>left</wp:align>
            </wp:positionH>
            <wp:positionV relativeFrom="paragraph">
              <wp:posOffset>111125</wp:posOffset>
            </wp:positionV>
            <wp:extent cx="6010440" cy="4531807"/>
            <wp:effectExtent l="0" t="0" r="0" b="2540"/>
            <wp:wrapSquare wrapText="bothSides"/>
            <wp:docPr id="1488937261" name="Picture 5" descr="A diagram of a rabb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937261" name="Picture 5" descr="A diagram of a rabbi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6010440" cy="4531807"/>
                    </a:xfrm>
                    <a:prstGeom prst="rect">
                      <a:avLst/>
                    </a:prstGeom>
                  </pic:spPr>
                </pic:pic>
              </a:graphicData>
            </a:graphic>
          </wp:anchor>
        </w:drawing>
      </w:r>
      <w:r w:rsidR="00C20AC3" w:rsidRPr="00C20AC3">
        <w:rPr>
          <w:b/>
          <w:bCs/>
          <w:u w:val="single"/>
        </w:rPr>
        <w:t>Supplementary Fig.</w:t>
      </w:r>
      <w:r w:rsidR="00C20AC3">
        <w:rPr>
          <w:b/>
          <w:bCs/>
          <w:u w:val="single"/>
        </w:rPr>
        <w:t xml:space="preserve"> </w:t>
      </w:r>
      <w:r w:rsidR="00877E1F">
        <w:rPr>
          <w:b/>
          <w:bCs/>
          <w:u w:val="single"/>
        </w:rPr>
        <w:t>4</w:t>
      </w:r>
      <w:r w:rsidR="00C20AC3" w:rsidRPr="00C20AC3">
        <w:rPr>
          <w:b/>
          <w:bCs/>
          <w:u w:val="single"/>
        </w:rPr>
        <w:t>.</w:t>
      </w:r>
      <w:r w:rsidR="00877E1F" w:rsidRPr="00877E1F">
        <w:rPr>
          <w:noProof/>
          <w14:ligatures w14:val="standardContextual"/>
        </w:rPr>
        <w:t xml:space="preserve"> </w:t>
      </w:r>
    </w:p>
    <w:p w14:paraId="572487A1" w14:textId="77777777" w:rsidR="00C20AC3" w:rsidRDefault="00C20AC3">
      <w:pPr>
        <w:spacing w:after="160" w:line="278" w:lineRule="auto"/>
        <w:rPr>
          <w:rFonts w:eastAsiaTheme="minorHAnsi"/>
          <w:kern w:val="2"/>
          <w:lang w:eastAsia="en-US"/>
          <w14:ligatures w14:val="standardContextual"/>
        </w:rPr>
      </w:pPr>
      <w:r>
        <w:rPr>
          <w:rFonts w:eastAsiaTheme="minorHAnsi"/>
          <w:kern w:val="2"/>
          <w:lang w:eastAsia="en-US"/>
          <w14:ligatures w14:val="standardContextual"/>
        </w:rPr>
        <w:br w:type="page"/>
      </w:r>
    </w:p>
    <w:p w14:paraId="4BF14BCD" w14:textId="5A2D43FF" w:rsidR="00C20AC3" w:rsidRDefault="000569F9">
      <w:pPr>
        <w:spacing w:after="160" w:line="278" w:lineRule="auto"/>
        <w:rPr>
          <w:b/>
          <w:bCs/>
          <w:u w:val="single"/>
        </w:rPr>
      </w:pPr>
      <w:r w:rsidRPr="00895B6F">
        <w:rPr>
          <w:b/>
          <w:bCs/>
          <w:noProof/>
          <w14:ligatures w14:val="standardContextual"/>
        </w:rPr>
        <w:lastRenderedPageBreak/>
        <w:drawing>
          <wp:inline distT="0" distB="0" distL="0" distR="0" wp14:anchorId="6878861D" wp14:editId="7F1B88C5">
            <wp:extent cx="5943600" cy="7691755"/>
            <wp:effectExtent l="0" t="0" r="0" b="4445"/>
            <wp:docPr id="387640519" name="Picture 1" descr="A group of blue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40519" name="Picture 1" descr="A group of blue and white bar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C20AC3" w:rsidRPr="00C20AC3">
        <w:rPr>
          <w:b/>
          <w:bCs/>
          <w:u w:val="single"/>
        </w:rPr>
        <w:t xml:space="preserve">Supplementary Fig. </w:t>
      </w:r>
      <w:r w:rsidR="001843EB">
        <w:rPr>
          <w:b/>
          <w:bCs/>
          <w:u w:val="single"/>
        </w:rPr>
        <w:t>5</w:t>
      </w:r>
      <w:r w:rsidR="00C20AC3" w:rsidRPr="00C20AC3">
        <w:rPr>
          <w:b/>
          <w:bCs/>
          <w:u w:val="single"/>
        </w:rPr>
        <w:t>.</w:t>
      </w:r>
      <w:r w:rsidR="00C20AC3">
        <w:rPr>
          <w:b/>
          <w:bCs/>
          <w:u w:val="single"/>
        </w:rPr>
        <w:br w:type="page"/>
      </w:r>
    </w:p>
    <w:p w14:paraId="158783FB" w14:textId="25153A24" w:rsidR="000E6C24" w:rsidRDefault="000E6C24" w:rsidP="00C20AC3">
      <w:pPr>
        <w:spacing w:after="160" w:line="278" w:lineRule="auto"/>
        <w:rPr>
          <w:b/>
          <w:bCs/>
          <w:u w:val="single"/>
        </w:rPr>
      </w:pPr>
      <w:r w:rsidRPr="000E6C24">
        <w:rPr>
          <w:noProof/>
          <w14:ligatures w14:val="standardContextual"/>
        </w:rPr>
        <w:lastRenderedPageBreak/>
        <w:drawing>
          <wp:inline distT="0" distB="0" distL="0" distR="0" wp14:anchorId="3A644B99" wp14:editId="58003118">
            <wp:extent cx="5943600" cy="7691755"/>
            <wp:effectExtent l="0" t="0" r="0" b="4445"/>
            <wp:docPr id="109141815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18156" name="Picture 1" descr="A screenshot of a graph&#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016C438" w14:textId="718F7A06" w:rsidR="005F5275" w:rsidRPr="005F5275" w:rsidRDefault="00C20AC3">
      <w:pPr>
        <w:spacing w:after="160" w:line="278" w:lineRule="auto"/>
        <w:rPr>
          <w:b/>
          <w:bCs/>
          <w:u w:val="single"/>
        </w:rPr>
      </w:pPr>
      <w:r w:rsidRPr="00C20AC3">
        <w:rPr>
          <w:b/>
          <w:bCs/>
          <w:u w:val="single"/>
        </w:rPr>
        <w:t xml:space="preserve">Supplementary Fig. </w:t>
      </w:r>
      <w:r w:rsidR="001843EB">
        <w:rPr>
          <w:b/>
          <w:bCs/>
          <w:u w:val="single"/>
        </w:rPr>
        <w:t>6</w:t>
      </w:r>
      <w:r w:rsidRPr="00C20AC3">
        <w:rPr>
          <w:b/>
          <w:bCs/>
          <w:u w:val="single"/>
        </w:rPr>
        <w:t>.</w:t>
      </w:r>
    </w:p>
    <w:p w14:paraId="2BF0185A" w14:textId="4B14F1F8" w:rsidR="00A80257" w:rsidRPr="00A80257" w:rsidRDefault="00A80257" w:rsidP="000A4C97">
      <w:pPr>
        <w:spacing w:after="160" w:line="278" w:lineRule="auto"/>
        <w:rPr>
          <w:b/>
          <w:bCs/>
          <w:noProof/>
          <w:u w:val="single"/>
        </w:rPr>
      </w:pPr>
      <w:r>
        <w:rPr>
          <w:b/>
          <w:bCs/>
          <w:noProof/>
          <w:u w:val="single"/>
        </w:rPr>
        <w:lastRenderedPageBreak/>
        <w:t>Supplementary Table 1.</w:t>
      </w:r>
    </w:p>
    <w:p w14:paraId="2369CC75" w14:textId="326AE04E" w:rsidR="00A42097" w:rsidRDefault="00142D50">
      <w:pPr>
        <w:spacing w:after="160" w:line="278" w:lineRule="auto"/>
        <w:rPr>
          <w:noProof/>
        </w:rPr>
      </w:pPr>
      <w:r>
        <w:rPr>
          <w:b/>
          <w:bCs/>
          <w:noProof/>
          <w14:ligatures w14:val="standardContextual"/>
        </w:rPr>
        <w:drawing>
          <wp:inline distT="0" distB="0" distL="0" distR="0" wp14:anchorId="5F0E5C04" wp14:editId="59400D5B">
            <wp:extent cx="5943600" cy="7691755"/>
            <wp:effectExtent l="0" t="0" r="0" b="4445"/>
            <wp:docPr id="322871338" name="Picture 2" descr="A table of missing and missing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71338" name="Picture 2" descr="A table of missing and missing number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A42097">
        <w:br w:type="page"/>
      </w:r>
    </w:p>
    <w:p w14:paraId="644AF24A" w14:textId="6B466087" w:rsidR="00F75A84" w:rsidRDefault="00A42097" w:rsidP="00AF5CB5">
      <w:pPr>
        <w:spacing w:after="160" w:line="278" w:lineRule="auto"/>
      </w:pPr>
      <w:r>
        <w:rPr>
          <w:noProof/>
          <w14:ligatures w14:val="standardContextual"/>
        </w:rPr>
        <w:lastRenderedPageBreak/>
        <w:drawing>
          <wp:inline distT="0" distB="0" distL="0" distR="0" wp14:anchorId="4FE7C7C3" wp14:editId="200E5DA5">
            <wp:extent cx="5943600" cy="7691755"/>
            <wp:effectExtent l="0" t="0" r="0" b="4445"/>
            <wp:docPr id="1317431449"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431449" name="Picture 3" descr="A screenshot of a graph&#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5AEEE43" w14:textId="0C710E6A" w:rsidR="0015381B" w:rsidRDefault="00A42097">
      <w:pPr>
        <w:spacing w:after="160" w:line="278" w:lineRule="auto"/>
      </w:pPr>
      <w:r>
        <w:rPr>
          <w:b/>
          <w:bCs/>
          <w:u w:val="single"/>
        </w:rPr>
        <w:t xml:space="preserve">Supplementary Fig. </w:t>
      </w:r>
      <w:r w:rsidR="009E1553">
        <w:rPr>
          <w:b/>
          <w:bCs/>
          <w:u w:val="single"/>
        </w:rPr>
        <w:t>7</w:t>
      </w:r>
      <w:r>
        <w:rPr>
          <w:b/>
          <w:bCs/>
          <w:u w:val="single"/>
        </w:rPr>
        <w:t>.</w:t>
      </w:r>
      <w:r>
        <w:t xml:space="preserve"> </w:t>
      </w:r>
      <w:r w:rsidR="0015381B">
        <w:br w:type="page"/>
      </w:r>
    </w:p>
    <w:p w14:paraId="764F9379" w14:textId="77777777" w:rsidR="002E63B3" w:rsidRDefault="002E63B3" w:rsidP="002E63B3">
      <w:pPr>
        <w:spacing w:after="160" w:line="278" w:lineRule="auto"/>
      </w:pPr>
      <w:r>
        <w:rPr>
          <w:b/>
          <w:bCs/>
          <w:u w:val="single"/>
        </w:rPr>
        <w:lastRenderedPageBreak/>
        <w:t>Supplementary Table 2.</w:t>
      </w:r>
    </w:p>
    <w:tbl>
      <w:tblPr>
        <w:tblStyle w:val="ListTable1Light-Accent1"/>
        <w:tblW w:w="0" w:type="auto"/>
        <w:tblCellMar>
          <w:top w:w="29" w:type="dxa"/>
          <w:left w:w="29" w:type="dxa"/>
          <w:bottom w:w="29" w:type="dxa"/>
          <w:right w:w="29" w:type="dxa"/>
        </w:tblCellMar>
        <w:tblLook w:val="04A0" w:firstRow="1" w:lastRow="0" w:firstColumn="1" w:lastColumn="0" w:noHBand="0" w:noVBand="1"/>
      </w:tblPr>
      <w:tblGrid>
        <w:gridCol w:w="3116"/>
        <w:gridCol w:w="3117"/>
        <w:gridCol w:w="3117"/>
      </w:tblGrid>
      <w:tr w:rsidR="002E63B3" w:rsidRPr="00A96519" w14:paraId="2DCD293C" w14:textId="77777777" w:rsidTr="00B141D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65D97467" w14:textId="77777777" w:rsidR="002E63B3" w:rsidRPr="00A96519" w:rsidRDefault="002E63B3" w:rsidP="00B141D1">
            <w:pPr>
              <w:spacing w:line="278" w:lineRule="auto"/>
              <w:rPr>
                <w:rFonts w:ascii="Arial" w:hAnsi="Arial" w:cs="Arial"/>
                <w:sz w:val="20"/>
                <w:szCs w:val="20"/>
              </w:rPr>
            </w:pPr>
            <w:r w:rsidRPr="00A96519">
              <w:rPr>
                <w:rFonts w:ascii="Arial" w:hAnsi="Arial" w:cs="Arial"/>
                <w:sz w:val="20"/>
                <w:szCs w:val="20"/>
              </w:rPr>
              <w:t>Feature</w:t>
            </w:r>
          </w:p>
        </w:tc>
        <w:tc>
          <w:tcPr>
            <w:tcW w:w="3117" w:type="dxa"/>
            <w:vAlign w:val="center"/>
          </w:tcPr>
          <w:p w14:paraId="62537F63" w14:textId="77777777" w:rsidR="002E63B3" w:rsidRPr="00A96519" w:rsidRDefault="002E63B3" w:rsidP="00B141D1">
            <w:pPr>
              <w:spacing w:line="278"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Coefficients</w:t>
            </w:r>
            <w:r w:rsidRPr="00A96519">
              <w:rPr>
                <w:rFonts w:ascii="Arial" w:hAnsi="Arial" w:cs="Arial"/>
                <w:sz w:val="20"/>
                <w:szCs w:val="20"/>
              </w:rPr>
              <w:t xml:space="preserve"> (95% CI)</w:t>
            </w:r>
          </w:p>
        </w:tc>
        <w:tc>
          <w:tcPr>
            <w:tcW w:w="3117" w:type="dxa"/>
            <w:vAlign w:val="center"/>
          </w:tcPr>
          <w:p w14:paraId="384AEF5A" w14:textId="77777777" w:rsidR="002E63B3" w:rsidRPr="00A96519" w:rsidRDefault="002E63B3" w:rsidP="00B141D1">
            <w:pPr>
              <w:spacing w:line="278"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96519">
              <w:rPr>
                <w:rFonts w:ascii="Arial" w:hAnsi="Arial" w:cs="Arial"/>
                <w:sz w:val="20"/>
                <w:szCs w:val="20"/>
              </w:rPr>
              <w:t>Odds Ratios (95% CI)</w:t>
            </w:r>
          </w:p>
        </w:tc>
      </w:tr>
      <w:tr w:rsidR="002E63B3" w:rsidRPr="00A96519" w14:paraId="43A5F912" w14:textId="77777777" w:rsidTr="00B141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32B3BEF6" w14:textId="77777777" w:rsidR="002E63B3" w:rsidRPr="00A96519" w:rsidRDefault="002E63B3" w:rsidP="00B141D1">
            <w:pPr>
              <w:spacing w:line="278" w:lineRule="auto"/>
              <w:rPr>
                <w:rFonts w:ascii="Arial" w:hAnsi="Arial" w:cs="Arial"/>
                <w:sz w:val="20"/>
                <w:szCs w:val="20"/>
              </w:rPr>
            </w:pPr>
            <w:r w:rsidRPr="00A96519">
              <w:rPr>
                <w:rFonts w:ascii="Arial" w:hAnsi="Arial" w:cs="Arial"/>
                <w:sz w:val="20"/>
                <w:szCs w:val="20"/>
              </w:rPr>
              <w:t>BAS</w:t>
            </w:r>
          </w:p>
        </w:tc>
        <w:tc>
          <w:tcPr>
            <w:tcW w:w="3117" w:type="dxa"/>
            <w:vAlign w:val="center"/>
          </w:tcPr>
          <w:p w14:paraId="34B1A6E1" w14:textId="77777777" w:rsidR="002E63B3" w:rsidRPr="00A96519"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6519">
              <w:rPr>
                <w:rFonts w:ascii="Arial" w:hAnsi="Arial" w:cs="Arial"/>
                <w:sz w:val="20"/>
                <w:szCs w:val="20"/>
              </w:rPr>
              <w:t>-0.26 (-0.28 to -0.23)</w:t>
            </w:r>
          </w:p>
        </w:tc>
        <w:tc>
          <w:tcPr>
            <w:tcW w:w="3117" w:type="dxa"/>
            <w:vAlign w:val="center"/>
          </w:tcPr>
          <w:p w14:paraId="1E5BD278" w14:textId="77777777" w:rsidR="002E63B3" w:rsidRPr="00A96519"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6519">
              <w:rPr>
                <w:rFonts w:ascii="Arial" w:hAnsi="Arial" w:cs="Arial"/>
                <w:sz w:val="20"/>
                <w:szCs w:val="20"/>
              </w:rPr>
              <w:t>0.77 (0.75 to 0.80)</w:t>
            </w:r>
          </w:p>
        </w:tc>
      </w:tr>
      <w:tr w:rsidR="002E63B3" w:rsidRPr="00A96519" w14:paraId="7D4AE464" w14:textId="77777777" w:rsidTr="00B141D1">
        <w:trPr>
          <w:trHeight w:val="2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5150F936" w14:textId="77777777" w:rsidR="002E63B3" w:rsidRPr="00A96519" w:rsidRDefault="002E63B3" w:rsidP="00B141D1">
            <w:pPr>
              <w:spacing w:line="278" w:lineRule="auto"/>
              <w:rPr>
                <w:rFonts w:ascii="Arial" w:hAnsi="Arial" w:cs="Arial"/>
                <w:sz w:val="20"/>
                <w:szCs w:val="20"/>
              </w:rPr>
            </w:pPr>
            <w:r w:rsidRPr="00A96519">
              <w:rPr>
                <w:rFonts w:ascii="Arial" w:hAnsi="Arial" w:cs="Arial"/>
                <w:sz w:val="20"/>
                <w:szCs w:val="20"/>
              </w:rPr>
              <w:t>MFI General Fatigue</w:t>
            </w:r>
            <w:r w:rsidRPr="00A96519">
              <w:rPr>
                <w:rFonts w:ascii="Arial" w:hAnsi="Arial" w:cs="Arial"/>
                <w:sz w:val="20"/>
                <w:szCs w:val="20"/>
                <w:vertAlign w:val="superscript"/>
              </w:rPr>
              <w:t>†</w:t>
            </w:r>
          </w:p>
        </w:tc>
        <w:tc>
          <w:tcPr>
            <w:tcW w:w="3117" w:type="dxa"/>
            <w:vAlign w:val="center"/>
          </w:tcPr>
          <w:p w14:paraId="2A756602" w14:textId="77777777" w:rsidR="002E63B3" w:rsidRPr="00A96519"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6519">
              <w:rPr>
                <w:rFonts w:ascii="Arial" w:hAnsi="Arial" w:cs="Arial"/>
                <w:sz w:val="20"/>
                <w:szCs w:val="20"/>
              </w:rPr>
              <w:t>0.56</w:t>
            </w:r>
          </w:p>
        </w:tc>
        <w:tc>
          <w:tcPr>
            <w:tcW w:w="3117" w:type="dxa"/>
            <w:vAlign w:val="center"/>
          </w:tcPr>
          <w:p w14:paraId="74D728F3" w14:textId="77777777" w:rsidR="002E63B3" w:rsidRPr="00A96519"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6519">
              <w:rPr>
                <w:rFonts w:ascii="Arial" w:hAnsi="Arial" w:cs="Arial"/>
                <w:sz w:val="20"/>
                <w:szCs w:val="20"/>
              </w:rPr>
              <w:t>1.76</w:t>
            </w:r>
          </w:p>
        </w:tc>
      </w:tr>
      <w:tr w:rsidR="002E63B3" w:rsidRPr="00A96519" w14:paraId="3A6852D7" w14:textId="77777777" w:rsidTr="00B141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3D28C2BE" w14:textId="77777777" w:rsidR="002E63B3" w:rsidRPr="00A96519" w:rsidRDefault="002E63B3" w:rsidP="00B141D1">
            <w:pPr>
              <w:spacing w:line="278" w:lineRule="auto"/>
              <w:rPr>
                <w:rFonts w:ascii="Arial" w:hAnsi="Arial" w:cs="Arial"/>
                <w:sz w:val="20"/>
                <w:szCs w:val="20"/>
              </w:rPr>
            </w:pPr>
            <w:r w:rsidRPr="00A96519">
              <w:rPr>
                <w:rFonts w:ascii="Arial" w:hAnsi="Arial" w:cs="Arial"/>
                <w:sz w:val="20"/>
                <w:szCs w:val="20"/>
              </w:rPr>
              <w:t>MFI Physical Fatigue</w:t>
            </w:r>
            <w:r w:rsidRPr="00A96519">
              <w:rPr>
                <w:rFonts w:ascii="Arial" w:hAnsi="Arial" w:cs="Arial"/>
                <w:sz w:val="20"/>
                <w:szCs w:val="20"/>
                <w:vertAlign w:val="superscript"/>
              </w:rPr>
              <w:t>†</w:t>
            </w:r>
          </w:p>
        </w:tc>
        <w:tc>
          <w:tcPr>
            <w:tcW w:w="3117" w:type="dxa"/>
            <w:vAlign w:val="center"/>
          </w:tcPr>
          <w:p w14:paraId="5FC3DAF3" w14:textId="77777777" w:rsidR="002E63B3" w:rsidRPr="00A96519"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6519">
              <w:rPr>
                <w:rFonts w:ascii="Arial" w:hAnsi="Arial" w:cs="Arial"/>
                <w:sz w:val="20"/>
                <w:szCs w:val="20"/>
              </w:rPr>
              <w:t>0.31</w:t>
            </w:r>
          </w:p>
        </w:tc>
        <w:tc>
          <w:tcPr>
            <w:tcW w:w="3117" w:type="dxa"/>
            <w:vAlign w:val="center"/>
          </w:tcPr>
          <w:p w14:paraId="77B373A4" w14:textId="77777777" w:rsidR="002E63B3" w:rsidRPr="00A96519"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6519">
              <w:rPr>
                <w:rFonts w:ascii="Arial" w:hAnsi="Arial" w:cs="Arial"/>
                <w:sz w:val="20"/>
                <w:szCs w:val="20"/>
              </w:rPr>
              <w:t>1.36</w:t>
            </w:r>
          </w:p>
        </w:tc>
      </w:tr>
      <w:tr w:rsidR="002E63B3" w:rsidRPr="00A96519" w14:paraId="0DC00712" w14:textId="77777777" w:rsidTr="00B141D1">
        <w:trPr>
          <w:trHeight w:val="2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4F3ECA1C" w14:textId="77777777" w:rsidR="002E63B3" w:rsidRPr="00A96519" w:rsidRDefault="002E63B3" w:rsidP="00B141D1">
            <w:pPr>
              <w:spacing w:line="278" w:lineRule="auto"/>
              <w:rPr>
                <w:rFonts w:ascii="Arial" w:hAnsi="Arial" w:cs="Arial"/>
                <w:sz w:val="20"/>
                <w:szCs w:val="20"/>
              </w:rPr>
            </w:pPr>
            <w:r w:rsidRPr="00A96519">
              <w:rPr>
                <w:rFonts w:ascii="Arial" w:hAnsi="Arial" w:cs="Arial"/>
                <w:sz w:val="20"/>
                <w:szCs w:val="20"/>
              </w:rPr>
              <w:t>MFI Reduced Activity</w:t>
            </w:r>
            <w:r w:rsidRPr="00A96519">
              <w:rPr>
                <w:rFonts w:ascii="Arial" w:hAnsi="Arial" w:cs="Arial"/>
                <w:sz w:val="20"/>
                <w:szCs w:val="20"/>
                <w:vertAlign w:val="superscript"/>
              </w:rPr>
              <w:t>†</w:t>
            </w:r>
          </w:p>
        </w:tc>
        <w:tc>
          <w:tcPr>
            <w:tcW w:w="3117" w:type="dxa"/>
            <w:vAlign w:val="center"/>
          </w:tcPr>
          <w:p w14:paraId="36DC835E" w14:textId="77777777" w:rsidR="002E63B3" w:rsidRPr="00A96519"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6519">
              <w:rPr>
                <w:rFonts w:ascii="Arial" w:hAnsi="Arial" w:cs="Arial"/>
                <w:sz w:val="20"/>
                <w:szCs w:val="20"/>
              </w:rPr>
              <w:t>0.72</w:t>
            </w:r>
          </w:p>
        </w:tc>
        <w:tc>
          <w:tcPr>
            <w:tcW w:w="3117" w:type="dxa"/>
            <w:vAlign w:val="center"/>
          </w:tcPr>
          <w:p w14:paraId="44A875E7" w14:textId="77777777" w:rsidR="002E63B3" w:rsidRPr="00A96519"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6519">
              <w:rPr>
                <w:rFonts w:ascii="Arial" w:hAnsi="Arial" w:cs="Arial"/>
                <w:sz w:val="20"/>
                <w:szCs w:val="20"/>
              </w:rPr>
              <w:t>2.06</w:t>
            </w:r>
          </w:p>
        </w:tc>
      </w:tr>
      <w:tr w:rsidR="002E63B3" w:rsidRPr="00A96519" w14:paraId="3265228F" w14:textId="77777777" w:rsidTr="00B141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1ADC0373" w14:textId="77777777" w:rsidR="002E63B3" w:rsidRPr="00A96519" w:rsidRDefault="002E63B3" w:rsidP="00B141D1">
            <w:pPr>
              <w:spacing w:line="278" w:lineRule="auto"/>
              <w:rPr>
                <w:rFonts w:ascii="Arial" w:hAnsi="Arial" w:cs="Arial"/>
                <w:sz w:val="20"/>
                <w:szCs w:val="20"/>
              </w:rPr>
            </w:pPr>
            <w:r w:rsidRPr="00A96519">
              <w:rPr>
                <w:rFonts w:ascii="Arial" w:hAnsi="Arial" w:cs="Arial"/>
                <w:sz w:val="20"/>
                <w:szCs w:val="20"/>
              </w:rPr>
              <w:t>MFI Reduced Motivation</w:t>
            </w:r>
            <w:r w:rsidRPr="00A96519">
              <w:rPr>
                <w:rFonts w:ascii="Arial" w:hAnsi="Arial" w:cs="Arial"/>
                <w:sz w:val="20"/>
                <w:szCs w:val="20"/>
                <w:vertAlign w:val="superscript"/>
              </w:rPr>
              <w:t>†</w:t>
            </w:r>
          </w:p>
        </w:tc>
        <w:tc>
          <w:tcPr>
            <w:tcW w:w="3117" w:type="dxa"/>
            <w:vAlign w:val="center"/>
          </w:tcPr>
          <w:p w14:paraId="057D1851" w14:textId="77777777" w:rsidR="002E63B3" w:rsidRPr="00A96519"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6519">
              <w:rPr>
                <w:rFonts w:ascii="Arial" w:hAnsi="Arial" w:cs="Arial"/>
                <w:sz w:val="20"/>
                <w:szCs w:val="20"/>
              </w:rPr>
              <w:t>0.81</w:t>
            </w:r>
          </w:p>
        </w:tc>
        <w:tc>
          <w:tcPr>
            <w:tcW w:w="3117" w:type="dxa"/>
            <w:vAlign w:val="center"/>
          </w:tcPr>
          <w:p w14:paraId="2B1A7E1F" w14:textId="77777777" w:rsidR="002E63B3" w:rsidRPr="00A96519"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6519">
              <w:rPr>
                <w:rFonts w:ascii="Arial" w:hAnsi="Arial" w:cs="Arial"/>
                <w:sz w:val="20"/>
                <w:szCs w:val="20"/>
              </w:rPr>
              <w:t>2.24</w:t>
            </w:r>
          </w:p>
        </w:tc>
      </w:tr>
      <w:tr w:rsidR="002E63B3" w:rsidRPr="00A96519" w14:paraId="346B59D2" w14:textId="77777777" w:rsidTr="00B141D1">
        <w:trPr>
          <w:trHeight w:val="2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6CEBA3BC" w14:textId="77777777" w:rsidR="002E63B3" w:rsidRPr="00A96519" w:rsidRDefault="002E63B3" w:rsidP="00B141D1">
            <w:pPr>
              <w:spacing w:line="278" w:lineRule="auto"/>
              <w:rPr>
                <w:rFonts w:ascii="Arial" w:hAnsi="Arial" w:cs="Arial"/>
                <w:sz w:val="20"/>
                <w:szCs w:val="20"/>
              </w:rPr>
            </w:pPr>
            <w:r w:rsidRPr="00A96519">
              <w:rPr>
                <w:rFonts w:ascii="Arial" w:hAnsi="Arial" w:cs="Arial"/>
                <w:sz w:val="20"/>
                <w:szCs w:val="20"/>
              </w:rPr>
              <w:t>MFI Mental Fatigue</w:t>
            </w:r>
            <w:r w:rsidRPr="00A96519">
              <w:rPr>
                <w:rFonts w:ascii="Arial" w:hAnsi="Arial" w:cs="Arial"/>
                <w:sz w:val="20"/>
                <w:szCs w:val="20"/>
                <w:vertAlign w:val="superscript"/>
              </w:rPr>
              <w:t>†</w:t>
            </w:r>
          </w:p>
        </w:tc>
        <w:tc>
          <w:tcPr>
            <w:tcW w:w="3117" w:type="dxa"/>
            <w:vAlign w:val="center"/>
          </w:tcPr>
          <w:p w14:paraId="26F550B2" w14:textId="77777777" w:rsidR="002E63B3" w:rsidRPr="00A96519"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6519">
              <w:rPr>
                <w:rFonts w:ascii="Arial" w:hAnsi="Arial" w:cs="Arial"/>
                <w:sz w:val="20"/>
                <w:szCs w:val="20"/>
              </w:rPr>
              <w:t>0.21</w:t>
            </w:r>
          </w:p>
        </w:tc>
        <w:tc>
          <w:tcPr>
            <w:tcW w:w="3117" w:type="dxa"/>
            <w:vAlign w:val="center"/>
          </w:tcPr>
          <w:p w14:paraId="2C2577A2" w14:textId="77777777" w:rsidR="002E63B3" w:rsidRPr="00A96519"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6519">
              <w:rPr>
                <w:rFonts w:ascii="Arial" w:hAnsi="Arial" w:cs="Arial"/>
                <w:sz w:val="20"/>
                <w:szCs w:val="20"/>
              </w:rPr>
              <w:t>1.23</w:t>
            </w:r>
          </w:p>
        </w:tc>
      </w:tr>
      <w:tr w:rsidR="002E63B3" w:rsidRPr="00A96519" w14:paraId="5EC958FA" w14:textId="77777777" w:rsidTr="00B141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15618A35" w14:textId="77777777" w:rsidR="002E63B3" w:rsidRPr="00A96519" w:rsidRDefault="002E63B3" w:rsidP="00B141D1">
            <w:pPr>
              <w:spacing w:line="278" w:lineRule="auto"/>
              <w:rPr>
                <w:rFonts w:ascii="Arial" w:hAnsi="Arial" w:cs="Arial"/>
                <w:sz w:val="20"/>
                <w:szCs w:val="20"/>
              </w:rPr>
            </w:pPr>
            <w:r w:rsidRPr="00A96519">
              <w:rPr>
                <w:rFonts w:ascii="Arial" w:hAnsi="Arial" w:cs="Arial"/>
                <w:sz w:val="20"/>
                <w:szCs w:val="20"/>
              </w:rPr>
              <w:t>MFI aggregate</w:t>
            </w:r>
            <w:r w:rsidRPr="00A96519">
              <w:rPr>
                <w:rFonts w:ascii="Arial" w:hAnsi="Arial" w:cs="Arial"/>
                <w:sz w:val="20"/>
                <w:szCs w:val="20"/>
                <w:vertAlign w:val="superscript"/>
              </w:rPr>
              <w:t>†</w:t>
            </w:r>
          </w:p>
        </w:tc>
        <w:tc>
          <w:tcPr>
            <w:tcW w:w="3117" w:type="dxa"/>
            <w:vAlign w:val="center"/>
          </w:tcPr>
          <w:p w14:paraId="59FFE094" w14:textId="77777777" w:rsidR="002E63B3" w:rsidRPr="00A96519"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6519">
              <w:rPr>
                <w:rFonts w:ascii="Arial" w:hAnsi="Arial" w:cs="Arial"/>
                <w:sz w:val="20"/>
                <w:szCs w:val="20"/>
              </w:rPr>
              <w:t>0.88</w:t>
            </w:r>
          </w:p>
        </w:tc>
        <w:tc>
          <w:tcPr>
            <w:tcW w:w="3117" w:type="dxa"/>
            <w:vAlign w:val="center"/>
          </w:tcPr>
          <w:p w14:paraId="485778FD" w14:textId="77777777" w:rsidR="002E63B3" w:rsidRPr="00A96519"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6519">
              <w:rPr>
                <w:rFonts w:ascii="Arial" w:hAnsi="Arial" w:cs="Arial"/>
                <w:sz w:val="20"/>
                <w:szCs w:val="20"/>
              </w:rPr>
              <w:t>2.41</w:t>
            </w:r>
          </w:p>
        </w:tc>
      </w:tr>
      <w:tr w:rsidR="002E63B3" w:rsidRPr="00A96519" w14:paraId="696355CB" w14:textId="77777777" w:rsidTr="00B141D1">
        <w:trPr>
          <w:trHeight w:val="2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6D674B34" w14:textId="77777777" w:rsidR="002E63B3" w:rsidRPr="00A96519" w:rsidRDefault="002E63B3" w:rsidP="00B141D1">
            <w:pPr>
              <w:spacing w:line="278" w:lineRule="auto"/>
              <w:rPr>
                <w:rFonts w:ascii="Arial" w:hAnsi="Arial" w:cs="Arial"/>
                <w:sz w:val="20"/>
                <w:szCs w:val="20"/>
              </w:rPr>
            </w:pPr>
            <w:r w:rsidRPr="00A96519">
              <w:rPr>
                <w:rFonts w:ascii="Arial" w:hAnsi="Arial" w:cs="Arial"/>
                <w:sz w:val="20"/>
                <w:szCs w:val="20"/>
              </w:rPr>
              <w:t>SF-36 PCS</w:t>
            </w:r>
          </w:p>
        </w:tc>
        <w:tc>
          <w:tcPr>
            <w:tcW w:w="3117" w:type="dxa"/>
            <w:vAlign w:val="center"/>
          </w:tcPr>
          <w:p w14:paraId="2EBD08AC" w14:textId="77777777" w:rsidR="002E63B3" w:rsidRPr="00A96519"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6519">
              <w:rPr>
                <w:rFonts w:ascii="Arial" w:hAnsi="Arial" w:cs="Arial"/>
                <w:sz w:val="20"/>
                <w:szCs w:val="20"/>
              </w:rPr>
              <w:t>-0.62 (-0.67 to -0.57)</w:t>
            </w:r>
          </w:p>
        </w:tc>
        <w:tc>
          <w:tcPr>
            <w:tcW w:w="3117" w:type="dxa"/>
            <w:vAlign w:val="center"/>
          </w:tcPr>
          <w:p w14:paraId="25026EDA" w14:textId="77777777" w:rsidR="002E63B3" w:rsidRPr="00A96519"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6519">
              <w:rPr>
                <w:rFonts w:ascii="Arial" w:hAnsi="Arial" w:cs="Arial"/>
                <w:sz w:val="20"/>
                <w:szCs w:val="20"/>
              </w:rPr>
              <w:t>0.54 (0.51 to 0.57)</w:t>
            </w:r>
          </w:p>
        </w:tc>
      </w:tr>
      <w:tr w:rsidR="002E63B3" w:rsidRPr="00A96519" w14:paraId="106A41A8" w14:textId="77777777" w:rsidTr="00B141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22DF3A38" w14:textId="77777777" w:rsidR="002E63B3" w:rsidRPr="00A96519" w:rsidRDefault="002E63B3" w:rsidP="00B141D1">
            <w:pPr>
              <w:spacing w:line="278" w:lineRule="auto"/>
              <w:rPr>
                <w:rFonts w:ascii="Arial" w:hAnsi="Arial" w:cs="Arial"/>
                <w:sz w:val="20"/>
                <w:szCs w:val="20"/>
              </w:rPr>
            </w:pPr>
            <w:r w:rsidRPr="00A96519">
              <w:rPr>
                <w:rFonts w:ascii="Arial" w:hAnsi="Arial" w:cs="Arial"/>
                <w:sz w:val="20"/>
                <w:szCs w:val="20"/>
              </w:rPr>
              <w:t>SF-36 RP</w:t>
            </w:r>
          </w:p>
        </w:tc>
        <w:tc>
          <w:tcPr>
            <w:tcW w:w="3117" w:type="dxa"/>
            <w:vAlign w:val="center"/>
          </w:tcPr>
          <w:p w14:paraId="68C93847" w14:textId="77777777" w:rsidR="002E63B3" w:rsidRPr="00A96519"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6519">
              <w:rPr>
                <w:rFonts w:ascii="Arial" w:hAnsi="Arial" w:cs="Arial"/>
                <w:sz w:val="20"/>
                <w:szCs w:val="20"/>
              </w:rPr>
              <w:t>-0.37 (-0.88 to 0.14)</w:t>
            </w:r>
          </w:p>
        </w:tc>
        <w:tc>
          <w:tcPr>
            <w:tcW w:w="3117" w:type="dxa"/>
            <w:vAlign w:val="center"/>
          </w:tcPr>
          <w:p w14:paraId="0A80F601" w14:textId="77777777" w:rsidR="002E63B3" w:rsidRPr="00A96519"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6519">
              <w:rPr>
                <w:rFonts w:ascii="Arial" w:hAnsi="Arial" w:cs="Arial"/>
                <w:sz w:val="20"/>
                <w:szCs w:val="20"/>
              </w:rPr>
              <w:t>0.69 (0.42 to 1.15)</w:t>
            </w:r>
          </w:p>
        </w:tc>
      </w:tr>
      <w:tr w:rsidR="002E63B3" w:rsidRPr="00A96519" w14:paraId="36319BA4" w14:textId="77777777" w:rsidTr="00B141D1">
        <w:trPr>
          <w:trHeight w:val="2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576593D6" w14:textId="77777777" w:rsidR="002E63B3" w:rsidRPr="00A96519" w:rsidRDefault="002E63B3" w:rsidP="00B141D1">
            <w:pPr>
              <w:spacing w:line="278" w:lineRule="auto"/>
              <w:rPr>
                <w:rFonts w:ascii="Arial" w:hAnsi="Arial" w:cs="Arial"/>
                <w:sz w:val="20"/>
                <w:szCs w:val="20"/>
              </w:rPr>
            </w:pPr>
            <w:r w:rsidRPr="00A96519">
              <w:rPr>
                <w:rFonts w:ascii="Arial" w:hAnsi="Arial" w:cs="Arial"/>
                <w:sz w:val="20"/>
                <w:szCs w:val="20"/>
              </w:rPr>
              <w:t>SF-36 VT</w:t>
            </w:r>
          </w:p>
        </w:tc>
        <w:tc>
          <w:tcPr>
            <w:tcW w:w="3117" w:type="dxa"/>
            <w:vAlign w:val="center"/>
          </w:tcPr>
          <w:p w14:paraId="6EE54F5B" w14:textId="77777777" w:rsidR="002E63B3" w:rsidRPr="00A96519"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6519">
              <w:rPr>
                <w:rFonts w:ascii="Arial" w:hAnsi="Arial" w:cs="Arial"/>
                <w:sz w:val="20"/>
                <w:szCs w:val="20"/>
              </w:rPr>
              <w:t>-0.19 (-0.87 to 0.48)</w:t>
            </w:r>
          </w:p>
        </w:tc>
        <w:tc>
          <w:tcPr>
            <w:tcW w:w="3117" w:type="dxa"/>
            <w:vAlign w:val="center"/>
          </w:tcPr>
          <w:p w14:paraId="6E22555C" w14:textId="77777777" w:rsidR="002E63B3" w:rsidRPr="00A96519"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6519">
              <w:rPr>
                <w:rFonts w:ascii="Arial" w:hAnsi="Arial" w:cs="Arial"/>
                <w:sz w:val="20"/>
                <w:szCs w:val="20"/>
              </w:rPr>
              <w:t>0.82 (0.42 to 1.62)</w:t>
            </w:r>
          </w:p>
        </w:tc>
      </w:tr>
      <w:tr w:rsidR="002E63B3" w:rsidRPr="00A96519" w14:paraId="542B09BA" w14:textId="77777777" w:rsidTr="00B141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282CA7BD" w14:textId="77777777" w:rsidR="002E63B3" w:rsidRPr="00A96519" w:rsidRDefault="002E63B3" w:rsidP="00B141D1">
            <w:pPr>
              <w:spacing w:line="278" w:lineRule="auto"/>
              <w:rPr>
                <w:rFonts w:ascii="Arial" w:hAnsi="Arial" w:cs="Arial"/>
                <w:sz w:val="20"/>
                <w:szCs w:val="20"/>
              </w:rPr>
            </w:pPr>
            <w:r w:rsidRPr="00A96519">
              <w:rPr>
                <w:rFonts w:ascii="Arial" w:hAnsi="Arial" w:cs="Arial"/>
                <w:sz w:val="20"/>
                <w:szCs w:val="20"/>
              </w:rPr>
              <w:t>SF-36 SF</w:t>
            </w:r>
          </w:p>
        </w:tc>
        <w:tc>
          <w:tcPr>
            <w:tcW w:w="3117" w:type="dxa"/>
            <w:vAlign w:val="center"/>
          </w:tcPr>
          <w:p w14:paraId="542BCA3C" w14:textId="77777777" w:rsidR="002E63B3" w:rsidRPr="00A96519"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6519">
              <w:rPr>
                <w:rFonts w:ascii="Arial" w:hAnsi="Arial" w:cs="Arial"/>
                <w:sz w:val="20"/>
                <w:szCs w:val="20"/>
              </w:rPr>
              <w:t>-0.68 (-1.07 to -0.29)</w:t>
            </w:r>
          </w:p>
        </w:tc>
        <w:tc>
          <w:tcPr>
            <w:tcW w:w="3117" w:type="dxa"/>
            <w:vAlign w:val="center"/>
          </w:tcPr>
          <w:p w14:paraId="2EFA5210" w14:textId="77777777" w:rsidR="002E63B3" w:rsidRPr="00A96519"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6519">
              <w:rPr>
                <w:rFonts w:ascii="Arial" w:hAnsi="Arial" w:cs="Arial"/>
                <w:sz w:val="20"/>
                <w:szCs w:val="20"/>
              </w:rPr>
              <w:t>0.51 (0.34 to 0.75)</w:t>
            </w:r>
          </w:p>
        </w:tc>
      </w:tr>
    </w:tbl>
    <w:p w14:paraId="1220FD37" w14:textId="77777777" w:rsidR="002E63B3" w:rsidRDefault="002E63B3" w:rsidP="002E63B3">
      <w:pPr>
        <w:spacing w:after="160" w:line="278" w:lineRule="auto"/>
        <w:rPr>
          <w:rFonts w:ascii="Arial" w:hAnsi="Arial" w:cs="Arial"/>
          <w:sz w:val="20"/>
          <w:szCs w:val="20"/>
          <w:vertAlign w:val="superscript"/>
        </w:rPr>
      </w:pPr>
    </w:p>
    <w:p w14:paraId="169ED5E3" w14:textId="77777777" w:rsidR="002E63B3" w:rsidRDefault="002E63B3" w:rsidP="002E63B3">
      <w:pPr>
        <w:spacing w:after="160" w:line="278" w:lineRule="auto"/>
        <w:rPr>
          <w:rFonts w:ascii="Arial" w:hAnsi="Arial" w:cs="Arial"/>
          <w:sz w:val="12"/>
          <w:szCs w:val="12"/>
        </w:rPr>
      </w:pPr>
      <w:r w:rsidRPr="00041621">
        <w:rPr>
          <w:rFonts w:ascii="Arial" w:hAnsi="Arial" w:cs="Arial"/>
          <w:sz w:val="12"/>
          <w:szCs w:val="12"/>
          <w:vertAlign w:val="superscript"/>
        </w:rPr>
        <w:t>†</w:t>
      </w:r>
      <w:r w:rsidRPr="00041621">
        <w:rPr>
          <w:rFonts w:ascii="Arial" w:hAnsi="Arial" w:cs="Arial"/>
          <w:sz w:val="12"/>
          <w:szCs w:val="12"/>
        </w:rPr>
        <w:t xml:space="preserve"> These features had exceedingly wide confidence intervals that were not reportable.</w:t>
      </w:r>
    </w:p>
    <w:p w14:paraId="27504279" w14:textId="0C1C5785" w:rsidR="00A42097" w:rsidRPr="00041621" w:rsidRDefault="00A42097">
      <w:pPr>
        <w:spacing w:after="160" w:line="278" w:lineRule="auto"/>
        <w:rPr>
          <w:sz w:val="12"/>
          <w:szCs w:val="12"/>
        </w:rPr>
      </w:pPr>
      <w:r w:rsidRPr="00041621">
        <w:rPr>
          <w:sz w:val="12"/>
          <w:szCs w:val="12"/>
        </w:rPr>
        <w:br w:type="page"/>
      </w:r>
    </w:p>
    <w:p w14:paraId="4C16155E" w14:textId="18EABFD9" w:rsidR="00A42097" w:rsidRDefault="00A42097" w:rsidP="00AF5CB5">
      <w:pPr>
        <w:spacing w:after="160" w:line="278" w:lineRule="auto"/>
      </w:pPr>
      <w:r>
        <w:rPr>
          <w:noProof/>
          <w14:ligatures w14:val="standardContextual"/>
        </w:rPr>
        <w:lastRenderedPageBreak/>
        <w:drawing>
          <wp:inline distT="0" distB="0" distL="0" distR="0" wp14:anchorId="00CEA2BB" wp14:editId="1B1C1996">
            <wp:extent cx="5943600" cy="7691755"/>
            <wp:effectExtent l="0" t="0" r="0" b="4445"/>
            <wp:docPr id="1772342560" name="Picture 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342560" name="Picture 4" descr="A screenshot of a graph&#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58FC74D" w14:textId="74B629DD" w:rsidR="00041621" w:rsidRDefault="00A42097">
      <w:pPr>
        <w:spacing w:after="160" w:line="278" w:lineRule="auto"/>
        <w:rPr>
          <w:b/>
          <w:bCs/>
          <w:u w:val="single"/>
        </w:rPr>
      </w:pPr>
      <w:r>
        <w:rPr>
          <w:b/>
          <w:bCs/>
          <w:u w:val="single"/>
        </w:rPr>
        <w:t xml:space="preserve">Supplementary Fig. </w:t>
      </w:r>
      <w:r w:rsidR="009E1553">
        <w:rPr>
          <w:b/>
          <w:bCs/>
          <w:u w:val="single"/>
        </w:rPr>
        <w:t>8</w:t>
      </w:r>
      <w:r>
        <w:rPr>
          <w:b/>
          <w:bCs/>
          <w:u w:val="single"/>
        </w:rPr>
        <w:t>.</w:t>
      </w:r>
      <w:r w:rsidR="00041621">
        <w:rPr>
          <w:b/>
          <w:bCs/>
          <w:u w:val="single"/>
        </w:rPr>
        <w:br w:type="page"/>
      </w:r>
    </w:p>
    <w:p w14:paraId="2AB3953A" w14:textId="77777777" w:rsidR="002E63B3" w:rsidRDefault="002E63B3" w:rsidP="002E63B3">
      <w:pPr>
        <w:spacing w:after="160" w:line="278" w:lineRule="auto"/>
        <w:rPr>
          <w:b/>
          <w:bCs/>
          <w:u w:val="single"/>
        </w:rPr>
      </w:pPr>
      <w:r>
        <w:rPr>
          <w:b/>
          <w:bCs/>
          <w:u w:val="single"/>
        </w:rPr>
        <w:lastRenderedPageBreak/>
        <w:t>Supplementary Table 3.</w:t>
      </w:r>
    </w:p>
    <w:p w14:paraId="467088EB" w14:textId="77777777" w:rsidR="002E63B3" w:rsidRPr="0017403D" w:rsidRDefault="002E63B3" w:rsidP="002E63B3">
      <w:pPr>
        <w:spacing w:after="160" w:line="278" w:lineRule="auto"/>
        <w:rPr>
          <w:rFonts w:ascii="Arial" w:hAnsi="Arial" w:cs="Arial"/>
        </w:rPr>
      </w:pPr>
      <w:r w:rsidRPr="0017403D">
        <w:rPr>
          <w:rFonts w:ascii="Arial" w:hAnsi="Arial" w:cs="Arial"/>
          <w:b/>
          <w:bCs/>
        </w:rPr>
        <w:t>A</w:t>
      </w:r>
    </w:p>
    <w:tbl>
      <w:tblPr>
        <w:tblStyle w:val="ListTable1Light-Accent1"/>
        <w:tblW w:w="0" w:type="auto"/>
        <w:tblCellMar>
          <w:top w:w="29" w:type="dxa"/>
          <w:left w:w="29" w:type="dxa"/>
          <w:bottom w:w="29" w:type="dxa"/>
          <w:right w:w="29" w:type="dxa"/>
        </w:tblCellMar>
        <w:tblLook w:val="04A0" w:firstRow="1" w:lastRow="0" w:firstColumn="1" w:lastColumn="0" w:noHBand="0" w:noVBand="1"/>
      </w:tblPr>
      <w:tblGrid>
        <w:gridCol w:w="3116"/>
        <w:gridCol w:w="3117"/>
        <w:gridCol w:w="3117"/>
      </w:tblGrid>
      <w:tr w:rsidR="002E63B3" w:rsidRPr="002F3616" w14:paraId="29B285AD" w14:textId="77777777" w:rsidTr="00B141D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tcPr>
          <w:p w14:paraId="664177B6" w14:textId="77777777" w:rsidR="002E63B3" w:rsidRPr="002F3616" w:rsidRDefault="002E63B3" w:rsidP="00B141D1">
            <w:pPr>
              <w:spacing w:line="278" w:lineRule="auto"/>
              <w:rPr>
                <w:rFonts w:ascii="Arial" w:hAnsi="Arial" w:cs="Arial"/>
                <w:sz w:val="20"/>
                <w:szCs w:val="20"/>
              </w:rPr>
            </w:pPr>
            <w:r w:rsidRPr="002F3616">
              <w:rPr>
                <w:rFonts w:ascii="Arial" w:hAnsi="Arial" w:cs="Arial"/>
                <w:sz w:val="20"/>
                <w:szCs w:val="20"/>
              </w:rPr>
              <w:t>Feature</w:t>
            </w:r>
          </w:p>
        </w:tc>
        <w:tc>
          <w:tcPr>
            <w:tcW w:w="3117" w:type="dxa"/>
          </w:tcPr>
          <w:p w14:paraId="789A60DF" w14:textId="77777777" w:rsidR="002E63B3" w:rsidRPr="002F3616" w:rsidRDefault="002E63B3" w:rsidP="00B141D1">
            <w:pPr>
              <w:spacing w:line="278"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Coefficients</w:t>
            </w:r>
            <w:r w:rsidRPr="00A96519">
              <w:rPr>
                <w:rFonts w:ascii="Arial" w:hAnsi="Arial" w:cs="Arial"/>
                <w:sz w:val="20"/>
                <w:szCs w:val="20"/>
              </w:rPr>
              <w:t xml:space="preserve"> </w:t>
            </w:r>
            <w:r w:rsidRPr="002F3616">
              <w:rPr>
                <w:rFonts w:ascii="Arial" w:hAnsi="Arial" w:cs="Arial"/>
                <w:sz w:val="20"/>
                <w:szCs w:val="20"/>
              </w:rPr>
              <w:t>(95% CI)</w:t>
            </w:r>
          </w:p>
        </w:tc>
        <w:tc>
          <w:tcPr>
            <w:tcW w:w="3117" w:type="dxa"/>
          </w:tcPr>
          <w:p w14:paraId="55835075" w14:textId="77777777" w:rsidR="002E63B3" w:rsidRPr="002F3616" w:rsidRDefault="002E63B3" w:rsidP="00B141D1">
            <w:pPr>
              <w:spacing w:line="278"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F3616">
              <w:rPr>
                <w:rFonts w:ascii="Arial" w:hAnsi="Arial" w:cs="Arial"/>
                <w:sz w:val="20"/>
                <w:szCs w:val="20"/>
              </w:rPr>
              <w:t>Odds Ratios (95% CI)</w:t>
            </w:r>
          </w:p>
        </w:tc>
      </w:tr>
      <w:tr w:rsidR="002E63B3" w:rsidRPr="002F3616" w14:paraId="5C1E1DBE" w14:textId="77777777" w:rsidTr="00B141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tcPr>
          <w:p w14:paraId="40BF0A46" w14:textId="77777777" w:rsidR="002E63B3" w:rsidRPr="002F3616" w:rsidRDefault="002E63B3" w:rsidP="00B141D1">
            <w:pPr>
              <w:spacing w:line="278" w:lineRule="auto"/>
              <w:rPr>
                <w:rFonts w:ascii="Arial" w:hAnsi="Arial" w:cs="Arial"/>
                <w:sz w:val="20"/>
                <w:szCs w:val="20"/>
              </w:rPr>
            </w:pPr>
            <w:r w:rsidRPr="002F3616">
              <w:rPr>
                <w:rFonts w:ascii="Arial" w:hAnsi="Arial" w:cs="Arial"/>
                <w:sz w:val="20"/>
                <w:szCs w:val="20"/>
              </w:rPr>
              <w:t>MFI Reduced Motivation</w:t>
            </w:r>
          </w:p>
        </w:tc>
        <w:tc>
          <w:tcPr>
            <w:tcW w:w="3117" w:type="dxa"/>
          </w:tcPr>
          <w:p w14:paraId="7BFA03C1" w14:textId="77777777" w:rsidR="002E63B3" w:rsidRPr="002F3616"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F3616">
              <w:rPr>
                <w:rFonts w:ascii="Arial" w:hAnsi="Arial" w:cs="Arial"/>
                <w:sz w:val="20"/>
                <w:szCs w:val="20"/>
              </w:rPr>
              <w:t>0.81 (0.32 to 1.30)</w:t>
            </w:r>
          </w:p>
        </w:tc>
        <w:tc>
          <w:tcPr>
            <w:tcW w:w="3117" w:type="dxa"/>
          </w:tcPr>
          <w:p w14:paraId="416F0BA2" w14:textId="77777777" w:rsidR="002E63B3" w:rsidRPr="002F3616"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F3616">
              <w:rPr>
                <w:rFonts w:ascii="Arial" w:hAnsi="Arial" w:cs="Arial"/>
                <w:sz w:val="20"/>
                <w:szCs w:val="20"/>
              </w:rPr>
              <w:t>2.25 (1.37 to 3.68)</w:t>
            </w:r>
          </w:p>
        </w:tc>
      </w:tr>
      <w:tr w:rsidR="002E63B3" w:rsidRPr="002F3616" w14:paraId="2DF6859C" w14:textId="77777777" w:rsidTr="00B141D1">
        <w:trPr>
          <w:trHeight w:val="20"/>
        </w:trPr>
        <w:tc>
          <w:tcPr>
            <w:cnfStyle w:val="001000000000" w:firstRow="0" w:lastRow="0" w:firstColumn="1" w:lastColumn="0" w:oddVBand="0" w:evenVBand="0" w:oddHBand="0" w:evenHBand="0" w:firstRowFirstColumn="0" w:firstRowLastColumn="0" w:lastRowFirstColumn="0" w:lastRowLastColumn="0"/>
            <w:tcW w:w="3116" w:type="dxa"/>
          </w:tcPr>
          <w:p w14:paraId="0A67DE57" w14:textId="77777777" w:rsidR="002E63B3" w:rsidRPr="002F3616" w:rsidRDefault="002E63B3" w:rsidP="00B141D1">
            <w:pPr>
              <w:spacing w:line="278" w:lineRule="auto"/>
              <w:rPr>
                <w:rFonts w:ascii="Arial" w:hAnsi="Arial" w:cs="Arial"/>
                <w:sz w:val="20"/>
                <w:szCs w:val="20"/>
              </w:rPr>
            </w:pPr>
            <w:r w:rsidRPr="002F3616">
              <w:rPr>
                <w:rFonts w:ascii="Arial" w:hAnsi="Arial" w:cs="Arial"/>
                <w:sz w:val="20"/>
                <w:szCs w:val="20"/>
              </w:rPr>
              <w:t>MFI aggregate</w:t>
            </w:r>
          </w:p>
        </w:tc>
        <w:tc>
          <w:tcPr>
            <w:tcW w:w="3117" w:type="dxa"/>
          </w:tcPr>
          <w:p w14:paraId="4DC95AB0" w14:textId="77777777" w:rsidR="002E63B3" w:rsidRPr="002F3616"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3616">
              <w:rPr>
                <w:rFonts w:ascii="Arial" w:hAnsi="Arial" w:cs="Arial"/>
                <w:sz w:val="20"/>
                <w:szCs w:val="20"/>
              </w:rPr>
              <w:t>1.35 (0.80 to 1.90)</w:t>
            </w:r>
          </w:p>
        </w:tc>
        <w:tc>
          <w:tcPr>
            <w:tcW w:w="3117" w:type="dxa"/>
          </w:tcPr>
          <w:p w14:paraId="40A8FCC9" w14:textId="77777777" w:rsidR="002E63B3" w:rsidRPr="002F3616"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3616">
              <w:rPr>
                <w:rFonts w:ascii="Arial" w:hAnsi="Arial" w:cs="Arial"/>
                <w:sz w:val="20"/>
                <w:szCs w:val="20"/>
              </w:rPr>
              <w:t>3.87 (2.23 to 6.71)</w:t>
            </w:r>
          </w:p>
        </w:tc>
      </w:tr>
      <w:tr w:rsidR="002E63B3" w:rsidRPr="002F3616" w14:paraId="41D3B3FF" w14:textId="77777777" w:rsidTr="00B141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tcPr>
          <w:p w14:paraId="65707C4C" w14:textId="77777777" w:rsidR="002E63B3" w:rsidRPr="002F3616" w:rsidRDefault="002E63B3" w:rsidP="00B141D1">
            <w:pPr>
              <w:spacing w:line="278" w:lineRule="auto"/>
              <w:rPr>
                <w:rFonts w:ascii="Arial" w:hAnsi="Arial" w:cs="Arial"/>
                <w:sz w:val="20"/>
                <w:szCs w:val="20"/>
              </w:rPr>
            </w:pPr>
            <w:r w:rsidRPr="002F3616">
              <w:rPr>
                <w:rFonts w:ascii="Arial" w:hAnsi="Arial" w:cs="Arial"/>
                <w:sz w:val="20"/>
                <w:szCs w:val="20"/>
              </w:rPr>
              <w:t>SF-36 PCS</w:t>
            </w:r>
          </w:p>
        </w:tc>
        <w:tc>
          <w:tcPr>
            <w:tcW w:w="3117" w:type="dxa"/>
          </w:tcPr>
          <w:p w14:paraId="275D6C84" w14:textId="77777777" w:rsidR="002E63B3" w:rsidRPr="002F3616"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F3616">
              <w:rPr>
                <w:rFonts w:ascii="Arial" w:hAnsi="Arial" w:cs="Arial"/>
                <w:sz w:val="20"/>
                <w:szCs w:val="20"/>
              </w:rPr>
              <w:t>-0.61 (-1.01 to -0.21)</w:t>
            </w:r>
          </w:p>
        </w:tc>
        <w:tc>
          <w:tcPr>
            <w:tcW w:w="3117" w:type="dxa"/>
          </w:tcPr>
          <w:p w14:paraId="4618D5ED" w14:textId="77777777" w:rsidR="002E63B3" w:rsidRPr="002F3616"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F3616">
              <w:rPr>
                <w:rFonts w:ascii="Arial" w:hAnsi="Arial" w:cs="Arial"/>
                <w:sz w:val="20"/>
                <w:szCs w:val="20"/>
              </w:rPr>
              <w:t>0.54 (0.36 to 0.81)</w:t>
            </w:r>
          </w:p>
        </w:tc>
      </w:tr>
      <w:tr w:rsidR="002E63B3" w:rsidRPr="002F3616" w14:paraId="1E4DCCA3" w14:textId="77777777" w:rsidTr="00B141D1">
        <w:trPr>
          <w:trHeight w:val="20"/>
        </w:trPr>
        <w:tc>
          <w:tcPr>
            <w:cnfStyle w:val="001000000000" w:firstRow="0" w:lastRow="0" w:firstColumn="1" w:lastColumn="0" w:oddVBand="0" w:evenVBand="0" w:oddHBand="0" w:evenHBand="0" w:firstRowFirstColumn="0" w:firstRowLastColumn="0" w:lastRowFirstColumn="0" w:lastRowLastColumn="0"/>
            <w:tcW w:w="3116" w:type="dxa"/>
          </w:tcPr>
          <w:p w14:paraId="71AD21BD" w14:textId="77777777" w:rsidR="002E63B3" w:rsidRPr="002F3616" w:rsidRDefault="002E63B3" w:rsidP="00B141D1">
            <w:pPr>
              <w:spacing w:line="278" w:lineRule="auto"/>
              <w:rPr>
                <w:rFonts w:ascii="Arial" w:hAnsi="Arial" w:cs="Arial"/>
                <w:sz w:val="20"/>
                <w:szCs w:val="20"/>
              </w:rPr>
            </w:pPr>
            <w:r w:rsidRPr="002F3616">
              <w:rPr>
                <w:rFonts w:ascii="Arial" w:hAnsi="Arial" w:cs="Arial"/>
                <w:sz w:val="20"/>
                <w:szCs w:val="20"/>
              </w:rPr>
              <w:t>SF-36 SF</w:t>
            </w:r>
          </w:p>
        </w:tc>
        <w:tc>
          <w:tcPr>
            <w:tcW w:w="3117" w:type="dxa"/>
          </w:tcPr>
          <w:p w14:paraId="19F44347" w14:textId="77777777" w:rsidR="002E63B3" w:rsidRPr="002F3616"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3616">
              <w:rPr>
                <w:rFonts w:ascii="Arial" w:hAnsi="Arial" w:cs="Arial"/>
                <w:sz w:val="20"/>
                <w:szCs w:val="20"/>
              </w:rPr>
              <w:t>-0.87 (-1.29 to -0.44)</w:t>
            </w:r>
          </w:p>
        </w:tc>
        <w:tc>
          <w:tcPr>
            <w:tcW w:w="3117" w:type="dxa"/>
          </w:tcPr>
          <w:p w14:paraId="4AC5B8C2" w14:textId="77777777" w:rsidR="002E63B3" w:rsidRPr="002F3616"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3616">
              <w:rPr>
                <w:rFonts w:ascii="Arial" w:hAnsi="Arial" w:cs="Arial"/>
                <w:sz w:val="20"/>
                <w:szCs w:val="20"/>
              </w:rPr>
              <w:t>0.42 (0.27 to 0.64)</w:t>
            </w:r>
          </w:p>
        </w:tc>
      </w:tr>
    </w:tbl>
    <w:p w14:paraId="29B03ABE" w14:textId="77777777" w:rsidR="002E63B3" w:rsidRDefault="002E63B3" w:rsidP="002E63B3">
      <w:pPr>
        <w:spacing w:after="160" w:line="278" w:lineRule="auto"/>
        <w:rPr>
          <w:b/>
          <w:bCs/>
          <w:u w:val="single"/>
        </w:rPr>
      </w:pPr>
    </w:p>
    <w:p w14:paraId="68CA6755" w14:textId="77777777" w:rsidR="002E63B3" w:rsidRPr="0017403D" w:rsidRDefault="002E63B3" w:rsidP="002E63B3">
      <w:pPr>
        <w:spacing w:after="160" w:line="278" w:lineRule="auto"/>
        <w:rPr>
          <w:rFonts w:ascii="Arial" w:hAnsi="Arial" w:cs="Arial"/>
        </w:rPr>
      </w:pPr>
      <w:r>
        <w:rPr>
          <w:rFonts w:ascii="Arial" w:hAnsi="Arial" w:cs="Arial"/>
          <w:b/>
          <w:bCs/>
        </w:rPr>
        <w:t>B</w:t>
      </w:r>
    </w:p>
    <w:tbl>
      <w:tblPr>
        <w:tblStyle w:val="ListTable1Light-Accent1"/>
        <w:tblW w:w="0" w:type="auto"/>
        <w:tblCellMar>
          <w:top w:w="29" w:type="dxa"/>
          <w:left w:w="29" w:type="dxa"/>
          <w:bottom w:w="29" w:type="dxa"/>
          <w:right w:w="29" w:type="dxa"/>
        </w:tblCellMar>
        <w:tblLook w:val="04A0" w:firstRow="1" w:lastRow="0" w:firstColumn="1" w:lastColumn="0" w:noHBand="0" w:noVBand="1"/>
      </w:tblPr>
      <w:tblGrid>
        <w:gridCol w:w="3116"/>
        <w:gridCol w:w="3117"/>
        <w:gridCol w:w="3117"/>
      </w:tblGrid>
      <w:tr w:rsidR="002E63B3" w:rsidRPr="002F3616" w14:paraId="3901554D" w14:textId="77777777" w:rsidTr="00B141D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tcPr>
          <w:p w14:paraId="37EB1FB1" w14:textId="77777777" w:rsidR="002E63B3" w:rsidRPr="002F3616" w:rsidRDefault="002E63B3" w:rsidP="00B141D1">
            <w:pPr>
              <w:spacing w:line="278" w:lineRule="auto"/>
              <w:rPr>
                <w:rFonts w:ascii="Arial" w:hAnsi="Arial" w:cs="Arial"/>
                <w:sz w:val="20"/>
                <w:szCs w:val="20"/>
              </w:rPr>
            </w:pPr>
            <w:r w:rsidRPr="002F3616">
              <w:rPr>
                <w:rFonts w:ascii="Arial" w:hAnsi="Arial" w:cs="Arial"/>
                <w:sz w:val="20"/>
                <w:szCs w:val="20"/>
              </w:rPr>
              <w:t>Feature</w:t>
            </w:r>
          </w:p>
        </w:tc>
        <w:tc>
          <w:tcPr>
            <w:tcW w:w="3117" w:type="dxa"/>
          </w:tcPr>
          <w:p w14:paraId="522B8DC9" w14:textId="77777777" w:rsidR="002E63B3" w:rsidRPr="002F3616" w:rsidRDefault="002E63B3" w:rsidP="00B141D1">
            <w:pPr>
              <w:spacing w:line="278"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Coefficients</w:t>
            </w:r>
            <w:r w:rsidRPr="00A96519">
              <w:rPr>
                <w:rFonts w:ascii="Arial" w:hAnsi="Arial" w:cs="Arial"/>
                <w:sz w:val="20"/>
                <w:szCs w:val="20"/>
              </w:rPr>
              <w:t xml:space="preserve"> </w:t>
            </w:r>
            <w:r w:rsidRPr="002F3616">
              <w:rPr>
                <w:rFonts w:ascii="Arial" w:hAnsi="Arial" w:cs="Arial"/>
                <w:sz w:val="20"/>
                <w:szCs w:val="20"/>
              </w:rPr>
              <w:t>(95% CI)</w:t>
            </w:r>
          </w:p>
        </w:tc>
        <w:tc>
          <w:tcPr>
            <w:tcW w:w="3117" w:type="dxa"/>
          </w:tcPr>
          <w:p w14:paraId="6BEB329B" w14:textId="77777777" w:rsidR="002E63B3" w:rsidRPr="002F3616" w:rsidRDefault="002E63B3" w:rsidP="00B141D1">
            <w:pPr>
              <w:spacing w:line="278"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F3616">
              <w:rPr>
                <w:rFonts w:ascii="Arial" w:hAnsi="Arial" w:cs="Arial"/>
                <w:sz w:val="20"/>
                <w:szCs w:val="20"/>
              </w:rPr>
              <w:t>Odds Ratios (95% CI)</w:t>
            </w:r>
          </w:p>
        </w:tc>
      </w:tr>
      <w:tr w:rsidR="002E63B3" w:rsidRPr="002F3616" w14:paraId="123D61BF" w14:textId="77777777" w:rsidTr="00B141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tcPr>
          <w:p w14:paraId="03324185" w14:textId="77777777" w:rsidR="002E63B3" w:rsidRPr="002F3616" w:rsidRDefault="002E63B3" w:rsidP="00B141D1">
            <w:pPr>
              <w:spacing w:line="278" w:lineRule="auto"/>
              <w:rPr>
                <w:rFonts w:ascii="Arial" w:hAnsi="Arial" w:cs="Arial"/>
                <w:sz w:val="20"/>
                <w:szCs w:val="20"/>
              </w:rPr>
            </w:pPr>
            <w:r w:rsidRPr="002F3616">
              <w:rPr>
                <w:rFonts w:ascii="Arial" w:hAnsi="Arial" w:cs="Arial"/>
                <w:sz w:val="20"/>
                <w:szCs w:val="20"/>
              </w:rPr>
              <w:t>MFI Reduced Motivation</w:t>
            </w:r>
          </w:p>
        </w:tc>
        <w:tc>
          <w:tcPr>
            <w:tcW w:w="3117" w:type="dxa"/>
          </w:tcPr>
          <w:p w14:paraId="3A0836ED" w14:textId="77777777" w:rsidR="002E63B3" w:rsidRPr="002F3616"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F3616">
              <w:rPr>
                <w:rFonts w:ascii="Arial" w:hAnsi="Arial" w:cs="Arial"/>
                <w:sz w:val="20"/>
                <w:szCs w:val="20"/>
              </w:rPr>
              <w:t>-0.30 (-0.80 to 0.19)</w:t>
            </w:r>
          </w:p>
        </w:tc>
        <w:tc>
          <w:tcPr>
            <w:tcW w:w="3117" w:type="dxa"/>
          </w:tcPr>
          <w:p w14:paraId="682FF0FF" w14:textId="77777777" w:rsidR="002E63B3" w:rsidRPr="002F3616"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F3616">
              <w:rPr>
                <w:rFonts w:ascii="Arial" w:hAnsi="Arial" w:cs="Arial"/>
                <w:sz w:val="20"/>
                <w:szCs w:val="20"/>
              </w:rPr>
              <w:t>0.74 (0.45 to 1.21)</w:t>
            </w:r>
          </w:p>
        </w:tc>
      </w:tr>
      <w:tr w:rsidR="002E63B3" w:rsidRPr="002F3616" w14:paraId="647C9022" w14:textId="77777777" w:rsidTr="00B141D1">
        <w:trPr>
          <w:trHeight w:val="20"/>
        </w:trPr>
        <w:tc>
          <w:tcPr>
            <w:cnfStyle w:val="001000000000" w:firstRow="0" w:lastRow="0" w:firstColumn="1" w:lastColumn="0" w:oddVBand="0" w:evenVBand="0" w:oddHBand="0" w:evenHBand="0" w:firstRowFirstColumn="0" w:firstRowLastColumn="0" w:lastRowFirstColumn="0" w:lastRowLastColumn="0"/>
            <w:tcW w:w="3116" w:type="dxa"/>
          </w:tcPr>
          <w:p w14:paraId="57DBA092" w14:textId="77777777" w:rsidR="002E63B3" w:rsidRPr="002F3616" w:rsidRDefault="002E63B3" w:rsidP="00B141D1">
            <w:pPr>
              <w:spacing w:line="278" w:lineRule="auto"/>
              <w:rPr>
                <w:rFonts w:ascii="Arial" w:hAnsi="Arial" w:cs="Arial"/>
                <w:sz w:val="20"/>
                <w:szCs w:val="20"/>
              </w:rPr>
            </w:pPr>
            <w:r w:rsidRPr="002F3616">
              <w:rPr>
                <w:rFonts w:ascii="Arial" w:hAnsi="Arial" w:cs="Arial"/>
                <w:sz w:val="20"/>
                <w:szCs w:val="20"/>
              </w:rPr>
              <w:t>MFI aggregate</w:t>
            </w:r>
          </w:p>
        </w:tc>
        <w:tc>
          <w:tcPr>
            <w:tcW w:w="3117" w:type="dxa"/>
          </w:tcPr>
          <w:p w14:paraId="1FABE61F" w14:textId="77777777" w:rsidR="002E63B3" w:rsidRPr="002F3616"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3616">
              <w:rPr>
                <w:rFonts w:ascii="Arial" w:hAnsi="Arial" w:cs="Arial"/>
                <w:sz w:val="20"/>
                <w:szCs w:val="20"/>
              </w:rPr>
              <w:t>0.30 (-0.25 to 0.85)</w:t>
            </w:r>
          </w:p>
        </w:tc>
        <w:tc>
          <w:tcPr>
            <w:tcW w:w="3117" w:type="dxa"/>
          </w:tcPr>
          <w:p w14:paraId="20A7E803" w14:textId="77777777" w:rsidR="002E63B3" w:rsidRPr="002F3616"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3616">
              <w:rPr>
                <w:rFonts w:ascii="Arial" w:hAnsi="Arial" w:cs="Arial"/>
                <w:sz w:val="20"/>
                <w:szCs w:val="20"/>
              </w:rPr>
              <w:t>1.35 (0.78 to 2.35)</w:t>
            </w:r>
          </w:p>
        </w:tc>
      </w:tr>
      <w:tr w:rsidR="002E63B3" w:rsidRPr="002F3616" w14:paraId="067FCF64" w14:textId="77777777" w:rsidTr="00B141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tcPr>
          <w:p w14:paraId="19B2486A" w14:textId="77777777" w:rsidR="002E63B3" w:rsidRPr="002F3616" w:rsidRDefault="002E63B3" w:rsidP="00B141D1">
            <w:pPr>
              <w:spacing w:line="278" w:lineRule="auto"/>
              <w:rPr>
                <w:rFonts w:ascii="Arial" w:hAnsi="Arial" w:cs="Arial"/>
                <w:sz w:val="20"/>
                <w:szCs w:val="20"/>
              </w:rPr>
            </w:pPr>
            <w:r w:rsidRPr="002F3616">
              <w:rPr>
                <w:rFonts w:ascii="Arial" w:hAnsi="Arial" w:cs="Arial"/>
                <w:sz w:val="20"/>
                <w:szCs w:val="20"/>
              </w:rPr>
              <w:t>SF-36 PCS</w:t>
            </w:r>
          </w:p>
        </w:tc>
        <w:tc>
          <w:tcPr>
            <w:tcW w:w="3117" w:type="dxa"/>
          </w:tcPr>
          <w:p w14:paraId="6790B8BD" w14:textId="77777777" w:rsidR="002E63B3" w:rsidRPr="002F3616"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F3616">
              <w:rPr>
                <w:rFonts w:ascii="Arial" w:hAnsi="Arial" w:cs="Arial"/>
                <w:sz w:val="20"/>
                <w:szCs w:val="20"/>
              </w:rPr>
              <w:t>0.39 (-0.01 to 0.79)</w:t>
            </w:r>
          </w:p>
        </w:tc>
        <w:tc>
          <w:tcPr>
            <w:tcW w:w="3117" w:type="dxa"/>
          </w:tcPr>
          <w:p w14:paraId="360C0746" w14:textId="77777777" w:rsidR="002E63B3" w:rsidRPr="002F3616"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F3616">
              <w:rPr>
                <w:rFonts w:ascii="Arial" w:hAnsi="Arial" w:cs="Arial"/>
                <w:sz w:val="20"/>
                <w:szCs w:val="20"/>
              </w:rPr>
              <w:t>1.48 (0.99 to 2.21)</w:t>
            </w:r>
          </w:p>
        </w:tc>
      </w:tr>
      <w:tr w:rsidR="002E63B3" w:rsidRPr="002F3616" w14:paraId="3F94AAFD" w14:textId="77777777" w:rsidTr="00B141D1">
        <w:trPr>
          <w:trHeight w:val="20"/>
        </w:trPr>
        <w:tc>
          <w:tcPr>
            <w:cnfStyle w:val="001000000000" w:firstRow="0" w:lastRow="0" w:firstColumn="1" w:lastColumn="0" w:oddVBand="0" w:evenVBand="0" w:oddHBand="0" w:evenHBand="0" w:firstRowFirstColumn="0" w:firstRowLastColumn="0" w:lastRowFirstColumn="0" w:lastRowLastColumn="0"/>
            <w:tcW w:w="3116" w:type="dxa"/>
          </w:tcPr>
          <w:p w14:paraId="7043E353" w14:textId="77777777" w:rsidR="002E63B3" w:rsidRPr="002F3616" w:rsidRDefault="002E63B3" w:rsidP="00B141D1">
            <w:pPr>
              <w:spacing w:line="278" w:lineRule="auto"/>
              <w:rPr>
                <w:rFonts w:ascii="Arial" w:hAnsi="Arial" w:cs="Arial"/>
                <w:sz w:val="20"/>
                <w:szCs w:val="20"/>
              </w:rPr>
            </w:pPr>
            <w:r w:rsidRPr="002F3616">
              <w:rPr>
                <w:rFonts w:ascii="Arial" w:hAnsi="Arial" w:cs="Arial"/>
                <w:sz w:val="20"/>
                <w:szCs w:val="20"/>
              </w:rPr>
              <w:t>SF-36 SF</w:t>
            </w:r>
          </w:p>
        </w:tc>
        <w:tc>
          <w:tcPr>
            <w:tcW w:w="3117" w:type="dxa"/>
          </w:tcPr>
          <w:p w14:paraId="7774E999" w14:textId="77777777" w:rsidR="002E63B3" w:rsidRPr="002F3616"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3616">
              <w:rPr>
                <w:rFonts w:ascii="Arial" w:hAnsi="Arial" w:cs="Arial"/>
                <w:sz w:val="20"/>
                <w:szCs w:val="20"/>
              </w:rPr>
              <w:t>0.02 (-0.40 to 0.45)</w:t>
            </w:r>
          </w:p>
        </w:tc>
        <w:tc>
          <w:tcPr>
            <w:tcW w:w="3117" w:type="dxa"/>
          </w:tcPr>
          <w:p w14:paraId="5B329BED" w14:textId="77777777" w:rsidR="002E63B3" w:rsidRPr="002F3616"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3616">
              <w:rPr>
                <w:rFonts w:ascii="Arial" w:hAnsi="Arial" w:cs="Arial"/>
                <w:sz w:val="20"/>
                <w:szCs w:val="20"/>
              </w:rPr>
              <w:t>1.02 (0.67 to 1.57)</w:t>
            </w:r>
          </w:p>
        </w:tc>
      </w:tr>
    </w:tbl>
    <w:p w14:paraId="45708839" w14:textId="77777777" w:rsidR="002E63B3" w:rsidRDefault="002E63B3" w:rsidP="002E63B3">
      <w:pPr>
        <w:spacing w:after="160" w:line="278" w:lineRule="auto"/>
        <w:rPr>
          <w:b/>
          <w:bCs/>
          <w:u w:val="single"/>
        </w:rPr>
      </w:pPr>
    </w:p>
    <w:p w14:paraId="0926C428" w14:textId="77777777" w:rsidR="002E63B3" w:rsidRPr="0017403D" w:rsidRDefault="002E63B3" w:rsidP="002E63B3">
      <w:pPr>
        <w:spacing w:after="160" w:line="278" w:lineRule="auto"/>
        <w:rPr>
          <w:rFonts w:ascii="Arial" w:hAnsi="Arial" w:cs="Arial"/>
        </w:rPr>
      </w:pPr>
      <w:r>
        <w:rPr>
          <w:rFonts w:ascii="Arial" w:hAnsi="Arial" w:cs="Arial"/>
          <w:b/>
          <w:bCs/>
        </w:rPr>
        <w:t>C</w:t>
      </w:r>
    </w:p>
    <w:tbl>
      <w:tblPr>
        <w:tblStyle w:val="ListTable1Light-Accent1"/>
        <w:tblW w:w="0" w:type="auto"/>
        <w:tblCellMar>
          <w:top w:w="29" w:type="dxa"/>
          <w:left w:w="29" w:type="dxa"/>
          <w:bottom w:w="29" w:type="dxa"/>
          <w:right w:w="29" w:type="dxa"/>
        </w:tblCellMar>
        <w:tblLook w:val="04A0" w:firstRow="1" w:lastRow="0" w:firstColumn="1" w:lastColumn="0" w:noHBand="0" w:noVBand="1"/>
      </w:tblPr>
      <w:tblGrid>
        <w:gridCol w:w="3116"/>
        <w:gridCol w:w="3117"/>
        <w:gridCol w:w="3117"/>
      </w:tblGrid>
      <w:tr w:rsidR="002E63B3" w:rsidRPr="00AA122D" w14:paraId="466F67AB" w14:textId="77777777" w:rsidTr="00B141D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tcPr>
          <w:p w14:paraId="2F3FF704" w14:textId="77777777" w:rsidR="002E63B3" w:rsidRPr="00AA122D" w:rsidRDefault="002E63B3" w:rsidP="00B141D1">
            <w:pPr>
              <w:spacing w:line="278" w:lineRule="auto"/>
              <w:rPr>
                <w:rFonts w:ascii="Arial" w:hAnsi="Arial" w:cs="Arial"/>
                <w:sz w:val="20"/>
                <w:szCs w:val="20"/>
              </w:rPr>
            </w:pPr>
            <w:r w:rsidRPr="00AA122D">
              <w:rPr>
                <w:rFonts w:ascii="Arial" w:hAnsi="Arial" w:cs="Arial"/>
                <w:sz w:val="20"/>
                <w:szCs w:val="20"/>
              </w:rPr>
              <w:t>Feature</w:t>
            </w:r>
          </w:p>
        </w:tc>
        <w:tc>
          <w:tcPr>
            <w:tcW w:w="3117" w:type="dxa"/>
          </w:tcPr>
          <w:p w14:paraId="43F42F0B" w14:textId="77777777" w:rsidR="002E63B3" w:rsidRPr="00AA122D" w:rsidRDefault="002E63B3" w:rsidP="00B141D1">
            <w:pPr>
              <w:spacing w:line="278"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Coefficients</w:t>
            </w:r>
            <w:r w:rsidRPr="00A96519">
              <w:rPr>
                <w:rFonts w:ascii="Arial" w:hAnsi="Arial" w:cs="Arial"/>
                <w:sz w:val="20"/>
                <w:szCs w:val="20"/>
              </w:rPr>
              <w:t xml:space="preserve"> </w:t>
            </w:r>
            <w:r w:rsidRPr="00AA122D">
              <w:rPr>
                <w:rFonts w:ascii="Arial" w:hAnsi="Arial" w:cs="Arial"/>
                <w:sz w:val="20"/>
                <w:szCs w:val="20"/>
              </w:rPr>
              <w:t>(95% CI)</w:t>
            </w:r>
          </w:p>
        </w:tc>
        <w:tc>
          <w:tcPr>
            <w:tcW w:w="3117" w:type="dxa"/>
          </w:tcPr>
          <w:p w14:paraId="09BD83A1" w14:textId="77777777" w:rsidR="002E63B3" w:rsidRPr="00AA122D" w:rsidRDefault="002E63B3" w:rsidP="00B141D1">
            <w:pPr>
              <w:spacing w:line="278"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A122D">
              <w:rPr>
                <w:rFonts w:ascii="Arial" w:hAnsi="Arial" w:cs="Arial"/>
                <w:sz w:val="20"/>
                <w:szCs w:val="20"/>
              </w:rPr>
              <w:t>Odds Ratios (95% CI)</w:t>
            </w:r>
          </w:p>
        </w:tc>
      </w:tr>
      <w:tr w:rsidR="002E63B3" w:rsidRPr="00AA122D" w14:paraId="540EFF1D" w14:textId="77777777" w:rsidTr="00B141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tcPr>
          <w:p w14:paraId="3AE8DD18" w14:textId="77777777" w:rsidR="002E63B3" w:rsidRPr="00AA122D" w:rsidRDefault="002E63B3" w:rsidP="00B141D1">
            <w:pPr>
              <w:spacing w:line="278" w:lineRule="auto"/>
              <w:rPr>
                <w:rFonts w:ascii="Arial" w:hAnsi="Arial" w:cs="Arial"/>
                <w:sz w:val="20"/>
                <w:szCs w:val="20"/>
              </w:rPr>
            </w:pPr>
            <w:r w:rsidRPr="00AA122D">
              <w:rPr>
                <w:rFonts w:ascii="Arial" w:hAnsi="Arial" w:cs="Arial"/>
                <w:sz w:val="20"/>
                <w:szCs w:val="20"/>
              </w:rPr>
              <w:t>MFI Reduced Motivation</w:t>
            </w:r>
          </w:p>
        </w:tc>
        <w:tc>
          <w:tcPr>
            <w:tcW w:w="3117" w:type="dxa"/>
          </w:tcPr>
          <w:p w14:paraId="1276B09F" w14:textId="77777777" w:rsidR="002E63B3" w:rsidRPr="00AA122D"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122D">
              <w:rPr>
                <w:rFonts w:ascii="Arial" w:hAnsi="Arial" w:cs="Arial"/>
                <w:sz w:val="20"/>
                <w:szCs w:val="20"/>
              </w:rPr>
              <w:t>-0.51 (-1.00 to -0.01)</w:t>
            </w:r>
          </w:p>
        </w:tc>
        <w:tc>
          <w:tcPr>
            <w:tcW w:w="3117" w:type="dxa"/>
          </w:tcPr>
          <w:p w14:paraId="6E628180" w14:textId="77777777" w:rsidR="002E63B3" w:rsidRPr="00AA122D"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122D">
              <w:rPr>
                <w:rFonts w:ascii="Arial" w:hAnsi="Arial" w:cs="Arial"/>
                <w:sz w:val="20"/>
                <w:szCs w:val="20"/>
              </w:rPr>
              <w:t>0.60 (0.37 to 0.99)</w:t>
            </w:r>
          </w:p>
        </w:tc>
      </w:tr>
      <w:tr w:rsidR="002E63B3" w:rsidRPr="00AA122D" w14:paraId="289142DD" w14:textId="77777777" w:rsidTr="00B141D1">
        <w:trPr>
          <w:trHeight w:val="20"/>
        </w:trPr>
        <w:tc>
          <w:tcPr>
            <w:cnfStyle w:val="001000000000" w:firstRow="0" w:lastRow="0" w:firstColumn="1" w:lastColumn="0" w:oddVBand="0" w:evenVBand="0" w:oddHBand="0" w:evenHBand="0" w:firstRowFirstColumn="0" w:firstRowLastColumn="0" w:lastRowFirstColumn="0" w:lastRowLastColumn="0"/>
            <w:tcW w:w="3116" w:type="dxa"/>
          </w:tcPr>
          <w:p w14:paraId="5E5DDFDD" w14:textId="77777777" w:rsidR="002E63B3" w:rsidRPr="00AA122D" w:rsidRDefault="002E63B3" w:rsidP="00B141D1">
            <w:pPr>
              <w:spacing w:line="278" w:lineRule="auto"/>
              <w:rPr>
                <w:rFonts w:ascii="Arial" w:hAnsi="Arial" w:cs="Arial"/>
                <w:sz w:val="20"/>
                <w:szCs w:val="20"/>
              </w:rPr>
            </w:pPr>
            <w:r w:rsidRPr="00AA122D">
              <w:rPr>
                <w:rFonts w:ascii="Arial" w:hAnsi="Arial" w:cs="Arial"/>
                <w:sz w:val="20"/>
                <w:szCs w:val="20"/>
              </w:rPr>
              <w:t>MFI aggregate</w:t>
            </w:r>
          </w:p>
        </w:tc>
        <w:tc>
          <w:tcPr>
            <w:tcW w:w="3117" w:type="dxa"/>
          </w:tcPr>
          <w:p w14:paraId="52620371" w14:textId="77777777" w:rsidR="002E63B3" w:rsidRPr="00AA122D"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122D">
              <w:rPr>
                <w:rFonts w:ascii="Arial" w:hAnsi="Arial" w:cs="Arial"/>
                <w:sz w:val="20"/>
                <w:szCs w:val="20"/>
              </w:rPr>
              <w:t>-1.65 (-2.21 to -1.10)</w:t>
            </w:r>
          </w:p>
        </w:tc>
        <w:tc>
          <w:tcPr>
            <w:tcW w:w="3117" w:type="dxa"/>
          </w:tcPr>
          <w:p w14:paraId="152ADDF2" w14:textId="77777777" w:rsidR="002E63B3" w:rsidRPr="00AA122D"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122D">
              <w:rPr>
                <w:rFonts w:ascii="Arial" w:hAnsi="Arial" w:cs="Arial"/>
                <w:sz w:val="20"/>
                <w:szCs w:val="20"/>
              </w:rPr>
              <w:t>0.19 (0.11 to 0.33)</w:t>
            </w:r>
          </w:p>
        </w:tc>
      </w:tr>
      <w:tr w:rsidR="002E63B3" w:rsidRPr="00AA122D" w14:paraId="290DDF84" w14:textId="77777777" w:rsidTr="00B141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16" w:type="dxa"/>
          </w:tcPr>
          <w:p w14:paraId="67BEE9BB" w14:textId="77777777" w:rsidR="002E63B3" w:rsidRPr="00AA122D" w:rsidRDefault="002E63B3" w:rsidP="00B141D1">
            <w:pPr>
              <w:spacing w:line="278" w:lineRule="auto"/>
              <w:rPr>
                <w:rFonts w:ascii="Arial" w:hAnsi="Arial" w:cs="Arial"/>
                <w:sz w:val="20"/>
                <w:szCs w:val="20"/>
              </w:rPr>
            </w:pPr>
            <w:r w:rsidRPr="00AA122D">
              <w:rPr>
                <w:rFonts w:ascii="Arial" w:hAnsi="Arial" w:cs="Arial"/>
                <w:sz w:val="20"/>
                <w:szCs w:val="20"/>
              </w:rPr>
              <w:t>SF-36 PCS</w:t>
            </w:r>
          </w:p>
        </w:tc>
        <w:tc>
          <w:tcPr>
            <w:tcW w:w="3117" w:type="dxa"/>
          </w:tcPr>
          <w:p w14:paraId="221995C9" w14:textId="77777777" w:rsidR="002E63B3" w:rsidRPr="00AA122D"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122D">
              <w:rPr>
                <w:rFonts w:ascii="Arial" w:hAnsi="Arial" w:cs="Arial"/>
                <w:sz w:val="20"/>
                <w:szCs w:val="20"/>
              </w:rPr>
              <w:t>0.22 (-0.18 to 0.62)</w:t>
            </w:r>
          </w:p>
        </w:tc>
        <w:tc>
          <w:tcPr>
            <w:tcW w:w="3117" w:type="dxa"/>
          </w:tcPr>
          <w:p w14:paraId="4A93F43F" w14:textId="77777777" w:rsidR="002E63B3" w:rsidRPr="00AA122D" w:rsidRDefault="002E63B3" w:rsidP="00B141D1">
            <w:pPr>
              <w:spacing w:line="278"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122D">
              <w:rPr>
                <w:rFonts w:ascii="Arial" w:hAnsi="Arial" w:cs="Arial"/>
                <w:sz w:val="20"/>
                <w:szCs w:val="20"/>
              </w:rPr>
              <w:t>1.24 (0.83 to 1.85)</w:t>
            </w:r>
          </w:p>
        </w:tc>
      </w:tr>
      <w:tr w:rsidR="002E63B3" w:rsidRPr="00AA122D" w14:paraId="227642A5" w14:textId="77777777" w:rsidTr="00B141D1">
        <w:trPr>
          <w:trHeight w:val="20"/>
        </w:trPr>
        <w:tc>
          <w:tcPr>
            <w:cnfStyle w:val="001000000000" w:firstRow="0" w:lastRow="0" w:firstColumn="1" w:lastColumn="0" w:oddVBand="0" w:evenVBand="0" w:oddHBand="0" w:evenHBand="0" w:firstRowFirstColumn="0" w:firstRowLastColumn="0" w:lastRowFirstColumn="0" w:lastRowLastColumn="0"/>
            <w:tcW w:w="3116" w:type="dxa"/>
          </w:tcPr>
          <w:p w14:paraId="1444A180" w14:textId="77777777" w:rsidR="002E63B3" w:rsidRPr="00AA122D" w:rsidRDefault="002E63B3" w:rsidP="00B141D1">
            <w:pPr>
              <w:spacing w:line="278" w:lineRule="auto"/>
              <w:rPr>
                <w:rFonts w:ascii="Arial" w:hAnsi="Arial" w:cs="Arial"/>
                <w:sz w:val="20"/>
                <w:szCs w:val="20"/>
              </w:rPr>
            </w:pPr>
            <w:r w:rsidRPr="00AA122D">
              <w:rPr>
                <w:rFonts w:ascii="Arial" w:hAnsi="Arial" w:cs="Arial"/>
                <w:sz w:val="20"/>
                <w:szCs w:val="20"/>
              </w:rPr>
              <w:t>SF-36 SF</w:t>
            </w:r>
          </w:p>
        </w:tc>
        <w:tc>
          <w:tcPr>
            <w:tcW w:w="3117" w:type="dxa"/>
          </w:tcPr>
          <w:p w14:paraId="27F4571C" w14:textId="77777777" w:rsidR="002E63B3" w:rsidRPr="00AA122D"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122D">
              <w:rPr>
                <w:rFonts w:ascii="Arial" w:hAnsi="Arial" w:cs="Arial"/>
                <w:sz w:val="20"/>
                <w:szCs w:val="20"/>
              </w:rPr>
              <w:t>0.85 (0.42 to 1.27)</w:t>
            </w:r>
          </w:p>
        </w:tc>
        <w:tc>
          <w:tcPr>
            <w:tcW w:w="3117" w:type="dxa"/>
          </w:tcPr>
          <w:p w14:paraId="63BE9C12" w14:textId="77777777" w:rsidR="002E63B3" w:rsidRPr="00AA122D" w:rsidRDefault="002E63B3" w:rsidP="00B141D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122D">
              <w:rPr>
                <w:rFonts w:ascii="Arial" w:hAnsi="Arial" w:cs="Arial"/>
                <w:sz w:val="20"/>
                <w:szCs w:val="20"/>
              </w:rPr>
              <w:t>2.33 (1.52 to 3.57)</w:t>
            </w:r>
          </w:p>
        </w:tc>
      </w:tr>
    </w:tbl>
    <w:p w14:paraId="3E2D8F70" w14:textId="77777777" w:rsidR="0017403D" w:rsidRPr="00877E1F" w:rsidRDefault="0017403D" w:rsidP="00AF5CB5">
      <w:pPr>
        <w:spacing w:after="160" w:line="278" w:lineRule="auto"/>
        <w:rPr>
          <w:b/>
          <w:bCs/>
          <w:u w:val="single"/>
        </w:rPr>
      </w:pPr>
    </w:p>
    <w:sectPr w:rsidR="0017403D" w:rsidRPr="00877E1F" w:rsidSect="008547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1285D" w14:textId="77777777" w:rsidR="00310A70" w:rsidRDefault="00310A70" w:rsidP="003C1D2D">
      <w:r>
        <w:separator/>
      </w:r>
    </w:p>
  </w:endnote>
  <w:endnote w:type="continuationSeparator" w:id="0">
    <w:p w14:paraId="6B24EF2B" w14:textId="77777777" w:rsidR="00310A70" w:rsidRDefault="00310A70" w:rsidP="003C1D2D">
      <w:r>
        <w:continuationSeparator/>
      </w:r>
    </w:p>
  </w:endnote>
  <w:endnote w:type="continuationNotice" w:id="1">
    <w:p w14:paraId="06FFA0A6" w14:textId="77777777" w:rsidR="00310A70" w:rsidRDefault="00310A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n-ea">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9EE1C" w14:textId="77777777" w:rsidR="00310A70" w:rsidRDefault="00310A70" w:rsidP="003C1D2D">
      <w:r>
        <w:separator/>
      </w:r>
    </w:p>
  </w:footnote>
  <w:footnote w:type="continuationSeparator" w:id="0">
    <w:p w14:paraId="753863CD" w14:textId="77777777" w:rsidR="00310A70" w:rsidRDefault="00310A70" w:rsidP="003C1D2D">
      <w:r>
        <w:continuationSeparator/>
      </w:r>
    </w:p>
  </w:footnote>
  <w:footnote w:type="continuationNotice" w:id="1">
    <w:p w14:paraId="7FBAE5E6" w14:textId="77777777" w:rsidR="00310A70" w:rsidRDefault="00310A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B3536"/>
    <w:multiLevelType w:val="hybridMultilevel"/>
    <w:tmpl w:val="C9EAD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10660"/>
    <w:multiLevelType w:val="hybridMultilevel"/>
    <w:tmpl w:val="CD967328"/>
    <w:lvl w:ilvl="0" w:tplc="D8F0282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2978733">
    <w:abstractNumId w:val="0"/>
  </w:num>
  <w:num w:numId="2" w16cid:durableId="1246841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Translational Medicine&lt;/Style&gt;&lt;LeftDelim&gt;{&lt;/LeftDelim&gt;&lt;RightDelim&gt;}&lt;/RightDelim&gt;&lt;FontName&gt;Times New Roman&lt;/FontName&gt;&lt;FontSize&gt;12&lt;/FontSize&gt;&lt;ReflistTitle&gt;&lt;style face=&quot;bold&quot;&gt;References&lt;/sty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prtpsf9t4dtwv2eezr5xvtsgwt02stde5v25&quot;&gt;clinical trial 042205-Converted&lt;record-ids&gt;&lt;item&gt;53&lt;/item&gt;&lt;/record-ids&gt;&lt;/item&gt;&lt;/Libraries&gt;"/>
    <w:docVar w:name="EN.UseJSCitationFormat" w:val="False"/>
  </w:docVars>
  <w:rsids>
    <w:rsidRoot w:val="00D40CE2"/>
    <w:rsid w:val="00006FB5"/>
    <w:rsid w:val="00007214"/>
    <w:rsid w:val="00012AE3"/>
    <w:rsid w:val="00013FC3"/>
    <w:rsid w:val="0003020F"/>
    <w:rsid w:val="00033511"/>
    <w:rsid w:val="00040C52"/>
    <w:rsid w:val="00041621"/>
    <w:rsid w:val="00042A16"/>
    <w:rsid w:val="00042BA0"/>
    <w:rsid w:val="000438A9"/>
    <w:rsid w:val="00046E77"/>
    <w:rsid w:val="000476AF"/>
    <w:rsid w:val="000511B0"/>
    <w:rsid w:val="000569F9"/>
    <w:rsid w:val="000646C4"/>
    <w:rsid w:val="000671E9"/>
    <w:rsid w:val="000677F3"/>
    <w:rsid w:val="000758F1"/>
    <w:rsid w:val="00076E3A"/>
    <w:rsid w:val="000816F5"/>
    <w:rsid w:val="00092B80"/>
    <w:rsid w:val="000A28CD"/>
    <w:rsid w:val="000A4746"/>
    <w:rsid w:val="000A4C97"/>
    <w:rsid w:val="000A6EC2"/>
    <w:rsid w:val="000A7BEF"/>
    <w:rsid w:val="000B7F79"/>
    <w:rsid w:val="000C001A"/>
    <w:rsid w:val="000C06B3"/>
    <w:rsid w:val="000C1477"/>
    <w:rsid w:val="000C25D1"/>
    <w:rsid w:val="000C26A7"/>
    <w:rsid w:val="000C3AAA"/>
    <w:rsid w:val="000C6476"/>
    <w:rsid w:val="000C6B01"/>
    <w:rsid w:val="000C7840"/>
    <w:rsid w:val="000C7BBC"/>
    <w:rsid w:val="000D1E0E"/>
    <w:rsid w:val="000E1EE0"/>
    <w:rsid w:val="000E6C24"/>
    <w:rsid w:val="000E7185"/>
    <w:rsid w:val="000F0816"/>
    <w:rsid w:val="000F3BD9"/>
    <w:rsid w:val="000F59A0"/>
    <w:rsid w:val="000F7DF0"/>
    <w:rsid w:val="00100CAB"/>
    <w:rsid w:val="00103E3B"/>
    <w:rsid w:val="001049B8"/>
    <w:rsid w:val="00105EF3"/>
    <w:rsid w:val="00111FB0"/>
    <w:rsid w:val="00112E73"/>
    <w:rsid w:val="00112F0F"/>
    <w:rsid w:val="00115DC2"/>
    <w:rsid w:val="00116FEA"/>
    <w:rsid w:val="00120AC3"/>
    <w:rsid w:val="00125978"/>
    <w:rsid w:val="00131997"/>
    <w:rsid w:val="001350D3"/>
    <w:rsid w:val="00135954"/>
    <w:rsid w:val="00136303"/>
    <w:rsid w:val="00137C1A"/>
    <w:rsid w:val="00137D2B"/>
    <w:rsid w:val="00140E12"/>
    <w:rsid w:val="00142B6D"/>
    <w:rsid w:val="00142D50"/>
    <w:rsid w:val="00143177"/>
    <w:rsid w:val="00143C7B"/>
    <w:rsid w:val="00143D85"/>
    <w:rsid w:val="00144619"/>
    <w:rsid w:val="00144C5C"/>
    <w:rsid w:val="00151611"/>
    <w:rsid w:val="001521EC"/>
    <w:rsid w:val="0015381B"/>
    <w:rsid w:val="00156FD6"/>
    <w:rsid w:val="00162F7D"/>
    <w:rsid w:val="0016346B"/>
    <w:rsid w:val="00164C73"/>
    <w:rsid w:val="001708D4"/>
    <w:rsid w:val="00170EF1"/>
    <w:rsid w:val="00172C4E"/>
    <w:rsid w:val="001736B9"/>
    <w:rsid w:val="0017383F"/>
    <w:rsid w:val="00173BF8"/>
    <w:rsid w:val="0017403D"/>
    <w:rsid w:val="00174675"/>
    <w:rsid w:val="0017774F"/>
    <w:rsid w:val="0018057D"/>
    <w:rsid w:val="001843EB"/>
    <w:rsid w:val="0018549D"/>
    <w:rsid w:val="001940FD"/>
    <w:rsid w:val="001958C5"/>
    <w:rsid w:val="00196FE5"/>
    <w:rsid w:val="001A0EC3"/>
    <w:rsid w:val="001A2E87"/>
    <w:rsid w:val="001A312A"/>
    <w:rsid w:val="001A56DB"/>
    <w:rsid w:val="001A5760"/>
    <w:rsid w:val="001A6474"/>
    <w:rsid w:val="001A65AF"/>
    <w:rsid w:val="001B096E"/>
    <w:rsid w:val="001B4FE4"/>
    <w:rsid w:val="001B7D02"/>
    <w:rsid w:val="001C7ABC"/>
    <w:rsid w:val="001D3607"/>
    <w:rsid w:val="001D50FD"/>
    <w:rsid w:val="001D7308"/>
    <w:rsid w:val="001E08D1"/>
    <w:rsid w:val="001E336D"/>
    <w:rsid w:val="001E638E"/>
    <w:rsid w:val="001E6943"/>
    <w:rsid w:val="001E6F2C"/>
    <w:rsid w:val="001E744D"/>
    <w:rsid w:val="001F0BFD"/>
    <w:rsid w:val="00200A14"/>
    <w:rsid w:val="00201F64"/>
    <w:rsid w:val="002035C7"/>
    <w:rsid w:val="00203EDF"/>
    <w:rsid w:val="002042BE"/>
    <w:rsid w:val="00204A5D"/>
    <w:rsid w:val="00207DCD"/>
    <w:rsid w:val="002103BF"/>
    <w:rsid w:val="00210679"/>
    <w:rsid w:val="002113CE"/>
    <w:rsid w:val="0021234B"/>
    <w:rsid w:val="002176C9"/>
    <w:rsid w:val="002214CD"/>
    <w:rsid w:val="00222D85"/>
    <w:rsid w:val="00225726"/>
    <w:rsid w:val="00234EA8"/>
    <w:rsid w:val="002419D3"/>
    <w:rsid w:val="00242856"/>
    <w:rsid w:val="002433E6"/>
    <w:rsid w:val="00253DFE"/>
    <w:rsid w:val="00255371"/>
    <w:rsid w:val="002625D5"/>
    <w:rsid w:val="002633B8"/>
    <w:rsid w:val="00273583"/>
    <w:rsid w:val="00275E40"/>
    <w:rsid w:val="00276F40"/>
    <w:rsid w:val="002817D1"/>
    <w:rsid w:val="002854C9"/>
    <w:rsid w:val="00287E8A"/>
    <w:rsid w:val="0029404B"/>
    <w:rsid w:val="002968A4"/>
    <w:rsid w:val="002B0DC3"/>
    <w:rsid w:val="002B479E"/>
    <w:rsid w:val="002B70CA"/>
    <w:rsid w:val="002C035F"/>
    <w:rsid w:val="002C264E"/>
    <w:rsid w:val="002C3798"/>
    <w:rsid w:val="002C4D81"/>
    <w:rsid w:val="002D4130"/>
    <w:rsid w:val="002D511E"/>
    <w:rsid w:val="002D71F9"/>
    <w:rsid w:val="002D74DD"/>
    <w:rsid w:val="002E1806"/>
    <w:rsid w:val="002E2610"/>
    <w:rsid w:val="002E63B3"/>
    <w:rsid w:val="002E7B23"/>
    <w:rsid w:val="002F3616"/>
    <w:rsid w:val="002F5F4D"/>
    <w:rsid w:val="002F6541"/>
    <w:rsid w:val="003035A4"/>
    <w:rsid w:val="00304A30"/>
    <w:rsid w:val="00304FF8"/>
    <w:rsid w:val="00306681"/>
    <w:rsid w:val="00307E33"/>
    <w:rsid w:val="00310A70"/>
    <w:rsid w:val="00310DDA"/>
    <w:rsid w:val="003110BF"/>
    <w:rsid w:val="0031115B"/>
    <w:rsid w:val="0031550F"/>
    <w:rsid w:val="00316210"/>
    <w:rsid w:val="00316D91"/>
    <w:rsid w:val="00326F26"/>
    <w:rsid w:val="003271E4"/>
    <w:rsid w:val="00330D5E"/>
    <w:rsid w:val="00331385"/>
    <w:rsid w:val="00341EF6"/>
    <w:rsid w:val="00342016"/>
    <w:rsid w:val="00351194"/>
    <w:rsid w:val="003537DE"/>
    <w:rsid w:val="00354145"/>
    <w:rsid w:val="00354863"/>
    <w:rsid w:val="00357A86"/>
    <w:rsid w:val="00362FD8"/>
    <w:rsid w:val="00364F7D"/>
    <w:rsid w:val="003653A7"/>
    <w:rsid w:val="00366D21"/>
    <w:rsid w:val="00372671"/>
    <w:rsid w:val="00373626"/>
    <w:rsid w:val="003748FF"/>
    <w:rsid w:val="00375B5E"/>
    <w:rsid w:val="00376F5B"/>
    <w:rsid w:val="00391199"/>
    <w:rsid w:val="0039329F"/>
    <w:rsid w:val="00395A73"/>
    <w:rsid w:val="003968AE"/>
    <w:rsid w:val="003A1A26"/>
    <w:rsid w:val="003A49CB"/>
    <w:rsid w:val="003A4BD5"/>
    <w:rsid w:val="003A510E"/>
    <w:rsid w:val="003A6430"/>
    <w:rsid w:val="003B2250"/>
    <w:rsid w:val="003B3748"/>
    <w:rsid w:val="003C1D2D"/>
    <w:rsid w:val="003C5F8D"/>
    <w:rsid w:val="003C6BC9"/>
    <w:rsid w:val="003D0BC0"/>
    <w:rsid w:val="003D259A"/>
    <w:rsid w:val="003D3353"/>
    <w:rsid w:val="003D3743"/>
    <w:rsid w:val="003D40C4"/>
    <w:rsid w:val="003D714D"/>
    <w:rsid w:val="003E3EAA"/>
    <w:rsid w:val="003E46DE"/>
    <w:rsid w:val="003E6071"/>
    <w:rsid w:val="003E7472"/>
    <w:rsid w:val="003E760D"/>
    <w:rsid w:val="003F1559"/>
    <w:rsid w:val="003F66E8"/>
    <w:rsid w:val="003F7F22"/>
    <w:rsid w:val="00400F7C"/>
    <w:rsid w:val="00402696"/>
    <w:rsid w:val="0040308D"/>
    <w:rsid w:val="004037A8"/>
    <w:rsid w:val="00404121"/>
    <w:rsid w:val="00404597"/>
    <w:rsid w:val="004108E2"/>
    <w:rsid w:val="00411958"/>
    <w:rsid w:val="004166CA"/>
    <w:rsid w:val="00417521"/>
    <w:rsid w:val="004214C1"/>
    <w:rsid w:val="0042204F"/>
    <w:rsid w:val="00426A32"/>
    <w:rsid w:val="004274FC"/>
    <w:rsid w:val="00431F68"/>
    <w:rsid w:val="00442B25"/>
    <w:rsid w:val="00446C79"/>
    <w:rsid w:val="00453166"/>
    <w:rsid w:val="0045375F"/>
    <w:rsid w:val="0045393F"/>
    <w:rsid w:val="004565B9"/>
    <w:rsid w:val="00460B8A"/>
    <w:rsid w:val="00460EAF"/>
    <w:rsid w:val="004640E4"/>
    <w:rsid w:val="004653EA"/>
    <w:rsid w:val="0046667D"/>
    <w:rsid w:val="00470472"/>
    <w:rsid w:val="004707F3"/>
    <w:rsid w:val="004716BC"/>
    <w:rsid w:val="00476959"/>
    <w:rsid w:val="00477B52"/>
    <w:rsid w:val="00481E9B"/>
    <w:rsid w:val="00482740"/>
    <w:rsid w:val="0049227B"/>
    <w:rsid w:val="00493B49"/>
    <w:rsid w:val="004951E3"/>
    <w:rsid w:val="004978DB"/>
    <w:rsid w:val="004A0ED8"/>
    <w:rsid w:val="004A319E"/>
    <w:rsid w:val="004A3A01"/>
    <w:rsid w:val="004A470E"/>
    <w:rsid w:val="004A590B"/>
    <w:rsid w:val="004B36F5"/>
    <w:rsid w:val="004B601C"/>
    <w:rsid w:val="004C2C6C"/>
    <w:rsid w:val="004D358F"/>
    <w:rsid w:val="004E3CA0"/>
    <w:rsid w:val="004E3D80"/>
    <w:rsid w:val="004E3FE3"/>
    <w:rsid w:val="004E44CE"/>
    <w:rsid w:val="004E4AA5"/>
    <w:rsid w:val="004E6A79"/>
    <w:rsid w:val="004F0195"/>
    <w:rsid w:val="004F1C06"/>
    <w:rsid w:val="004F7C7B"/>
    <w:rsid w:val="005107B0"/>
    <w:rsid w:val="00510B61"/>
    <w:rsid w:val="00517180"/>
    <w:rsid w:val="0052222F"/>
    <w:rsid w:val="005266C4"/>
    <w:rsid w:val="00526C73"/>
    <w:rsid w:val="0052757D"/>
    <w:rsid w:val="00531060"/>
    <w:rsid w:val="005321F0"/>
    <w:rsid w:val="00533C17"/>
    <w:rsid w:val="00543C9D"/>
    <w:rsid w:val="0054412D"/>
    <w:rsid w:val="00545F57"/>
    <w:rsid w:val="00550054"/>
    <w:rsid w:val="00555137"/>
    <w:rsid w:val="0055683E"/>
    <w:rsid w:val="00564AF6"/>
    <w:rsid w:val="00565B69"/>
    <w:rsid w:val="005709B6"/>
    <w:rsid w:val="00573B70"/>
    <w:rsid w:val="005765A6"/>
    <w:rsid w:val="00581374"/>
    <w:rsid w:val="0058196E"/>
    <w:rsid w:val="00584BA2"/>
    <w:rsid w:val="0058795A"/>
    <w:rsid w:val="005959E3"/>
    <w:rsid w:val="00597842"/>
    <w:rsid w:val="005A620D"/>
    <w:rsid w:val="005B70C8"/>
    <w:rsid w:val="005B78AD"/>
    <w:rsid w:val="005C2359"/>
    <w:rsid w:val="005C5128"/>
    <w:rsid w:val="005D1444"/>
    <w:rsid w:val="005D1A8A"/>
    <w:rsid w:val="005D2D97"/>
    <w:rsid w:val="005D398E"/>
    <w:rsid w:val="005D4E02"/>
    <w:rsid w:val="005E1643"/>
    <w:rsid w:val="005F14A0"/>
    <w:rsid w:val="005F1AD6"/>
    <w:rsid w:val="005F371E"/>
    <w:rsid w:val="005F5275"/>
    <w:rsid w:val="005F57C7"/>
    <w:rsid w:val="005F5984"/>
    <w:rsid w:val="0060068D"/>
    <w:rsid w:val="00612FFB"/>
    <w:rsid w:val="006152CE"/>
    <w:rsid w:val="006159A4"/>
    <w:rsid w:val="00615B0A"/>
    <w:rsid w:val="00615BBD"/>
    <w:rsid w:val="006254F9"/>
    <w:rsid w:val="00627B5F"/>
    <w:rsid w:val="00632A51"/>
    <w:rsid w:val="0063338F"/>
    <w:rsid w:val="00637787"/>
    <w:rsid w:val="00637FDC"/>
    <w:rsid w:val="0064126B"/>
    <w:rsid w:val="00643A29"/>
    <w:rsid w:val="006457F0"/>
    <w:rsid w:val="00647178"/>
    <w:rsid w:val="00647861"/>
    <w:rsid w:val="00647BEF"/>
    <w:rsid w:val="006507B1"/>
    <w:rsid w:val="00651552"/>
    <w:rsid w:val="0065367B"/>
    <w:rsid w:val="006536A9"/>
    <w:rsid w:val="00653DF6"/>
    <w:rsid w:val="00657575"/>
    <w:rsid w:val="00661BB3"/>
    <w:rsid w:val="006627FE"/>
    <w:rsid w:val="006721AD"/>
    <w:rsid w:val="00680B47"/>
    <w:rsid w:val="00683AF7"/>
    <w:rsid w:val="00683CE0"/>
    <w:rsid w:val="00684CE3"/>
    <w:rsid w:val="00685BAA"/>
    <w:rsid w:val="006906F4"/>
    <w:rsid w:val="00691B63"/>
    <w:rsid w:val="00692FE2"/>
    <w:rsid w:val="0069359C"/>
    <w:rsid w:val="006938A2"/>
    <w:rsid w:val="00694C6D"/>
    <w:rsid w:val="006A3A90"/>
    <w:rsid w:val="006A6861"/>
    <w:rsid w:val="006B0469"/>
    <w:rsid w:val="006B1C2A"/>
    <w:rsid w:val="006C34FA"/>
    <w:rsid w:val="006C6200"/>
    <w:rsid w:val="006C6A5D"/>
    <w:rsid w:val="006D21D4"/>
    <w:rsid w:val="006D2B84"/>
    <w:rsid w:val="006D2EFF"/>
    <w:rsid w:val="006D3F86"/>
    <w:rsid w:val="006E2896"/>
    <w:rsid w:val="00707E53"/>
    <w:rsid w:val="00712529"/>
    <w:rsid w:val="0071261A"/>
    <w:rsid w:val="007151BA"/>
    <w:rsid w:val="00717490"/>
    <w:rsid w:val="00717B08"/>
    <w:rsid w:val="00717CD6"/>
    <w:rsid w:val="00720D7F"/>
    <w:rsid w:val="007218EE"/>
    <w:rsid w:val="00721B95"/>
    <w:rsid w:val="0073100E"/>
    <w:rsid w:val="00731587"/>
    <w:rsid w:val="007316B3"/>
    <w:rsid w:val="00731D1B"/>
    <w:rsid w:val="00732170"/>
    <w:rsid w:val="00735EFB"/>
    <w:rsid w:val="0073729F"/>
    <w:rsid w:val="007500C7"/>
    <w:rsid w:val="007531A3"/>
    <w:rsid w:val="007558DC"/>
    <w:rsid w:val="00755D37"/>
    <w:rsid w:val="007579EE"/>
    <w:rsid w:val="00771F40"/>
    <w:rsid w:val="00776A5C"/>
    <w:rsid w:val="00780F65"/>
    <w:rsid w:val="007857DA"/>
    <w:rsid w:val="0078622D"/>
    <w:rsid w:val="00787E35"/>
    <w:rsid w:val="00790D9E"/>
    <w:rsid w:val="0079216D"/>
    <w:rsid w:val="007A098F"/>
    <w:rsid w:val="007A3457"/>
    <w:rsid w:val="007A5BE1"/>
    <w:rsid w:val="007A5C68"/>
    <w:rsid w:val="007B0023"/>
    <w:rsid w:val="007B709B"/>
    <w:rsid w:val="007B7ABC"/>
    <w:rsid w:val="007B7BFA"/>
    <w:rsid w:val="007C3C87"/>
    <w:rsid w:val="007C4078"/>
    <w:rsid w:val="007C7135"/>
    <w:rsid w:val="007C7E58"/>
    <w:rsid w:val="007D276F"/>
    <w:rsid w:val="007D38F9"/>
    <w:rsid w:val="007D6503"/>
    <w:rsid w:val="007E0AC4"/>
    <w:rsid w:val="007E0C2E"/>
    <w:rsid w:val="007E52B0"/>
    <w:rsid w:val="007E72B1"/>
    <w:rsid w:val="007E7530"/>
    <w:rsid w:val="007F1120"/>
    <w:rsid w:val="007F24E8"/>
    <w:rsid w:val="007F364C"/>
    <w:rsid w:val="007F45CA"/>
    <w:rsid w:val="007F5923"/>
    <w:rsid w:val="0080195C"/>
    <w:rsid w:val="00803547"/>
    <w:rsid w:val="00805C35"/>
    <w:rsid w:val="008062B6"/>
    <w:rsid w:val="00807037"/>
    <w:rsid w:val="00813A65"/>
    <w:rsid w:val="008165CE"/>
    <w:rsid w:val="00817249"/>
    <w:rsid w:val="0082593B"/>
    <w:rsid w:val="0083006C"/>
    <w:rsid w:val="00833418"/>
    <w:rsid w:val="00833E8E"/>
    <w:rsid w:val="0083681B"/>
    <w:rsid w:val="008377BA"/>
    <w:rsid w:val="00837ACE"/>
    <w:rsid w:val="0084016C"/>
    <w:rsid w:val="00843ABB"/>
    <w:rsid w:val="00844EEA"/>
    <w:rsid w:val="00847B1E"/>
    <w:rsid w:val="00852966"/>
    <w:rsid w:val="0085399A"/>
    <w:rsid w:val="00854716"/>
    <w:rsid w:val="008631B0"/>
    <w:rsid w:val="0086709B"/>
    <w:rsid w:val="0086770D"/>
    <w:rsid w:val="00874609"/>
    <w:rsid w:val="00877E1F"/>
    <w:rsid w:val="0088040C"/>
    <w:rsid w:val="00883F2F"/>
    <w:rsid w:val="00884021"/>
    <w:rsid w:val="00886E4C"/>
    <w:rsid w:val="0089525F"/>
    <w:rsid w:val="00895B6F"/>
    <w:rsid w:val="00897292"/>
    <w:rsid w:val="00897AAF"/>
    <w:rsid w:val="008A0A74"/>
    <w:rsid w:val="008A6348"/>
    <w:rsid w:val="008B07D5"/>
    <w:rsid w:val="008B1C38"/>
    <w:rsid w:val="008B1CC2"/>
    <w:rsid w:val="008B5DCE"/>
    <w:rsid w:val="008C1A1B"/>
    <w:rsid w:val="008C20EF"/>
    <w:rsid w:val="008C42B9"/>
    <w:rsid w:val="008C70FA"/>
    <w:rsid w:val="008C76D1"/>
    <w:rsid w:val="008D1A99"/>
    <w:rsid w:val="008D1D89"/>
    <w:rsid w:val="008D5FA8"/>
    <w:rsid w:val="008D79C5"/>
    <w:rsid w:val="008E26EB"/>
    <w:rsid w:val="008E5BB1"/>
    <w:rsid w:val="008F1123"/>
    <w:rsid w:val="008F2E79"/>
    <w:rsid w:val="008F5034"/>
    <w:rsid w:val="008F659C"/>
    <w:rsid w:val="00906941"/>
    <w:rsid w:val="00911674"/>
    <w:rsid w:val="00912600"/>
    <w:rsid w:val="0091591B"/>
    <w:rsid w:val="00915BDF"/>
    <w:rsid w:val="0091686F"/>
    <w:rsid w:val="00916C12"/>
    <w:rsid w:val="00922752"/>
    <w:rsid w:val="00922BBA"/>
    <w:rsid w:val="00922DF4"/>
    <w:rsid w:val="009233A0"/>
    <w:rsid w:val="00924D09"/>
    <w:rsid w:val="0092686E"/>
    <w:rsid w:val="00927790"/>
    <w:rsid w:val="009352B0"/>
    <w:rsid w:val="009427B8"/>
    <w:rsid w:val="00951A04"/>
    <w:rsid w:val="009535E2"/>
    <w:rsid w:val="009574B8"/>
    <w:rsid w:val="00960F36"/>
    <w:rsid w:val="00961261"/>
    <w:rsid w:val="00962A19"/>
    <w:rsid w:val="009671F1"/>
    <w:rsid w:val="009702E2"/>
    <w:rsid w:val="00972E75"/>
    <w:rsid w:val="00974AAC"/>
    <w:rsid w:val="009767CA"/>
    <w:rsid w:val="00986108"/>
    <w:rsid w:val="00990517"/>
    <w:rsid w:val="00992D5F"/>
    <w:rsid w:val="00994C9A"/>
    <w:rsid w:val="0099547F"/>
    <w:rsid w:val="009A03E2"/>
    <w:rsid w:val="009A3EE6"/>
    <w:rsid w:val="009A72ED"/>
    <w:rsid w:val="009B109E"/>
    <w:rsid w:val="009B498A"/>
    <w:rsid w:val="009C3674"/>
    <w:rsid w:val="009D0965"/>
    <w:rsid w:val="009D73FD"/>
    <w:rsid w:val="009E03CE"/>
    <w:rsid w:val="009E1553"/>
    <w:rsid w:val="009E1F99"/>
    <w:rsid w:val="009E3867"/>
    <w:rsid w:val="009E4A31"/>
    <w:rsid w:val="009E5ECC"/>
    <w:rsid w:val="009F0A14"/>
    <w:rsid w:val="009F165C"/>
    <w:rsid w:val="009F35B7"/>
    <w:rsid w:val="00A0026E"/>
    <w:rsid w:val="00A01E95"/>
    <w:rsid w:val="00A113F9"/>
    <w:rsid w:val="00A12672"/>
    <w:rsid w:val="00A13630"/>
    <w:rsid w:val="00A15FF8"/>
    <w:rsid w:val="00A16AB8"/>
    <w:rsid w:val="00A231DF"/>
    <w:rsid w:val="00A26748"/>
    <w:rsid w:val="00A27A6F"/>
    <w:rsid w:val="00A34893"/>
    <w:rsid w:val="00A35EFE"/>
    <w:rsid w:val="00A4037A"/>
    <w:rsid w:val="00A40A46"/>
    <w:rsid w:val="00A42097"/>
    <w:rsid w:val="00A42E27"/>
    <w:rsid w:val="00A47834"/>
    <w:rsid w:val="00A52852"/>
    <w:rsid w:val="00A5648E"/>
    <w:rsid w:val="00A564CD"/>
    <w:rsid w:val="00A60ADC"/>
    <w:rsid w:val="00A619C3"/>
    <w:rsid w:val="00A61F5A"/>
    <w:rsid w:val="00A62287"/>
    <w:rsid w:val="00A62DA3"/>
    <w:rsid w:val="00A63CCF"/>
    <w:rsid w:val="00A70DA9"/>
    <w:rsid w:val="00A7243D"/>
    <w:rsid w:val="00A734DE"/>
    <w:rsid w:val="00A75FCD"/>
    <w:rsid w:val="00A77435"/>
    <w:rsid w:val="00A77C55"/>
    <w:rsid w:val="00A80257"/>
    <w:rsid w:val="00A8368B"/>
    <w:rsid w:val="00A8548D"/>
    <w:rsid w:val="00A96519"/>
    <w:rsid w:val="00AA122D"/>
    <w:rsid w:val="00AA3370"/>
    <w:rsid w:val="00AA375B"/>
    <w:rsid w:val="00AB39DA"/>
    <w:rsid w:val="00AB4ABD"/>
    <w:rsid w:val="00AB610F"/>
    <w:rsid w:val="00AB785F"/>
    <w:rsid w:val="00AC1FED"/>
    <w:rsid w:val="00AC5A91"/>
    <w:rsid w:val="00AD1139"/>
    <w:rsid w:val="00AD23BB"/>
    <w:rsid w:val="00AD6198"/>
    <w:rsid w:val="00AE12E2"/>
    <w:rsid w:val="00AF0040"/>
    <w:rsid w:val="00AF5CB5"/>
    <w:rsid w:val="00B02E8B"/>
    <w:rsid w:val="00B069CE"/>
    <w:rsid w:val="00B1025C"/>
    <w:rsid w:val="00B10C2C"/>
    <w:rsid w:val="00B12D0E"/>
    <w:rsid w:val="00B14563"/>
    <w:rsid w:val="00B214C9"/>
    <w:rsid w:val="00B23BE2"/>
    <w:rsid w:val="00B27B45"/>
    <w:rsid w:val="00B30564"/>
    <w:rsid w:val="00B345C9"/>
    <w:rsid w:val="00B3595B"/>
    <w:rsid w:val="00B409D8"/>
    <w:rsid w:val="00B44754"/>
    <w:rsid w:val="00B45F8E"/>
    <w:rsid w:val="00B470DF"/>
    <w:rsid w:val="00B47406"/>
    <w:rsid w:val="00B5512A"/>
    <w:rsid w:val="00B55317"/>
    <w:rsid w:val="00B55643"/>
    <w:rsid w:val="00B561DC"/>
    <w:rsid w:val="00B570F2"/>
    <w:rsid w:val="00B60282"/>
    <w:rsid w:val="00B60B91"/>
    <w:rsid w:val="00B647E8"/>
    <w:rsid w:val="00B777D4"/>
    <w:rsid w:val="00B777F0"/>
    <w:rsid w:val="00B8115F"/>
    <w:rsid w:val="00B8782C"/>
    <w:rsid w:val="00B91780"/>
    <w:rsid w:val="00B9343C"/>
    <w:rsid w:val="00B95FB6"/>
    <w:rsid w:val="00B960C4"/>
    <w:rsid w:val="00BA1330"/>
    <w:rsid w:val="00BA6AD6"/>
    <w:rsid w:val="00BA71F2"/>
    <w:rsid w:val="00BB0A11"/>
    <w:rsid w:val="00BB1511"/>
    <w:rsid w:val="00BB5449"/>
    <w:rsid w:val="00BB7380"/>
    <w:rsid w:val="00BC3AD8"/>
    <w:rsid w:val="00BC43E2"/>
    <w:rsid w:val="00BC4849"/>
    <w:rsid w:val="00BC4C6A"/>
    <w:rsid w:val="00BC51F4"/>
    <w:rsid w:val="00BC653A"/>
    <w:rsid w:val="00BD18C4"/>
    <w:rsid w:val="00BD1921"/>
    <w:rsid w:val="00BD254E"/>
    <w:rsid w:val="00BD7CF8"/>
    <w:rsid w:val="00BE3C0E"/>
    <w:rsid w:val="00BF7C96"/>
    <w:rsid w:val="00C025D8"/>
    <w:rsid w:val="00C02F75"/>
    <w:rsid w:val="00C03A2D"/>
    <w:rsid w:val="00C03B00"/>
    <w:rsid w:val="00C05387"/>
    <w:rsid w:val="00C115CD"/>
    <w:rsid w:val="00C12CA4"/>
    <w:rsid w:val="00C145D9"/>
    <w:rsid w:val="00C156EC"/>
    <w:rsid w:val="00C20AC3"/>
    <w:rsid w:val="00C27370"/>
    <w:rsid w:val="00C3397B"/>
    <w:rsid w:val="00C34C44"/>
    <w:rsid w:val="00C36434"/>
    <w:rsid w:val="00C37490"/>
    <w:rsid w:val="00C41B86"/>
    <w:rsid w:val="00C43D05"/>
    <w:rsid w:val="00C55B5C"/>
    <w:rsid w:val="00C62CFF"/>
    <w:rsid w:val="00C66D42"/>
    <w:rsid w:val="00C705DB"/>
    <w:rsid w:val="00C7093F"/>
    <w:rsid w:val="00C719D0"/>
    <w:rsid w:val="00C722FE"/>
    <w:rsid w:val="00C72711"/>
    <w:rsid w:val="00C8371E"/>
    <w:rsid w:val="00C8376B"/>
    <w:rsid w:val="00C839AF"/>
    <w:rsid w:val="00C85107"/>
    <w:rsid w:val="00C8575D"/>
    <w:rsid w:val="00C86B47"/>
    <w:rsid w:val="00C90874"/>
    <w:rsid w:val="00C94FEC"/>
    <w:rsid w:val="00CA1BE0"/>
    <w:rsid w:val="00CA1C10"/>
    <w:rsid w:val="00CA36F6"/>
    <w:rsid w:val="00CA63E3"/>
    <w:rsid w:val="00CC05AB"/>
    <w:rsid w:val="00CC3A58"/>
    <w:rsid w:val="00CC4E19"/>
    <w:rsid w:val="00CC6FC2"/>
    <w:rsid w:val="00CD04CA"/>
    <w:rsid w:val="00CD07F7"/>
    <w:rsid w:val="00CD1845"/>
    <w:rsid w:val="00CD2C65"/>
    <w:rsid w:val="00CD41F2"/>
    <w:rsid w:val="00CE38CD"/>
    <w:rsid w:val="00CE78DC"/>
    <w:rsid w:val="00CF0CE0"/>
    <w:rsid w:val="00CF5755"/>
    <w:rsid w:val="00CF6C00"/>
    <w:rsid w:val="00D05188"/>
    <w:rsid w:val="00D20ED7"/>
    <w:rsid w:val="00D22217"/>
    <w:rsid w:val="00D23B9A"/>
    <w:rsid w:val="00D23C4B"/>
    <w:rsid w:val="00D25451"/>
    <w:rsid w:val="00D31676"/>
    <w:rsid w:val="00D40CE2"/>
    <w:rsid w:val="00D41341"/>
    <w:rsid w:val="00D4180C"/>
    <w:rsid w:val="00D43303"/>
    <w:rsid w:val="00D43A94"/>
    <w:rsid w:val="00D43B95"/>
    <w:rsid w:val="00D446AE"/>
    <w:rsid w:val="00D45379"/>
    <w:rsid w:val="00D45AE3"/>
    <w:rsid w:val="00D5085D"/>
    <w:rsid w:val="00D51499"/>
    <w:rsid w:val="00D53203"/>
    <w:rsid w:val="00D61A2D"/>
    <w:rsid w:val="00D64BF2"/>
    <w:rsid w:val="00D671A9"/>
    <w:rsid w:val="00D6754A"/>
    <w:rsid w:val="00D71D67"/>
    <w:rsid w:val="00D87A29"/>
    <w:rsid w:val="00D9141A"/>
    <w:rsid w:val="00D92E33"/>
    <w:rsid w:val="00D963B2"/>
    <w:rsid w:val="00D9791A"/>
    <w:rsid w:val="00DA12F2"/>
    <w:rsid w:val="00DB248A"/>
    <w:rsid w:val="00DB346E"/>
    <w:rsid w:val="00DB51D9"/>
    <w:rsid w:val="00DB7929"/>
    <w:rsid w:val="00DC1CE5"/>
    <w:rsid w:val="00DC49DA"/>
    <w:rsid w:val="00DC4CA0"/>
    <w:rsid w:val="00DC613A"/>
    <w:rsid w:val="00DC6473"/>
    <w:rsid w:val="00DD5885"/>
    <w:rsid w:val="00DD7235"/>
    <w:rsid w:val="00DD76FB"/>
    <w:rsid w:val="00DE0F0D"/>
    <w:rsid w:val="00DE2D87"/>
    <w:rsid w:val="00DE3246"/>
    <w:rsid w:val="00DE341E"/>
    <w:rsid w:val="00DE4644"/>
    <w:rsid w:val="00DE4FD0"/>
    <w:rsid w:val="00DF3BF4"/>
    <w:rsid w:val="00DF70DA"/>
    <w:rsid w:val="00E06AF3"/>
    <w:rsid w:val="00E07E4F"/>
    <w:rsid w:val="00E12B44"/>
    <w:rsid w:val="00E15DB2"/>
    <w:rsid w:val="00E27E67"/>
    <w:rsid w:val="00E30E40"/>
    <w:rsid w:val="00E31175"/>
    <w:rsid w:val="00E31D2B"/>
    <w:rsid w:val="00E32020"/>
    <w:rsid w:val="00E32DD5"/>
    <w:rsid w:val="00E36AFB"/>
    <w:rsid w:val="00E37B53"/>
    <w:rsid w:val="00E462FA"/>
    <w:rsid w:val="00E50765"/>
    <w:rsid w:val="00E52606"/>
    <w:rsid w:val="00E55294"/>
    <w:rsid w:val="00E627A5"/>
    <w:rsid w:val="00E70246"/>
    <w:rsid w:val="00E71700"/>
    <w:rsid w:val="00E76C1A"/>
    <w:rsid w:val="00E82DB3"/>
    <w:rsid w:val="00E82EC4"/>
    <w:rsid w:val="00E8629F"/>
    <w:rsid w:val="00E93194"/>
    <w:rsid w:val="00E94E3D"/>
    <w:rsid w:val="00E950FB"/>
    <w:rsid w:val="00EA0270"/>
    <w:rsid w:val="00EA3DD7"/>
    <w:rsid w:val="00EA4179"/>
    <w:rsid w:val="00EB103E"/>
    <w:rsid w:val="00EB1234"/>
    <w:rsid w:val="00EB1FF8"/>
    <w:rsid w:val="00EB2BC0"/>
    <w:rsid w:val="00EB5C4A"/>
    <w:rsid w:val="00EB604F"/>
    <w:rsid w:val="00EC0DF8"/>
    <w:rsid w:val="00EC1F88"/>
    <w:rsid w:val="00EC34DD"/>
    <w:rsid w:val="00EC60ED"/>
    <w:rsid w:val="00ED31FA"/>
    <w:rsid w:val="00ED42AE"/>
    <w:rsid w:val="00ED590B"/>
    <w:rsid w:val="00EE2A2F"/>
    <w:rsid w:val="00EE3172"/>
    <w:rsid w:val="00EE6CB9"/>
    <w:rsid w:val="00EF3699"/>
    <w:rsid w:val="00EF406D"/>
    <w:rsid w:val="00EF55BD"/>
    <w:rsid w:val="00EF65A7"/>
    <w:rsid w:val="00F02900"/>
    <w:rsid w:val="00F030EA"/>
    <w:rsid w:val="00F034B9"/>
    <w:rsid w:val="00F04197"/>
    <w:rsid w:val="00F05BC6"/>
    <w:rsid w:val="00F201DA"/>
    <w:rsid w:val="00F21B72"/>
    <w:rsid w:val="00F22094"/>
    <w:rsid w:val="00F27FB9"/>
    <w:rsid w:val="00F33AFB"/>
    <w:rsid w:val="00F35409"/>
    <w:rsid w:val="00F36046"/>
    <w:rsid w:val="00F40E2D"/>
    <w:rsid w:val="00F428CC"/>
    <w:rsid w:val="00F43E27"/>
    <w:rsid w:val="00F52C23"/>
    <w:rsid w:val="00F52CB9"/>
    <w:rsid w:val="00F56A7B"/>
    <w:rsid w:val="00F575A6"/>
    <w:rsid w:val="00F600D9"/>
    <w:rsid w:val="00F62382"/>
    <w:rsid w:val="00F635E6"/>
    <w:rsid w:val="00F63774"/>
    <w:rsid w:val="00F64EFB"/>
    <w:rsid w:val="00F6632C"/>
    <w:rsid w:val="00F7227F"/>
    <w:rsid w:val="00F74692"/>
    <w:rsid w:val="00F75A84"/>
    <w:rsid w:val="00F81EE1"/>
    <w:rsid w:val="00F83225"/>
    <w:rsid w:val="00F83E1E"/>
    <w:rsid w:val="00F856A4"/>
    <w:rsid w:val="00F8602E"/>
    <w:rsid w:val="00F8633F"/>
    <w:rsid w:val="00F91E59"/>
    <w:rsid w:val="00F924E1"/>
    <w:rsid w:val="00F928BD"/>
    <w:rsid w:val="00F9350A"/>
    <w:rsid w:val="00F937D2"/>
    <w:rsid w:val="00FA58F7"/>
    <w:rsid w:val="00FB0540"/>
    <w:rsid w:val="00FB07FF"/>
    <w:rsid w:val="00FB1CE3"/>
    <w:rsid w:val="00FB4C41"/>
    <w:rsid w:val="00FC0613"/>
    <w:rsid w:val="00FC2D4F"/>
    <w:rsid w:val="00FC2E6F"/>
    <w:rsid w:val="00FC4A36"/>
    <w:rsid w:val="00FD0342"/>
    <w:rsid w:val="00FD11ED"/>
    <w:rsid w:val="00FD1D11"/>
    <w:rsid w:val="00FD548C"/>
    <w:rsid w:val="00FD7B20"/>
    <w:rsid w:val="00FE2B04"/>
    <w:rsid w:val="00FF1143"/>
    <w:rsid w:val="00FF1568"/>
    <w:rsid w:val="00FF1EAA"/>
    <w:rsid w:val="00FF3E52"/>
    <w:rsid w:val="070B87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852C8"/>
  <w15:chartTrackingRefBased/>
  <w15:docId w15:val="{005076E9-7C4F-47E6-8092-880DD6E1B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03D"/>
    <w:pPr>
      <w:spacing w:after="0" w:line="240" w:lineRule="auto"/>
    </w:pPr>
    <w:rPr>
      <w:rFonts w:ascii="Times New Roman" w:eastAsia="Times New Roman" w:hAnsi="Times New Roman" w:cs="Times New Roman"/>
      <w:kern w:val="0"/>
      <w:lang w:eastAsia="zh-TW"/>
      <w14:ligatures w14:val="none"/>
    </w:rPr>
  </w:style>
  <w:style w:type="paragraph" w:styleId="Heading1">
    <w:name w:val="heading 1"/>
    <w:basedOn w:val="Normal"/>
    <w:next w:val="Normal"/>
    <w:link w:val="Heading1Char"/>
    <w:uiPriority w:val="9"/>
    <w:qFormat/>
    <w:rsid w:val="00D40CE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40CE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40CE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40CE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D40CE2"/>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D40CE2"/>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D40CE2"/>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D40CE2"/>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D40CE2"/>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C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CE2"/>
    <w:rPr>
      <w:rFonts w:eastAsiaTheme="majorEastAsia" w:cstheme="majorBidi"/>
      <w:color w:val="272727" w:themeColor="text1" w:themeTint="D8"/>
    </w:rPr>
  </w:style>
  <w:style w:type="paragraph" w:styleId="Title">
    <w:name w:val="Title"/>
    <w:basedOn w:val="Normal"/>
    <w:next w:val="Normal"/>
    <w:link w:val="TitleChar"/>
    <w:uiPriority w:val="10"/>
    <w:qFormat/>
    <w:rsid w:val="00D40CE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40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CE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40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CE2"/>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D40CE2"/>
    <w:rPr>
      <w:i/>
      <w:iCs/>
      <w:color w:val="404040" w:themeColor="text1" w:themeTint="BF"/>
    </w:rPr>
  </w:style>
  <w:style w:type="paragraph" w:styleId="ListParagraph">
    <w:name w:val="List Paragraph"/>
    <w:basedOn w:val="Normal"/>
    <w:uiPriority w:val="34"/>
    <w:qFormat/>
    <w:rsid w:val="00D40CE2"/>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D40CE2"/>
    <w:rPr>
      <w:i/>
      <w:iCs/>
      <w:color w:val="0F4761" w:themeColor="accent1" w:themeShade="BF"/>
    </w:rPr>
  </w:style>
  <w:style w:type="paragraph" w:styleId="IntenseQuote">
    <w:name w:val="Intense Quote"/>
    <w:basedOn w:val="Normal"/>
    <w:next w:val="Normal"/>
    <w:link w:val="IntenseQuoteChar"/>
    <w:uiPriority w:val="30"/>
    <w:qFormat/>
    <w:rsid w:val="00D40CE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D40CE2"/>
    <w:rPr>
      <w:i/>
      <w:iCs/>
      <w:color w:val="0F4761" w:themeColor="accent1" w:themeShade="BF"/>
    </w:rPr>
  </w:style>
  <w:style w:type="character" w:styleId="IntenseReference">
    <w:name w:val="Intense Reference"/>
    <w:basedOn w:val="DefaultParagraphFont"/>
    <w:uiPriority w:val="32"/>
    <w:qFormat/>
    <w:rsid w:val="00D40CE2"/>
    <w:rPr>
      <w:b/>
      <w:bCs/>
      <w:smallCaps/>
      <w:color w:val="0F4761" w:themeColor="accent1" w:themeShade="BF"/>
      <w:spacing w:val="5"/>
    </w:rPr>
  </w:style>
  <w:style w:type="character" w:styleId="Hyperlink">
    <w:name w:val="Hyperlink"/>
    <w:basedOn w:val="DefaultParagraphFont"/>
    <w:uiPriority w:val="99"/>
    <w:unhideWhenUsed/>
    <w:rsid w:val="00357A86"/>
    <w:rPr>
      <w:color w:val="467886" w:themeColor="hyperlink"/>
      <w:u w:val="single"/>
    </w:rPr>
  </w:style>
  <w:style w:type="character" w:styleId="UnresolvedMention">
    <w:name w:val="Unresolved Mention"/>
    <w:basedOn w:val="DefaultParagraphFont"/>
    <w:uiPriority w:val="99"/>
    <w:semiHidden/>
    <w:unhideWhenUsed/>
    <w:rsid w:val="00357A86"/>
    <w:rPr>
      <w:color w:val="605E5C"/>
      <w:shd w:val="clear" w:color="auto" w:fill="E1DFDD"/>
    </w:rPr>
  </w:style>
  <w:style w:type="table" w:styleId="TableGrid">
    <w:name w:val="Table Grid"/>
    <w:basedOn w:val="TableNormal"/>
    <w:uiPriority w:val="39"/>
    <w:rsid w:val="00FC0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
    <w:name w:val="List Table 1 Light"/>
    <w:basedOn w:val="TableNormal"/>
    <w:uiPriority w:val="46"/>
    <w:rsid w:val="0079216D"/>
    <w:pPr>
      <w:spacing w:after="0" w:line="240" w:lineRule="auto"/>
    </w:pPr>
    <w:rPr>
      <w:rFonts w:eastAsiaTheme="minorEastAsia"/>
      <w:lang w:eastAsia="zh-TW"/>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FD034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FD034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FD03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2">
    <w:name w:val="Plain Table 2"/>
    <w:basedOn w:val="TableNormal"/>
    <w:uiPriority w:val="42"/>
    <w:rsid w:val="00FD03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7500C7"/>
    <w:rPr>
      <w:sz w:val="16"/>
      <w:szCs w:val="16"/>
    </w:rPr>
  </w:style>
  <w:style w:type="paragraph" w:styleId="CommentText">
    <w:name w:val="annotation text"/>
    <w:basedOn w:val="Normal"/>
    <w:link w:val="CommentTextChar"/>
    <w:uiPriority w:val="99"/>
    <w:unhideWhenUsed/>
    <w:rsid w:val="007500C7"/>
    <w:pPr>
      <w:spacing w:after="160"/>
    </w:pPr>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7500C7"/>
    <w:rPr>
      <w:sz w:val="20"/>
      <w:szCs w:val="20"/>
    </w:rPr>
  </w:style>
  <w:style w:type="paragraph" w:styleId="CommentSubject">
    <w:name w:val="annotation subject"/>
    <w:basedOn w:val="CommentText"/>
    <w:next w:val="CommentText"/>
    <w:link w:val="CommentSubjectChar"/>
    <w:uiPriority w:val="99"/>
    <w:semiHidden/>
    <w:unhideWhenUsed/>
    <w:rsid w:val="007500C7"/>
    <w:rPr>
      <w:b/>
      <w:bCs/>
    </w:rPr>
  </w:style>
  <w:style w:type="character" w:customStyle="1" w:styleId="CommentSubjectChar">
    <w:name w:val="Comment Subject Char"/>
    <w:basedOn w:val="CommentTextChar"/>
    <w:link w:val="CommentSubject"/>
    <w:uiPriority w:val="99"/>
    <w:semiHidden/>
    <w:rsid w:val="007500C7"/>
    <w:rPr>
      <w:b/>
      <w:bCs/>
      <w:sz w:val="20"/>
      <w:szCs w:val="20"/>
    </w:rPr>
  </w:style>
  <w:style w:type="paragraph" w:customStyle="1" w:styleId="EndNoteBibliographyTitle">
    <w:name w:val="EndNote Bibliography Title"/>
    <w:basedOn w:val="Normal"/>
    <w:link w:val="EndNoteBibliographyTitleChar"/>
    <w:rsid w:val="0089525F"/>
    <w:pPr>
      <w:spacing w:line="278" w:lineRule="auto"/>
      <w:jc w:val="center"/>
    </w:pPr>
    <w:rPr>
      <w:rFonts w:eastAsiaTheme="minorHAnsi"/>
      <w:kern w:val="2"/>
      <w:lang w:eastAsia="en-US"/>
      <w14:ligatures w14:val="standardContextual"/>
    </w:rPr>
  </w:style>
  <w:style w:type="character" w:customStyle="1" w:styleId="EndNoteBibliographyTitleChar">
    <w:name w:val="EndNote Bibliography Title Char"/>
    <w:basedOn w:val="DefaultParagraphFont"/>
    <w:link w:val="EndNoteBibliographyTitle"/>
    <w:rsid w:val="0089525F"/>
    <w:rPr>
      <w:rFonts w:ascii="Times New Roman" w:hAnsi="Times New Roman" w:cs="Times New Roman"/>
    </w:rPr>
  </w:style>
  <w:style w:type="paragraph" w:customStyle="1" w:styleId="EndNoteBibliography">
    <w:name w:val="EndNote Bibliography"/>
    <w:basedOn w:val="Normal"/>
    <w:link w:val="EndNoteBibliographyChar"/>
    <w:rsid w:val="0089525F"/>
    <w:pPr>
      <w:spacing w:after="160" w:line="360" w:lineRule="auto"/>
    </w:pPr>
    <w:rPr>
      <w:rFonts w:eastAsiaTheme="minorHAnsi"/>
      <w:kern w:val="2"/>
      <w:lang w:eastAsia="en-US"/>
      <w14:ligatures w14:val="standardContextual"/>
    </w:rPr>
  </w:style>
  <w:style w:type="character" w:customStyle="1" w:styleId="EndNoteBibliographyChar">
    <w:name w:val="EndNote Bibliography Char"/>
    <w:basedOn w:val="DefaultParagraphFont"/>
    <w:link w:val="EndNoteBibliography"/>
    <w:rsid w:val="0089525F"/>
    <w:rPr>
      <w:rFonts w:ascii="Times New Roman" w:hAnsi="Times New Roman" w:cs="Times New Roman"/>
    </w:rPr>
  </w:style>
  <w:style w:type="table" w:styleId="ListTable1Light-Accent1">
    <w:name w:val="List Table 1 Light Accent 1"/>
    <w:basedOn w:val="TableNormal"/>
    <w:uiPriority w:val="46"/>
    <w:rsid w:val="00A52852"/>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rmalWeb">
    <w:name w:val="Normal (Web)"/>
    <w:basedOn w:val="Normal"/>
    <w:uiPriority w:val="99"/>
    <w:unhideWhenUsed/>
    <w:rsid w:val="004E44CE"/>
    <w:pPr>
      <w:spacing w:before="100" w:beforeAutospacing="1" w:after="100" w:afterAutospacing="1"/>
    </w:pPr>
    <w:rPr>
      <w:lang w:eastAsia="en-US"/>
    </w:rPr>
  </w:style>
  <w:style w:type="paragraph" w:styleId="Header">
    <w:name w:val="header"/>
    <w:basedOn w:val="Normal"/>
    <w:link w:val="HeaderChar"/>
    <w:uiPriority w:val="99"/>
    <w:unhideWhenUsed/>
    <w:rsid w:val="003C1D2D"/>
    <w:pPr>
      <w:tabs>
        <w:tab w:val="center" w:pos="4680"/>
        <w:tab w:val="right" w:pos="9360"/>
      </w:tabs>
    </w:pPr>
  </w:style>
  <w:style w:type="character" w:customStyle="1" w:styleId="HeaderChar">
    <w:name w:val="Header Char"/>
    <w:basedOn w:val="DefaultParagraphFont"/>
    <w:link w:val="Header"/>
    <w:uiPriority w:val="99"/>
    <w:rsid w:val="003C1D2D"/>
    <w:rPr>
      <w:rFonts w:ascii="Times New Roman" w:eastAsia="Times New Roman" w:hAnsi="Times New Roman" w:cs="Times New Roman"/>
      <w:kern w:val="0"/>
      <w:lang w:eastAsia="zh-TW"/>
      <w14:ligatures w14:val="none"/>
    </w:rPr>
  </w:style>
  <w:style w:type="paragraph" w:styleId="Footer">
    <w:name w:val="footer"/>
    <w:basedOn w:val="Normal"/>
    <w:link w:val="FooterChar"/>
    <w:uiPriority w:val="99"/>
    <w:unhideWhenUsed/>
    <w:rsid w:val="003C1D2D"/>
    <w:pPr>
      <w:tabs>
        <w:tab w:val="center" w:pos="4680"/>
        <w:tab w:val="right" w:pos="9360"/>
      </w:tabs>
    </w:pPr>
  </w:style>
  <w:style w:type="character" w:customStyle="1" w:styleId="FooterChar">
    <w:name w:val="Footer Char"/>
    <w:basedOn w:val="DefaultParagraphFont"/>
    <w:link w:val="Footer"/>
    <w:uiPriority w:val="99"/>
    <w:rsid w:val="003C1D2D"/>
    <w:rPr>
      <w:rFonts w:ascii="Times New Roman" w:eastAsia="Times New Roman" w:hAnsi="Times New Roman" w:cs="Times New Roman"/>
      <w:kern w:val="0"/>
      <w:lang w:eastAsia="zh-TW"/>
      <w14:ligatures w14:val="none"/>
    </w:rPr>
  </w:style>
  <w:style w:type="table" w:styleId="ListTable2-Accent1">
    <w:name w:val="List Table 2 Accent 1"/>
    <w:basedOn w:val="TableNormal"/>
    <w:uiPriority w:val="47"/>
    <w:rsid w:val="005F5275"/>
    <w:pPr>
      <w:spacing w:after="0" w:line="240" w:lineRule="auto"/>
    </w:pPr>
    <w:rPr>
      <w:rFonts w:eastAsiaTheme="minorEastAsia"/>
      <w:lang w:eastAsia="zh-TW"/>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Revision">
    <w:name w:val="Revision"/>
    <w:hidden/>
    <w:uiPriority w:val="99"/>
    <w:semiHidden/>
    <w:rsid w:val="0082593B"/>
    <w:pPr>
      <w:spacing w:after="0" w:line="240" w:lineRule="auto"/>
    </w:pPr>
    <w:rPr>
      <w:rFonts w:ascii="Times New Roman" w:eastAsia="Times New Roman" w:hAnsi="Times New Roman" w:cs="Times New Roman"/>
      <w:kern w:val="0"/>
      <w:lang w:eastAsia="zh-TW"/>
      <w14:ligatures w14:val="none"/>
    </w:rPr>
  </w:style>
  <w:style w:type="table" w:styleId="ListTable1Light-Accent4">
    <w:name w:val="List Table 1 Light Accent 4"/>
    <w:basedOn w:val="TableNormal"/>
    <w:uiPriority w:val="46"/>
    <w:rsid w:val="000A4C9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PlainTable4">
    <w:name w:val="Plain Table 4"/>
    <w:basedOn w:val="TableNormal"/>
    <w:uiPriority w:val="44"/>
    <w:rsid w:val="00A9651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A96519"/>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149">
      <w:bodyDiv w:val="1"/>
      <w:marLeft w:val="0"/>
      <w:marRight w:val="0"/>
      <w:marTop w:val="0"/>
      <w:marBottom w:val="0"/>
      <w:divBdr>
        <w:top w:val="none" w:sz="0" w:space="0" w:color="auto"/>
        <w:left w:val="none" w:sz="0" w:space="0" w:color="auto"/>
        <w:bottom w:val="none" w:sz="0" w:space="0" w:color="auto"/>
        <w:right w:val="none" w:sz="0" w:space="0" w:color="auto"/>
      </w:divBdr>
    </w:div>
    <w:div w:id="161895041">
      <w:bodyDiv w:val="1"/>
      <w:marLeft w:val="0"/>
      <w:marRight w:val="0"/>
      <w:marTop w:val="0"/>
      <w:marBottom w:val="0"/>
      <w:divBdr>
        <w:top w:val="none" w:sz="0" w:space="0" w:color="auto"/>
        <w:left w:val="none" w:sz="0" w:space="0" w:color="auto"/>
        <w:bottom w:val="none" w:sz="0" w:space="0" w:color="auto"/>
        <w:right w:val="none" w:sz="0" w:space="0" w:color="auto"/>
      </w:divBdr>
    </w:div>
    <w:div w:id="198785831">
      <w:bodyDiv w:val="1"/>
      <w:marLeft w:val="0"/>
      <w:marRight w:val="0"/>
      <w:marTop w:val="0"/>
      <w:marBottom w:val="0"/>
      <w:divBdr>
        <w:top w:val="none" w:sz="0" w:space="0" w:color="auto"/>
        <w:left w:val="none" w:sz="0" w:space="0" w:color="auto"/>
        <w:bottom w:val="none" w:sz="0" w:space="0" w:color="auto"/>
        <w:right w:val="none" w:sz="0" w:space="0" w:color="auto"/>
      </w:divBdr>
    </w:div>
    <w:div w:id="267472106">
      <w:bodyDiv w:val="1"/>
      <w:marLeft w:val="0"/>
      <w:marRight w:val="0"/>
      <w:marTop w:val="0"/>
      <w:marBottom w:val="0"/>
      <w:divBdr>
        <w:top w:val="none" w:sz="0" w:space="0" w:color="auto"/>
        <w:left w:val="none" w:sz="0" w:space="0" w:color="auto"/>
        <w:bottom w:val="none" w:sz="0" w:space="0" w:color="auto"/>
        <w:right w:val="none" w:sz="0" w:space="0" w:color="auto"/>
      </w:divBdr>
    </w:div>
    <w:div w:id="331878669">
      <w:bodyDiv w:val="1"/>
      <w:marLeft w:val="0"/>
      <w:marRight w:val="0"/>
      <w:marTop w:val="0"/>
      <w:marBottom w:val="0"/>
      <w:divBdr>
        <w:top w:val="none" w:sz="0" w:space="0" w:color="auto"/>
        <w:left w:val="none" w:sz="0" w:space="0" w:color="auto"/>
        <w:bottom w:val="none" w:sz="0" w:space="0" w:color="auto"/>
        <w:right w:val="none" w:sz="0" w:space="0" w:color="auto"/>
      </w:divBdr>
    </w:div>
    <w:div w:id="376395378">
      <w:bodyDiv w:val="1"/>
      <w:marLeft w:val="0"/>
      <w:marRight w:val="0"/>
      <w:marTop w:val="0"/>
      <w:marBottom w:val="0"/>
      <w:divBdr>
        <w:top w:val="none" w:sz="0" w:space="0" w:color="auto"/>
        <w:left w:val="none" w:sz="0" w:space="0" w:color="auto"/>
        <w:bottom w:val="none" w:sz="0" w:space="0" w:color="auto"/>
        <w:right w:val="none" w:sz="0" w:space="0" w:color="auto"/>
      </w:divBdr>
    </w:div>
    <w:div w:id="646519024">
      <w:bodyDiv w:val="1"/>
      <w:marLeft w:val="0"/>
      <w:marRight w:val="0"/>
      <w:marTop w:val="0"/>
      <w:marBottom w:val="0"/>
      <w:divBdr>
        <w:top w:val="none" w:sz="0" w:space="0" w:color="auto"/>
        <w:left w:val="none" w:sz="0" w:space="0" w:color="auto"/>
        <w:bottom w:val="none" w:sz="0" w:space="0" w:color="auto"/>
        <w:right w:val="none" w:sz="0" w:space="0" w:color="auto"/>
      </w:divBdr>
    </w:div>
    <w:div w:id="689602158">
      <w:bodyDiv w:val="1"/>
      <w:marLeft w:val="0"/>
      <w:marRight w:val="0"/>
      <w:marTop w:val="0"/>
      <w:marBottom w:val="0"/>
      <w:divBdr>
        <w:top w:val="none" w:sz="0" w:space="0" w:color="auto"/>
        <w:left w:val="none" w:sz="0" w:space="0" w:color="auto"/>
        <w:bottom w:val="none" w:sz="0" w:space="0" w:color="auto"/>
        <w:right w:val="none" w:sz="0" w:space="0" w:color="auto"/>
      </w:divBdr>
      <w:divsChild>
        <w:div w:id="503858225">
          <w:blockQuote w:val="1"/>
          <w:marLeft w:val="0"/>
          <w:marRight w:val="0"/>
          <w:marTop w:val="0"/>
          <w:marBottom w:val="360"/>
          <w:divBdr>
            <w:top w:val="none" w:sz="0" w:space="0" w:color="auto"/>
            <w:left w:val="single" w:sz="36" w:space="15" w:color="EEEEEE"/>
            <w:bottom w:val="none" w:sz="0" w:space="0" w:color="auto"/>
            <w:right w:val="none" w:sz="0" w:space="0" w:color="auto"/>
          </w:divBdr>
        </w:div>
      </w:divsChild>
    </w:div>
    <w:div w:id="816536961">
      <w:bodyDiv w:val="1"/>
      <w:marLeft w:val="0"/>
      <w:marRight w:val="0"/>
      <w:marTop w:val="0"/>
      <w:marBottom w:val="0"/>
      <w:divBdr>
        <w:top w:val="none" w:sz="0" w:space="0" w:color="auto"/>
        <w:left w:val="none" w:sz="0" w:space="0" w:color="auto"/>
        <w:bottom w:val="none" w:sz="0" w:space="0" w:color="auto"/>
        <w:right w:val="none" w:sz="0" w:space="0" w:color="auto"/>
      </w:divBdr>
    </w:div>
    <w:div w:id="1101756007">
      <w:bodyDiv w:val="1"/>
      <w:marLeft w:val="0"/>
      <w:marRight w:val="0"/>
      <w:marTop w:val="0"/>
      <w:marBottom w:val="0"/>
      <w:divBdr>
        <w:top w:val="none" w:sz="0" w:space="0" w:color="auto"/>
        <w:left w:val="none" w:sz="0" w:space="0" w:color="auto"/>
        <w:bottom w:val="none" w:sz="0" w:space="0" w:color="auto"/>
        <w:right w:val="none" w:sz="0" w:space="0" w:color="auto"/>
      </w:divBdr>
      <w:divsChild>
        <w:div w:id="432940863">
          <w:marLeft w:val="0"/>
          <w:marRight w:val="0"/>
          <w:marTop w:val="0"/>
          <w:marBottom w:val="0"/>
          <w:divBdr>
            <w:top w:val="none" w:sz="0" w:space="0" w:color="auto"/>
            <w:left w:val="none" w:sz="0" w:space="0" w:color="auto"/>
            <w:bottom w:val="none" w:sz="0" w:space="0" w:color="auto"/>
            <w:right w:val="none" w:sz="0" w:space="0" w:color="auto"/>
          </w:divBdr>
        </w:div>
      </w:divsChild>
    </w:div>
    <w:div w:id="1125658481">
      <w:bodyDiv w:val="1"/>
      <w:marLeft w:val="0"/>
      <w:marRight w:val="0"/>
      <w:marTop w:val="0"/>
      <w:marBottom w:val="0"/>
      <w:divBdr>
        <w:top w:val="none" w:sz="0" w:space="0" w:color="auto"/>
        <w:left w:val="none" w:sz="0" w:space="0" w:color="auto"/>
        <w:bottom w:val="none" w:sz="0" w:space="0" w:color="auto"/>
        <w:right w:val="none" w:sz="0" w:space="0" w:color="auto"/>
      </w:divBdr>
    </w:div>
    <w:div w:id="1565601162">
      <w:bodyDiv w:val="1"/>
      <w:marLeft w:val="0"/>
      <w:marRight w:val="0"/>
      <w:marTop w:val="0"/>
      <w:marBottom w:val="0"/>
      <w:divBdr>
        <w:top w:val="none" w:sz="0" w:space="0" w:color="auto"/>
        <w:left w:val="none" w:sz="0" w:space="0" w:color="auto"/>
        <w:bottom w:val="none" w:sz="0" w:space="0" w:color="auto"/>
        <w:right w:val="none" w:sz="0" w:space="0" w:color="auto"/>
      </w:divBdr>
    </w:div>
    <w:div w:id="1591693867">
      <w:bodyDiv w:val="1"/>
      <w:marLeft w:val="0"/>
      <w:marRight w:val="0"/>
      <w:marTop w:val="0"/>
      <w:marBottom w:val="0"/>
      <w:divBdr>
        <w:top w:val="none" w:sz="0" w:space="0" w:color="auto"/>
        <w:left w:val="none" w:sz="0" w:space="0" w:color="auto"/>
        <w:bottom w:val="none" w:sz="0" w:space="0" w:color="auto"/>
        <w:right w:val="none" w:sz="0" w:space="0" w:color="auto"/>
      </w:divBdr>
    </w:div>
    <w:div w:id="1714503872">
      <w:bodyDiv w:val="1"/>
      <w:marLeft w:val="0"/>
      <w:marRight w:val="0"/>
      <w:marTop w:val="0"/>
      <w:marBottom w:val="0"/>
      <w:divBdr>
        <w:top w:val="none" w:sz="0" w:space="0" w:color="auto"/>
        <w:left w:val="none" w:sz="0" w:space="0" w:color="auto"/>
        <w:bottom w:val="none" w:sz="0" w:space="0" w:color="auto"/>
        <w:right w:val="none" w:sz="0" w:space="0" w:color="auto"/>
      </w:divBdr>
    </w:div>
    <w:div w:id="1826629345">
      <w:bodyDiv w:val="1"/>
      <w:marLeft w:val="0"/>
      <w:marRight w:val="0"/>
      <w:marTop w:val="0"/>
      <w:marBottom w:val="0"/>
      <w:divBdr>
        <w:top w:val="none" w:sz="0" w:space="0" w:color="auto"/>
        <w:left w:val="none" w:sz="0" w:space="0" w:color="auto"/>
        <w:bottom w:val="none" w:sz="0" w:space="0" w:color="auto"/>
        <w:right w:val="none" w:sz="0" w:space="0" w:color="auto"/>
      </w:divBdr>
    </w:div>
    <w:div w:id="1887528640">
      <w:bodyDiv w:val="1"/>
      <w:marLeft w:val="0"/>
      <w:marRight w:val="0"/>
      <w:marTop w:val="0"/>
      <w:marBottom w:val="0"/>
      <w:divBdr>
        <w:top w:val="none" w:sz="0" w:space="0" w:color="auto"/>
        <w:left w:val="none" w:sz="0" w:space="0" w:color="auto"/>
        <w:bottom w:val="none" w:sz="0" w:space="0" w:color="auto"/>
        <w:right w:val="none" w:sz="0" w:space="0" w:color="auto"/>
      </w:divBdr>
    </w:div>
    <w:div w:id="204624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gottschalk@simmaron.com" TargetMode="External"/><Relationship Id="rId13" Type="http://schemas.openxmlformats.org/officeDocument/2006/relationships/image" Target="media/image4.tif"/><Relationship Id="rId18" Type="http://schemas.openxmlformats.org/officeDocument/2006/relationships/image" Target="media/image9.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oy@simmaron.com" TargetMode="Externa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FE7E3-8793-4098-A202-770D7E987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1230</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Avik Roy</dc:creator>
  <cp:keywords/>
  <dc:description/>
  <cp:lastModifiedBy>Avik Roy</cp:lastModifiedBy>
  <cp:revision>2</cp:revision>
  <cp:lastPrinted>2025-04-09T14:04:00Z</cp:lastPrinted>
  <dcterms:created xsi:type="dcterms:W3CDTF">2025-09-09T16:43:00Z</dcterms:created>
  <dcterms:modified xsi:type="dcterms:W3CDTF">2025-09-09T16:43:00Z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9e72f86240aeac49bdc1e5f8d9d2205b9de60028eedbfc7f99296b3064fc66ff</vt:lpwstr>
  </property>
</Properties>
</file>