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19BE79C">
      <w:pPr>
        <w:rPr>
          <w:rFonts w:ascii="Arial" w:hAnsi="Arial" w:cs="Arial"/>
          <w:b/>
          <w:bCs/>
          <w:sz w:val="28"/>
          <w:szCs w:val="36"/>
        </w:rPr>
      </w:pPr>
      <w:r>
        <w:rPr>
          <w:rFonts w:ascii="Arial" w:hAnsi="Arial" w:cs="Arial"/>
          <w:b/>
          <w:bCs/>
          <w:sz w:val="28"/>
          <w:szCs w:val="36"/>
        </w:rPr>
        <w:t>Supplementary Files</w:t>
      </w:r>
    </w:p>
    <w:p w14:paraId="037B8D8E">
      <w:pPr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0" distR="0">
            <wp:extent cx="5274310" cy="3956050"/>
            <wp:effectExtent l="0" t="0" r="2540" b="6350"/>
            <wp:docPr id="19675399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39930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C9161">
      <w:pPr>
        <w:spacing w:line="48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</w:rPr>
        <w:t xml:space="preserve">Figure S1. The effect of </w:t>
      </w:r>
      <w:r>
        <w:rPr>
          <w:rFonts w:hint="eastAsia" w:ascii="Arial" w:hAnsi="Arial" w:cs="Arial"/>
          <w:b/>
          <w:bCs/>
          <w:sz w:val="22"/>
          <w:szCs w:val="28"/>
        </w:rPr>
        <w:t>DDP</w:t>
      </w:r>
      <w:r>
        <w:rPr>
          <w:rFonts w:ascii="Arial" w:hAnsi="Arial" w:cs="Arial"/>
          <w:b/>
          <w:bCs/>
          <w:sz w:val="22"/>
          <w:szCs w:val="28"/>
        </w:rPr>
        <w:t xml:space="preserve"> on DNA damage and repair in A549 Cells. A. </w:t>
      </w:r>
      <w:r>
        <w:rPr>
          <w:rFonts w:ascii="Arial" w:hAnsi="Arial" w:cs="Arial"/>
          <w:sz w:val="22"/>
          <w:szCs w:val="28"/>
        </w:rPr>
        <w:t xml:space="preserve">Fluorescence microscopy images depictingγ-H2AX foci (red) and cell nuclei (blue) were obtained after treatment with different concentrations of </w:t>
      </w:r>
      <w:r>
        <w:rPr>
          <w:rFonts w:hint="eastAsia" w:ascii="Arial" w:hAnsi="Arial" w:cs="Arial"/>
          <w:sz w:val="22"/>
          <w:szCs w:val="28"/>
        </w:rPr>
        <w:t>DDP</w:t>
      </w:r>
      <w:r>
        <w:rPr>
          <w:rFonts w:ascii="Arial" w:hAnsi="Arial" w:cs="Arial"/>
          <w:sz w:val="22"/>
          <w:szCs w:val="28"/>
        </w:rPr>
        <w:t xml:space="preserve">(0, 1, 2, 4, 8, 16 and 32 μM) for 2 hours, with a magnification of 200x. </w:t>
      </w:r>
      <w:r>
        <w:rPr>
          <w:rFonts w:ascii="Arial" w:hAnsi="Arial" w:cs="Arial"/>
          <w:b/>
          <w:bCs/>
          <w:sz w:val="22"/>
          <w:szCs w:val="28"/>
        </w:rPr>
        <w:t>B</w:t>
      </w:r>
      <w:r>
        <w:rPr>
          <w:rFonts w:ascii="Arial" w:hAnsi="Arial" w:cs="Arial"/>
          <w:sz w:val="22"/>
          <w:szCs w:val="28"/>
        </w:rPr>
        <w:t xml:space="preserve"> The graph illustrates the ratio of the total area of γ-H2AX foci to the cell area as a function of</w:t>
      </w:r>
      <w:r>
        <w:rPr>
          <w:rFonts w:hint="eastAsia" w:ascii="Arial" w:hAnsi="Arial" w:cs="Arial"/>
          <w:sz w:val="22"/>
          <w:szCs w:val="28"/>
        </w:rPr>
        <w:t xml:space="preserve"> DDP</w:t>
      </w:r>
      <w:r>
        <w:rPr>
          <w:rFonts w:ascii="Arial" w:hAnsi="Arial" w:cs="Arial"/>
          <w:sz w:val="22"/>
          <w:szCs w:val="28"/>
        </w:rPr>
        <w:t xml:space="preserve"> concentration. </w:t>
      </w:r>
    </w:p>
    <w:p w14:paraId="109D5C70">
      <w:pPr>
        <w:rPr>
          <w:sz w:val="22"/>
          <w:szCs w:val="28"/>
        </w:rPr>
      </w:pPr>
    </w:p>
    <w:p w14:paraId="6A0F9D29">
      <w:pPr>
        <w:rPr>
          <w:sz w:val="22"/>
          <w:szCs w:val="28"/>
        </w:rPr>
      </w:pPr>
    </w:p>
    <w:p w14:paraId="06FA3CAC">
      <w:pPr>
        <w:rPr>
          <w:rFonts w:hint="eastAsia" w:eastAsiaTheme="minorEastAsia"/>
          <w:sz w:val="22"/>
          <w:szCs w:val="28"/>
          <w:lang w:eastAsia="zh-CN"/>
        </w:rPr>
      </w:pPr>
      <w:r>
        <w:rPr>
          <w:rFonts w:hint="eastAsia" w:eastAsiaTheme="minorEastAsia"/>
          <w:sz w:val="22"/>
          <w:szCs w:val="28"/>
          <w:lang w:eastAsia="zh-CN"/>
        </w:rPr>
        <w:drawing>
          <wp:inline distT="0" distB="0" distL="114300" distR="114300">
            <wp:extent cx="5266690" cy="3950335"/>
            <wp:effectExtent l="0" t="0" r="635" b="2540"/>
            <wp:docPr id="1" name="图片 1" descr="修改后的附表2_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修改后的附表2_03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9CB5E">
      <w:pPr>
        <w:spacing w:line="480" w:lineRule="auto"/>
        <w:rPr>
          <w:rFonts w:ascii="Arial" w:hAnsi="Arial" w:cs="Arial"/>
          <w:sz w:val="22"/>
          <w:szCs w:val="28"/>
          <w:shd w:val="clear" w:color="auto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>Figure S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>2</w:t>
      </w:r>
      <w:r>
        <w:rPr>
          <w:rFonts w:ascii="Arial" w:hAnsi="Arial" w:cs="Arial"/>
          <w:b/>
          <w:bCs/>
          <w:color w:val="auto"/>
          <w:sz w:val="22"/>
          <w:szCs w:val="28"/>
        </w:rPr>
        <w:t>.</w:t>
      </w:r>
      <w:r>
        <w:rPr>
          <w:rFonts w:hint="eastAsia" w:ascii="Arial" w:hAnsi="Arial" w:cs="Arial"/>
          <w:b/>
          <w:bCs/>
          <w:color w:val="auto"/>
          <w:sz w:val="22"/>
          <w:szCs w:val="28"/>
          <w:lang w:val="en-US" w:eastAsia="zh-CN"/>
        </w:rPr>
        <w:t xml:space="preserve"> </w:t>
      </w:r>
      <w:r>
        <w:rPr>
          <w:rFonts w:hint="eastAsia" w:ascii="Arial" w:hAnsi="Arial" w:cs="Arial"/>
          <w:sz w:val="22"/>
          <w:szCs w:val="28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8"/>
        </w:rPr>
        <w:t>Effects of DDP on HR repair and NHEJ DNA repair gene expression in A549 cells.</w:t>
      </w:r>
      <w:r>
        <w:rPr>
          <w:rFonts w:hint="eastAsia" w:ascii="Arial" w:hAnsi="Arial" w:cs="Arial"/>
          <w:sz w:val="22"/>
          <w:szCs w:val="28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8"/>
        </w:rPr>
        <w:t>A-B</w:t>
      </w:r>
      <w:r>
        <w:rPr>
          <w:rFonts w:hint="eastAsia" w:ascii="Arial" w:hAnsi="Arial" w:cs="Arial"/>
          <w:sz w:val="22"/>
          <w:szCs w:val="28"/>
        </w:rPr>
        <w:t xml:space="preserve"> Schematic Representation of DNA Repair Mechanisms. </w:t>
      </w:r>
      <w:r>
        <w:rPr>
          <w:rFonts w:hint="eastAsia" w:ascii="Arial" w:hAnsi="Arial" w:cs="Arial"/>
          <w:b/>
          <w:bCs/>
          <w:sz w:val="22"/>
          <w:szCs w:val="28"/>
        </w:rPr>
        <w:t>A</w:t>
      </w:r>
      <w:r>
        <w:rPr>
          <w:rFonts w:hint="eastAsia" w:ascii="Arial" w:hAnsi="Arial" w:cs="Arial"/>
          <w:sz w:val="22"/>
          <w:szCs w:val="28"/>
        </w:rPr>
        <w:t xml:space="preserve"> The diagram depicts HR repair </w:t>
      </w:r>
      <w:r>
        <w:rPr>
          <w:rFonts w:ascii="Arial" w:hAnsi="Arial" w:cs="Arial"/>
          <w:sz w:val="22"/>
          <w:szCs w:val="28"/>
        </w:rPr>
        <w:t>using</w:t>
      </w:r>
      <w:r>
        <w:rPr>
          <w:rFonts w:hint="eastAsia" w:ascii="Arial" w:hAnsi="Arial" w:cs="Arial"/>
          <w:sz w:val="22"/>
          <w:szCs w:val="28"/>
        </w:rPr>
        <w:t xml:space="preserve"> DR-GFP transgenes. </w:t>
      </w:r>
      <w:r>
        <w:rPr>
          <w:rFonts w:hint="eastAsia" w:ascii="Arial" w:hAnsi="Arial" w:cs="Arial"/>
          <w:b/>
          <w:bCs/>
          <w:sz w:val="22"/>
          <w:szCs w:val="28"/>
        </w:rPr>
        <w:t>B</w:t>
      </w:r>
      <w:r>
        <w:rPr>
          <w:rFonts w:hint="eastAsia" w:ascii="Arial" w:hAnsi="Arial" w:cs="Arial"/>
          <w:sz w:val="22"/>
          <w:szCs w:val="28"/>
        </w:rPr>
        <w:t xml:space="preserve"> The diagram illustrates NHEJ repair employing EJ5-GFP transgenes</w:t>
      </w:r>
      <w:r>
        <w:rPr>
          <w:rFonts w:ascii="Arial" w:hAnsi="Arial" w:cs="Arial"/>
          <w:sz w:val="22"/>
          <w:szCs w:val="28"/>
        </w:rPr>
        <w:t xml:space="preserve"> obtained</w:t>
      </w:r>
      <w:r>
        <w:rPr>
          <w:rFonts w:hint="eastAsia" w:ascii="Arial" w:hAnsi="Arial" w:cs="Arial"/>
          <w:sz w:val="22"/>
          <w:szCs w:val="28"/>
        </w:rPr>
        <w:t xml:space="preserve"> from Wu, L. (2013). Radiat Res, 179(2), 160−170. </w:t>
      </w:r>
      <w:r>
        <w:fldChar w:fldCharType="begin"/>
      </w:r>
      <w:r>
        <w:instrText xml:space="preserve">HYPERLINK "https://doi.org/10.1667/RR3034.1."</w:instrText>
      </w:r>
      <w:r>
        <w:fldChar w:fldCharType="separate"/>
      </w:r>
      <w:r>
        <w:rPr>
          <w:rStyle w:val="6"/>
          <w:rFonts w:hint="eastAsia" w:ascii="Arial" w:hAnsi="Arial" w:cs="Arial"/>
          <w:sz w:val="22"/>
          <w:szCs w:val="28"/>
        </w:rPr>
        <w:t>https://doi.org/10.1667/RR3034.1.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C</w:t>
      </w:r>
      <w:r>
        <w:rPr>
          <w:rFonts w:hint="eastAsia" w:ascii="Arial" w:hAnsi="Arial" w:cs="Arial"/>
          <w:sz w:val="22"/>
          <w:szCs w:val="28"/>
          <w:shd w:val="clear" w:color="auto"/>
        </w:rPr>
        <w:t> GFP intensity of A549 cells after the repair of I-SceI-induced DSBs via HR measured using DR-GFP assays. </w:t>
      </w:r>
      <w:r>
        <w:rPr>
          <w:rFonts w:ascii="Arial" w:hAnsi="Arial" w:cs="Arial"/>
          <w:sz w:val="22"/>
          <w:szCs w:val="28"/>
          <w:shd w:val="clear" w:color="auto"/>
        </w:rPr>
        <w:t>The c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ells were exposed to either a vehicle or 4 </w:t>
      </w:r>
      <w:r>
        <w:rPr>
          <w:rFonts w:ascii="Arial" w:hAnsi="Arial" w:cs="Arial"/>
          <w:sz w:val="22"/>
          <w:szCs w:val="28"/>
          <w:shd w:val="clear" w:color="auto"/>
        </w:rPr>
        <w:t>µ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M DDP. DDP/2h refers to A549 cells being stimulated with DDP for 2 hours, followed by drug removal.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D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 Analysis of </w:t>
      </w:r>
      <w:r>
        <w:rPr>
          <w:rFonts w:ascii="Arial" w:hAnsi="Arial" w:cs="Arial"/>
          <w:sz w:val="22"/>
          <w:szCs w:val="28"/>
          <w:shd w:val="clear" w:color="auto"/>
        </w:rPr>
        <w:t xml:space="preserve">the expression of the 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HR gene in A549 cells using qRT-PCR.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E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 Western blotting of BRCA1, RAD51</w:t>
      </w:r>
      <w:r>
        <w:rPr>
          <w:rFonts w:ascii="Arial" w:hAnsi="Arial" w:cs="Arial"/>
          <w:sz w:val="22"/>
          <w:szCs w:val="28"/>
          <w:shd w:val="clear" w:color="auto"/>
        </w:rPr>
        <w:t xml:space="preserve">, 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and PARP1 in A549 cells.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F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 CCK8 assay for measuring cell proliferation in A549 and A549/DR cells 72 hours after exposure to DDP.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G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 qRT-PCR was employed to measure the expression of HR genes in A549 and A549/DDP cells.</w:t>
      </w:r>
      <w:r>
        <w:rPr>
          <w:rFonts w:ascii="Arial" w:hAnsi="Arial" w:cs="Arial"/>
          <w:sz w:val="22"/>
          <w:szCs w:val="28"/>
          <w:shd w:val="clear" w:color="auto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H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 Western blotting was conducted to measure the expression of the related proteins in A549 and A549/DR cells. </w:t>
      </w:r>
      <w:r>
        <w:rPr>
          <w:rFonts w:hint="eastAsia" w:ascii="Arial" w:hAnsi="Arial" w:cs="Arial"/>
          <w:b/>
          <w:bCs/>
          <w:sz w:val="22"/>
          <w:szCs w:val="28"/>
          <w:shd w:val="clear" w:color="auto"/>
        </w:rPr>
        <w:t>I</w:t>
      </w:r>
      <w:r>
        <w:rPr>
          <w:rFonts w:hint="eastAsia" w:ascii="Arial" w:hAnsi="Arial" w:cs="Arial"/>
          <w:sz w:val="22"/>
          <w:szCs w:val="28"/>
          <w:shd w:val="clear" w:color="auto"/>
        </w:rPr>
        <w:t xml:space="preserve"> qRT-PCR was conducted to measure the mRNA expression levels of BRCA1, RAD51, and PARP1 in LCOs. </w:t>
      </w:r>
      <w:r>
        <w:rPr>
          <w:rFonts w:ascii="Arial" w:hAnsi="Arial" w:cs="Arial"/>
          <w:sz w:val="22"/>
          <w:szCs w:val="28"/>
          <w:shd w:val="clear" w:color="auto"/>
        </w:rPr>
        <w:t>*P&lt;0.05; ns, not significant.</w:t>
      </w:r>
    </w:p>
    <w:p w14:paraId="7E9347BF">
      <w:pPr>
        <w:rPr>
          <w:rFonts w:hint="eastAsia" w:eastAsiaTheme="minorEastAsia"/>
          <w:sz w:val="22"/>
          <w:szCs w:val="28"/>
          <w:lang w:eastAsia="zh-CN"/>
        </w:rPr>
      </w:pPr>
    </w:p>
    <w:p w14:paraId="1D57683B">
      <w:pPr>
        <w:rPr>
          <w:rFonts w:hint="eastAsia" w:eastAsiaTheme="minorEastAsia"/>
          <w:sz w:val="22"/>
          <w:szCs w:val="28"/>
          <w:lang w:eastAsia="zh-CN"/>
        </w:rPr>
      </w:pPr>
      <w:r>
        <w:rPr>
          <w:rFonts w:hint="eastAsia" w:eastAsiaTheme="minorEastAsia"/>
          <w:sz w:val="22"/>
          <w:szCs w:val="28"/>
          <w:lang w:eastAsia="zh-CN"/>
        </w:rPr>
        <w:drawing>
          <wp:inline distT="0" distB="0" distL="114300" distR="114300">
            <wp:extent cx="5269865" cy="4830445"/>
            <wp:effectExtent l="0" t="0" r="6985" b="8255"/>
            <wp:docPr id="2" name="图片 2" descr="附表3 2025012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表3 20250122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E095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b/>
          <w:bCs/>
          <w:sz w:val="22"/>
          <w:szCs w:val="22"/>
        </w:rPr>
        <w:t>Figure S3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hint="eastAsia" w:ascii="Arial" w:hAnsi="Arial" w:cs="Arial"/>
          <w:b/>
          <w:bCs/>
          <w:sz w:val="22"/>
          <w:szCs w:val="22"/>
        </w:rPr>
        <w:t xml:space="preserve"> Consistency verification of LCOs. A </w:t>
      </w:r>
      <w:r>
        <w:rPr>
          <w:rFonts w:hint="eastAsia" w:ascii="Arial" w:hAnsi="Arial" w:cs="Arial"/>
          <w:sz w:val="22"/>
          <w:szCs w:val="22"/>
        </w:rPr>
        <w:t xml:space="preserve">HE staining </w:t>
      </w:r>
      <w:r>
        <w:rPr>
          <w:rFonts w:ascii="Arial" w:hAnsi="Arial" w:cs="Arial"/>
          <w:sz w:val="22"/>
          <w:szCs w:val="22"/>
        </w:rPr>
        <w:t>for the</w:t>
      </w:r>
      <w:r>
        <w:rPr>
          <w:rFonts w:hint="eastAsia" w:ascii="Arial" w:hAnsi="Arial" w:cs="Arial"/>
          <w:sz w:val="22"/>
          <w:szCs w:val="22"/>
        </w:rPr>
        <w:t xml:space="preserve"> morphological consistency of LCOs and paired tumor. O, LCOs; T, patients</w:t>
      </w:r>
      <w:r>
        <w:rPr>
          <w:rFonts w:ascii="Arial" w:hAnsi="Arial" w:cs="Arial"/>
          <w:sz w:val="22"/>
          <w:szCs w:val="22"/>
        </w:rPr>
        <w:t xml:space="preserve">’ </w:t>
      </w:r>
      <w:r>
        <w:rPr>
          <w:rFonts w:hint="eastAsia" w:ascii="Arial" w:hAnsi="Arial" w:cs="Arial"/>
          <w:sz w:val="22"/>
          <w:szCs w:val="22"/>
        </w:rPr>
        <w:t xml:space="preserve">primary specimens, Scale </w:t>
      </w:r>
      <w:r>
        <w:rPr>
          <w:rFonts w:ascii="Arial" w:hAnsi="Arial" w:cs="Arial"/>
          <w:sz w:val="22"/>
          <w:szCs w:val="22"/>
        </w:rPr>
        <w:t xml:space="preserve">bar = 25 μm. </w:t>
      </w:r>
      <w:r>
        <w:rPr>
          <w:rFonts w:hint="eastAsia" w:ascii="Arial" w:hAnsi="Arial" w:cs="Arial"/>
          <w:sz w:val="22"/>
          <w:szCs w:val="22"/>
        </w:rPr>
        <w:t xml:space="preserve">P1 to P6 represent NSCLC patients 1 to 6. </w:t>
      </w:r>
      <w:r>
        <w:rPr>
          <w:rFonts w:ascii="Arial" w:hAnsi="Arial" w:cs="Arial"/>
          <w:b/>
          <w:bCs/>
          <w:sz w:val="22"/>
          <w:szCs w:val="22"/>
        </w:rPr>
        <w:t xml:space="preserve">B </w:t>
      </w:r>
      <w:r>
        <w:rPr>
          <w:rFonts w:ascii="Arial" w:hAnsi="Arial" w:cs="Arial"/>
          <w:sz w:val="22"/>
          <w:szCs w:val="22"/>
        </w:rPr>
        <w:t>The incidence rates of various point mutations in the organoid cultures (LCOs) and their corresponding tumor samples</w:t>
      </w:r>
      <w:r>
        <w:rPr>
          <w:rFonts w:ascii="Arial" w:hAnsi="Arial" w:cs="Arial"/>
          <w:b/>
          <w:bCs/>
          <w:sz w:val="22"/>
          <w:szCs w:val="22"/>
        </w:rPr>
        <w:t xml:space="preserve">. C </w:t>
      </w:r>
      <w:r>
        <w:rPr>
          <w:rFonts w:ascii="Arial" w:hAnsi="Arial" w:cs="Arial"/>
          <w:sz w:val="22"/>
          <w:szCs w:val="22"/>
        </w:rPr>
        <w:t xml:space="preserve">The tumor mutational burden (TMB) was measured for the organoids and matched tumor tissues. </w:t>
      </w:r>
      <w:r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The high-frequency mutations in organoid lines (O) and the corresponding tissues (T). </w:t>
      </w:r>
      <w:r>
        <w:rPr>
          <w:rFonts w:ascii="Arial" w:hAnsi="Arial" w:cs="Arial"/>
          <w:b/>
          <w:bCs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 xml:space="preserve">Heatmap of CNVs in oncogenes. Gene copy numbers are transformed as log2 ratios per gene. </w:t>
      </w:r>
    </w:p>
    <w:p w14:paraId="275BBFC4">
      <w:pPr>
        <w:rPr>
          <w:rFonts w:hint="eastAsia" w:eastAsiaTheme="minorEastAsia"/>
          <w:sz w:val="22"/>
          <w:szCs w:val="28"/>
          <w:lang w:eastAsia="zh-CN"/>
        </w:rPr>
      </w:pPr>
    </w:p>
    <w:p w14:paraId="0BA97EE6">
      <w:pPr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0" distR="0">
            <wp:extent cx="5274310" cy="2966720"/>
            <wp:effectExtent l="0" t="0" r="2540" b="5080"/>
            <wp:docPr id="18000611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6116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C3E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S4. </w:t>
      </w:r>
      <w:r>
        <w:rPr>
          <w:rFonts w:hint="eastAsia" w:ascii="Arial" w:hAnsi="Arial" w:cs="Arial"/>
          <w:sz w:val="22"/>
          <w:szCs w:val="22"/>
        </w:rPr>
        <w:t xml:space="preserve">ATP </w:t>
      </w:r>
      <w:r>
        <w:rPr>
          <w:rFonts w:ascii="Arial" w:hAnsi="Arial" w:cs="Arial"/>
          <w:sz w:val="22"/>
          <w:szCs w:val="22"/>
        </w:rPr>
        <w:t>a</w:t>
      </w:r>
      <w:r>
        <w:rPr>
          <w:rFonts w:hint="eastAsia" w:ascii="Arial" w:hAnsi="Arial" w:cs="Arial"/>
          <w:sz w:val="22"/>
          <w:szCs w:val="22"/>
        </w:rPr>
        <w:t xml:space="preserve">ssay </w:t>
      </w:r>
      <w:r>
        <w:rPr>
          <w:rFonts w:ascii="Arial" w:hAnsi="Arial" w:cs="Arial"/>
          <w:sz w:val="22"/>
          <w:szCs w:val="22"/>
        </w:rPr>
        <w:t>a</w:t>
      </w:r>
      <w:r>
        <w:rPr>
          <w:rFonts w:hint="eastAsia" w:ascii="Arial" w:hAnsi="Arial" w:cs="Arial"/>
          <w:sz w:val="22"/>
          <w:szCs w:val="22"/>
        </w:rPr>
        <w:t xml:space="preserve">nalysis of the </w:t>
      </w:r>
      <w:r>
        <w:rPr>
          <w:rFonts w:ascii="Arial" w:hAnsi="Arial" w:cs="Arial"/>
          <w:sz w:val="22"/>
          <w:szCs w:val="22"/>
        </w:rPr>
        <w:t>effect</w:t>
      </w:r>
      <w:r>
        <w:rPr>
          <w:rFonts w:hint="eastAsia" w:ascii="Arial" w:hAnsi="Arial" w:cs="Arial"/>
          <w:sz w:val="22"/>
          <w:szCs w:val="22"/>
        </w:rPr>
        <w:t xml:space="preserve"> of 72-</w:t>
      </w:r>
      <w:r>
        <w:rPr>
          <w:rFonts w:ascii="Arial" w:hAnsi="Arial" w:cs="Arial"/>
          <w:sz w:val="22"/>
          <w:szCs w:val="22"/>
        </w:rPr>
        <w:t>h</w:t>
      </w:r>
      <w:r>
        <w:rPr>
          <w:rFonts w:hint="eastAsia" w:ascii="Arial" w:hAnsi="Arial" w:cs="Arial"/>
          <w:sz w:val="22"/>
          <w:szCs w:val="22"/>
        </w:rPr>
        <w:t xml:space="preserve">our </w:t>
      </w:r>
      <w:r>
        <w:rPr>
          <w:rFonts w:ascii="Arial" w:hAnsi="Arial" w:cs="Arial"/>
          <w:sz w:val="22"/>
          <w:szCs w:val="22"/>
        </w:rPr>
        <w:t>t</w:t>
      </w:r>
      <w:r>
        <w:rPr>
          <w:rFonts w:hint="eastAsia" w:ascii="Arial" w:hAnsi="Arial" w:cs="Arial"/>
          <w:sz w:val="22"/>
          <w:szCs w:val="22"/>
        </w:rPr>
        <w:t xml:space="preserve">reatment </w:t>
      </w:r>
      <w:r>
        <w:rPr>
          <w:rFonts w:ascii="Arial" w:hAnsi="Arial" w:cs="Arial"/>
          <w:sz w:val="22"/>
          <w:szCs w:val="22"/>
        </w:rPr>
        <w:t xml:space="preserve">with </w:t>
      </w:r>
      <w:r>
        <w:rPr>
          <w:rFonts w:hint="eastAsia" w:ascii="Arial" w:hAnsi="Arial" w:cs="Arial"/>
          <w:sz w:val="22"/>
          <w:szCs w:val="22"/>
        </w:rPr>
        <w:t>DDP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eastAsia" w:ascii="Arial" w:hAnsi="Arial" w:cs="Arial"/>
          <w:sz w:val="22"/>
          <w:szCs w:val="22"/>
        </w:rPr>
        <w:t xml:space="preserve">on the </w:t>
      </w:r>
      <w:r>
        <w:rPr>
          <w:rFonts w:ascii="Arial" w:hAnsi="Arial" w:cs="Arial"/>
          <w:sz w:val="22"/>
          <w:szCs w:val="22"/>
        </w:rPr>
        <w:t>v</w:t>
      </w:r>
      <w:r>
        <w:rPr>
          <w:rFonts w:hint="eastAsia" w:ascii="Arial" w:hAnsi="Arial" w:cs="Arial"/>
          <w:sz w:val="22"/>
          <w:szCs w:val="22"/>
        </w:rPr>
        <w:t>iability of LCO1-6</w:t>
      </w:r>
      <w:r>
        <w:rPr>
          <w:rFonts w:ascii="Arial" w:hAnsi="Arial" w:cs="Arial"/>
          <w:sz w:val="22"/>
          <w:szCs w:val="22"/>
        </w:rPr>
        <w:t>, and</w:t>
      </w:r>
      <w:r>
        <w:rPr>
          <w:rFonts w:hint="eastAsia" w:ascii="Arial" w:hAnsi="Arial" w:cs="Arial"/>
          <w:sz w:val="22"/>
          <w:szCs w:val="22"/>
        </w:rPr>
        <w:t xml:space="preserve"> IC50 values for DDP </w:t>
      </w:r>
      <w:r>
        <w:rPr>
          <w:rFonts w:ascii="Arial" w:hAnsi="Arial" w:cs="Arial"/>
          <w:sz w:val="22"/>
          <w:szCs w:val="22"/>
        </w:rPr>
        <w:t>in</w:t>
      </w:r>
      <w:r>
        <w:rPr>
          <w:rFonts w:hint="eastAsia" w:ascii="Arial" w:hAnsi="Arial" w:cs="Arial"/>
          <w:sz w:val="22"/>
          <w:szCs w:val="22"/>
        </w:rPr>
        <w:t xml:space="preserve"> LCO1-6.</w:t>
      </w:r>
    </w:p>
    <w:p w14:paraId="291D0E36">
      <w:pPr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0" distR="0">
            <wp:extent cx="5274310" cy="4394835"/>
            <wp:effectExtent l="0" t="0" r="2540" b="5715"/>
            <wp:docPr id="17744763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76312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44B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b/>
          <w:bCs/>
          <w:sz w:val="22"/>
          <w:szCs w:val="22"/>
        </w:rPr>
        <w:t>Figure S5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hint="eastAsia"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Prediction of the clinical response to </w:t>
      </w:r>
      <w:r>
        <w:rPr>
          <w:rFonts w:hint="eastAsia" w:ascii="Arial" w:hAnsi="Arial" w:cs="Arial"/>
          <w:b/>
          <w:bCs/>
          <w:sz w:val="22"/>
          <w:szCs w:val="22"/>
        </w:rPr>
        <w:t>DDP</w:t>
      </w:r>
      <w:r>
        <w:rPr>
          <w:rFonts w:ascii="Arial" w:hAnsi="Arial" w:cs="Arial"/>
          <w:b/>
          <w:bCs/>
          <w:sz w:val="22"/>
          <w:szCs w:val="22"/>
        </w:rPr>
        <w:t xml:space="preserve"> using LCO models</w:t>
      </w:r>
      <w:r>
        <w:rPr>
          <w:rFonts w:hint="eastAsia"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Patient #1 was diagnosed with stage IA2 lung cancer and experienced tumor progression after treatment with </w:t>
      </w:r>
      <w:r>
        <w:rPr>
          <w:rFonts w:hint="eastAsia" w:ascii="Arial" w:hAnsi="Arial" w:cs="Arial"/>
          <w:sz w:val="22"/>
          <w:szCs w:val="22"/>
        </w:rPr>
        <w:t>DDP</w:t>
      </w:r>
      <w:r>
        <w:rPr>
          <w:rFonts w:ascii="Arial" w:hAnsi="Arial" w:cs="Arial"/>
          <w:sz w:val="22"/>
          <w:szCs w:val="22"/>
        </w:rPr>
        <w:t xml:space="preserve">. Thereafter, drug sensitivity test with LCO1 showed resistance to </w:t>
      </w:r>
      <w:r>
        <w:rPr>
          <w:rFonts w:hint="eastAsia" w:ascii="Arial" w:hAnsi="Arial" w:cs="Arial"/>
          <w:sz w:val="22"/>
          <w:szCs w:val="22"/>
        </w:rPr>
        <w:t>DDP</w:t>
      </w:r>
      <w:r>
        <w:rPr>
          <w:rFonts w:ascii="Arial" w:hAnsi="Arial" w:cs="Arial"/>
          <w:sz w:val="22"/>
          <w:szCs w:val="22"/>
        </w:rPr>
        <w:t>. Patient #</w:t>
      </w:r>
      <w:r>
        <w:rPr>
          <w:rFonts w:hint="eastAsia"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was diagnosed with stage IIB lung cancer and achieved significant lesion size reduction after treatment with </w:t>
      </w:r>
      <w:r>
        <w:rPr>
          <w:rFonts w:hint="eastAsia" w:ascii="Arial" w:hAnsi="Arial" w:cs="Arial"/>
          <w:sz w:val="22"/>
          <w:szCs w:val="22"/>
        </w:rPr>
        <w:t>DDP</w:t>
      </w:r>
      <w:r>
        <w:rPr>
          <w:rFonts w:ascii="Arial" w:hAnsi="Arial" w:cs="Arial"/>
          <w:sz w:val="22"/>
          <w:szCs w:val="22"/>
        </w:rPr>
        <w:t xml:space="preserve">. Drug sensitivity tests revealed a strong positive response to DDP. The red circles in the images highlight the tumor areas before and after chemotherapy, as demonstrated by enhanced CT scans. </w:t>
      </w:r>
    </w:p>
    <w:p w14:paraId="2E6D96D6"/>
    <w:p w14:paraId="59C480CE">
      <w:r>
        <w:drawing>
          <wp:inline distT="0" distB="0" distL="114300" distR="114300">
            <wp:extent cx="5272405" cy="6011545"/>
            <wp:effectExtent l="0" t="0" r="4445" b="825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37754">
      <w:pPr>
        <w:spacing w:line="480" w:lineRule="auto"/>
        <w:rPr>
          <w:rFonts w:hint="eastAsia"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</w:rPr>
        <w:t>Figure S</w:t>
      </w:r>
      <w:r>
        <w:rPr>
          <w:rFonts w:hint="eastAsia" w:ascii="Arial" w:hAnsi="Arial" w:cs="Arial"/>
          <w:b/>
          <w:bCs/>
          <w:sz w:val="22"/>
          <w:szCs w:val="28"/>
        </w:rPr>
        <w:t>6</w:t>
      </w:r>
      <w:r>
        <w:rPr>
          <w:rFonts w:ascii="Arial" w:hAnsi="Arial" w:cs="Arial"/>
          <w:b/>
          <w:bCs/>
          <w:sz w:val="22"/>
          <w:szCs w:val="28"/>
        </w:rPr>
        <w:t xml:space="preserve">. </w:t>
      </w:r>
      <w:r>
        <w:rPr>
          <w:rFonts w:ascii="Arial" w:hAnsi="Arial" w:cs="Arial"/>
          <w:sz w:val="22"/>
          <w:szCs w:val="28"/>
        </w:rPr>
        <w:t>Immunohistochemical analysis of γ-H2AX expression in LCOs at a magnification of 200X.</w:t>
      </w:r>
      <w:r>
        <w:rPr>
          <w:rFonts w:hint="eastAsia" w:ascii="Arial" w:hAnsi="Arial" w:cs="Arial"/>
          <w:sz w:val="22"/>
          <w:szCs w:val="28"/>
        </w:rPr>
        <w:t xml:space="preserve"> LCO2-3 were derived from DDP-resistant patients, while LCO5-6 from DDP-sensitive patients.</w:t>
      </w:r>
    </w:p>
    <w:p w14:paraId="0C80B07D">
      <w:pPr>
        <w:spacing w:line="480" w:lineRule="auto"/>
        <w:rPr>
          <w:rFonts w:hint="eastAsia" w:ascii="Arial" w:hAnsi="Arial" w:cs="Arial"/>
          <w:sz w:val="22"/>
          <w:szCs w:val="28"/>
        </w:rPr>
      </w:pPr>
    </w:p>
    <w:p w14:paraId="25532DDD">
      <w:pPr>
        <w:spacing w:line="480" w:lineRule="auto"/>
        <w:rPr>
          <w:rFonts w:hint="eastAsia" w:ascii="Arial" w:hAnsi="Arial" w:cs="Arial" w:eastAsiaTheme="minorEastAsia"/>
          <w:sz w:val="22"/>
          <w:szCs w:val="28"/>
          <w:lang w:eastAsia="zh-CN"/>
        </w:rPr>
      </w:pPr>
      <w:r>
        <w:rPr>
          <w:rFonts w:hint="eastAsia" w:ascii="Arial" w:hAnsi="Arial" w:cs="Arial" w:eastAsiaTheme="minorEastAsia"/>
          <w:sz w:val="22"/>
          <w:szCs w:val="28"/>
          <w:lang w:eastAsia="zh-CN"/>
        </w:rPr>
        <w:drawing>
          <wp:inline distT="0" distB="0" distL="114300" distR="114300">
            <wp:extent cx="5266690" cy="2332355"/>
            <wp:effectExtent l="0" t="0" r="635" b="1270"/>
            <wp:docPr id="4" name="图片 4" descr="修改后的附表 7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修改后的附表 7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8ED018">
      <w:pPr>
        <w:shd w:val="clear" w:color="auto"/>
        <w:spacing w:line="48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>Figure S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>7</w:t>
      </w:r>
      <w:r>
        <w:rPr>
          <w:rFonts w:hint="eastAsia" w:ascii="Arial" w:hAnsi="Arial" w:cs="Arial"/>
          <w:b/>
          <w:bCs/>
          <w:color w:val="auto"/>
          <w:sz w:val="22"/>
          <w:szCs w:val="28"/>
          <w:lang w:val="en-US" w:eastAsia="zh-CN"/>
        </w:rPr>
        <w:t>.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 xml:space="preserve"> </w:t>
      </w:r>
      <w:r>
        <w:rPr>
          <w:rFonts w:hint="eastAsia" w:ascii="Arial" w:hAnsi="Arial" w:cs="Arial"/>
          <w:b/>
          <w:bCs/>
          <w:color w:val="FF0000"/>
          <w:sz w:val="22"/>
          <w:szCs w:val="28"/>
          <w:lang w:val="en-US" w:eastAsia="zh-CN"/>
        </w:rPr>
        <w:t xml:space="preserve"> </w:t>
      </w:r>
      <w:r>
        <w:rPr>
          <w:rFonts w:hint="eastAsia" w:ascii="Arial" w:hAnsi="Arial" w:cs="Arial"/>
          <w:sz w:val="22"/>
          <w:szCs w:val="28"/>
        </w:rPr>
        <w:t xml:space="preserve">Association of KU80/kU70 expression with </w:t>
      </w:r>
      <w:r>
        <w:rPr>
          <w:rFonts w:hint="eastAsia" w:ascii="Arial" w:hAnsi="Arial" w:cs="Arial"/>
          <w:sz w:val="24"/>
        </w:rPr>
        <w:t>DDP</w:t>
      </w:r>
      <w:r>
        <w:rPr>
          <w:rFonts w:hint="eastAsia" w:ascii="Arial" w:hAnsi="Arial" w:cs="Arial"/>
          <w:sz w:val="22"/>
          <w:szCs w:val="28"/>
        </w:rPr>
        <w:t xml:space="preserve"> resistance and clinical outcomes in lung cancer. </w:t>
      </w:r>
      <w:r>
        <w:rPr>
          <w:rFonts w:hint="eastAsia" w:ascii="Arial" w:hAnsi="Arial" w:cs="Arial"/>
          <w:b/>
          <w:bCs/>
          <w:sz w:val="22"/>
          <w:szCs w:val="28"/>
        </w:rPr>
        <w:t>A</w:t>
      </w:r>
      <w:r>
        <w:rPr>
          <w:rFonts w:hint="eastAsia" w:ascii="Arial" w:hAnsi="Arial" w:cs="Arial"/>
          <w:sz w:val="22"/>
          <w:szCs w:val="28"/>
        </w:rPr>
        <w:t xml:space="preserve"> IHC intensity of KU70 and KU80 in DDP-sensitive tumors and DDP-resistant tumors (n=30). </w:t>
      </w:r>
      <w:r>
        <w:rPr>
          <w:rFonts w:hint="eastAsia" w:ascii="Arial" w:hAnsi="Arial" w:cs="Arial"/>
          <w:b/>
          <w:bCs/>
          <w:sz w:val="22"/>
          <w:szCs w:val="28"/>
        </w:rPr>
        <w:t>B</w:t>
      </w:r>
      <w:r>
        <w:rPr>
          <w:rFonts w:hint="eastAsia"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>In the Kaplan-Meier curve,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dotted line indicates the 95% CI.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HR,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hazard ratio.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KU80,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protein product of the XRCC5 gene,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which may not be directly searchable in some databases.</w:t>
      </w:r>
    </w:p>
    <w:p w14:paraId="67E03C18">
      <w:pPr>
        <w:spacing w:line="480" w:lineRule="auto"/>
        <w:rPr>
          <w:rFonts w:hint="eastAsia" w:ascii="Arial" w:hAnsi="Arial" w:cs="Arial"/>
          <w:sz w:val="22"/>
          <w:szCs w:val="28"/>
          <w:lang w:eastAsia="zh-CN"/>
        </w:rPr>
      </w:pPr>
    </w:p>
    <w:p w14:paraId="3460F110">
      <w:pPr>
        <w:spacing w:line="480" w:lineRule="auto"/>
        <w:rPr>
          <w:rFonts w:hint="eastAsia" w:ascii="Arial" w:hAnsi="Arial" w:cs="Arial"/>
          <w:sz w:val="22"/>
          <w:szCs w:val="28"/>
          <w:lang w:eastAsia="zh-CN"/>
        </w:rPr>
      </w:pPr>
    </w:p>
    <w:p w14:paraId="304F5517">
      <w:pPr>
        <w:spacing w:line="48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drawing>
          <wp:inline distT="0" distB="0" distL="0" distR="0">
            <wp:extent cx="5274310" cy="3956050"/>
            <wp:effectExtent l="0" t="0" r="2540" b="6350"/>
            <wp:docPr id="43007584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75848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BE3F9">
      <w:pPr>
        <w:shd w:val="clear" w:color="auto"/>
        <w:spacing w:line="48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>Figure S8</w:t>
      </w:r>
      <w:r>
        <w:rPr>
          <w:rFonts w:hint="eastAsia" w:ascii="Arial" w:hAnsi="Arial" w:cs="Arial"/>
          <w:b/>
          <w:bCs/>
          <w:color w:val="auto"/>
          <w:sz w:val="22"/>
          <w:szCs w:val="28"/>
          <w:lang w:val="en-US" w:eastAsia="zh-CN"/>
        </w:rPr>
        <w:t>.</w:t>
      </w:r>
      <w:r>
        <w:rPr>
          <w:rFonts w:ascii="Arial" w:hAnsi="Arial" w:cs="Arial"/>
          <w:b/>
          <w:bCs/>
          <w:sz w:val="22"/>
          <w:szCs w:val="28"/>
        </w:rPr>
        <w:t xml:space="preserve"> Immunohistochemical Analysis of p-P65/P65 Expression in Treatment-Resistant and Treatment-Sensitive Lung Cancer. A-B </w:t>
      </w:r>
      <w:r>
        <w:rPr>
          <w:rFonts w:ascii="Arial" w:hAnsi="Arial" w:cs="Arial"/>
          <w:sz w:val="22"/>
          <w:szCs w:val="28"/>
        </w:rPr>
        <w:t xml:space="preserve">Representative immunohistochemical staining of p-P65 in lung cancer tissues, comparing treatment-resistant and treatment-sensitive cases (Scale bars: 200X). </w:t>
      </w:r>
      <w:r>
        <w:rPr>
          <w:rFonts w:ascii="Arial" w:hAnsi="Arial" w:cs="Arial"/>
          <w:b/>
          <w:bCs/>
          <w:sz w:val="22"/>
          <w:szCs w:val="28"/>
        </w:rPr>
        <w:t xml:space="preserve">C-D </w:t>
      </w:r>
      <w:r>
        <w:rPr>
          <w:rFonts w:ascii="Arial" w:hAnsi="Arial" w:cs="Arial"/>
          <w:sz w:val="22"/>
          <w:szCs w:val="28"/>
        </w:rPr>
        <w:t>Quantitative assessment of the expression levels of p-P65 (C) and total P65 (D), measured by relative fluorescence intensity.</w:t>
      </w:r>
      <w:r>
        <w:t xml:space="preserve"> </w:t>
      </w:r>
      <w:r>
        <w:rPr>
          <w:rFonts w:ascii="Arial" w:hAnsi="Arial" w:cs="Arial"/>
          <w:sz w:val="22"/>
          <w:szCs w:val="28"/>
        </w:rPr>
        <w:t>***P&lt;0.001; ns, not significant.</w:t>
      </w:r>
    </w:p>
    <w:p w14:paraId="3C9BAD9A">
      <w:pPr>
        <w:spacing w:line="480" w:lineRule="auto"/>
        <w:rPr>
          <w:rFonts w:hint="eastAsia" w:ascii="Arial" w:hAnsi="Arial" w:cs="Arial"/>
          <w:sz w:val="22"/>
          <w:szCs w:val="28"/>
          <w:lang w:eastAsia="zh-CN"/>
        </w:rPr>
      </w:pPr>
    </w:p>
    <w:p w14:paraId="0D7F0C5A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2"/>
        </w:rPr>
        <w:drawing>
          <wp:inline distT="0" distB="0" distL="0" distR="0">
            <wp:extent cx="5274310" cy="2966720"/>
            <wp:effectExtent l="0" t="0" r="2540" b="5080"/>
            <wp:docPr id="8522556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5567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auto"/>
          <w:sz w:val="22"/>
          <w:szCs w:val="28"/>
        </w:rPr>
        <w:t>Figure S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>9</w:t>
      </w:r>
      <w:r>
        <w:rPr>
          <w:rFonts w:ascii="Arial" w:hAnsi="Arial" w:cs="Arial"/>
          <w:b/>
          <w:bCs/>
          <w:color w:val="auto"/>
          <w:sz w:val="22"/>
          <w:szCs w:val="28"/>
        </w:rPr>
        <w:t>.</w:t>
      </w:r>
      <w:r>
        <w:rPr>
          <w:rFonts w:hint="eastAsia" w:ascii="Arial" w:hAnsi="Arial" w:cs="Arial"/>
          <w:b/>
          <w:bCs/>
          <w:color w:val="auto"/>
          <w:sz w:val="22"/>
          <w:szCs w:val="28"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8"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8"/>
        </w:rPr>
        <w:t>Protein expression analysis by western blotting. A</w:t>
      </w:r>
      <w:r>
        <w:rPr>
          <w:rFonts w:hint="eastAsia" w:ascii="Arial" w:hAnsi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Western blotting for KU70, KU80,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phosphorylated DNA-PKcs in A549/DR cells transduced with or without p65 shRNA.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2"/>
        </w:rPr>
        <w:t>B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Western blotting was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conducted for KU70, KU80, and phosphorylated DNA-PKcs in samples pretreated with inhibitors of NF-kB nuclear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translocation.</w:t>
      </w:r>
    </w:p>
    <w:p w14:paraId="715E04B4">
      <w:pPr>
        <w:spacing w:line="480" w:lineRule="auto"/>
      </w:pPr>
      <w:r>
        <w:drawing>
          <wp:inline distT="0" distB="0" distL="0" distR="0">
            <wp:extent cx="5274310" cy="5026660"/>
            <wp:effectExtent l="0" t="0" r="2540" b="2540"/>
            <wp:docPr id="9219273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27317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8170B">
      <w:pPr>
        <w:spacing w:line="48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>Figure S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 xml:space="preserve">10. </w:t>
      </w:r>
      <w:r>
        <w:rPr>
          <w:rFonts w:ascii="Arial" w:hAnsi="Arial" w:cs="Arial"/>
          <w:b/>
          <w:bCs/>
          <w:color w:val="auto"/>
          <w:sz w:val="22"/>
          <w:szCs w:val="22"/>
        </w:rPr>
        <w:t>RT-PCR was employed to measure the mRNA expression levels of stemness-related genes in LCO1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-3</w:t>
      </w:r>
      <w:r>
        <w:rPr>
          <w:rFonts w:ascii="Arial" w:hAnsi="Arial" w:cs="Arial"/>
          <w:b/>
          <w:bCs/>
          <w:color w:val="auto"/>
          <w:sz w:val="22"/>
          <w:szCs w:val="22"/>
        </w:rPr>
        <w:t>(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A</w:t>
      </w:r>
      <w:r>
        <w:rPr>
          <w:rFonts w:ascii="Arial" w:hAnsi="Arial" w:cs="Arial"/>
          <w:b/>
          <w:bCs/>
          <w:color w:val="auto"/>
          <w:sz w:val="22"/>
          <w:szCs w:val="22"/>
        </w:rPr>
        <w:t>) and DNA repair-related genes in LCO1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-3</w:t>
      </w:r>
      <w:r>
        <w:rPr>
          <w:rFonts w:ascii="Arial" w:hAnsi="Arial" w:cs="Arial"/>
          <w:b/>
          <w:bCs/>
          <w:color w:val="auto"/>
          <w:sz w:val="22"/>
          <w:szCs w:val="22"/>
        </w:rPr>
        <w:t>(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B</w:t>
      </w:r>
      <w:r>
        <w:rPr>
          <w:rFonts w:ascii="Arial" w:hAnsi="Arial" w:cs="Arial"/>
          <w:b/>
          <w:bCs/>
          <w:color w:val="auto"/>
          <w:sz w:val="22"/>
          <w:szCs w:val="22"/>
        </w:rPr>
        <w:t>).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Fonts w:hint="eastAsia" w:ascii="Arial" w:hAnsi="Arial" w:cs="Arial"/>
          <w:color w:val="auto"/>
          <w:sz w:val="22"/>
          <w:szCs w:val="22"/>
        </w:rPr>
        <w:t>LCOs</w:t>
      </w:r>
      <w:r>
        <w:rPr>
          <w:rFonts w:ascii="Arial" w:hAnsi="Arial" w:cs="Arial"/>
          <w:color w:val="auto"/>
          <w:sz w:val="22"/>
          <w:szCs w:val="22"/>
        </w:rPr>
        <w:t xml:space="preserve"> cells were transduced either without (Vector) or with </w:t>
      </w:r>
      <w:r>
        <w:rPr>
          <w:rFonts w:hint="eastAsia" w:ascii="Arial" w:hAnsi="Arial" w:cs="Arial"/>
          <w:color w:val="auto"/>
          <w:sz w:val="22"/>
          <w:szCs w:val="22"/>
        </w:rPr>
        <w:t>p</w:t>
      </w:r>
      <w:r>
        <w:rPr>
          <w:rFonts w:ascii="Arial" w:hAnsi="Arial" w:cs="Arial"/>
          <w:color w:val="auto"/>
          <w:sz w:val="22"/>
          <w:szCs w:val="22"/>
        </w:rPr>
        <w:t xml:space="preserve">300 shRNA, or pretreated with </w:t>
      </w:r>
      <w:r>
        <w:rPr>
          <w:rFonts w:hint="eastAsia" w:ascii="Arial" w:hAnsi="Arial" w:cs="Arial"/>
          <w:color w:val="auto"/>
          <w:sz w:val="22"/>
          <w:szCs w:val="22"/>
        </w:rPr>
        <w:t>p</w:t>
      </w:r>
      <w:r>
        <w:rPr>
          <w:rFonts w:ascii="Arial" w:hAnsi="Arial" w:cs="Arial"/>
          <w:color w:val="auto"/>
          <w:sz w:val="22"/>
          <w:szCs w:val="22"/>
        </w:rPr>
        <w:t>300 inhibitors (C646 or anacardic acid [AA]), considering DMSO as the negative control.</w:t>
      </w:r>
      <w:r>
        <w:rPr>
          <w:rFonts w:hint="eastAsia"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*P&lt;0.05; **P&lt;0.01; ***P&lt;0.001; ns, not significant.</w:t>
      </w:r>
    </w:p>
    <w:p w14:paraId="481E8B15">
      <w:pPr>
        <w:spacing w:line="480" w:lineRule="auto"/>
      </w:pPr>
      <w:r>
        <w:drawing>
          <wp:inline distT="0" distB="0" distL="0" distR="0">
            <wp:extent cx="5274310" cy="2966720"/>
            <wp:effectExtent l="0" t="0" r="2540" b="5080"/>
            <wp:docPr id="197967046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70464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E922A">
      <w:pPr>
        <w:spacing w:line="48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</w:rPr>
        <w:t>Figure S</w:t>
      </w:r>
      <w:r>
        <w:rPr>
          <w:rFonts w:hint="eastAsia" w:ascii="Arial" w:hAnsi="Arial" w:cs="Arial"/>
          <w:b/>
          <w:bCs/>
          <w:sz w:val="22"/>
          <w:szCs w:val="28"/>
        </w:rPr>
        <w:t>11</w:t>
      </w:r>
      <w:r>
        <w:rPr>
          <w:rFonts w:ascii="Arial" w:hAnsi="Arial" w:cs="Arial"/>
          <w:b/>
          <w:bCs/>
          <w:sz w:val="22"/>
          <w:szCs w:val="28"/>
        </w:rPr>
        <w:t xml:space="preserve">. The effect of KU80 on NHEJ and NF-κB activity. </w:t>
      </w:r>
      <w:r>
        <w:rPr>
          <w:rFonts w:ascii="Arial" w:hAnsi="Arial" w:cs="Arial"/>
          <w:sz w:val="22"/>
          <w:szCs w:val="28"/>
        </w:rPr>
        <w:t>A-B A549/DR cells were transduced with or without</w:t>
      </w:r>
      <w:r>
        <w:rPr>
          <w:rFonts w:hint="eastAsia"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sz w:val="22"/>
          <w:szCs w:val="28"/>
        </w:rPr>
        <w:t xml:space="preserve">(vector) shRNA for KU80. </w:t>
      </w:r>
      <w:r>
        <w:rPr>
          <w:rFonts w:ascii="Arial" w:hAnsi="Arial" w:cs="Arial"/>
          <w:b/>
          <w:bCs/>
          <w:sz w:val="22"/>
          <w:szCs w:val="28"/>
        </w:rPr>
        <w:t>A</w:t>
      </w:r>
      <w:r>
        <w:rPr>
          <w:rFonts w:ascii="Arial" w:hAnsi="Arial" w:cs="Arial"/>
          <w:sz w:val="22"/>
          <w:szCs w:val="28"/>
        </w:rPr>
        <w:t xml:space="preserve"> The intensity of GFP in OR cells repaired by NHEJ, measured using EJ5-GFP reporter assays. </w:t>
      </w:r>
      <w:r>
        <w:rPr>
          <w:rFonts w:ascii="Arial" w:hAnsi="Arial" w:cs="Arial"/>
          <w:b/>
          <w:bCs/>
          <w:sz w:val="22"/>
          <w:szCs w:val="28"/>
        </w:rPr>
        <w:t>B</w:t>
      </w:r>
      <w:r>
        <w:rPr>
          <w:rFonts w:ascii="Arial" w:hAnsi="Arial" w:cs="Arial"/>
          <w:sz w:val="22"/>
          <w:szCs w:val="28"/>
        </w:rPr>
        <w:t xml:space="preserve"> Luciferase reporter assays showing NF-kB activity. ns, not significant.</w:t>
      </w:r>
    </w:p>
    <w:p w14:paraId="06432F1B">
      <w:pPr>
        <w:spacing w:line="480" w:lineRule="auto"/>
        <w:rPr>
          <w:rFonts w:ascii="Arial" w:hAnsi="Arial" w:cs="Arial"/>
          <w:sz w:val="22"/>
          <w:szCs w:val="28"/>
        </w:rPr>
      </w:pPr>
    </w:p>
    <w:p w14:paraId="22688677">
      <w:pPr>
        <w:spacing w:line="480" w:lineRule="auto"/>
      </w:pPr>
      <w:r>
        <w:drawing>
          <wp:inline distT="0" distB="0" distL="0" distR="0">
            <wp:extent cx="5274310" cy="3956050"/>
            <wp:effectExtent l="0" t="0" r="2540" b="6350"/>
            <wp:docPr id="202936709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67096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9553">
      <w:pPr>
        <w:spacing w:line="48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 xml:space="preserve">Figure S12. </w:t>
      </w:r>
      <w:r>
        <w:rPr>
          <w:rFonts w:ascii="Arial" w:hAnsi="Arial" w:cs="Arial"/>
          <w:b/>
          <w:bCs/>
          <w:sz w:val="22"/>
          <w:szCs w:val="28"/>
        </w:rPr>
        <w:t xml:space="preserve">DNA-PKcs </w:t>
      </w:r>
      <w:r>
        <w:rPr>
          <w:rFonts w:hint="eastAsia" w:ascii="Arial" w:hAnsi="Arial" w:cs="Arial"/>
          <w:b/>
          <w:bCs/>
          <w:sz w:val="22"/>
          <w:szCs w:val="28"/>
        </w:rPr>
        <w:t>d</w:t>
      </w:r>
      <w:r>
        <w:rPr>
          <w:rFonts w:ascii="Arial" w:hAnsi="Arial" w:cs="Arial"/>
          <w:b/>
          <w:bCs/>
          <w:sz w:val="22"/>
          <w:szCs w:val="28"/>
        </w:rPr>
        <w:t xml:space="preserve">ownregulation </w:t>
      </w:r>
      <w:r>
        <w:rPr>
          <w:rFonts w:hint="eastAsia" w:ascii="Arial" w:hAnsi="Arial" w:cs="Arial"/>
          <w:b/>
          <w:bCs/>
          <w:sz w:val="22"/>
          <w:szCs w:val="28"/>
        </w:rPr>
        <w:t>r</w:t>
      </w:r>
      <w:r>
        <w:rPr>
          <w:rFonts w:ascii="Arial" w:hAnsi="Arial" w:cs="Arial"/>
          <w:b/>
          <w:bCs/>
          <w:sz w:val="22"/>
          <w:szCs w:val="28"/>
        </w:rPr>
        <w:t xml:space="preserve">educes </w:t>
      </w:r>
      <w:r>
        <w:rPr>
          <w:rFonts w:hint="eastAsia" w:ascii="Arial" w:hAnsi="Arial" w:cs="Arial"/>
          <w:b/>
          <w:bCs/>
          <w:sz w:val="22"/>
          <w:szCs w:val="28"/>
        </w:rPr>
        <w:t>t</w:t>
      </w:r>
      <w:r>
        <w:rPr>
          <w:rFonts w:ascii="Arial" w:hAnsi="Arial" w:cs="Arial"/>
          <w:b/>
          <w:bCs/>
          <w:sz w:val="22"/>
          <w:szCs w:val="28"/>
        </w:rPr>
        <w:t xml:space="preserve">he mRNA expression levels of stemness genes and </w:t>
      </w:r>
      <w:r>
        <w:rPr>
          <w:rFonts w:hint="eastAsia" w:ascii="Arial" w:hAnsi="Arial" w:cs="Arial"/>
          <w:b/>
          <w:bCs/>
          <w:sz w:val="22"/>
          <w:szCs w:val="28"/>
        </w:rPr>
        <w:t>c</w:t>
      </w:r>
      <w:r>
        <w:rPr>
          <w:rFonts w:ascii="Arial" w:hAnsi="Arial" w:cs="Arial"/>
          <w:b/>
          <w:bCs/>
          <w:sz w:val="22"/>
          <w:szCs w:val="28"/>
        </w:rPr>
        <w:t xml:space="preserve">ell </w:t>
      </w:r>
      <w:r>
        <w:rPr>
          <w:rFonts w:hint="eastAsia" w:ascii="Arial" w:hAnsi="Arial" w:cs="Arial"/>
          <w:b/>
          <w:bCs/>
          <w:sz w:val="22"/>
          <w:szCs w:val="28"/>
        </w:rPr>
        <w:t>v</w:t>
      </w:r>
      <w:r>
        <w:rPr>
          <w:rFonts w:ascii="Arial" w:hAnsi="Arial" w:cs="Arial"/>
          <w:b/>
          <w:bCs/>
          <w:sz w:val="22"/>
          <w:szCs w:val="28"/>
        </w:rPr>
        <w:t>iability in LCO1-3 Cells.</w:t>
      </w:r>
      <w:r>
        <w:rPr>
          <w:rFonts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b/>
          <w:bCs/>
          <w:sz w:val="22"/>
          <w:szCs w:val="28"/>
          <w:shd w:val="clear" w:color="auto"/>
        </w:rPr>
        <w:t>A-C</w:t>
      </w:r>
      <w:r>
        <w:rPr>
          <w:rFonts w:ascii="Arial" w:hAnsi="Arial" w:cs="Arial"/>
          <w:sz w:val="22"/>
          <w:szCs w:val="28"/>
          <w:shd w:val="clear" w:color="auto"/>
        </w:rPr>
        <w:t xml:space="preserve"> RT-PCR analysis of mRNA levels in LCO1 (A), LCO2 (B), and LCO3 (C) cells following DNA-PKcs downregulation.</w:t>
      </w:r>
      <w:r>
        <w:rPr>
          <w:rFonts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b/>
          <w:bCs/>
          <w:sz w:val="22"/>
          <w:szCs w:val="28"/>
        </w:rPr>
        <w:t>D</w:t>
      </w:r>
      <w:r>
        <w:rPr>
          <w:rFonts w:ascii="Arial" w:hAnsi="Arial" w:cs="Arial"/>
          <w:sz w:val="22"/>
          <w:szCs w:val="28"/>
        </w:rPr>
        <w:t xml:space="preserve"> Effect of DNA-PKcs downregulation on relative cell viability in LCO1-3 cells. **P&lt;0.01; ***P&lt;0.001.</w:t>
      </w:r>
    </w:p>
    <w:p w14:paraId="5272C881">
      <w:pPr>
        <w:spacing w:line="480" w:lineRule="auto"/>
        <w:rPr>
          <w:rFonts w:ascii="Arial" w:hAnsi="Arial" w:cs="Arial"/>
          <w:sz w:val="22"/>
          <w:szCs w:val="28"/>
        </w:rPr>
      </w:pPr>
    </w:p>
    <w:p w14:paraId="709E7B40">
      <w:pPr>
        <w:spacing w:line="480" w:lineRule="auto"/>
        <w:ind w:left="210" w:hanging="210" w:hangingChars="100"/>
        <w:rPr>
          <w:color w:val="0000FF"/>
          <w:highlight w:val="red"/>
        </w:rPr>
      </w:pPr>
    </w:p>
    <w:p w14:paraId="38631F66">
      <w:pPr>
        <w:spacing w:line="480" w:lineRule="auto"/>
      </w:pPr>
      <w:r>
        <w:drawing>
          <wp:inline distT="0" distB="0" distL="0" distR="0">
            <wp:extent cx="5274310" cy="4774565"/>
            <wp:effectExtent l="0" t="0" r="2540" b="6985"/>
            <wp:docPr id="17222631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6313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9E6F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 xml:space="preserve">Figure </w:t>
      </w:r>
      <w:r>
        <w:rPr>
          <w:rFonts w:ascii="Arial" w:hAnsi="Arial" w:cs="Arial"/>
          <w:b/>
          <w:bCs/>
          <w:color w:val="auto"/>
        </w:rPr>
        <w:t>S13</w:t>
      </w:r>
      <w:r>
        <w:rPr>
          <w:rFonts w:hint="eastAsia" w:ascii="Arial" w:hAnsi="Arial" w:cs="Arial"/>
          <w:b/>
          <w:bCs/>
          <w:color w:val="auto"/>
          <w:lang w:val="en-US" w:eastAsia="zh-CN"/>
        </w:rPr>
        <w:t>.</w:t>
      </w:r>
      <w:r>
        <w:rPr>
          <w:rFonts w:ascii="Arial" w:hAnsi="Arial" w:cs="Arial"/>
          <w:b/>
          <w:bCs/>
        </w:rPr>
        <w:t xml:space="preserve"> HR </w:t>
      </w:r>
      <w:r>
        <w:rPr>
          <w:rFonts w:hint="eastAsia"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 xml:space="preserve">athway </w:t>
      </w:r>
      <w:r>
        <w:rPr>
          <w:rFonts w:hint="eastAsia"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nhibition </w:t>
      </w:r>
      <w:r>
        <w:rPr>
          <w:rFonts w:hint="eastAsia"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 xml:space="preserve">ails to </w:t>
      </w:r>
      <w:r>
        <w:rPr>
          <w:rFonts w:hint="eastAsia"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nhance </w:t>
      </w:r>
      <w:r>
        <w:rPr>
          <w:rFonts w:hint="eastAsia"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 xml:space="preserve">hemosensitivity or </w:t>
      </w:r>
      <w:r>
        <w:rPr>
          <w:rFonts w:hint="eastAsia"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temness </w:t>
      </w:r>
      <w:r>
        <w:rPr>
          <w:rFonts w:hint="eastAsia"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uppression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  <w:shd w:val="clear" w:color="auto"/>
        </w:rPr>
        <w:t xml:space="preserve"> A</w:t>
      </w:r>
      <w:r>
        <w:rPr>
          <w:rFonts w:ascii="Arial" w:hAnsi="Arial" w:cs="Arial"/>
          <w:shd w:val="clear" w:color="auto"/>
        </w:rPr>
        <w:t xml:space="preserve"> γ-H2AX levels in A549/DR cells after treatment with/without PARP1 inhibition, measured by Western blotting. </w:t>
      </w:r>
      <w:r>
        <w:rPr>
          <w:rFonts w:ascii="Arial" w:hAnsi="Arial" w:cs="Arial"/>
          <w:b/>
          <w:bCs/>
          <w:shd w:val="clear" w:color="auto"/>
        </w:rPr>
        <w:t xml:space="preserve">B </w:t>
      </w:r>
      <w:r>
        <w:rPr>
          <w:rFonts w:ascii="Arial" w:hAnsi="Arial" w:cs="Arial"/>
          <w:shd w:val="clear" w:color="auto"/>
        </w:rPr>
        <w:t>The protein levels of γ-H2AX normalized to β-actin (n=3).</w:t>
      </w:r>
      <w:r>
        <w:rPr>
          <w:rFonts w:ascii="Arial" w:hAnsi="Arial" w:cs="Arial"/>
          <w:b/>
          <w:bCs/>
          <w:shd w:val="clear" w:color="auto"/>
        </w:rPr>
        <w:t xml:space="preserve"> C-F </w:t>
      </w:r>
      <w:r>
        <w:rPr>
          <w:rFonts w:ascii="Arial" w:hAnsi="Arial" w:cs="Arial"/>
          <w:sz w:val="22"/>
          <w:szCs w:val="22"/>
          <w:shd w:val="clear" w:color="auto"/>
        </w:rPr>
        <w:t xml:space="preserve">A549/DR cells were treated with vehicle control, 4 μM DDP, 4 μM DDP + 1 μM NU7441, 4 μM DDP + 10 μM PARP1 inhibitor, or the combination of all three agents. LCOs cells were treated with vehicle control, 10 μM DDP, 10 μM DDP + 2 μM NU7441, 10 μM DDP + 2 μM NU7441 +20 μM PARP1 inhibitor, or the combination of all three agents. </w:t>
      </w:r>
      <w:r>
        <w:rPr>
          <w:rFonts w:ascii="Arial" w:hAnsi="Arial" w:cs="Arial"/>
          <w:b/>
          <w:bCs/>
          <w:sz w:val="22"/>
          <w:szCs w:val="22"/>
          <w:shd w:val="clear" w:color="auto"/>
        </w:rPr>
        <w:t>C-</w:t>
      </w:r>
      <w:r>
        <w:rPr>
          <w:rFonts w:ascii="Arial" w:hAnsi="Arial" w:cs="Arial"/>
          <w:b/>
          <w:bCs/>
          <w:shd w:val="clear" w:color="auto"/>
        </w:rPr>
        <w:t xml:space="preserve">D </w:t>
      </w:r>
      <w:r>
        <w:rPr>
          <w:rFonts w:ascii="Arial" w:hAnsi="Arial" w:cs="Arial"/>
          <w:shd w:val="clear" w:color="auto"/>
        </w:rPr>
        <w:t>Growth inhibition rates of A549/DR (C）and LCO1 (D) cells</w:t>
      </w:r>
      <w:r>
        <w:rPr>
          <w:rFonts w:ascii="Arial" w:hAnsi="Arial" w:cs="Arial"/>
          <w:b/>
          <w:bCs/>
          <w:shd w:val="clear" w:color="auto"/>
        </w:rPr>
        <w:t xml:space="preserve">. </w:t>
      </w:r>
      <w:r>
        <w:rPr>
          <w:rFonts w:ascii="Arial" w:hAnsi="Arial" w:cs="Arial"/>
          <w:b/>
          <w:bCs/>
          <w:sz w:val="22"/>
          <w:szCs w:val="22"/>
          <w:shd w:val="clear" w:color="auto"/>
        </w:rPr>
        <w:t>E-F</w:t>
      </w:r>
      <w:r>
        <w:rPr>
          <w:rFonts w:ascii="Arial" w:hAnsi="Arial" w:cs="Arial"/>
          <w:sz w:val="22"/>
          <w:szCs w:val="22"/>
          <w:shd w:val="clear" w:color="auto"/>
        </w:rPr>
        <w:t xml:space="preserve"> Quantitative RT-PCR analysis of mRNA levels in A549/DR (E) and LCO1-3 (F) cells.</w:t>
      </w:r>
      <w:r>
        <w:rPr>
          <w:rFonts w:hint="eastAsia" w:ascii="Arial" w:hAnsi="Arial" w:cs="Arial"/>
          <w:sz w:val="22"/>
          <w:szCs w:val="22"/>
          <w:shd w:val="clear" w:color="auto"/>
        </w:rPr>
        <w:t xml:space="preserve"> </w:t>
      </w:r>
    </w:p>
    <w:p w14:paraId="441D20C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drawing>
          <wp:inline distT="0" distB="0" distL="0" distR="0">
            <wp:extent cx="5274310" cy="3956050"/>
            <wp:effectExtent l="0" t="0" r="2540" b="6350"/>
            <wp:docPr id="580951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95103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50CC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>Figure S14.</w:t>
      </w:r>
      <w:r>
        <w:rPr>
          <w:rFonts w:hint="eastAsia"/>
          <w:color w:val="auto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Immunofluorescence assay indicated that treatment with NU7441 augmented caspase3 expression in LCO</w:t>
      </w:r>
      <w:r>
        <w:rPr>
          <w:rFonts w:hint="eastAsia" w:ascii="Arial" w:hAnsi="Arial" w:cs="Arial"/>
          <w:b/>
          <w:bCs/>
          <w:sz w:val="22"/>
          <w:szCs w:val="22"/>
        </w:rPr>
        <w:t>2-3</w:t>
      </w:r>
      <w:r>
        <w:rPr>
          <w:rFonts w:ascii="Arial" w:hAnsi="Arial" w:cs="Arial"/>
          <w:b/>
          <w:bCs/>
          <w:sz w:val="22"/>
          <w:szCs w:val="22"/>
        </w:rPr>
        <w:t xml:space="preserve"> exposed to </w:t>
      </w:r>
      <w:r>
        <w:rPr>
          <w:rFonts w:hint="eastAsia" w:ascii="Arial" w:hAnsi="Arial" w:cs="Arial"/>
          <w:b/>
          <w:bCs/>
          <w:sz w:val="22"/>
          <w:szCs w:val="22"/>
        </w:rPr>
        <w:t>DDP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2"/>
        </w:rPr>
        <w:t>A-B</w:t>
      </w:r>
      <w:r>
        <w:rPr>
          <w:rFonts w:hint="eastAsia"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Representative immunofluorescence images of </w:t>
      </w:r>
      <w:r>
        <w:rPr>
          <w:rFonts w:hint="eastAsia" w:ascii="Arial" w:hAnsi="Arial" w:cs="Arial"/>
          <w:sz w:val="22"/>
          <w:szCs w:val="22"/>
        </w:rPr>
        <w:t xml:space="preserve">Caspase 3 </w:t>
      </w:r>
      <w:r>
        <w:rPr>
          <w:rFonts w:ascii="Arial" w:hAnsi="Arial" w:cs="Arial"/>
          <w:sz w:val="22"/>
          <w:szCs w:val="22"/>
        </w:rPr>
        <w:t xml:space="preserve">cells in </w:t>
      </w:r>
      <w:r>
        <w:rPr>
          <w:rFonts w:hint="eastAsia" w:ascii="Arial" w:hAnsi="Arial" w:cs="Arial"/>
          <w:sz w:val="22"/>
          <w:szCs w:val="22"/>
        </w:rPr>
        <w:t>LCO2(A) and LCO3(B)</w:t>
      </w:r>
      <w:r>
        <w:rPr>
          <w:rFonts w:ascii="Arial" w:hAnsi="Arial" w:cs="Arial"/>
          <w:sz w:val="22"/>
          <w:szCs w:val="22"/>
        </w:rPr>
        <w:t xml:space="preserve"> (Scale bar = 100 μm);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hint="eastAsia" w:ascii="Arial" w:hAnsi="Arial" w:cs="Arial"/>
          <w:b/>
          <w:bCs/>
          <w:sz w:val="22"/>
          <w:szCs w:val="22"/>
        </w:rPr>
        <w:t>C-D</w:t>
      </w:r>
      <w:r>
        <w:rPr>
          <w:rFonts w:ascii="Arial" w:hAnsi="Arial" w:cs="Arial"/>
          <w:sz w:val="22"/>
          <w:szCs w:val="22"/>
        </w:rPr>
        <w:t xml:space="preserve"> Quantitative analysis of </w:t>
      </w:r>
      <w:r>
        <w:rPr>
          <w:rFonts w:hint="eastAsia" w:ascii="Arial" w:hAnsi="Arial" w:cs="Arial"/>
          <w:sz w:val="22"/>
          <w:szCs w:val="22"/>
        </w:rPr>
        <w:t>Caspase intensity in LCO2(C) and LCO3(B)</w:t>
      </w:r>
      <w:r>
        <w:rPr>
          <w:rFonts w:ascii="Arial" w:hAnsi="Arial" w:cs="Arial"/>
          <w:sz w:val="22"/>
          <w:szCs w:val="22"/>
        </w:rPr>
        <w:t>. CO, direct co-culture. ***P&lt;0.001.</w:t>
      </w:r>
    </w:p>
    <w:p w14:paraId="743E9E7A">
      <w:pPr>
        <w:spacing w:line="480" w:lineRule="auto"/>
        <w:rPr>
          <w:rFonts w:ascii="Arial" w:hAnsi="Arial" w:cs="Arial"/>
          <w:sz w:val="22"/>
          <w:szCs w:val="22"/>
        </w:rPr>
      </w:pPr>
    </w:p>
    <w:p w14:paraId="5748A485">
      <w:pPr>
        <w:spacing w:line="480" w:lineRule="auto"/>
        <w:rPr>
          <w:rFonts w:ascii="Arial" w:hAnsi="Arial" w:cs="Arial"/>
          <w:sz w:val="22"/>
          <w:szCs w:val="22"/>
        </w:rPr>
      </w:pPr>
    </w:p>
    <w:p w14:paraId="16298C00">
      <w:pPr>
        <w:spacing w:line="480" w:lineRule="auto"/>
        <w:rPr>
          <w:rFonts w:ascii="Arial" w:hAnsi="Arial" w:cs="Arial"/>
          <w:sz w:val="22"/>
          <w:szCs w:val="22"/>
        </w:rPr>
      </w:pPr>
    </w:p>
    <w:p w14:paraId="326E5ABD">
      <w:pPr>
        <w:spacing w:line="480" w:lineRule="auto"/>
        <w:rPr>
          <w:rFonts w:ascii="Arial" w:hAnsi="Arial" w:cs="Arial"/>
          <w:sz w:val="22"/>
          <w:szCs w:val="22"/>
        </w:rPr>
      </w:pPr>
    </w:p>
    <w:p w14:paraId="50C631B0">
      <w:pPr>
        <w:spacing w:line="480" w:lineRule="auto"/>
        <w:rPr>
          <w:rFonts w:ascii="Arial" w:hAnsi="Arial" w:cs="Arial"/>
          <w:sz w:val="22"/>
          <w:szCs w:val="22"/>
        </w:rPr>
      </w:pPr>
    </w:p>
    <w:p w14:paraId="4B73B36B">
      <w:pPr>
        <w:spacing w:line="480" w:lineRule="auto"/>
        <w:rPr>
          <w:rFonts w:ascii="Arial" w:hAnsi="Arial" w:cs="Arial"/>
          <w:sz w:val="22"/>
          <w:szCs w:val="22"/>
        </w:rPr>
      </w:pPr>
    </w:p>
    <w:p w14:paraId="57EE4FBB">
      <w:pPr>
        <w:spacing w:line="480" w:lineRule="auto"/>
        <w:rPr>
          <w:rFonts w:ascii="Arial" w:hAnsi="Arial" w:cs="Arial"/>
          <w:sz w:val="22"/>
          <w:szCs w:val="22"/>
        </w:rPr>
      </w:pPr>
    </w:p>
    <w:p w14:paraId="163BCDDF">
      <w:pPr>
        <w:spacing w:line="48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Graphical Abstract</w:t>
      </w:r>
    </w:p>
    <w:p w14:paraId="32862B40">
      <w:pPr>
        <w:spacing w:line="480" w:lineRule="auto"/>
        <w:rPr>
          <w:rFonts w:hint="eastAsia" w:ascii="Arial" w:hAnsi="Arial" w:cs="Arial" w:eastAsiaTheme="minorEastAsia"/>
          <w:b/>
          <w:bCs/>
          <w:sz w:val="24"/>
          <w:szCs w:val="32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4"/>
          <w:szCs w:val="32"/>
          <w:lang w:eastAsia="zh-CN"/>
        </w:rPr>
        <w:drawing>
          <wp:inline distT="0" distB="0" distL="114300" distR="114300">
            <wp:extent cx="5266690" cy="2962910"/>
            <wp:effectExtent l="0" t="0" r="635" b="8890"/>
            <wp:docPr id="3" name="图片 3" descr="机制图_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机制图_02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22835">
      <w:pPr>
        <w:spacing w:line="480" w:lineRule="auto"/>
        <w:rPr>
          <w:rFonts w:ascii="Arial" w:hAnsi="Arial" w:cs="Arial"/>
          <w:b/>
          <w:bCs/>
          <w:color w:val="auto"/>
          <w:sz w:val="22"/>
          <w:szCs w:val="28"/>
        </w:rPr>
      </w:pPr>
    </w:p>
    <w:p w14:paraId="2C08983B">
      <w:pPr>
        <w:spacing w:line="480" w:lineRule="auto"/>
        <w:rPr>
          <w:rFonts w:ascii="Arial" w:hAnsi="Arial" w:cs="Arial"/>
          <w:color w:val="auto"/>
          <w:sz w:val="22"/>
          <w:szCs w:val="28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 xml:space="preserve">Supplementary Table 1. The clinicopathological characteristics of the cases and LCOs subtype </w:t>
      </w:r>
    </w:p>
    <w:tbl>
      <w:tblPr>
        <w:tblStyle w:val="3"/>
        <w:tblpPr w:leftFromText="180" w:rightFromText="180" w:vertAnchor="text" w:horzAnchor="page" w:tblpX="814" w:tblpY="637"/>
        <w:tblOverlap w:val="never"/>
        <w:tblW w:w="972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946"/>
        <w:gridCol w:w="946"/>
        <w:gridCol w:w="948"/>
        <w:gridCol w:w="949"/>
        <w:gridCol w:w="947"/>
        <w:gridCol w:w="945"/>
        <w:gridCol w:w="946"/>
        <w:gridCol w:w="738"/>
        <w:gridCol w:w="1300"/>
      </w:tblGrid>
      <w:tr w14:paraId="4D7417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06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C4E945">
            <w:pPr>
              <w:widowControl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 xml:space="preserve">Oranoid </w:t>
            </w: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line</w:t>
            </w:r>
          </w:p>
        </w:tc>
        <w:tc>
          <w:tcPr>
            <w:tcW w:w="94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D35F419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SEX</w:t>
            </w:r>
          </w:p>
        </w:tc>
        <w:tc>
          <w:tcPr>
            <w:tcW w:w="94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9E262D6">
            <w:pPr>
              <w:widowControl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Age</w:t>
            </w:r>
          </w:p>
        </w:tc>
        <w:tc>
          <w:tcPr>
            <w:tcW w:w="94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CF67A0B">
            <w:pPr>
              <w:widowControl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Tumor type</w:t>
            </w:r>
          </w:p>
        </w:tc>
        <w:tc>
          <w:tcPr>
            <w:tcW w:w="94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6B4CAB8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Tumor location</w:t>
            </w:r>
          </w:p>
        </w:tc>
        <w:tc>
          <w:tcPr>
            <w:tcW w:w="9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0D1BCB3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</w:p>
        </w:tc>
        <w:tc>
          <w:tcPr>
            <w:tcW w:w="94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9410049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pN</w:t>
            </w:r>
          </w:p>
        </w:tc>
        <w:tc>
          <w:tcPr>
            <w:tcW w:w="94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DB4C184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cM</w:t>
            </w:r>
          </w:p>
        </w:tc>
        <w:tc>
          <w:tcPr>
            <w:tcW w:w="73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A70CC5B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stage</w:t>
            </w:r>
          </w:p>
        </w:tc>
        <w:tc>
          <w:tcPr>
            <w:tcW w:w="130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45C8C02">
            <w:pPr>
              <w:widowControl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Response to DDP</w:t>
            </w:r>
          </w:p>
        </w:tc>
      </w:tr>
      <w:tr w14:paraId="4E95E4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  <w:tcBorders>
              <w:top w:val="single" w:color="auto" w:sz="12" w:space="0"/>
            </w:tcBorders>
          </w:tcPr>
          <w:p w14:paraId="79B54243">
            <w:pPr>
              <w:widowControl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LCO1</w:t>
            </w:r>
          </w:p>
        </w:tc>
        <w:tc>
          <w:tcPr>
            <w:tcW w:w="946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9BC05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7D20F90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63</w:t>
            </w:r>
          </w:p>
        </w:tc>
        <w:tc>
          <w:tcPr>
            <w:tcW w:w="948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74FD760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AA5BC4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0335435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pT1b</w:t>
            </w:r>
          </w:p>
        </w:tc>
        <w:tc>
          <w:tcPr>
            <w:tcW w:w="945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2D644B8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7BB1358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85E9C0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ⅠA2</w:t>
            </w:r>
          </w:p>
        </w:tc>
        <w:tc>
          <w:tcPr>
            <w:tcW w:w="1300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4095D19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E4721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0" w:type="dxa"/>
          </w:tcPr>
          <w:p w14:paraId="6765EC0B">
            <w:pPr>
              <w:widowControl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LCO2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C1D474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451EA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76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8B4CF2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B7C85C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7325F9D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pT2b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2EF7EC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8E097D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B2E591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C1BB6F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63276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0" w:type="dxa"/>
          </w:tcPr>
          <w:p w14:paraId="49CE00E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LCO3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F0617B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7C92B0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59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B84EAD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6531E32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5E4B0C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cT4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15E990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522BB5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79482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7D0DFD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51A5B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8A3118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LCO4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E3F8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EC50B5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61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850782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21D18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1458F8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T1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A0281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F2F432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3307FC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6A2766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15AC60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5D49A11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LCO5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B63F5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6A968E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67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C29BCC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83C293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705CD5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pT1b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4A2680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57DB8F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132D050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ⅠA2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127246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1343A5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10EFB9B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LCO6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B5378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E20859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61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0B1F7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6674B18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5CC499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T4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2EDCE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5DD374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29D67F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BAA672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2F51BD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54214E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328892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</w:t>
            </w:r>
            <w:r>
              <w:rPr>
                <w:rFonts w:ascii="Arial" w:hAnsi="Arial" w:eastAsia="等线" w:cs="Arial"/>
                <w:color w:val="auto"/>
              </w:rPr>
              <w:t>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238A7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58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F82FE1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F59DD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59211D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FC36FB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A1E76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936E9B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AB07A5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64FD6F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DDF172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87726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3DC23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78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94FE90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9AABA5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75BB292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1b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8272B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C5D8B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1c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E16A86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647A12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4D6802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9B67B7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8AA56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9C4312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66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69F87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123F89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1C05B54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207D2D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12F38A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B9C1B6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ED430F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0744B1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A46D29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A0AA7C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5D44A5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58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C35214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D4B99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84DDB5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  <w:r>
              <w:rPr>
                <w:rFonts w:hint="eastAsia" w:ascii="Arial" w:hAnsi="Arial" w:eastAsia="等线" w:cs="Arial"/>
                <w:color w:val="auto"/>
              </w:rPr>
              <w:t>4a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DE43F6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861C92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A6EE2D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B012D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798BA8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159A54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25AC3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B4BBE2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3C9A1C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950F69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210AC6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4B322C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49A54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F555F6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93962B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452AC1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DB9967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3CF2F1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E4F9FE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FB5A95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72D912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A270B6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EDD7D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D7D65D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EB9893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ED1796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1D5F41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145112E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54FBE8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4C1B6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55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5C31AC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8E7032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170FE9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6E366E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1b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CF0994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534B99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2C1BC3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59DCC9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A6D61C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4C90C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15B877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F6A057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16105B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2261D7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pT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B4651F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3C2C13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7A1AD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46460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BD62A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62B08D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BFF1C0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4E36F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62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442AA2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6C85B99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612D842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pT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1a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A33FCA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N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76F56E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565880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ⅠA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1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321340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2C4831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2383CB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7D90F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63044A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71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4C789F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604E93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57432C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cT3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5CC0A7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N2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FBAC7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B8584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C42732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56CEF0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8A68E8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8B641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FCE7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B4E000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A64A4E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217E66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EEA9C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2b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3F3FF2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1b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290360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176D4C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7D18F8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5BF110E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A220FE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CA2F8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66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28CF5A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4B8CB5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05D302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20E265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3E0771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546B29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43EED0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619B8A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4202D64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19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E2C15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3205A9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B3FEB8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E3AC1D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F2BAA0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927971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EDCAD3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2EEF3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3FF3B8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5F135A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60" w:type="dxa"/>
          </w:tcPr>
          <w:p w14:paraId="27167B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9285E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28507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9A341F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7257F2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48D16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3A8D45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x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EE6982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F689AE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</w:p>
        </w:tc>
        <w:tc>
          <w:tcPr>
            <w:tcW w:w="1300" w:type="dxa"/>
            <w:shd w:val="clear" w:color="auto" w:fill="auto"/>
          </w:tcPr>
          <w:p w14:paraId="0B0BCF1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0B238B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47C0C6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5F36E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6E41EF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884AF1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53ECD0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54BF86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E8675F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68750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D5F31F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80D8E9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9B58D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D9EF4C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621F9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6C55D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725425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B6ED06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553E069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78F9C6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B701B8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6DD949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D9935E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31AD2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4FD670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866588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95E01F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80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67F187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4D925C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98B19C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86818D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C8DE97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B43442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E99E9D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E83E4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5A18B99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95A9A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59A61E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EAACCE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982E9F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1E56B04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EB55DD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EDD2CD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60CF43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A01B4D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1BCC0C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4F496E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64ED3D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21E5D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47AC01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429316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B5891C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FDD984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1a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328720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1AA546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E74A43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708F1B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E093BE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34C1B3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9BC97B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31460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FC805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77CF79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032D87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9A7E0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8518FA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00AA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518BE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3D11AE4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A572D5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D74074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747F50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E8EE26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A908EB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6BFE1B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A42FE2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71CDB6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91927C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5248EF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1145F63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402376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13309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F3C257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1751AF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549786E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41F800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80194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857DA7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D640CB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00F49F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53214FD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29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001D25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0EE18A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934DDD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C2E6D4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C22E1D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13D91B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0B4F2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6E85DD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B63DBD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26FE3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43A8B12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9A1CFE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FB1E44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65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69042D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760853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CE3BD1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pT1b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7DAE07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E23AC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BF4CBD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ⅠA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93BD24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13CD71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27D528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CD37F2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8C0BB0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66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4D4DD0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5313B5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0CBDC5C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75A43D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E90D9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1a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3BBDB3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8D6642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00D513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4B7AD37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0F3E1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DCDEB9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68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FD40DF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529B91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6CAD9B5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2b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B2C39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AAADEB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82F633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FEAA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27132F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9631AF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A0F5A3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A05C4F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A612D9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D1DC94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ABE71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70A4A7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D65D0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ABC24D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EDF497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120A51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60" w:type="dxa"/>
          </w:tcPr>
          <w:p w14:paraId="260D767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34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D860E4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ADF180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57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BA9BB2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697DB59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16AD17F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c</w:t>
            </w:r>
            <w:r>
              <w:rPr>
                <w:rFonts w:ascii="Arial" w:hAnsi="Arial" w:eastAsia="等线" w:cs="Arial"/>
                <w:color w:val="auto"/>
                <w:highlight w:val="yellow"/>
              </w:rPr>
              <w:t>T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7DF11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N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F97EC2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M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24C8A3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b/>
                <w:bCs/>
                <w:color w:val="auto"/>
                <w:highlight w:val="yellow"/>
              </w:rPr>
            </w:pPr>
            <w:r>
              <w:rPr>
                <w:rFonts w:ascii="Arial" w:hAnsi="Arial" w:eastAsia="微软雅黑" w:cs="Arial"/>
                <w:color w:val="auto"/>
                <w:highlight w:val="yellow"/>
              </w:rPr>
              <w:t>Ⅱ</w:t>
            </w:r>
            <w:r>
              <w:rPr>
                <w:rFonts w:ascii="Arial" w:hAnsi="Arial" w:eastAsia="等线" w:cs="Arial"/>
                <w:color w:val="auto"/>
                <w:highlight w:val="yellow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D5F09D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  <w:highlight w:val="yellow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Sensitive</w:t>
            </w:r>
          </w:p>
        </w:tc>
      </w:tr>
      <w:tr w14:paraId="3BF023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30EE42B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F82EAE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C7B94F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C0F704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753EAE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9676AD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1a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F7AD2E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5F90FF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EE5D40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b/>
                <w:bCs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20459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6551DD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6842D7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D09CA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91565A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67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4EA05C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0ED313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684BC4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D36DDD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E9148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4C4C13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b/>
                <w:bCs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B35AD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51A4C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10AAD78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51A5A9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1112F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D1160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EB3C9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24F30A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pT2b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0B2E9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F075D9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89DC0E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6FCF73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58E21D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39A905F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559EF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3BFDD8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2A1F9D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AFB056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1B0BE95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304423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56C2E7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2403F5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5CA9C7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F47EB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592E3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39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F32BA4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821112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79B08F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1B2B30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F8B1D9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6F9E71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C24578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93E593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7F0786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1BB0E0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452EC06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D98764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CFE5E7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69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57B629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982D0E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2A957D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3FB442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71702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FE8F4B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700FB2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2F10B4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B9C22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EA5CD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F7E3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CE8C8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969D6E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4C66000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pT1c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01C21E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24C689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855370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</w:t>
            </w:r>
            <w:r>
              <w:rPr>
                <w:rFonts w:hint="eastAsia" w:ascii="Arial" w:hAnsi="Arial" w:eastAsia="等线" w:cs="Arial"/>
                <w:color w:val="auto"/>
              </w:rPr>
              <w:t>A3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82C1AE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398320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EF7247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3E496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922D3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75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CDE419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58651A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1CF78F2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03B549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29BA2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ED7C0C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IV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60ADB1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213EA0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67EC13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C85FB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D0C8A1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77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51A0DB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38BEC6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9F938F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2b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0AED6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42D04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53C11C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b/>
                <w:bCs/>
                <w:color w:val="auto"/>
              </w:rPr>
            </w:pPr>
            <w:r>
              <w:rPr>
                <w:rFonts w:ascii="Arial" w:hAnsi="Arial" w:eastAsia="微软雅黑" w:cs="Arial"/>
                <w:color w:val="auto"/>
              </w:rPr>
              <w:t>Ⅱ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</w:tcPr>
          <w:p w14:paraId="3C83A43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4AC0F3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AA2164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3D0EC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6C239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B9DF5A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5E6D2E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336A93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1b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0651A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77A07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C5356E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b/>
                <w:bCs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</w:tcPr>
          <w:p w14:paraId="743906A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0EF9C6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6745D1C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C8E0E6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0CB14A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9E339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D22F68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158E7B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ABD702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08475D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4AA762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</w:tcPr>
          <w:p w14:paraId="4A8297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5176EB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1F50BD3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771E3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FCF629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63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206650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A5E37B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B8BA16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BC8C7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64AD9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364017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</w:tcPr>
          <w:p w14:paraId="0E9A533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7FE5B6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5A383FA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AEE5D3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57B746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C2E6B3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BD2F85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78EDF2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F13AD1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0E32D1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6464D0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</w:p>
        </w:tc>
        <w:tc>
          <w:tcPr>
            <w:tcW w:w="1300" w:type="dxa"/>
          </w:tcPr>
          <w:p w14:paraId="42061F2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7D723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A8C4BC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43C51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9EC0AB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69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F64241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FCA3C4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76940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C18D70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FFD504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3FC901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</w:tcPr>
          <w:tbl>
            <w:tblPr>
              <w:tblStyle w:val="3"/>
              <w:tblW w:w="9725" w:type="dxa"/>
              <w:jc w:val="center"/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725"/>
            </w:tblGrid>
            <w:tr w14:paraId="4C8F9D11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  <w:jc w:val="center"/>
              </w:trPr>
              <w:tc>
                <w:tcPr>
                  <w:tcW w:w="1300" w:type="dxa"/>
                </w:tcPr>
                <w:p w14:paraId="0B30072A">
                  <w:pPr>
                    <w:widowControl/>
                    <w:spacing w:line="360" w:lineRule="auto"/>
                    <w:jc w:val="center"/>
                    <w:rPr>
                      <w:rFonts w:ascii="Arial" w:hAnsi="Arial" w:eastAsia="等线" w:cs="Arial"/>
                      <w:color w:val="auto"/>
                    </w:rPr>
                  </w:pPr>
                  <w:r>
                    <w:rPr>
                      <w:rFonts w:ascii="Arial" w:hAnsi="Arial" w:eastAsia="等线" w:cs="Arial"/>
                      <w:color w:val="auto"/>
                    </w:rPr>
                    <w:t>Resistance</w:t>
                  </w:r>
                </w:p>
              </w:tc>
            </w:tr>
          </w:tbl>
          <w:p w14:paraId="3C8961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</w:tr>
      <w:tr w14:paraId="5E3ABB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172A09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587728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841B5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BE2B73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39C647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1C72A1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0A737D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A15C11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F9E747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</w:tcPr>
          <w:p w14:paraId="1CE6D30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6D15CD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E2F5B1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9C542E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FA3E2A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50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D3AA82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E520D0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CAA11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pT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493614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N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5088E6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  <w:highlight w:val="yellow"/>
              </w:rPr>
              <w:t>M</w:t>
            </w:r>
            <w:r>
              <w:rPr>
                <w:rFonts w:hint="eastAsia" w:ascii="Arial" w:hAnsi="Arial" w:eastAsia="等线" w:cs="Arial"/>
                <w:color w:val="auto"/>
                <w:highlight w:val="yellow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44AFD0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</w:p>
        </w:tc>
        <w:tc>
          <w:tcPr>
            <w:tcW w:w="1300" w:type="dxa"/>
          </w:tcPr>
          <w:p w14:paraId="5BDA9F1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0F40BF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88453B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78D4AA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275F68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56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27EAD2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0C54F1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C7704D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pT1c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D0242E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ACDE06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727922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</w:t>
            </w:r>
            <w:r>
              <w:rPr>
                <w:rFonts w:hint="eastAsia" w:ascii="Arial" w:hAnsi="Arial" w:eastAsia="等线" w:cs="Arial"/>
                <w:color w:val="auto"/>
              </w:rPr>
              <w:t>A3</w:t>
            </w:r>
          </w:p>
        </w:tc>
        <w:tc>
          <w:tcPr>
            <w:tcW w:w="1300" w:type="dxa"/>
          </w:tcPr>
          <w:p w14:paraId="041E08B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24B6C5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420DD01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6F4C26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6D3685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7560FB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BA6D2D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9F2CA9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2529F7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6BCF3FF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E94DF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</w:tcPr>
          <w:p w14:paraId="6660A56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14D016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12C5773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7BF77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AD057D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76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5C65F8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64C375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4F3779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cT1b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B3EDEA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F0729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4685D4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</w:tcPr>
          <w:p w14:paraId="52D01C0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4958E4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DF0A4A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EA6E3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39421D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55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4E3A68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C7845F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D20BBB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BCD608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FCCBD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D241AA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</w:tcPr>
          <w:p w14:paraId="1D1F003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0C2A8A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25502D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5BD36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C98DF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77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A578F5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C223A2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81D72D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cT2a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CCC3E7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284F4D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B2543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A</w:t>
            </w:r>
          </w:p>
        </w:tc>
        <w:tc>
          <w:tcPr>
            <w:tcW w:w="1300" w:type="dxa"/>
          </w:tcPr>
          <w:p w14:paraId="6154C58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0D2618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571FCF5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A61BCA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290400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2F4CD5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47768E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400A3B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7955AA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C2A05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8DF8E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Ⅲ</w:t>
            </w:r>
          </w:p>
        </w:tc>
        <w:tc>
          <w:tcPr>
            <w:tcW w:w="1300" w:type="dxa"/>
          </w:tcPr>
          <w:p w14:paraId="4191B05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2F532F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0992303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8515DB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48603B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48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44A289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C0465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FBA8DA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2D8145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8FE4B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9469F1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</w:tcPr>
          <w:p w14:paraId="35523F4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1C84E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255DF2F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03DB9C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Female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B0BEF6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3EC883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433074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4AB832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pT1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2D2CD3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17F90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EBA061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</w:t>
            </w:r>
            <w:r>
              <w:rPr>
                <w:rFonts w:hint="eastAsia" w:ascii="Arial" w:hAnsi="Arial" w:eastAsia="等线" w:cs="Arial"/>
                <w:color w:val="auto"/>
              </w:rPr>
              <w:t>A3</w:t>
            </w:r>
          </w:p>
        </w:tc>
        <w:tc>
          <w:tcPr>
            <w:tcW w:w="1300" w:type="dxa"/>
          </w:tcPr>
          <w:p w14:paraId="1187A9AC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01BE62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3208426B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59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E8CA4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A4E3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66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2BC74A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2D4C04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6E13CD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cT2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E6B9F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N0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378769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M0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F6989F7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Ⅰ</w:t>
            </w:r>
            <w:r>
              <w:rPr>
                <w:rFonts w:hint="eastAsia" w:ascii="Arial" w:hAnsi="Arial" w:eastAsia="等线" w:cs="Arial"/>
                <w:color w:val="auto"/>
              </w:rPr>
              <w:t>B</w:t>
            </w:r>
          </w:p>
        </w:tc>
        <w:tc>
          <w:tcPr>
            <w:tcW w:w="1300" w:type="dxa"/>
          </w:tcPr>
          <w:p w14:paraId="3EDEBB2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S</w:t>
            </w:r>
            <w:r>
              <w:rPr>
                <w:rFonts w:ascii="Arial" w:hAnsi="Arial" w:eastAsia="等线" w:cs="Arial"/>
                <w:color w:val="auto"/>
              </w:rPr>
              <w:t>ensitive</w:t>
            </w:r>
          </w:p>
        </w:tc>
      </w:tr>
      <w:tr w14:paraId="7FE362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7FD0878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DEBA4D9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Male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201E2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68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F30B738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LC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AF1DA6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Lung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B5378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hint="eastAsia" w:ascii="Arial" w:hAnsi="Arial" w:eastAsia="等线" w:cs="Arial"/>
                <w:color w:val="auto"/>
              </w:rPr>
              <w:t>c</w:t>
            </w:r>
            <w:r>
              <w:rPr>
                <w:rFonts w:ascii="Arial" w:hAnsi="Arial" w:eastAsia="等线" w:cs="Arial"/>
                <w:color w:val="auto"/>
              </w:rPr>
              <w:t>T</w:t>
            </w:r>
            <w:r>
              <w:rPr>
                <w:rFonts w:hint="eastAsia" w:ascii="Arial" w:hAnsi="Arial" w:eastAsia="等线" w:cs="Arial"/>
                <w:color w:val="auto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C46A314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N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EB2F4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M</w:t>
            </w:r>
            <w:r>
              <w:rPr>
                <w:rFonts w:hint="eastAsia" w:ascii="Arial" w:hAnsi="Arial" w:eastAsia="等线" w:cs="Arial"/>
                <w:color w:val="auto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8177C2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Ⅳ</w:t>
            </w:r>
          </w:p>
        </w:tc>
        <w:tc>
          <w:tcPr>
            <w:tcW w:w="1300" w:type="dxa"/>
          </w:tcPr>
          <w:p w14:paraId="72DC137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  <w:r>
              <w:rPr>
                <w:rFonts w:ascii="Arial" w:hAnsi="Arial" w:eastAsia="等线" w:cs="Arial"/>
                <w:color w:val="auto"/>
              </w:rPr>
              <w:t>Resistance</w:t>
            </w:r>
          </w:p>
        </w:tc>
      </w:tr>
      <w:tr w14:paraId="371B45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</w:tcPr>
          <w:p w14:paraId="4F8244D5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3976D4E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6" w:type="dxa"/>
          </w:tcPr>
          <w:p w14:paraId="73491F93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8" w:type="dxa"/>
          </w:tcPr>
          <w:p w14:paraId="574D4D3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9" w:type="dxa"/>
          </w:tcPr>
          <w:p w14:paraId="4B9889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7" w:type="dxa"/>
          </w:tcPr>
          <w:p w14:paraId="35E3C97D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5" w:type="dxa"/>
          </w:tcPr>
          <w:p w14:paraId="7EB59381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946" w:type="dxa"/>
          </w:tcPr>
          <w:p w14:paraId="16E8A690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738" w:type="dxa"/>
          </w:tcPr>
          <w:p w14:paraId="764AAEF6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  <w:tc>
          <w:tcPr>
            <w:tcW w:w="1300" w:type="dxa"/>
          </w:tcPr>
          <w:p w14:paraId="2A270C9A">
            <w:pPr>
              <w:widowControl/>
              <w:spacing w:line="360" w:lineRule="auto"/>
              <w:jc w:val="center"/>
              <w:rPr>
                <w:rFonts w:ascii="Arial" w:hAnsi="Arial" w:eastAsia="等线" w:cs="Arial"/>
                <w:color w:val="auto"/>
              </w:rPr>
            </w:pPr>
          </w:p>
        </w:tc>
      </w:tr>
    </w:tbl>
    <w:p w14:paraId="2C54FC6B">
      <w:pPr>
        <w:spacing w:line="360" w:lineRule="auto"/>
        <w:jc w:val="left"/>
        <w:rPr>
          <w:rFonts w:ascii="Times New Roman" w:hAnsi="Times New Roman" w:cs="Times New Roman"/>
          <w:b/>
          <w:bCs/>
          <w:color w:val="auto"/>
        </w:rPr>
      </w:pPr>
    </w:p>
    <w:p w14:paraId="53645E60">
      <w:pPr>
        <w:spacing w:line="360" w:lineRule="auto"/>
        <w:jc w:val="left"/>
        <w:rPr>
          <w:rFonts w:ascii="Arial" w:hAnsi="Arial" w:cs="Arial"/>
          <w:b/>
          <w:bCs/>
          <w:color w:val="auto"/>
          <w:sz w:val="22"/>
          <w:szCs w:val="28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 xml:space="preserve">Supplementary Table 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>2</w:t>
      </w:r>
      <w:r>
        <w:rPr>
          <w:rFonts w:ascii="Arial" w:hAnsi="Arial" w:cs="Arial"/>
          <w:b/>
          <w:bCs/>
          <w:color w:val="auto"/>
          <w:sz w:val="22"/>
          <w:szCs w:val="28"/>
        </w:rPr>
        <w:t>. The detailed information on antibodies</w:t>
      </w:r>
    </w:p>
    <w:tbl>
      <w:tblPr>
        <w:tblStyle w:val="4"/>
        <w:tblW w:w="0" w:type="auto"/>
        <w:tblInd w:w="10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3821"/>
        <w:gridCol w:w="1782"/>
      </w:tblGrid>
      <w:tr w14:paraId="3AA6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C8569FB">
            <w:pPr>
              <w:jc w:val="center"/>
              <w:rPr>
                <w:rFonts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</w:rPr>
              <w:t>Antibodies</w:t>
            </w:r>
          </w:p>
        </w:tc>
        <w:tc>
          <w:tcPr>
            <w:tcW w:w="38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53FAB9C">
            <w:pPr>
              <w:jc w:val="center"/>
              <w:rPr>
                <w:rFonts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</w:rPr>
              <w:t>Source</w:t>
            </w:r>
          </w:p>
        </w:tc>
        <w:tc>
          <w:tcPr>
            <w:tcW w:w="17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6A748F3">
            <w:pPr>
              <w:jc w:val="center"/>
              <w:rPr>
                <w:rFonts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</w:rPr>
              <w:t>Application</w:t>
            </w:r>
          </w:p>
        </w:tc>
      </w:tr>
      <w:tr w14:paraId="5A41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14321E5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P65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2778165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#8242)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44FE2B1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  <w:p w14:paraId="65C844F5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 for IP</w:t>
            </w:r>
          </w:p>
          <w:p w14:paraId="4F0A53E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1:400 for IF</w:t>
            </w:r>
          </w:p>
        </w:tc>
      </w:tr>
      <w:tr w14:paraId="4346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429367E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KU70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C1C4C9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#Ab92450)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44B28436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  <w:p w14:paraId="0F86D92C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 for IHC</w:t>
            </w:r>
          </w:p>
        </w:tc>
      </w:tr>
      <w:tr w14:paraId="62EC6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45540AA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KU80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059EBDA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#Ab80592)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5DDBDB4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  <w:p w14:paraId="16C371A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1:250 for IHC</w:t>
            </w:r>
          </w:p>
        </w:tc>
      </w:tr>
      <w:tr w14:paraId="0A58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245539E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DNA-PKcs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8A5942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#Ab32566)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6331D8D6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08C3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3443A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p-DNA-PKcs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551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#Ab124918)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61C1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1:5000 for WB</w:t>
            </w:r>
          </w:p>
          <w:p w14:paraId="4311465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 for IHC</w:t>
            </w:r>
          </w:p>
        </w:tc>
      </w:tr>
      <w:tr w14:paraId="080E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9BF58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γ-H2AX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E826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#Ab81299)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CEDA1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1:2000 for WB</w:t>
            </w:r>
          </w:p>
          <w:p w14:paraId="72C4EEE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1:200 for IF</w:t>
            </w:r>
          </w:p>
        </w:tc>
      </w:tr>
      <w:tr w14:paraId="5CF58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4B6F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Nanog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BF9B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 xml:space="preserve">ABclonal(Cat #A22625)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704F1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1:5000 for WB</w:t>
            </w:r>
          </w:p>
        </w:tc>
      </w:tr>
      <w:tr w14:paraId="3028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56062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ALDH1A1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F66A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 xml:space="preserve">ABclonal(Cat #A1802)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28A8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1:500 for WB</w:t>
            </w:r>
          </w:p>
        </w:tc>
      </w:tr>
      <w:tr w14:paraId="3DF5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5FB4F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CD133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6BA4E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 xml:space="preserve">ABclonal(Cat #A0219)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5E315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725D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9C00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KLF4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8722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ABclonal(Cat #A13673)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0496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4B0F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4AE2F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β-actin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B329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#Ab8146)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0ABE4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1:5000 for WB</w:t>
            </w:r>
          </w:p>
        </w:tc>
      </w:tr>
      <w:tr w14:paraId="0A7C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2FC2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SOX9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F968A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ABclonal(Cat #A19710)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F2570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42A3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5CC9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p-IKKβ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7365E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#2697)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D88BE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5F8D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EDD2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t-IKKβ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7BB5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#2684)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B216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3BEF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7EB24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p-IKBα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49D8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ABclonal(Cat #AP0707)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CB2B2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1:500 for WB</w:t>
            </w:r>
          </w:p>
        </w:tc>
      </w:tr>
      <w:tr w14:paraId="0F34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7582E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t-</w:t>
            </w:r>
            <w:r>
              <w:rPr>
                <w:rFonts w:ascii="Arial" w:hAnsi="Arial" w:cs="Arial"/>
                <w:color w:val="auto"/>
                <w:szCs w:val="21"/>
              </w:rPr>
              <w:t>IKBa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E93B6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ABclonal(Cat #A19714)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56D08">
            <w:pPr>
              <w:jc w:val="center"/>
              <w:rPr>
                <w:rFonts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IHC</w:t>
            </w:r>
          </w:p>
        </w:tc>
      </w:tr>
      <w:tr w14:paraId="27DC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96EAD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Caspase 3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7E81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#9662)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ED2E2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301E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3A438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Cleaved Caspase-3 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FE570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#9664)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1E58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26F5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D7281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PARP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E6FCA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#9542)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389AC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47B0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BC87B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Cleaved PARP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6EE0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#5625)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73A9E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44CE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4478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PARP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8D2EC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#9532)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06925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29AC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5F7F0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Ac-p65（acetyl K310)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5795F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#Ab19870)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DFA6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22BB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96D3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Methyl-p65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0F688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Technology(Cat#13188)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EA7C8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  <w:p w14:paraId="25F77E7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</w:p>
        </w:tc>
      </w:tr>
      <w:tr w14:paraId="1DFE3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1392C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p-p65(S276)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AF9B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#3037)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ACC2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  <w:p w14:paraId="7C27CD5C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</w:p>
        </w:tc>
      </w:tr>
      <w:tr w14:paraId="0388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371F9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p-p65(S536)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84468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#3033)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539A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  <w:p w14:paraId="2BE1766A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IF</w:t>
            </w:r>
          </w:p>
        </w:tc>
      </w:tr>
      <w:tr w14:paraId="6994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C4152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RSK1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2B2F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#8408)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989B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6AD1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AC1D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p-RSK1(Ser380)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B3BFB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Cell Signaling Technology (Cat #8308)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8F529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660A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0035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p300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E1C92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Proteintech(Cat #20695-1-AP)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AC457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27B8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A40F0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GCN5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A1886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 (Cat #Ab321885)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B7E48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1F96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1740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PCAF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C9F9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Santa Cruz Biotechnology(Cat #sc-13124)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3FB90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3EA6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68E92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P300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861E4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Proteintech(Cat #20695-1-AP)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01C33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  <w:tr w14:paraId="70B1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07189CE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hint="eastAsia" w:ascii="Arial" w:hAnsi="Arial" w:cs="Arial"/>
                <w:color w:val="auto"/>
              </w:rPr>
              <w:t>PARP1</w:t>
            </w:r>
          </w:p>
        </w:tc>
        <w:tc>
          <w:tcPr>
            <w:tcW w:w="3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EC0768F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Abcam</w:t>
            </w:r>
            <w:r>
              <w:rPr>
                <w:rFonts w:hint="eastAsia" w:ascii="Arial" w:hAnsi="Arial" w:cs="Arial"/>
                <w:color w:val="auto"/>
                <w:szCs w:val="21"/>
              </w:rPr>
              <w:t>(</w:t>
            </w:r>
            <w:r>
              <w:rPr>
                <w:rFonts w:ascii="Arial" w:hAnsi="Arial" w:cs="Arial"/>
                <w:color w:val="auto"/>
                <w:szCs w:val="21"/>
              </w:rPr>
              <w:t>Cat #A32138</w:t>
            </w:r>
            <w:r>
              <w:rPr>
                <w:rFonts w:hint="eastAsia" w:ascii="Arial" w:hAnsi="Arial" w:cs="Arial"/>
                <w:color w:val="auto"/>
                <w:szCs w:val="21"/>
              </w:rPr>
              <w:t>)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89113CD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1:1000 for WB</w:t>
            </w:r>
          </w:p>
        </w:tc>
      </w:tr>
    </w:tbl>
    <w:p w14:paraId="6A6414DD">
      <w:pPr>
        <w:ind w:left="-1680" w:leftChars="-800" w:firstLine="1680" w:firstLineChars="800"/>
        <w:rPr>
          <w:rFonts w:ascii="Arial" w:hAnsi="Arial" w:cs="Arial"/>
          <w:color w:val="auto"/>
        </w:rPr>
      </w:pPr>
    </w:p>
    <w:p w14:paraId="1C8157B3">
      <w:pPr>
        <w:spacing w:line="360" w:lineRule="auto"/>
        <w:ind w:firstLine="663" w:firstLineChars="300"/>
        <w:rPr>
          <w:rFonts w:ascii="Arial" w:hAnsi="Arial" w:cs="Arial"/>
          <w:b/>
          <w:bCs/>
          <w:color w:val="auto"/>
          <w:sz w:val="22"/>
          <w:szCs w:val="28"/>
        </w:rPr>
      </w:pPr>
      <w:r>
        <w:rPr>
          <w:rFonts w:ascii="Arial" w:hAnsi="Arial" w:cs="Arial"/>
          <w:b/>
          <w:bCs/>
          <w:color w:val="auto"/>
          <w:sz w:val="22"/>
          <w:szCs w:val="28"/>
        </w:rPr>
        <w:t xml:space="preserve">Supplementary Table </w:t>
      </w:r>
      <w:r>
        <w:rPr>
          <w:rFonts w:hint="eastAsia" w:ascii="Arial" w:hAnsi="Arial" w:cs="Arial"/>
          <w:b/>
          <w:bCs/>
          <w:color w:val="auto"/>
          <w:sz w:val="22"/>
          <w:szCs w:val="28"/>
        </w:rPr>
        <w:t>3</w:t>
      </w:r>
      <w:r>
        <w:rPr>
          <w:rFonts w:ascii="Arial" w:hAnsi="Arial" w:cs="Arial"/>
          <w:b/>
          <w:bCs/>
          <w:color w:val="auto"/>
          <w:sz w:val="22"/>
          <w:szCs w:val="28"/>
        </w:rPr>
        <w:t>: Target Sequences of lentivirus</w:t>
      </w:r>
    </w:p>
    <w:tbl>
      <w:tblPr>
        <w:tblStyle w:val="3"/>
        <w:tblpPr w:leftFromText="180" w:rightFromText="180" w:vertAnchor="text" w:horzAnchor="page" w:tblpX="2588" w:tblpY="119"/>
        <w:tblOverlap w:val="never"/>
        <w:tblW w:w="703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1"/>
        <w:gridCol w:w="3946"/>
      </w:tblGrid>
      <w:tr w14:paraId="27BFB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E39B5">
            <w:pPr>
              <w:widowControl/>
              <w:jc w:val="left"/>
              <w:textAlignment w:val="center"/>
              <w:rPr>
                <w:rFonts w:ascii="Arial" w:hAnsi="Arial" w:eastAsia="宋体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Name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99C4">
            <w:pPr>
              <w:widowControl/>
              <w:jc w:val="left"/>
              <w:textAlignment w:val="center"/>
              <w:rPr>
                <w:rFonts w:ascii="Arial" w:hAnsi="Arial" w:eastAsia="宋体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Target sequences</w:t>
            </w:r>
          </w:p>
        </w:tc>
      </w:tr>
      <w:tr w14:paraId="1FC02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DC9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 xml:space="preserve">Negative Control Scramble 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4C3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TTCTCCGAACGTGTCACGT</w:t>
            </w:r>
          </w:p>
        </w:tc>
      </w:tr>
      <w:tr w14:paraId="6311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9E1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shKU80#1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D15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sz w:val="22"/>
                <w:szCs w:val="22"/>
              </w:rPr>
              <w:t>AGAAGAGGCATATTGAAATAT</w:t>
            </w:r>
          </w:p>
        </w:tc>
      </w:tr>
      <w:tr w14:paraId="42DCB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6D2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shKU80#2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4F9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sz w:val="22"/>
                <w:szCs w:val="22"/>
              </w:rPr>
              <w:t>AGTCAGCTGGATATTATAATT</w:t>
            </w:r>
          </w:p>
        </w:tc>
      </w:tr>
      <w:tr w14:paraId="47C1A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26C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shDNA-PKcs#1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85F02">
            <w:pPr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sz w:val="22"/>
                <w:szCs w:val="22"/>
              </w:rPr>
              <w:t>CACCTTACTCTGTTGAAATTA</w:t>
            </w:r>
          </w:p>
        </w:tc>
      </w:tr>
      <w:tr w14:paraId="50032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3CF2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shDNA-PKcs#2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EC4DD">
            <w:pP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CAGCCCTGGACCTTCTTATTA</w:t>
            </w:r>
          </w:p>
        </w:tc>
      </w:tr>
    </w:tbl>
    <w:p w14:paraId="23FD2218">
      <w:pPr>
        <w:rPr>
          <w:rFonts w:ascii="Times New Roman" w:hAnsi="Times New Roman" w:cs="Times New Roman"/>
          <w:color w:val="auto"/>
          <w:szCs w:val="21"/>
        </w:rPr>
      </w:pPr>
    </w:p>
    <w:p w14:paraId="4111B16F">
      <w:pPr>
        <w:ind w:left="-1680" w:leftChars="-800" w:firstLine="1680" w:firstLineChars="800"/>
        <w:rPr>
          <w:rFonts w:ascii="Times New Roman" w:hAnsi="Times New Roman" w:cs="Times New Roman"/>
          <w:color w:val="auto"/>
          <w:szCs w:val="21"/>
        </w:rPr>
      </w:pPr>
    </w:p>
    <w:p w14:paraId="5ED0CA6F">
      <w:pPr>
        <w:ind w:left="-1680" w:leftChars="-800" w:firstLine="1680" w:firstLineChars="800"/>
        <w:rPr>
          <w:rFonts w:ascii="Times New Roman" w:hAnsi="Times New Roman" w:cs="Times New Roman"/>
          <w:color w:val="auto"/>
          <w:szCs w:val="21"/>
        </w:rPr>
      </w:pPr>
    </w:p>
    <w:p w14:paraId="0AF2FFBC">
      <w:pPr>
        <w:ind w:left="-1680" w:leftChars="-800" w:firstLine="1680" w:firstLineChars="800"/>
        <w:rPr>
          <w:rFonts w:ascii="Times New Roman" w:hAnsi="Times New Roman" w:cs="Times New Roman"/>
          <w:color w:val="auto"/>
          <w:szCs w:val="21"/>
        </w:rPr>
      </w:pPr>
    </w:p>
    <w:p w14:paraId="5CD9FA66">
      <w:pPr>
        <w:spacing w:line="360" w:lineRule="auto"/>
        <w:ind w:left="638" w:leftChars="30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Supplementary Table 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4</w:t>
      </w:r>
      <w:r>
        <w:rPr>
          <w:rFonts w:ascii="Arial" w:hAnsi="Arial" w:cs="Arial"/>
          <w:b/>
          <w:bCs/>
          <w:color w:val="auto"/>
          <w:sz w:val="22"/>
          <w:szCs w:val="22"/>
        </w:rPr>
        <w:t>: The sequences of primers for RT-qPCR</w:t>
      </w:r>
    </w:p>
    <w:tbl>
      <w:tblPr>
        <w:tblStyle w:val="3"/>
        <w:tblW w:w="9267" w:type="dxa"/>
        <w:tblInd w:w="-28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145"/>
        <w:gridCol w:w="5600"/>
      </w:tblGrid>
      <w:tr w14:paraId="2621BB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16812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Genes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091942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Accession #</w:t>
            </w:r>
          </w:p>
        </w:tc>
        <w:tc>
          <w:tcPr>
            <w:tcW w:w="5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BEE0AD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Sequences of Primers</w:t>
            </w:r>
          </w:p>
        </w:tc>
      </w:tr>
      <w:tr w14:paraId="60AB70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72534D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GAPDH      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968F86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NM_002046.7</w:t>
            </w:r>
          </w:p>
        </w:tc>
        <w:tc>
          <w:tcPr>
            <w:tcW w:w="56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B0EF251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 5’-AAGGTGAAGGTCGGAGTCAAC-3’</w:t>
            </w:r>
          </w:p>
          <w:p w14:paraId="0772F8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 5’-GGGGTCATTGATGGCAACAATA-3</w:t>
            </w:r>
          </w:p>
        </w:tc>
      </w:tr>
      <w:tr w14:paraId="4C79C6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BFAFA3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KLF4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D1B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"https://www.ncbi.nlm.nih.gov/nuccore/NM_001314052.2"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NM_001314052.2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41E7126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 5’-TGACTGGGACGGCTGTGGATG-3’</w:t>
            </w:r>
          </w:p>
          <w:p w14:paraId="58B901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 5’-CTTCATGTGTAAGGCGAGGTGGTC-3’</w:t>
            </w:r>
          </w:p>
        </w:tc>
      </w:tr>
      <w:tr w14:paraId="77F299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6CAF7D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EPCAM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B42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"https://www.ncbi.nlm.nih.gov/nuccore/NM_002354.3"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NM_002354.3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0E15BC6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 5’-AAGGCCAAGCAGTGCAACGG-3’</w:t>
            </w:r>
          </w:p>
          <w:p w14:paraId="72E9371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 5’-TCCAGTAGGTTCTCACTCGCTCAG-3’</w:t>
            </w:r>
          </w:p>
        </w:tc>
      </w:tr>
      <w:tr w14:paraId="023BE1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30EC873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SOX9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C6F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NM_000346.4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47DC828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 5’-CACACGCTGACCACGCTGAG-3’</w:t>
            </w:r>
          </w:p>
          <w:p w14:paraId="7187CFC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 5’-GCTGCTGCTGCTCGCTGTAG-3’</w:t>
            </w:r>
          </w:p>
        </w:tc>
      </w:tr>
      <w:tr w14:paraId="77DE01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E37CFE7">
            <w:pPr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CD133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FBDDE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NM_001145847.2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1893BC2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 5’-GTGGCGTGTGCGGCTATGAC-3’</w:t>
            </w:r>
          </w:p>
          <w:p w14:paraId="76A6CB9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Reverse:5’-CCAACTCCAACCATGAGGAAGACG-3’</w:t>
            </w:r>
          </w:p>
        </w:tc>
      </w:tr>
      <w:tr w14:paraId="066E1D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AED7A9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ALDH1A1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2DD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NM_000689.5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20DFAC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Forward:5’-ACGCCAGACTTACCTGTCCTACTC-3’</w:t>
            </w:r>
          </w:p>
          <w:p w14:paraId="3FE9C66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Reverse:5’-TCTTGCCACTCACTGAATCATGCC-3’</w:t>
            </w:r>
          </w:p>
        </w:tc>
      </w:tr>
      <w:tr w14:paraId="47D8AC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96383B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NANOG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1C2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NM_001297698.2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76BE5E2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Forward:5’-AGATGCCTCACACGGAGACTG-3’</w:t>
            </w:r>
          </w:p>
          <w:p w14:paraId="002FE10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Reverse:5’-GGGTTGTTTGCCTTTGGGACTG-3’</w:t>
            </w:r>
          </w:p>
        </w:tc>
      </w:tr>
      <w:tr w14:paraId="13E0C9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E70A7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KU70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2F3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NM_001288976.2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6722FDA3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Forward:5’-GTGCTCTGCCATCAAGTGTCTG</w:t>
            </w:r>
          </w:p>
          <w:p w14:paraId="446939F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Reverse:GGTCACCAACTCTTCTTCCTGTG</w:t>
            </w:r>
          </w:p>
        </w:tc>
      </w:tr>
      <w:tr w14:paraId="671D2E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31A637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KU80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976A3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"https://www.ncbi.nlm.nih.gov/nuccore/NM_021141.4"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NM_021141.4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103938D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Reverse:GTGCTCTGCTCATCAAGTGTCTG</w:t>
            </w:r>
          </w:p>
          <w:p w14:paraId="7E46399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Forward:GGTCATCCAACTCTTCTTCCTGTG</w:t>
            </w:r>
          </w:p>
        </w:tc>
      </w:tr>
      <w:tr w14:paraId="04DAB4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57A9A7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DNA-PKcs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52A6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NM_001081640.2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2EB8F42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Reverse:AGTGAGCCAGCCTGCCTTG</w:t>
            </w:r>
          </w:p>
          <w:p w14:paraId="087B7F9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Forward:CACCTTCTCTGAATCCTCTGAACTG</w:t>
            </w:r>
          </w:p>
        </w:tc>
      </w:tr>
      <w:tr w14:paraId="52CC63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5501FC3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RAD51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5A2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NM_001164269.2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7C933E1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Reverse:TGGCAGTGGCTGAGAGGTATG</w:t>
            </w:r>
          </w:p>
          <w:p w14:paraId="37C31A1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 GGTCTGGTGGTCTGTGTTGAAC</w:t>
            </w:r>
          </w:p>
        </w:tc>
      </w:tr>
      <w:tr w14:paraId="579E15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624718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ATM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24C7C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NM_000051.4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110CE73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Forward:AGAGATTGTGGTGGAGTTATTGATGAC</w:t>
            </w:r>
          </w:p>
          <w:p w14:paraId="7CCCCB3E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Reverse:ATGAGGTGGATTAGGAGCAGGATC</w:t>
            </w:r>
          </w:p>
        </w:tc>
      </w:tr>
    </w:tbl>
    <w:p w14:paraId="6A6E9A2C">
      <w:pPr>
        <w:spacing w:line="360" w:lineRule="auto"/>
        <w:rPr>
          <w:rFonts w:ascii="Times New Roman" w:hAnsi="Times New Roman" w:cs="Times New Roman"/>
          <w:b/>
          <w:bCs/>
          <w:color w:val="auto"/>
          <w:szCs w:val="21"/>
        </w:rPr>
      </w:pPr>
    </w:p>
    <w:p w14:paraId="301D8073">
      <w:pPr>
        <w:spacing w:line="360" w:lineRule="auto"/>
        <w:rPr>
          <w:rFonts w:ascii="Times New Roman" w:hAnsi="Times New Roman" w:cs="Times New Roman"/>
          <w:b/>
          <w:bCs/>
          <w:color w:val="auto"/>
          <w:szCs w:val="21"/>
        </w:rPr>
      </w:pPr>
    </w:p>
    <w:p w14:paraId="76D575EB">
      <w:pPr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hint="eastAsia" w:ascii="Arial" w:hAnsi="Arial" w:cs="Arial"/>
          <w:b/>
          <w:bCs/>
          <w:color w:val="auto"/>
          <w:sz w:val="22"/>
          <w:szCs w:val="22"/>
        </w:rPr>
        <w:t>Supplementary Table 5.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Correlation between p-DNA-PKcs expression and clinicopathological characteristics in 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60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patients with GC</w:t>
      </w:r>
    </w:p>
    <w:tbl>
      <w:tblPr>
        <w:tblStyle w:val="3"/>
        <w:tblW w:w="7920" w:type="dxa"/>
        <w:tblInd w:w="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020"/>
        <w:gridCol w:w="1741"/>
        <w:gridCol w:w="1619"/>
        <w:gridCol w:w="1200"/>
      </w:tblGrid>
      <w:tr w14:paraId="5AF5AC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7619B6C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385B44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Cases</w:t>
            </w:r>
          </w:p>
        </w:tc>
        <w:tc>
          <w:tcPr>
            <w:tcW w:w="3360" w:type="dxa"/>
            <w:gridSpan w:val="2"/>
            <w:shd w:val="clear" w:color="auto" w:fill="auto"/>
            <w:noWrap/>
            <w:vAlign w:val="center"/>
          </w:tcPr>
          <w:p w14:paraId="4B60F1D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p-DNA-PKcs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</w:rPr>
              <w:t xml:space="preserve"> expression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12B735D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i/>
                <w:iCs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P</w:t>
            </w:r>
          </w:p>
        </w:tc>
      </w:tr>
      <w:tr w14:paraId="754D08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DF8AAE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C1952B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847B6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High</w:t>
            </w:r>
          </w:p>
          <w:p w14:paraId="5D7DC2CD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(≥median)</w:t>
            </w:r>
          </w:p>
        </w:tc>
        <w:tc>
          <w:tcPr>
            <w:tcW w:w="161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CA723C4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Low</w:t>
            </w:r>
          </w:p>
          <w:p w14:paraId="7313E24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(&lt;median)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DBBF7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6999E7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7569E4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Number</w:t>
            </w:r>
          </w:p>
        </w:tc>
        <w:tc>
          <w:tcPr>
            <w:tcW w:w="102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101BCB7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60</w:t>
            </w:r>
          </w:p>
        </w:tc>
        <w:tc>
          <w:tcPr>
            <w:tcW w:w="174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7AB18C8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30</w:t>
            </w:r>
          </w:p>
        </w:tc>
        <w:tc>
          <w:tcPr>
            <w:tcW w:w="1619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869CF6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30</w:t>
            </w:r>
          </w:p>
        </w:tc>
        <w:tc>
          <w:tcPr>
            <w:tcW w:w="120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5E471FC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50ACA3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51641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Age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7AD35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09FDBB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57BBF6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D29BB7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0.8433</w:t>
            </w:r>
          </w:p>
        </w:tc>
      </w:tr>
      <w:tr w14:paraId="1BB603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09F744C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&lt;60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E17063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04578B5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2D88293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BA31DAB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374BB3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30ADA844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≥60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11CF95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52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1F975BA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27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0CA2BFC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A2EC2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699954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6E26631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Sex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1B593E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3DF8A1B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0660F9A5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155F4B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8</w:t>
            </w: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5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66</w:t>
            </w:r>
          </w:p>
        </w:tc>
      </w:tr>
      <w:tr w14:paraId="6A5156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3A5E3F35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Female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CABB12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71B87B1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4D56EB3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A8B3A8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172D7F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4D634C2B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Male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56DEF5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40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15833DF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22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66ECD51D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6B8B61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4DE8A3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4787A6A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Lymph node metastasis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A102A5B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1935C3EC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3EA9E690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6FEF42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 xml:space="preserve">0.0188 </w:t>
            </w:r>
            <w:r>
              <w:rPr>
                <w:rFonts w:ascii="Arial" w:hAnsi="Arial" w:eastAsia="宋体" w:cs="Arial"/>
                <w:b/>
                <w:bCs/>
                <w:color w:val="auto"/>
                <w:kern w:val="0"/>
                <w:sz w:val="22"/>
                <w:szCs w:val="22"/>
              </w:rPr>
              <w:t>*</w:t>
            </w:r>
          </w:p>
        </w:tc>
      </w:tr>
      <w:tr w14:paraId="62E9EF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70DC103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5661AA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31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7919D72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21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6F5EF1FD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876716B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20574F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4386EBD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A11D1A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29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08A4988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9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2D7C8155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C7A713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20AC29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509C99F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Distal metastasis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2CAE78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5D200CBD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31959670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2B9101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61</w:t>
            </w: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eastAsia="宋体" w:cs="Arial"/>
                <w:b/>
                <w:bCs/>
                <w:color w:val="auto"/>
                <w:kern w:val="0"/>
                <w:sz w:val="22"/>
                <w:szCs w:val="22"/>
              </w:rPr>
              <w:t>**</w:t>
            </w:r>
          </w:p>
        </w:tc>
      </w:tr>
      <w:tr w14:paraId="704373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07AF2BD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630B9D4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18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7655F01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59E8F97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9B783AD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4DDA72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66A6F57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E24C2C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42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53505A1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18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4C9D782D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2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018434B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6F6B10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50594CA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TNM stage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CDF903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77AD7CFA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55A07695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7F22466">
            <w:pPr>
              <w:widowControl/>
              <w:spacing w:line="360" w:lineRule="auto"/>
              <w:jc w:val="center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495</w:t>
            </w: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eastAsia="宋体" w:cs="Arial"/>
                <w:b/>
                <w:bCs/>
                <w:color w:val="auto"/>
                <w:kern w:val="0"/>
                <w:sz w:val="22"/>
                <w:szCs w:val="22"/>
              </w:rPr>
              <w:t>*</w:t>
            </w:r>
          </w:p>
        </w:tc>
      </w:tr>
      <w:tr w14:paraId="06600D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7968E2F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Ⅰ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7D7599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2B95FE6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344DA6D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2071FEA">
            <w:pPr>
              <w:widowControl/>
              <w:spacing w:line="360" w:lineRule="auto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09F24F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2DE947C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Ⅱ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972D2D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13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750E60A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439E165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2CC129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7266F7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2FD711A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Ⅲ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8CD37D7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21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23E41CD5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0132D62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64F11B5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  <w:tr w14:paraId="6AA25D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0" w:type="dxa"/>
            <w:shd w:val="clear" w:color="auto" w:fill="auto"/>
            <w:noWrap/>
            <w:vAlign w:val="center"/>
          </w:tcPr>
          <w:p w14:paraId="732AA3F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  <w:t>Ⅳ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5E24D7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highlight w:val="yellow"/>
              </w:rPr>
              <w:t>14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15C2DAB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1619" w:type="dxa"/>
            <w:shd w:val="clear" w:color="auto" w:fill="auto"/>
            <w:noWrap/>
            <w:vAlign w:val="center"/>
          </w:tcPr>
          <w:p w14:paraId="6F4DB4C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31D6B1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color w:val="auto"/>
                <w:kern w:val="0"/>
                <w:sz w:val="22"/>
                <w:szCs w:val="22"/>
              </w:rPr>
            </w:pPr>
          </w:p>
        </w:tc>
      </w:tr>
    </w:tbl>
    <w:p w14:paraId="71DA58B4">
      <w:pPr>
        <w:rPr>
          <w:rFonts w:ascii="Times New Roman" w:hAnsi="Times New Roman" w:cs="Times New Roman"/>
          <w:color w:val="auto"/>
          <w:sz w:val="24"/>
        </w:rPr>
      </w:pPr>
    </w:p>
    <w:p w14:paraId="6089DC50">
      <w:pPr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*P &lt; 0.05; **P &lt; 0.01</w:t>
      </w:r>
      <w:r>
        <w:rPr>
          <w:rFonts w:hint="eastAsia" w:ascii="Arial" w:hAnsi="Arial" w:cs="Arial"/>
          <w:color w:val="auto"/>
          <w:sz w:val="24"/>
        </w:rPr>
        <w:t>.</w:t>
      </w:r>
      <w:r>
        <w:rPr>
          <w:rFonts w:ascii="Arial" w:hAnsi="Arial" w:cs="Arial"/>
          <w:color w:val="auto"/>
          <w:sz w:val="24"/>
        </w:rPr>
        <w:t xml:space="preserve"> </w:t>
      </w:r>
    </w:p>
    <w:p w14:paraId="23D5CAB2">
      <w:pPr>
        <w:spacing w:line="360" w:lineRule="auto"/>
        <w:rPr>
          <w:rFonts w:ascii="Times New Roman" w:hAnsi="Times New Roman" w:cs="Times New Roman"/>
          <w:b/>
          <w:bCs/>
          <w:color w:val="auto"/>
          <w:szCs w:val="21"/>
        </w:rPr>
      </w:pPr>
    </w:p>
    <w:p w14:paraId="6856F1FB">
      <w:pPr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Supplementary Table </w:t>
      </w:r>
      <w:r>
        <w:rPr>
          <w:rFonts w:hint="eastAsia" w:ascii="Arial" w:hAnsi="Arial" w:cs="Arial"/>
          <w:b/>
          <w:bCs/>
          <w:color w:val="auto"/>
          <w:sz w:val="22"/>
          <w:szCs w:val="22"/>
        </w:rPr>
        <w:t>6</w:t>
      </w:r>
      <w:r>
        <w:rPr>
          <w:rFonts w:ascii="Arial" w:hAnsi="Arial" w:cs="Arial"/>
          <w:b/>
          <w:bCs/>
          <w:color w:val="auto"/>
          <w:sz w:val="22"/>
          <w:szCs w:val="22"/>
        </w:rPr>
        <w:t>: JASPAR-based Prediction of Transcription Factor Binding Sites and Target Genes</w:t>
      </w:r>
    </w:p>
    <w:tbl>
      <w:tblPr>
        <w:tblStyle w:val="3"/>
        <w:tblpPr w:leftFromText="180" w:rightFromText="180" w:vertAnchor="text" w:horzAnchor="page" w:tblpX="1845" w:tblpY="330"/>
        <w:tblOverlap w:val="never"/>
        <w:tblW w:w="883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937"/>
        <w:gridCol w:w="1590"/>
        <w:gridCol w:w="1152"/>
        <w:gridCol w:w="1034"/>
        <w:gridCol w:w="868"/>
        <w:gridCol w:w="702"/>
        <w:gridCol w:w="1409"/>
      </w:tblGrid>
      <w:tr w14:paraId="0CCBEA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C9C54A5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TF</w:t>
            </w:r>
          </w:p>
          <w:p w14:paraId="1AF2E71F">
            <w:pPr>
              <w:jc w:val="center"/>
              <w:rPr>
                <w:rFonts w:ascii="Arial" w:hAnsi="Arial" w:cs="Arial"/>
                <w:color w:val="auto"/>
                <w:szCs w:val="21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Gene</w:t>
            </w:r>
          </w:p>
          <w:p w14:paraId="11164BA7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id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4B0DEAD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TF gene name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525F67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Target </w:t>
            </w:r>
          </w:p>
          <w:p w14:paraId="536118BC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gene </w:t>
            </w:r>
          </w:p>
          <w:p w14:paraId="4C6084B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id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507C1F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Target gene name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D805521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Cs w:val="21"/>
              </w:rPr>
              <w:t>Pvalue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A22CB31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Start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E7F187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Stop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0D6A93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Matched sequence</w:t>
            </w:r>
          </w:p>
        </w:tc>
      </w:tr>
      <w:tr w14:paraId="567D7C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6CC0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5661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E583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ENSG00000104332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7516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SFRP1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6025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9.54E-7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3077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373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E56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382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1F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bidi="ar"/>
              </w:rPr>
              <w:t>GGGAATTTCC</w:t>
            </w:r>
          </w:p>
        </w:tc>
      </w:tr>
      <w:tr w14:paraId="155B5B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2A33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4F70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4830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ENSG00000135925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B22E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WNT10A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74C6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9.54E-7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2E7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384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EEE2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393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6A6C5A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GGGAATTTCC</w:t>
            </w:r>
          </w:p>
        </w:tc>
      </w:tr>
      <w:tr w14:paraId="2CF21A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CC5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7CA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6EF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ENSG00000122861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B9A9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PLAU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E72C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9.54E-7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5B9A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583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980B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592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11EB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GGGAATTTCC</w:t>
            </w:r>
          </w:p>
        </w:tc>
      </w:tr>
      <w:tr w14:paraId="31F3C1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A9DC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3049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0649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ENSG00000100968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9EE0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NFATC4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1C8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2.86E-6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FAF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481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A655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490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2783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GGGAGTTTCC</w:t>
            </w:r>
          </w:p>
        </w:tc>
      </w:tr>
      <w:tr w14:paraId="7BE8F4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1387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471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28E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ENSG00000075651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0549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PLD1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2160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6.68E-6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0D60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591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0964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10E0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GGGGGTTTCC</w:t>
            </w:r>
          </w:p>
        </w:tc>
      </w:tr>
      <w:tr w14:paraId="488F63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2D7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FF5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74B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ENSG00000115266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59D1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APC2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E42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7.63E-6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82BE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457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D5B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466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7F9C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CGGGATTTCC</w:t>
            </w:r>
          </w:p>
        </w:tc>
      </w:tr>
      <w:tr w14:paraId="75ECF5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528D2D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ENSG00000173039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4AE26A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RELA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F2ED8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ENSG00000169884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86AC3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WNT10B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66F58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9.57E-6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1F239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453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7FA10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9743E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2"/>
                <w:szCs w:val="22"/>
                <w:lang w:bidi="ar"/>
              </w:rPr>
              <w:t>TGGGGAAGCCCCA</w:t>
            </w:r>
          </w:p>
        </w:tc>
      </w:tr>
    </w:tbl>
    <w:p w14:paraId="46075607">
      <w:pPr>
        <w:spacing w:line="360" w:lineRule="auto"/>
        <w:rPr>
          <w:rFonts w:ascii="Times New Roman" w:hAnsi="Times New Roman" w:cs="Times New Roman"/>
          <w:b/>
          <w:bCs/>
          <w:color w:val="auto"/>
          <w:szCs w:val="21"/>
        </w:rPr>
      </w:pPr>
    </w:p>
    <w:p w14:paraId="490E95CA">
      <w:pPr>
        <w:spacing w:line="360" w:lineRule="auto"/>
        <w:rPr>
          <w:rFonts w:ascii="Arial" w:hAnsi="Arial" w:cs="Arial"/>
          <w:color w:val="auto"/>
          <w:sz w:val="22"/>
          <w:szCs w:val="28"/>
        </w:rPr>
      </w:pPr>
    </w:p>
    <w:p w14:paraId="12EAF291">
      <w:pPr>
        <w:spacing w:line="480" w:lineRule="auto"/>
        <w:rPr>
          <w:rFonts w:hint="eastAsia" w:ascii="Arial" w:hAnsi="Arial" w:cs="Arial"/>
          <w:b/>
          <w:bCs/>
          <w:color w:val="auto"/>
          <w:sz w:val="24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06146"/>
    <w:rsid w:val="27C546B8"/>
    <w:rsid w:val="349618B6"/>
    <w:rsid w:val="47A125F4"/>
    <w:rsid w:val="52B15686"/>
    <w:rsid w:val="54C55B73"/>
    <w:rsid w:val="5DE84681"/>
    <w:rsid w:val="63A97538"/>
    <w:rsid w:val="70495453"/>
    <w:rsid w:val="74B1256F"/>
    <w:rsid w:val="7C5C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1658</Words>
  <Characters>7731</Characters>
  <Lines>0</Lines>
  <Paragraphs>0</Paragraphs>
  <TotalTime>11</TotalTime>
  <ScaleCrop>false</ScaleCrop>
  <LinksUpToDate>false</LinksUpToDate>
  <CharactersWithSpaces>8759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2025-06-09T01:14:00Z</dcterms:created>
  <dc:creator>zhanglingyu</dc:creator>
  <cp:lastModifiedBy>哎呦喂</cp:lastModifiedBy>
  <dcterms:modified xsi:type="dcterms:W3CDTF">2025-10-18T02:57:18Z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eyJoZGlkIjoiYmUxMDVlNzQyMWM2M2I2ODcwZDU5YWNjNzIwOTc4OTMiLCJ1c2VySWQiOiIyNDc2MTY2MjQifQ==</vt:lpwstr>
  </property>
  <property fmtid="{D5CDD505-2E9C-101B-9397-08002B2CF9AE}" pid="4" name="ICV">
    <vt:lpwstr>16A55316E0114A189238A13C4FEE1C52_12</vt:lpwstr>
  </property>
</Properties>
</file>