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9B7E5" w14:textId="77777777" w:rsidR="00C36DB9" w:rsidRPr="009E5566" w:rsidRDefault="00C36DB9" w:rsidP="00C36DB9">
      <w:pPr>
        <w:widowControl/>
        <w:spacing w:before="120" w:after="240" w:line="480" w:lineRule="auto"/>
        <w:rPr>
          <w:rFonts w:ascii="Times New Roman" w:eastAsia="微软雅黑" w:hAnsi="Times New Roman" w:cs="Times New Roman"/>
          <w:b/>
          <w:bCs/>
          <w:kern w:val="0"/>
          <w:sz w:val="24"/>
          <w:szCs w:val="24"/>
          <w:lang w:eastAsia="zh-CN"/>
        </w:rPr>
      </w:pPr>
      <w:bookmarkStart w:id="0" w:name="_Hlk206162341"/>
      <w:bookmarkStart w:id="1" w:name="_Hlk186039476"/>
      <w:proofErr w:type="spellStart"/>
      <w:r w:rsidRPr="009E5566">
        <w:rPr>
          <w:rFonts w:ascii="Times New Roman" w:eastAsia="微软雅黑" w:hAnsi="Times New Roman" w:cs="Times New Roman"/>
          <w:b/>
          <w:bCs/>
          <w:i/>
          <w:iCs/>
          <w:kern w:val="0"/>
          <w:sz w:val="24"/>
          <w:szCs w:val="24"/>
          <w:lang w:eastAsia="zh-CN"/>
        </w:rPr>
        <w:t>Roseburia</w:t>
      </w:r>
      <w:proofErr w:type="spellEnd"/>
      <w:r w:rsidRPr="009E5566">
        <w:rPr>
          <w:rFonts w:ascii="Times New Roman" w:eastAsia="微软雅黑" w:hAnsi="Times New Roman" w:cs="Times New Roman"/>
          <w:b/>
          <w:bCs/>
          <w:i/>
          <w:iCs/>
          <w:kern w:val="0"/>
          <w:sz w:val="24"/>
          <w:szCs w:val="24"/>
          <w:lang w:eastAsia="zh-CN"/>
        </w:rPr>
        <w:t xml:space="preserve"> intestinalis</w:t>
      </w:r>
      <w:r w:rsidRPr="009E5566">
        <w:rPr>
          <w:rFonts w:ascii="Times New Roman" w:eastAsia="微软雅黑" w:hAnsi="Times New Roman" w:cs="Times New Roman"/>
          <w:b/>
          <w:bCs/>
          <w:kern w:val="0"/>
          <w:sz w:val="24"/>
          <w:szCs w:val="24"/>
          <w:lang w:eastAsia="zh-CN"/>
        </w:rPr>
        <w:t>-derived inosine improves intestinal motility by activating TGF-β1/p-Smad3/</w:t>
      </w:r>
      <w:proofErr w:type="spellStart"/>
      <w:r w:rsidRPr="009E5566">
        <w:rPr>
          <w:rFonts w:ascii="Times New Roman" w:eastAsia="微软雅黑" w:hAnsi="Times New Roman" w:cs="Times New Roman"/>
          <w:b/>
          <w:bCs/>
          <w:kern w:val="0"/>
          <w:sz w:val="24"/>
          <w:szCs w:val="24"/>
          <w:lang w:eastAsia="zh-CN"/>
        </w:rPr>
        <w:t>Transgelin</w:t>
      </w:r>
      <w:proofErr w:type="spellEnd"/>
      <w:r w:rsidRPr="009E5566">
        <w:rPr>
          <w:rFonts w:ascii="Times New Roman" w:eastAsia="微软雅黑" w:hAnsi="Times New Roman" w:cs="Times New Roman"/>
          <w:b/>
          <w:bCs/>
          <w:kern w:val="0"/>
          <w:sz w:val="24"/>
          <w:szCs w:val="24"/>
          <w:lang w:eastAsia="zh-CN"/>
        </w:rPr>
        <w:t xml:space="preserve"> signaling axis</w:t>
      </w:r>
    </w:p>
    <w:bookmarkEnd w:id="0"/>
    <w:p w14:paraId="45B073AE" w14:textId="77777777" w:rsidR="00C36DB9" w:rsidRPr="009E5566" w:rsidRDefault="00C36DB9" w:rsidP="00C36DB9">
      <w:pPr>
        <w:widowControl/>
        <w:spacing w:before="120" w:after="240" w:line="480" w:lineRule="auto"/>
        <w:rPr>
          <w:rFonts w:ascii="Times New Roman" w:eastAsia="微软雅黑" w:hAnsi="Times New Roman" w:cs="Times New Roman"/>
          <w:kern w:val="0"/>
          <w:sz w:val="24"/>
          <w:szCs w:val="24"/>
          <w:lang w:eastAsia="zh-CN"/>
        </w:rPr>
      </w:pPr>
      <w:proofErr w:type="spellStart"/>
      <w:r w:rsidRPr="009E5566">
        <w:rPr>
          <w:rFonts w:ascii="Times New Roman" w:eastAsia="宋体" w:hAnsi="Times New Roman" w:cs="Times New Roman"/>
          <w:kern w:val="0"/>
          <w:sz w:val="24"/>
          <w:szCs w:val="24"/>
          <w:lang w:eastAsia="zh-CN"/>
        </w:rPr>
        <w:t>Xiaoqian</w:t>
      </w:r>
      <w:proofErr w:type="spellEnd"/>
      <w:r w:rsidRPr="009E5566">
        <w:rPr>
          <w:rFonts w:ascii="Times New Roman" w:eastAsia="宋体" w:hAnsi="Times New Roman" w:cs="Times New Roman"/>
          <w:kern w:val="0"/>
          <w:sz w:val="24"/>
          <w:szCs w:val="24"/>
          <w:lang w:eastAsia="zh-CN"/>
        </w:rPr>
        <w:t xml:space="preserve"> Dong</w:t>
      </w:r>
      <w:r w:rsidRPr="009E5566">
        <w:rPr>
          <w:rFonts w:ascii="Times New Roman" w:eastAsia="宋体" w:hAnsi="Times New Roman" w:cs="Times New Roman"/>
          <w:kern w:val="0"/>
          <w:sz w:val="24"/>
          <w:szCs w:val="24"/>
          <w:vertAlign w:val="superscript"/>
          <w:lang w:eastAsia="zh-CN"/>
        </w:rPr>
        <w:t>1,2#</w:t>
      </w:r>
      <w:r w:rsidRPr="009E5566">
        <w:rPr>
          <w:rFonts w:ascii="Times New Roman" w:eastAsia="宋体" w:hAnsi="Times New Roman" w:cs="Times New Roman"/>
          <w:kern w:val="0"/>
          <w:sz w:val="24"/>
          <w:szCs w:val="24"/>
          <w:lang w:eastAsia="en-US"/>
        </w:rPr>
        <w:t xml:space="preserve">, </w:t>
      </w:r>
      <w:r w:rsidRPr="009E5566">
        <w:rPr>
          <w:rFonts w:ascii="Times New Roman" w:eastAsia="宋体" w:hAnsi="Times New Roman" w:cs="Times New Roman"/>
          <w:kern w:val="0"/>
          <w:sz w:val="24"/>
          <w:szCs w:val="24"/>
          <w:lang w:eastAsia="zh-CN"/>
        </w:rPr>
        <w:t>Hao Zhang</w:t>
      </w:r>
      <w:r w:rsidRPr="009E5566">
        <w:rPr>
          <w:rFonts w:ascii="Times New Roman" w:eastAsia="宋体" w:hAnsi="Times New Roman" w:cs="Times New Roman"/>
          <w:kern w:val="0"/>
          <w:sz w:val="24"/>
          <w:szCs w:val="24"/>
          <w:vertAlign w:val="superscript"/>
          <w:lang w:eastAsia="zh-CN"/>
        </w:rPr>
        <w:t>2#</w:t>
      </w:r>
      <w:r w:rsidRPr="009E5566">
        <w:rPr>
          <w:rFonts w:ascii="Times New Roman" w:eastAsia="宋体" w:hAnsi="Times New Roman" w:cs="Times New Roman"/>
          <w:kern w:val="0"/>
          <w:sz w:val="24"/>
          <w:szCs w:val="24"/>
          <w:lang w:eastAsia="zh-CN"/>
        </w:rPr>
        <w:t xml:space="preserve">, </w:t>
      </w:r>
      <w:proofErr w:type="spellStart"/>
      <w:r w:rsidRPr="009E5566">
        <w:rPr>
          <w:rFonts w:ascii="Times New Roman" w:eastAsia="宋体" w:hAnsi="Times New Roman" w:cs="Times New Roman"/>
          <w:kern w:val="0"/>
          <w:sz w:val="24"/>
          <w:szCs w:val="24"/>
          <w:lang w:eastAsia="zh-CN"/>
        </w:rPr>
        <w:t>Mengshi</w:t>
      </w:r>
      <w:proofErr w:type="spellEnd"/>
      <w:r w:rsidRPr="009E5566">
        <w:rPr>
          <w:rFonts w:ascii="Times New Roman" w:eastAsia="宋体" w:hAnsi="Times New Roman" w:cs="Times New Roman"/>
          <w:kern w:val="0"/>
          <w:sz w:val="24"/>
          <w:szCs w:val="24"/>
          <w:lang w:eastAsia="zh-CN"/>
        </w:rPr>
        <w:t xml:space="preserve"> Chen</w:t>
      </w:r>
      <w:r w:rsidRPr="009E5566">
        <w:rPr>
          <w:rFonts w:ascii="Times New Roman" w:eastAsia="宋体" w:hAnsi="Times New Roman" w:cs="Times New Roman"/>
          <w:kern w:val="0"/>
          <w:sz w:val="24"/>
          <w:szCs w:val="24"/>
          <w:vertAlign w:val="superscript"/>
          <w:lang w:eastAsia="zh-CN"/>
        </w:rPr>
        <w:t>2,3,4</w:t>
      </w:r>
      <w:r w:rsidRPr="009E5566">
        <w:rPr>
          <w:rFonts w:ascii="Times New Roman" w:eastAsia="宋体" w:hAnsi="Times New Roman" w:cs="Times New Roman"/>
          <w:kern w:val="0"/>
          <w:sz w:val="24"/>
          <w:szCs w:val="24"/>
          <w:lang w:eastAsia="zh-CN"/>
        </w:rPr>
        <w:t>, Haifeng Liu</w:t>
      </w:r>
      <w:r w:rsidRPr="009E5566">
        <w:rPr>
          <w:rFonts w:ascii="Times New Roman" w:eastAsia="宋体" w:hAnsi="Times New Roman" w:cs="Times New Roman"/>
          <w:kern w:val="0"/>
          <w:sz w:val="24"/>
          <w:szCs w:val="24"/>
          <w:vertAlign w:val="superscript"/>
          <w:lang w:eastAsia="zh-CN"/>
        </w:rPr>
        <w:t>2</w:t>
      </w:r>
      <w:r w:rsidRPr="009E5566">
        <w:rPr>
          <w:rFonts w:ascii="Times New Roman" w:eastAsia="宋体" w:hAnsi="Times New Roman" w:cs="Times New Roman"/>
          <w:kern w:val="0"/>
          <w:sz w:val="24"/>
          <w:szCs w:val="24"/>
          <w:lang w:eastAsia="zh-CN"/>
        </w:rPr>
        <w:t xml:space="preserve">, </w:t>
      </w:r>
      <w:proofErr w:type="spellStart"/>
      <w:r w:rsidRPr="009E5566">
        <w:rPr>
          <w:rFonts w:ascii="Times New Roman" w:eastAsia="宋体" w:hAnsi="Times New Roman" w:cs="Times New Roman"/>
          <w:kern w:val="0"/>
          <w:sz w:val="24"/>
          <w:szCs w:val="24"/>
          <w:lang w:eastAsia="zh-CN"/>
        </w:rPr>
        <w:t>Menglin</w:t>
      </w:r>
      <w:proofErr w:type="spellEnd"/>
      <w:r w:rsidRPr="009E5566">
        <w:rPr>
          <w:rFonts w:ascii="Times New Roman" w:eastAsia="宋体" w:hAnsi="Times New Roman" w:cs="Times New Roman"/>
          <w:kern w:val="0"/>
          <w:sz w:val="24"/>
          <w:szCs w:val="24"/>
          <w:lang w:eastAsia="zh-CN"/>
        </w:rPr>
        <w:t xml:space="preserve"> Sun</w:t>
      </w:r>
      <w:r w:rsidRPr="009E5566">
        <w:rPr>
          <w:rFonts w:ascii="Times New Roman" w:eastAsia="宋体" w:hAnsi="Times New Roman" w:cs="Times New Roman"/>
          <w:kern w:val="0"/>
          <w:sz w:val="24"/>
          <w:szCs w:val="24"/>
          <w:vertAlign w:val="superscript"/>
          <w:lang w:eastAsia="zh-CN"/>
        </w:rPr>
        <w:t>2</w:t>
      </w:r>
      <w:r w:rsidRPr="009E5566">
        <w:rPr>
          <w:rFonts w:ascii="Times New Roman" w:eastAsia="宋体" w:hAnsi="Times New Roman" w:cs="Times New Roman"/>
          <w:kern w:val="0"/>
          <w:sz w:val="24"/>
          <w:szCs w:val="24"/>
          <w:lang w:eastAsia="zh-CN"/>
        </w:rPr>
        <w:t>, Kui Jiang</w:t>
      </w:r>
      <w:r w:rsidRPr="009E5566">
        <w:rPr>
          <w:rFonts w:ascii="Times New Roman" w:eastAsia="宋体" w:hAnsi="Times New Roman" w:cs="Times New Roman"/>
          <w:kern w:val="0"/>
          <w:sz w:val="24"/>
          <w:szCs w:val="24"/>
          <w:vertAlign w:val="superscript"/>
          <w:lang w:eastAsia="zh-CN"/>
        </w:rPr>
        <w:t>2</w:t>
      </w:r>
      <w:r w:rsidRPr="009E5566">
        <w:rPr>
          <w:rFonts w:ascii="Times New Roman" w:eastAsia="宋体" w:hAnsi="Times New Roman" w:cs="Times New Roman"/>
          <w:kern w:val="0"/>
          <w:sz w:val="24"/>
          <w:szCs w:val="24"/>
          <w:lang w:eastAsia="zh-CN"/>
        </w:rPr>
        <w:t>, Hao Ruan</w:t>
      </w:r>
      <w:r w:rsidRPr="009E5566">
        <w:rPr>
          <w:rFonts w:ascii="Times New Roman" w:eastAsia="宋体" w:hAnsi="Times New Roman" w:cs="Times New Roman"/>
          <w:kern w:val="0"/>
          <w:sz w:val="24"/>
          <w:szCs w:val="24"/>
          <w:vertAlign w:val="superscript"/>
          <w:lang w:eastAsia="zh-CN"/>
        </w:rPr>
        <w:t>5</w:t>
      </w:r>
      <w:r w:rsidRPr="009E5566">
        <w:rPr>
          <w:rFonts w:ascii="Times New Roman" w:eastAsia="宋体" w:hAnsi="Times New Roman" w:cs="Times New Roman"/>
          <w:kern w:val="0"/>
          <w:sz w:val="24"/>
          <w:szCs w:val="24"/>
          <w:vertAlign w:val="superscript"/>
          <w:lang w:eastAsia="en-US"/>
        </w:rPr>
        <w:t>*</w:t>
      </w:r>
      <w:r w:rsidRPr="009E5566">
        <w:rPr>
          <w:rFonts w:ascii="Times New Roman" w:eastAsia="宋体" w:hAnsi="Times New Roman" w:cs="Times New Roman"/>
          <w:kern w:val="0"/>
          <w:sz w:val="24"/>
          <w:szCs w:val="24"/>
          <w:lang w:eastAsia="zh-CN"/>
        </w:rPr>
        <w:t xml:space="preserve">, </w:t>
      </w:r>
      <w:proofErr w:type="spellStart"/>
      <w:r w:rsidRPr="009E5566">
        <w:rPr>
          <w:rFonts w:ascii="Times New Roman" w:eastAsia="宋体" w:hAnsi="Times New Roman" w:cs="Times New Roman"/>
          <w:kern w:val="0"/>
          <w:sz w:val="24"/>
          <w:szCs w:val="24"/>
          <w:lang w:eastAsia="zh-CN"/>
        </w:rPr>
        <w:t>Bangmao</w:t>
      </w:r>
      <w:proofErr w:type="spellEnd"/>
      <w:r w:rsidRPr="009E5566">
        <w:rPr>
          <w:rFonts w:ascii="Times New Roman" w:eastAsia="宋体" w:hAnsi="Times New Roman" w:cs="Times New Roman"/>
          <w:kern w:val="0"/>
          <w:sz w:val="24"/>
          <w:szCs w:val="24"/>
          <w:lang w:eastAsia="zh-CN"/>
        </w:rPr>
        <w:t xml:space="preserve"> Wang</w:t>
      </w:r>
      <w:r w:rsidRPr="009E5566">
        <w:rPr>
          <w:rFonts w:ascii="Times New Roman" w:eastAsia="宋体" w:hAnsi="Times New Roman" w:cs="Times New Roman"/>
          <w:kern w:val="0"/>
          <w:sz w:val="24"/>
          <w:szCs w:val="24"/>
          <w:vertAlign w:val="superscript"/>
          <w:lang w:eastAsia="zh-CN"/>
        </w:rPr>
        <w:t>1,2</w:t>
      </w:r>
      <w:bookmarkStart w:id="2" w:name="OLE_LINK1"/>
      <w:r w:rsidRPr="009E5566">
        <w:rPr>
          <w:rFonts w:ascii="Times New Roman" w:eastAsia="宋体" w:hAnsi="Times New Roman" w:cs="Times New Roman"/>
          <w:kern w:val="0"/>
          <w:sz w:val="24"/>
          <w:szCs w:val="24"/>
          <w:vertAlign w:val="superscript"/>
          <w:lang w:eastAsia="en-US"/>
        </w:rPr>
        <w:t>*</w:t>
      </w:r>
      <w:bookmarkEnd w:id="2"/>
      <w:r w:rsidRPr="009E5566">
        <w:rPr>
          <w:rFonts w:ascii="Times New Roman" w:eastAsia="宋体" w:hAnsi="Times New Roman" w:cs="Times New Roman"/>
          <w:kern w:val="0"/>
          <w:sz w:val="24"/>
          <w:szCs w:val="24"/>
          <w:lang w:eastAsia="zh-CN"/>
        </w:rPr>
        <w:t xml:space="preserve">, </w:t>
      </w:r>
      <w:proofErr w:type="spellStart"/>
      <w:r w:rsidRPr="009E5566">
        <w:rPr>
          <w:rFonts w:ascii="Times New Roman" w:eastAsia="宋体" w:hAnsi="Times New Roman" w:cs="Times New Roman"/>
          <w:kern w:val="0"/>
          <w:sz w:val="24"/>
          <w:szCs w:val="24"/>
          <w:lang w:eastAsia="zh-CN"/>
        </w:rPr>
        <w:t>Weilong</w:t>
      </w:r>
      <w:proofErr w:type="spellEnd"/>
      <w:r w:rsidRPr="009E5566">
        <w:rPr>
          <w:rFonts w:ascii="Times New Roman" w:eastAsia="宋体" w:hAnsi="Times New Roman" w:cs="Times New Roman"/>
          <w:kern w:val="0"/>
          <w:sz w:val="24"/>
          <w:szCs w:val="24"/>
          <w:lang w:eastAsia="zh-CN"/>
        </w:rPr>
        <w:t xml:space="preserve"> Zhong</w:t>
      </w:r>
      <w:r w:rsidRPr="009E5566">
        <w:rPr>
          <w:rFonts w:ascii="Times New Roman" w:eastAsia="宋体" w:hAnsi="Times New Roman" w:cs="Times New Roman"/>
          <w:kern w:val="0"/>
          <w:sz w:val="24"/>
          <w:szCs w:val="24"/>
          <w:vertAlign w:val="superscript"/>
          <w:lang w:eastAsia="zh-CN"/>
        </w:rPr>
        <w:t>2</w:t>
      </w:r>
      <w:r w:rsidRPr="009E5566">
        <w:rPr>
          <w:rFonts w:ascii="Times New Roman" w:eastAsia="宋体" w:hAnsi="Times New Roman" w:cs="Times New Roman"/>
          <w:kern w:val="0"/>
          <w:sz w:val="24"/>
          <w:szCs w:val="24"/>
          <w:vertAlign w:val="superscript"/>
          <w:lang w:eastAsia="en-US"/>
        </w:rPr>
        <w:t>*</w:t>
      </w:r>
    </w:p>
    <w:p w14:paraId="271878A5" w14:textId="660AC9D6" w:rsidR="0026733E" w:rsidRPr="009E5566" w:rsidRDefault="00F20A27" w:rsidP="004657B5">
      <w:pPr>
        <w:spacing w:line="480" w:lineRule="exact"/>
        <w:rPr>
          <w:rFonts w:ascii="Times New Roman" w:eastAsia="等线" w:hAnsi="Times New Roman" w:cs="Times New Roman"/>
          <w:b/>
          <w:bCs/>
          <w:sz w:val="24"/>
          <w:szCs w:val="24"/>
          <w:lang w:eastAsia="zh-CN"/>
        </w:rPr>
      </w:pPr>
      <w:bookmarkStart w:id="3" w:name="_Hlk211105720"/>
      <w:bookmarkEnd w:id="1"/>
      <w:r w:rsidRPr="009E5566">
        <w:rPr>
          <w:rFonts w:ascii="Times New Roman" w:hAnsi="Times New Roman" w:cs="Times New Roman"/>
          <w:b/>
          <w:bCs/>
          <w:sz w:val="24"/>
          <w:szCs w:val="24"/>
        </w:rPr>
        <w:t>Supplementary Methods</w:t>
      </w:r>
      <w:r w:rsidR="001B2815" w:rsidRPr="009E5566">
        <w:rPr>
          <w:rFonts w:ascii="Times New Roman" w:eastAsia="等线" w:hAnsi="Times New Roman" w:cs="Times New Roman"/>
          <w:b/>
          <w:bCs/>
          <w:sz w:val="24"/>
          <w:szCs w:val="24"/>
          <w:lang w:eastAsia="zh-CN"/>
        </w:rPr>
        <w:t xml:space="preserve"> </w:t>
      </w:r>
    </w:p>
    <w:bookmarkEnd w:id="3"/>
    <w:p w14:paraId="7C3B342F" w14:textId="5EAB4378" w:rsidR="00C36DB9" w:rsidRPr="009E5566" w:rsidRDefault="00C36DB9" w:rsidP="00C36DB9">
      <w:pPr>
        <w:widowControl/>
        <w:spacing w:before="240" w:after="200" w:line="480" w:lineRule="auto"/>
        <w:ind w:left="567" w:hanging="567"/>
        <w:outlineLvl w:val="1"/>
        <w:rPr>
          <w:rFonts w:ascii="Times New Roman" w:eastAsia="Cambria" w:hAnsi="Times New Roman" w:cs="Times New Roman"/>
          <w:b/>
          <w:kern w:val="0"/>
          <w:sz w:val="24"/>
          <w:szCs w:val="24"/>
          <w:lang w:eastAsia="en-US"/>
        </w:rPr>
      </w:pPr>
      <w:r w:rsidRPr="009E5566">
        <w:rPr>
          <w:rFonts w:ascii="Times New Roman" w:eastAsia="Cambria" w:hAnsi="Times New Roman" w:cs="Times New Roman"/>
          <w:b/>
          <w:kern w:val="0"/>
          <w:sz w:val="24"/>
          <w:szCs w:val="24"/>
          <w:lang w:eastAsia="en-US"/>
        </w:rPr>
        <w:t>Instrumental variables (IVs) selection</w:t>
      </w:r>
    </w:p>
    <w:p w14:paraId="65AC9198" w14:textId="48D2EA75" w:rsidR="00053A51" w:rsidRPr="009E5566" w:rsidRDefault="00885312" w:rsidP="00C36DB9">
      <w:pPr>
        <w:spacing w:line="360" w:lineRule="auto"/>
        <w:rPr>
          <w:rFonts w:ascii="Times New Roman" w:hAnsi="Times New Roman" w:cs="Times New Roman"/>
          <w:sz w:val="24"/>
          <w:szCs w:val="24"/>
        </w:rPr>
      </w:pPr>
      <w:r w:rsidRPr="009E5566">
        <w:rPr>
          <w:rFonts w:ascii="Times New Roman" w:eastAsia="宋体" w:hAnsi="Times New Roman" w:cs="Times New Roman"/>
          <w:sz w:val="24"/>
          <w:szCs w:val="24"/>
        </w:rPr>
        <w:t>A two-sample MR approach was employed in this investigation to assess the causal relationship.</w:t>
      </w:r>
      <w:r w:rsidRPr="009E5566">
        <w:rPr>
          <w:rFonts w:ascii="Times New Roman" w:hAnsi="Times New Roman" w:cs="Times New Roman"/>
          <w:sz w:val="24"/>
          <w:szCs w:val="24"/>
        </w:rPr>
        <w:t xml:space="preserve"> The selection of single nucleotide polymorphisms (SNPs) as IVs was contingent upon satisfying three core assumptions: (</w:t>
      </w:r>
      <w:proofErr w:type="spellStart"/>
      <w:r w:rsidRPr="009E5566">
        <w:rPr>
          <w:rFonts w:ascii="Times New Roman" w:hAnsi="Times New Roman" w:cs="Times New Roman"/>
          <w:sz w:val="24"/>
          <w:szCs w:val="24"/>
        </w:rPr>
        <w:t>i</w:t>
      </w:r>
      <w:proofErr w:type="spellEnd"/>
      <w:r w:rsidRPr="009E5566">
        <w:rPr>
          <w:rFonts w:ascii="Times New Roman" w:hAnsi="Times New Roman" w:cs="Times New Roman"/>
          <w:sz w:val="24"/>
          <w:szCs w:val="24"/>
        </w:rPr>
        <w:t>) a robust association with the exposure, (ii) independence from confounding factors, and (iii) an effect on the outcome that is exclusively mediated by the exposure (</w:t>
      </w:r>
      <w:bookmarkStart w:id="4" w:name="_Hlk206255053"/>
      <w:r w:rsidRPr="009E5566">
        <w:rPr>
          <w:rFonts w:ascii="Times New Roman" w:hAnsi="Times New Roman" w:cs="Times New Roman"/>
          <w:sz w:val="24"/>
          <w:szCs w:val="24"/>
        </w:rPr>
        <w:t>Fig. 1A</w:t>
      </w:r>
      <w:bookmarkEnd w:id="4"/>
      <w:r w:rsidRPr="009E5566">
        <w:rPr>
          <w:rFonts w:ascii="Times New Roman" w:hAnsi="Times New Roman" w:cs="Times New Roman"/>
          <w:sz w:val="24"/>
          <w:szCs w:val="24"/>
        </w:rPr>
        <w:t xml:space="preserve">)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{"citationID":"eBcqtCBh","properties":{"formattedCitation":"(Burgess et al., 2019)","plainCitation":"(Burgess et al., 2019)","noteIndex":0},"citationItems":[{"id":78,"uris":["http://zotero.org/users/local/BxZnIjOg/items/TWP45J3J"],"itemData":{"id":78,"type":"article-journal","abstract":"This paper provides guidelines for performing Mendelian randomization investigations. It is aimed at practitioners seeking to undertake analyses and write up their findings, and at journal editors and reviewers seeking to assess Mendelian randomization manuscripts. The guidelines are divided into ten sections: motivation and scope, data sources, choice of genetic variants, variant harmonization, primary analysis, supplementary and sensitivity analyses (one section on robust statistical methods and one on other approaches), extensions and additional analyses, data presentation, and interpretation. These guidelines will be updated based on feedback from the community and advances in the field. Updates will be made periodically as needed, and at least every 24 months.","container-title":"Wellcome Open Research","DOI":"10.12688/wellcomeopenres.15555.3","ISSN":"2398-502X","journalAbbreviation":"Wellcome Open Res","language":"eng","note":"PMID: 32760811\nPMCID: PMC7384151","page":"186","source":"PubMed","title":"Guidelines for performing Mendelian randomization investigations: update for summer 2023","title-short":"Guidelines for performing Mendelian randomization investigations","volume":"4","author":[{"family":"Burgess","given":"Stephen"},{"family":"Davey Smith","given":"George"},{"family":"Davies","given":"Neil M."},{"family":"Dudbridge","given":"Frank"},{"family":"Gill","given":"Dipender"},{"family":"Glymour","given":"M. Maria"},{"family":"Hartwig","given":"Fernando P."},{"family":"Kutalik","given":"Zoltán"},{"family":"Holmes","given":"Michael V."},{"family":"Minelli","given":"Cosetta"},{"family":"Morrison","given":"Jean V."},{"family":"Pan","given":"Wei"},{"family":"Relton","given":"Caroline L."},{"family":"Theodoratou","given":"Evropi"}],"issued":{"date-parts":[["2019"]]}}}],"schema":"https://github.com/citation-style-language/schema/raw/master/csl-citation.json"}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(Burgess et al., 2019)</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For the gut microbiome (GM) exposure, we applied a lenient significance threshold (</w:t>
      </w:r>
      <w:r w:rsidRPr="009E5566">
        <w:rPr>
          <w:rFonts w:ascii="Times New Roman" w:hAnsi="Times New Roman" w:cs="Times New Roman"/>
          <w:i/>
          <w:iCs/>
          <w:sz w:val="24"/>
          <w:szCs w:val="24"/>
          <w:lang w:eastAsia="zh-CN"/>
        </w:rPr>
        <w:t>P</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&lt;</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1×10</w:t>
      </w:r>
      <w:r w:rsidRPr="009E5566">
        <w:rPr>
          <w:rFonts w:ascii="Times New Roman" w:hAnsi="Times New Roman" w:cs="Times New Roman"/>
          <w:sz w:val="24"/>
          <w:szCs w:val="24"/>
          <w:vertAlign w:val="superscript"/>
        </w:rPr>
        <w:t>−5</w:t>
      </w:r>
      <w:r w:rsidRPr="009E5566">
        <w:rPr>
          <w:rFonts w:ascii="Times New Roman" w:hAnsi="Times New Roman" w:cs="Times New Roman"/>
          <w:sz w:val="24"/>
          <w:szCs w:val="24"/>
        </w:rPr>
        <w:t>) due to the limited number of SNPs reaching the standard genome-wide significance level</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lang w:eastAsia="zh-CN"/>
        </w:rPr>
        <w:fldChar w:fldCharType="begin"/>
      </w:r>
      <w:r w:rsidRPr="009E5566">
        <w:rPr>
          <w:rFonts w:ascii="Times New Roman" w:hAnsi="Times New Roman" w:cs="Times New Roman"/>
          <w:sz w:val="24"/>
          <w:szCs w:val="24"/>
          <w:lang w:eastAsia="zh-CN"/>
        </w:rPr>
        <w:instrText xml:space="preserve"> ADDIN ZOTERO_ITEM CSL_CITATION {"citationID":"4cSm2acA","properties":{"formattedCitation":"(Sanna et al., 2019)","plainCitation":"(Sanna et al., 2019)","noteIndex":0},"citationItems":[{"id":788,"uris":["http://zotero.org/users/local/BxZnIjOg/items/FKKGMWK9"],"itemData":{"id":788,"type":"article-journal","abstract":"Microbiome-wide association studies on large population cohorts have highlighted associations between the gut microbiome and complex traits, including type 2 diabetes (T2D) and obesity1. However, the causal relationships remain largely unresolved. We leveraged information from 952 normoglycemic individuals for whom genome-wide genotyping, gut metagenomic sequence and fecal short-chain fatty acid (SCFA) levels were available2, then combined this information with genome-wide-association summary statistics for 17 metabolic and anthropometric traits. Using bidirectional Mendelian randomization (MR) analyses to assess causality3, we found that the host-genetic-driven increase in gut production of the SCFA butyrate was associated with improved insulin response after an oral glucose-tolerance test (P = 9.8 × 10-5), whereas abnormalities in the production or absorption of another SCFA, propionate, were causally related to an increased risk of T2D (P = 0.004). These data provide evidence of a causal effect of the gut microbiome on metabolic traits and support the use of MR as a means to elucidate causal relationships from microbiome-wide association findings.","container-title":"Nature Genetics","DOI":"10.1038/s41588-019-0350-x","ISSN":"1546-1718","issue":"4","journalAbbreviation":"Nat Genet","language":"eng","note":"PMID: 30778224\nPMCID: PMC6441384","page":"600-605","source":"PubMed","title":"Causal relationships among the gut microbiome, short-chain fatty acids and metabolic diseases","volume":"51","author":[{"family":"Sanna","given":"Serena"},{"family":"Zuydam","given":"Natalie R.","non-dropping-particle":"van"},{"family":"Mahajan","given":"Anubha"},{"family":"Kurilshikov","given":"Alexander"},{"family":"Vich Vila","given":"Arnau"},{"family":"Võsa","given":"Urmo"},{"family":"Mujagic","given":"Zlatan"},{"family":"Masclee","given":"Ad A. M."},{"family":"Jonkers","given":"Daisy M. A. E."},{"family":"Oosting","given":"Marije"},{"family":"Joosten","given":"Leo A. B."},{"family":"Netea","given":"Mihai G."},{"family":"Franke","given":"Lude"},{"family":"Zhernakova","given":"Alexandra"},{"family":"Fu","given":"Jingyuan"},{"family":"Wijmenga","given":"Cisca"},{"family":"McCarthy","given":"Mark I."}],"issued":{"date-parts":[["2019",4]]}}}],"schema":"https://github.com/citation-style-language/schema/raw/master/csl-citation.json"} </w:instrText>
      </w:r>
      <w:r w:rsidRPr="009E5566">
        <w:rPr>
          <w:rFonts w:ascii="Times New Roman" w:hAnsi="Times New Roman" w:cs="Times New Roman"/>
          <w:sz w:val="24"/>
          <w:szCs w:val="24"/>
          <w:lang w:eastAsia="zh-CN"/>
        </w:rPr>
        <w:fldChar w:fldCharType="separate"/>
      </w:r>
      <w:r w:rsidRPr="009E5566">
        <w:rPr>
          <w:rFonts w:ascii="Times New Roman" w:hAnsi="Times New Roman" w:cs="Times New Roman"/>
          <w:sz w:val="24"/>
          <w:szCs w:val="24"/>
        </w:rPr>
        <w:t>(Sanna et al., 2019)</w:t>
      </w:r>
      <w:r w:rsidRPr="009E5566">
        <w:rPr>
          <w:rFonts w:ascii="Times New Roman" w:hAnsi="Times New Roman" w:cs="Times New Roman"/>
          <w:sz w:val="24"/>
          <w:szCs w:val="24"/>
          <w:lang w:eastAsia="zh-CN"/>
        </w:rPr>
        <w:fldChar w:fldCharType="end"/>
      </w:r>
      <w:r w:rsidRPr="009E5566">
        <w:rPr>
          <w:rFonts w:ascii="Times New Roman" w:hAnsi="Times New Roman" w:cs="Times New Roman"/>
          <w:sz w:val="24"/>
          <w:szCs w:val="24"/>
        </w:rPr>
        <w:t xml:space="preserve">. In contrast, the conventional threshold of </w:t>
      </w:r>
      <w:r w:rsidRPr="009E5566">
        <w:rPr>
          <w:rFonts w:ascii="Times New Roman" w:hAnsi="Times New Roman" w:cs="Times New Roman"/>
          <w:i/>
          <w:iCs/>
          <w:sz w:val="24"/>
          <w:szCs w:val="24"/>
          <w:lang w:eastAsia="zh-CN"/>
        </w:rPr>
        <w:t>P</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&lt;</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1×10</w:t>
      </w:r>
      <w:r w:rsidRPr="009E5566">
        <w:rPr>
          <w:rFonts w:ascii="Times New Roman" w:hAnsi="Times New Roman" w:cs="Times New Roman"/>
          <w:sz w:val="24"/>
          <w:szCs w:val="24"/>
          <w:vertAlign w:val="superscript"/>
        </w:rPr>
        <w:t>−</w:t>
      </w:r>
      <w:r w:rsidRPr="009E5566">
        <w:rPr>
          <w:rFonts w:ascii="Times New Roman" w:hAnsi="Times New Roman" w:cs="Times New Roman"/>
          <w:sz w:val="24"/>
          <w:szCs w:val="24"/>
          <w:vertAlign w:val="superscript"/>
          <w:lang w:eastAsia="zh-CN"/>
        </w:rPr>
        <w:t>8</w:t>
      </w:r>
      <w:r w:rsidRPr="009E5566">
        <w:rPr>
          <w:rFonts w:ascii="Times New Roman" w:hAnsi="Times New Roman" w:cs="Times New Roman"/>
          <w:sz w:val="24"/>
          <w:szCs w:val="24"/>
        </w:rPr>
        <w:t xml:space="preserve"> was maintained for constipation-related SNPs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{"citationID":"uugPpvkJ","properties":{"formattedCitation":"(Jia et al., 2019; Lv et al., 2021)","plainCitation":"(Jia et al., 2019; Lv et al., 2021)","noteIndex":0},"citationItems":[{"id":428,"uris":["http://zotero.org/users/local/BxZnIjOg/items/7T9GWW24"],"itemData":{"id":428,"type":"article-journal","abstract":"We examined the causal direction between gut microbiota-dependent metabolite trimethylamine N-oxide (TMAO) or its predecessors and cardiometabolic diseases, such as risk of type 2 diabetes mellitus (T2DM), coronary artery disease (CAD), myocardial infarction (MI), stroke, atrial fibrillation (AF), and chronic kidney disease (CKD). We used genetic variants as instruments to test the causal associations. Genetically predicted higher TMAO and carnitine were not associated with higher odds of T2DM, AF, CAD, MI, stroke, and CKD after Bonferroni correction (P ≤ 0.0005). However, we observed that genetically increased choline showed a suggestive association with higher risk of T2DM (odds ratio 1.84 [95% CI 1.00-3.42] per 10 units, P = 0.05). In contrast, genetically predicted higher betaine (0.68 [0.48-0.95] per 10 units, P = 0.023) was suggestively associated with a lower risk of T2DM. We observed a suggestive association of genetically increased choline with a lower level of body fat percentage (β ± SE -0.28 ± 0.11, P = 0.013) but a higher estimated glomerular filtration rate (0.10 ± 0.05, P = 0.034). We further found that T2DM (0.130 ± 0.036, P &lt; 0.0001) and CKD (0.483 ± 0.168, P = 0.004) were causally associated with higher TMAO levels. Our Mendelian randomization findings support that T2DM and kidney disease increase TMAO levels and that observational evidence for cardiovascular diseases may be due to confounding or reverse causality.","container-title":"Diabetes","DOI":"10.2337/db19-0153","ISSN":"1939-327X","issue":"9","journalAbbreviation":"Diabetes","language":"eng","note":"PMID: 31167879","page":"1747-1755","source":"PubMed","title":"Assessment of Causal Direction Between Gut Microbiota-Dependent Metabolites and Cardiometabolic Health: A Bidirectional Mendelian Randomization Analysis","title-short":"Assessment of Causal Direction Between Gut Microbiota-Dependent Metabolites and Cardiometabolic Health","volume":"68","author":[{"family":"Jia","given":"Jinzhu"},{"family":"Dou","given":"Pan"},{"family":"Gao","given":"Meng"},{"family":"Kong","given":"Xuejun"},{"family":"Li","given":"Changwei"},{"family":"Liu","given":"Zhonghua"},{"family":"Huang","given":"Tao"}],"issued":{"date-parts":[["2019",9]]}}},{"id":339,"uris":["http://zotero.org/users/local/BxZnIjOg/items/C3SL6WS3"],"itemData":{"id":339,"type":"article-journal","abstract":"BACKGROUND: Increasing evidence suggests that human gut microbiome plays an important role in variation of skeletal muscle mass (SMM). However, specific causal mechanistic relationship of human gut microbiome with SMM remains largely unresolved. Understanding the causal mechanistic relationship may provide a basis for novel interventions for loss of SMM. This study investigated whether human gut microbiome has a causal effect on SMM among Chinese community-dwelling healthy menopausal women.\nMETHODS: Estimated SMM was derived from whole-body dual-energy X-ray absorptiometry. We performed integrated analyses on whole-genome sequencing, shotgun metagenomic sequencing, and serum short-chain fatty acids (SCFAs), as well as available host SMM measurements among community-dwelling healthy menopausal women (N = 482). We combined the results with summary statistics from genome-wide association analyses for human gut microbiome (N = 952) and SMM traits (N = 28 330). As a prerequisite for causality, we used a computational protocol that was proposed to measure correlations among gut metagenome, metabolome, and the host trait to investigate the relationship between human gut microbiome and SMM. Causal inference methods were applied to assess the potential causal effects of gut microbial features on SMM, through one-sample and two-sample Mendelian randomization (MR) analyses, respectively.\nRESULTS: In metagenomic association analyses, the increased capacity for gut microbial synthesis of the SCFA butyrate was significantly associated with serum butyrate levels [Spearman correlation coefficient (SCC) = 0.13, P = 0.02] and skeletal muscle index (SCC = 0.084, P = 0.002). Of interest was the finding that two main butyrate-producing bacterial species were both positively associated with the increased capacity for gut microbial synthesis of butyrate [Faecalibacterium prausnitzii (SCC = 0.25, P = 6.6 × 10-7 ) and Butyricimonas virosa (SCC = 0.15, P = 0.001)] and for skeletal muscle index [F. prausnitzii (SCC = 0.16, P = 6.2 × 10-4 ) and B. virosa (SCC = 0.17, P = 2.4 × 10-4 )]. One-sample MR results showed a causal effect between gut microbial synthesis of the SCFA butyrate and appendicular lean mass (β = 0.04, 95% confidence interval 0.029 to 0.051, P = 0.003). Two-sample MR results further confirmed the causal effect between gut microbial synthesis of the SCFA butyrate and appendicular lean mass (β = 0.06, 95% confidence interval 0 to 0.13, P = 0.06).\nCONCLUSIONS: Our results may help the future development of novel intervention approaches for preventing or alleviating loss of SMM.","container-title":"Journal of Cachexia, Sarcopenia and Muscle","DOI":"10.1002/jcsm.12788","ISSN":"2190-6009","issue":"6","journalAbbreviation":"J Cachexia Sarcopenia Muscle","language":"eng","note":"PMID: 34472211\nPMCID: PMC8718076","page":"1860-1870","source":"PubMed","title":"Human gut microbiome impacts skeletal muscle mass via gut microbial synthesis of the short-chain fatty acid butyrate among healthy menopausal women","volume":"12","author":[{"family":"Lv","given":"Wan-Qiang"},{"family":"Lin","given":"Xu"},{"family":"Shen","given":"Hui"},{"family":"Liu","given":"Hui-Min"},{"family":"Qiu","given":"Xiang"},{"family":"Li","given":"Bo-Yang"},{"family":"Shen","given":"Wen-Di"},{"family":"Ge","given":"Chang-Li"},{"family":"Lv","given":"Feng-Ye"},{"family":"Shen","given":"Jie"},{"family":"Xiao","given":"Hong-Mei"},{"family":"Deng","given":"Hong-Wen"}],"issued":{"date-parts":[["2021",12]]}}}],"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(Jia et al., 2019; Lv et al., 2021)</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To ensure the independence of our IVs, we performed linkage disequilibrium (LD) clumping (</w:t>
      </w:r>
      <w:r w:rsidRPr="009E5566">
        <w:rPr>
          <w:rFonts w:ascii="Times New Roman" w:hAnsi="Times New Roman" w:cs="Times New Roman"/>
          <w:i/>
          <w:iCs/>
          <w:sz w:val="24"/>
          <w:szCs w:val="24"/>
        </w:rPr>
        <w:t>r</w:t>
      </w:r>
      <w:r w:rsidRPr="009E5566">
        <w:rPr>
          <w:rFonts w:ascii="Times New Roman" w:hAnsi="Times New Roman" w:cs="Times New Roman"/>
          <w:i/>
          <w:iCs/>
          <w:sz w:val="24"/>
          <w:szCs w:val="24"/>
          <w:vertAlign w:val="superscript"/>
        </w:rPr>
        <w:t>2</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&lt;</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 xml:space="preserve">0.001, window </w:t>
      </w:r>
      <w:r w:rsidRPr="009E5566">
        <w:rPr>
          <w:rFonts w:ascii="Times New Roman" w:hAnsi="Times New Roman" w:cs="Times New Roman"/>
          <w:sz w:val="24"/>
          <w:szCs w:val="24"/>
          <w:lang w:eastAsia="zh-CN"/>
        </w:rPr>
        <w:t xml:space="preserve">size </w:t>
      </w:r>
      <w:r w:rsidRPr="009E5566">
        <w:rPr>
          <w:rFonts w:ascii="Times New Roman" w:hAnsi="Times New Roman" w:cs="Times New Roman"/>
          <w:sz w:val="24"/>
          <w:szCs w:val="24"/>
        </w:rPr>
        <w:t>&gt; 10,000 kb). We also filtered out SNPs with weak instrument strength (</w:t>
      </w:r>
      <w:r w:rsidRPr="009E5566">
        <w:rPr>
          <w:rFonts w:ascii="Times New Roman" w:hAnsi="Times New Roman" w:cs="Times New Roman"/>
          <w:i/>
          <w:iCs/>
          <w:sz w:val="24"/>
          <w:szCs w:val="24"/>
        </w:rPr>
        <w:t>F</w:t>
      </w:r>
      <w:r w:rsidRPr="009E5566">
        <w:rPr>
          <w:rFonts w:ascii="Times New Roman" w:hAnsi="Times New Roman" w:cs="Times New Roman"/>
          <w:sz w:val="24"/>
          <w:szCs w:val="24"/>
        </w:rPr>
        <w:t xml:space="preserve">-statistic </w:t>
      </w:r>
      <w:r w:rsidRPr="009E5566">
        <w:rPr>
          <w:rFonts w:ascii="Times New Roman" w:hAnsi="Times New Roman" w:cs="Times New Roman"/>
          <w:sz w:val="24"/>
          <w:szCs w:val="24"/>
          <w:lang w:eastAsia="zh-CN"/>
        </w:rPr>
        <w:t>&lt;</w:t>
      </w:r>
      <w:r w:rsidRPr="009E5566">
        <w:rPr>
          <w:rFonts w:ascii="Times New Roman" w:hAnsi="Times New Roman" w:cs="Times New Roman"/>
          <w:sz w:val="24"/>
          <w:szCs w:val="24"/>
        </w:rPr>
        <w:t xml:space="preserve"> 10) and included only those with an effect allele frequency </w:t>
      </w:r>
      <w:r w:rsidRPr="009E5566">
        <w:rPr>
          <w:rFonts w:ascii="Times New Roman" w:hAnsi="Times New Roman" w:cs="Times New Roman"/>
          <w:sz w:val="24"/>
          <w:szCs w:val="24"/>
          <w:lang w:eastAsia="zh-CN"/>
        </w:rPr>
        <w:t>&gt;</w:t>
      </w:r>
      <w:r w:rsidRPr="009E5566">
        <w:rPr>
          <w:rFonts w:ascii="Times New Roman" w:hAnsi="Times New Roman" w:cs="Times New Roman"/>
          <w:sz w:val="24"/>
          <w:szCs w:val="24"/>
        </w:rPr>
        <w:t xml:space="preserve"> 0.01. Finally, to control the false discovery rate from multiple hypothesis testing, the Benjamini–Hochberg method was used for </w:t>
      </w:r>
      <w:r w:rsidRPr="009E5566">
        <w:rPr>
          <w:rFonts w:ascii="Times New Roman" w:hAnsi="Times New Roman" w:cs="Times New Roman"/>
          <w:i/>
          <w:iCs/>
          <w:sz w:val="24"/>
          <w:szCs w:val="24"/>
        </w:rPr>
        <w:t>P</w:t>
      </w:r>
      <w:r w:rsidRPr="009E5566">
        <w:rPr>
          <w:rFonts w:ascii="Times New Roman" w:hAnsi="Times New Roman" w:cs="Times New Roman"/>
          <w:sz w:val="24"/>
          <w:szCs w:val="24"/>
        </w:rPr>
        <w:t xml:space="preserve">-value correction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{"citationID":"rvNY6Ol5","properties":{"formattedCitation":"(Korthauer et al., 2019)","plainCitation":"(Korthauer et al., 2019)","noteIndex":0},"citationItems":[{"id":773,"uris":["http://zotero.org/users/local/BxZnIjOg/items/634HFCW6"],"itemData":{"id":773,"type":"article-journal","abstract":"BACKGROUND: In high-throughput studies, hundreds to millions of hypotheses are typically tested. Statistical methods that control the false discovery rate (FDR) have emerged as popular and powerful tools for error rate control. While classic FDR methods use only p values as input, more modern FDR methods have been shown to increase power by incorporating complementary information as informative covariates to prioritize, weight, and group hypotheses. However, there is currently no consensus on how the modern methods compare to one another. We investigate the accuracy, applicability, and ease of use of two classic and six modern FDR-controlling methods by performing a systematic benchmark comparison using simulation studies as well as six case studies in computational biology.\nRESULTS: Methods that incorporate informative covariates are modestly more powerful than classic approaches, and do not underperform classic approaches, even when the covariate is completely uninformative. The majority of methods are successful at controlling the FDR, with the exception of two modern methods under certain settings. Furthermore, we find that the improvement of the modern FDR methods over the classic methods increases with the informativeness of the covariate, total number of hypothesis tests, and proportion of truly non-null hypotheses.\nCONCLUSIONS: Modern FDR methods that use an informative covariate provide advantages over classic FDR-controlling procedures, with the relative gain dependent on the application and informativeness of available covariates. We present our findings as a practical guide and provide recommendations to aid researchers in their choice of methods to correct for false discoveries.","container-title":"Genome Biology","DOI":"10.1186/s13059-019-1716-1","ISSN":"1474-760X","issue":"1","journalAbbreviation":"Genome Biol","language":"eng","note":"PMID: 31164141\nPMCID: PMC6547503","page":"118","source":"PubMed","title":"A practical guide to methods controlling false discoveries in computational biology","volume":"20","author":[{"family":"Korthauer","given":"Keegan"},{"family":"Kimes","given":"Patrick K."},{"family":"Duvallet","given":"Claire"},{"family":"Reyes","given":"Alejandro"},{"family":"Subramanian","given":"Ayshwarya"},{"family":"Teng","given":"Mingxiang"},{"family":"Shukla","given":"Chinmay"},{"family":"Alm","given":"Eric J."},{"family":"Hicks","given":"Stephanie C."}],"issued":{"date-parts":[["2019",6,4]]}}}],"schema":"https://github.com/citation-style-language/schema/raw/master/csl-citation.json"}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(Korthauer et al., 2019)</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w:t>
      </w:r>
      <w:r w:rsidR="00053A51" w:rsidRPr="009E5566">
        <w:rPr>
          <w:rFonts w:ascii="Times New Roman" w:hAnsi="Times New Roman" w:cs="Times New Roman"/>
          <w:sz w:val="24"/>
          <w:szCs w:val="24"/>
        </w:rPr>
        <w:t>The subsequent formula was employed to compute F-statistics.</w:t>
      </w:r>
    </w:p>
    <w:p w14:paraId="285A6330" w14:textId="77777777" w:rsidR="00053A51" w:rsidRPr="009E5566" w:rsidRDefault="00053A51" w:rsidP="00C36DB9">
      <w:pPr>
        <w:spacing w:line="360" w:lineRule="auto"/>
        <w:rPr>
          <w:rFonts w:ascii="Times New Roman" w:hAnsi="Times New Roman" w:cs="Times New Roman"/>
          <w:sz w:val="24"/>
          <w:szCs w:val="24"/>
        </w:rPr>
      </w:pPr>
      <m:oMathPara>
        <m:oMath>
          <m:r>
            <w:rPr>
              <w:rFonts w:ascii="Cambria Math" w:hAnsi="Cambria Math" w:cs="Times New Roman"/>
              <w:sz w:val="24"/>
              <w:szCs w:val="24"/>
            </w:rPr>
            <w:lastRenderedPageBreak/>
            <m:t>F=</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N-k-1</m:t>
                  </m:r>
                </m:e>
              </m:d>
            </m:e>
          </m:d>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)k])</m:t>
          </m:r>
        </m:oMath>
      </m:oMathPara>
    </w:p>
    <w:p w14:paraId="2E9C02A7" w14:textId="3F6A3B86" w:rsidR="00053A51" w:rsidRPr="009E5566" w:rsidRDefault="00053A51" w:rsidP="00C36DB9">
      <w:pPr>
        <w:spacing w:line="360" w:lineRule="auto"/>
        <w:rPr>
          <w:rFonts w:ascii="Times New Roman" w:eastAsia="等线" w:hAnsi="Times New Roman" w:cs="Times New Roman"/>
          <w:sz w:val="24"/>
          <w:szCs w:val="24"/>
          <w:lang w:eastAsia="zh-CN"/>
        </w:rPr>
      </w:pPr>
      <w:r w:rsidRPr="009E5566">
        <w:rPr>
          <w:rFonts w:ascii="Times New Roman" w:hAnsi="Times New Roman" w:cs="Times New Roman"/>
          <w:sz w:val="24"/>
          <w:szCs w:val="24"/>
        </w:rPr>
        <w:t xml:space="preserve">Herein, </w:t>
      </w:r>
      <w:r w:rsidRPr="009E5566">
        <w:rPr>
          <w:rFonts w:ascii="Times New Roman" w:hAnsi="Times New Roman" w:cs="Times New Roman"/>
          <w:i/>
          <w:iCs/>
          <w:sz w:val="24"/>
          <w:szCs w:val="24"/>
        </w:rPr>
        <w:t>R</w:t>
      </w:r>
      <w:r w:rsidRPr="009E5566">
        <w:rPr>
          <w:rFonts w:ascii="Times New Roman" w:hAnsi="Times New Roman" w:cs="Times New Roman"/>
          <w:i/>
          <w:iCs/>
          <w:sz w:val="24"/>
          <w:szCs w:val="24"/>
          <w:vertAlign w:val="superscript"/>
        </w:rPr>
        <w:t>2</w:t>
      </w:r>
      <w:r w:rsidRPr="009E5566">
        <w:rPr>
          <w:rFonts w:ascii="Times New Roman" w:hAnsi="Times New Roman" w:cs="Times New Roman"/>
          <w:sz w:val="24"/>
          <w:szCs w:val="24"/>
        </w:rPr>
        <w:t xml:space="preserve"> represents the proportion of variability demonstrated by every SNP. N denotes the GWAS sample size. Moreover, </w:t>
      </w:r>
      <w:r w:rsidRPr="009E5566">
        <w:rPr>
          <w:rFonts w:ascii="Times New Roman" w:hAnsi="Times New Roman" w:cs="Times New Roman"/>
          <w:i/>
          <w:iCs/>
          <w:sz w:val="24"/>
          <w:szCs w:val="24"/>
        </w:rPr>
        <w:t>k</w:t>
      </w:r>
      <w:r w:rsidRPr="009E5566">
        <w:rPr>
          <w:rFonts w:ascii="Times New Roman" w:hAnsi="Times New Roman" w:cs="Times New Roman"/>
          <w:sz w:val="24"/>
          <w:szCs w:val="24"/>
        </w:rPr>
        <w:t xml:space="preserve"> represents the quantity of SNPs. An </w:t>
      </w:r>
      <w:r w:rsidRPr="009E5566">
        <w:rPr>
          <w:rFonts w:ascii="Times New Roman" w:hAnsi="Times New Roman" w:cs="Times New Roman"/>
          <w:i/>
          <w:iCs/>
          <w:sz w:val="24"/>
          <w:szCs w:val="24"/>
        </w:rPr>
        <w:t xml:space="preserve">F </w:t>
      </w:r>
      <w:r w:rsidRPr="009E5566">
        <w:rPr>
          <w:rFonts w:ascii="Times New Roman" w:hAnsi="Times New Roman" w:cs="Times New Roman"/>
          <w:sz w:val="24"/>
          <w:szCs w:val="24"/>
        </w:rPr>
        <w:t xml:space="preserve">statistic=10 demonstrates that the evidence regarding instrument bias is insufficient </w:t>
      </w:r>
      <w:r w:rsidR="00C36DB9" w:rsidRPr="009E5566">
        <w:rPr>
          <w:rFonts w:ascii="Times New Roman" w:hAnsi="Times New Roman" w:cs="Times New Roman"/>
          <w:sz w:val="24"/>
          <w:szCs w:val="24"/>
        </w:rPr>
        <w:fldChar w:fldCharType="begin"/>
      </w:r>
      <w:r w:rsidR="00C36DB9" w:rsidRPr="009E5566">
        <w:rPr>
          <w:rFonts w:ascii="Times New Roman" w:hAnsi="Times New Roman" w:cs="Times New Roman"/>
          <w:sz w:val="24"/>
          <w:szCs w:val="24"/>
        </w:rPr>
        <w:instrText xml:space="preserve"> ADDIN ZOTERO_ITEM CSL_CITATION {"citationID":"uOX1AJjr","properties":{"formattedCitation":"(Yengo et al., 2018)","plainCitation":"(Yengo et al., 2018)","noteIndex":0},"citationItems":[{"id":466,"uris":["http://zotero.org/users/local/BxZnIjOg/items/M2BC7627"],"itemData":{"id":466,"type":"article-journal","abstract":"Recent genome-wide association studies (GWAS) of height and body mass index (BMI) in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250000 European participants have led to the discovery of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700 and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100 nearly independent single nucleotide polymorphisms (SNPs) associated with these traits, respectively. Here we combine summary statistics from those two studies with GWAS of height and BMI performed in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450000 UK Biobank participants of European ancestry. Overall, our combined GWAS meta-analysis reaches N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700000 individuals and substantially increases the number of GWAS signals associated with these traits. We identified 3290 and 941 near-independent SNPs associated with height and BMI, respectively (at a revised genome-wide significance threshold of P &lt; 1 × 10-8), including 1185 height-associated SNPs and 751 BMI-associated SNPs located within loci not previously identified by these two GWAS. The near-independent genome-wide significant SNPs explain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24.6% of the variance of height and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6.0% of the variance of BMI in an independent sample from the Health and Retirement Study (HRS). Correlations between polygenic scores based upon these SNPs with actual height and BMI in HRS participants were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0.44 and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0.22, respectively. From analyses of integrating GWAS and expression quantitative trait loci (eQTL) data by summary-data-based Mendelian randomization, we identified an enrichment of eQTLs among lead height and BMI signals, prioritizing 610 and 138 genes, respectively. Our study demonstrates that, as previously predicted, increasing GWAS sample sizes continues to deliver, by the discovery of new loci, increasing prediction accuracy and providing additional data to achieve deeper insight into complex trait biology. All summary statistics are made available for follow-up studies.","container-title":"Human Molecular Genetics","DOI":"10.1093/hmg/ddy271","ISSN":"1460-2083","issue":"20","journalAbbreviation":"Hum Mol Genet","language":"eng","note":"PMID: 30124842\nPMCID: PMC6488973","page":"3641-3649","source":"PubMed","title":"Meta-analysis of genome-wide association studies for height and body mass index in </w:instrText>
      </w:r>
      <w:r w:rsidR="00C36DB9" w:rsidRPr="009E5566">
        <w:rPr>
          <w:rFonts w:ascii="Cambria Math" w:hAnsi="Cambria Math" w:cs="Cambria Math"/>
          <w:sz w:val="24"/>
          <w:szCs w:val="24"/>
        </w:rPr>
        <w:instrText>∼</w:instrText>
      </w:r>
      <w:r w:rsidR="00C36DB9" w:rsidRPr="009E5566">
        <w:rPr>
          <w:rFonts w:ascii="Times New Roman" w:hAnsi="Times New Roman" w:cs="Times New Roman"/>
          <w:sz w:val="24"/>
          <w:szCs w:val="24"/>
        </w:rPr>
        <w:instrText xml:space="preserve">700000 individuals of European ancestry","volume":"27","author":[{"family":"Yengo","given":"Loic"},{"family":"Sidorenko","given":"Julia"},{"family":"Kemper","given":"Kathryn E."},{"family":"Zheng","given":"Zhili"},{"family":"Wood","given":"Andrew R."},{"family":"Weedon","given":"Michael N."},{"family":"Frayling","given":"Timothy M."},{"family":"Hirschhorn","given":"Joel"},{"family":"Yang","given":"Jian"},{"family":"Visscher","given":"Peter M."},{"literal":"GIANT Consortium"}],"issued":{"date-parts":[["2018",10,15]]}}}],"schema":"https://github.com/citation-style-language/schema/raw/master/csl-citation.json"} </w:instrText>
      </w:r>
      <w:r w:rsidR="00C36DB9" w:rsidRPr="009E5566">
        <w:rPr>
          <w:rFonts w:ascii="Times New Roman" w:hAnsi="Times New Roman" w:cs="Times New Roman"/>
          <w:sz w:val="24"/>
          <w:szCs w:val="24"/>
        </w:rPr>
        <w:fldChar w:fldCharType="separate"/>
      </w:r>
      <w:r w:rsidR="00C36DB9" w:rsidRPr="009E5566">
        <w:rPr>
          <w:rFonts w:ascii="Times New Roman" w:hAnsi="Times New Roman" w:cs="Times New Roman"/>
          <w:sz w:val="24"/>
          <w:szCs w:val="24"/>
        </w:rPr>
        <w:t>(Yengo et al., 2018)</w:t>
      </w:r>
      <w:r w:rsidR="00C36DB9" w:rsidRPr="009E5566">
        <w:rPr>
          <w:rFonts w:ascii="Times New Roman" w:hAnsi="Times New Roman" w:cs="Times New Roman"/>
          <w:sz w:val="24"/>
          <w:szCs w:val="24"/>
        </w:rPr>
        <w:fldChar w:fldCharType="end"/>
      </w:r>
      <w:r w:rsidRPr="009E5566">
        <w:rPr>
          <w:rFonts w:ascii="Times New Roman" w:hAnsi="Times New Roman" w:cs="Times New Roman"/>
          <w:sz w:val="24"/>
          <w:szCs w:val="24"/>
        </w:rPr>
        <w:t>.</w:t>
      </w:r>
    </w:p>
    <w:p w14:paraId="39A2F7A0" w14:textId="07761C53" w:rsidR="00C36DB9" w:rsidRPr="009E5566" w:rsidRDefault="00C36DB9" w:rsidP="00C36DB9">
      <w:pPr>
        <w:widowControl/>
        <w:spacing w:before="240" w:after="200" w:line="480" w:lineRule="auto"/>
        <w:ind w:left="567" w:hanging="567"/>
        <w:outlineLvl w:val="1"/>
        <w:rPr>
          <w:rFonts w:ascii="Times New Roman" w:eastAsia="Cambria" w:hAnsi="Times New Roman" w:cs="Times New Roman"/>
          <w:b/>
          <w:kern w:val="0"/>
          <w:sz w:val="24"/>
          <w:szCs w:val="24"/>
          <w:lang w:eastAsia="en-US"/>
        </w:rPr>
      </w:pPr>
      <w:r w:rsidRPr="009E5566">
        <w:rPr>
          <w:rFonts w:ascii="Times New Roman" w:eastAsia="Cambria" w:hAnsi="Times New Roman" w:cs="Times New Roman"/>
          <w:b/>
          <w:kern w:val="0"/>
          <w:sz w:val="24"/>
          <w:szCs w:val="24"/>
          <w:lang w:eastAsia="en-US"/>
        </w:rPr>
        <w:t>Sensitivity analysis</w:t>
      </w:r>
    </w:p>
    <w:p w14:paraId="754D0613" w14:textId="77777777" w:rsidR="00C36DB9" w:rsidRPr="009E5566" w:rsidRDefault="00C36DB9" w:rsidP="00C36DB9">
      <w:pPr>
        <w:spacing w:line="360" w:lineRule="auto"/>
        <w:rPr>
          <w:rFonts w:ascii="Times New Roman" w:hAnsi="Times New Roman" w:cs="Times New Roman"/>
          <w:sz w:val="24"/>
          <w:szCs w:val="24"/>
          <w:lang w:eastAsia="en-US"/>
        </w:rPr>
      </w:pPr>
      <w:r w:rsidRPr="009E5566">
        <w:rPr>
          <w:rFonts w:ascii="Times New Roman" w:hAnsi="Times New Roman" w:cs="Times New Roman"/>
          <w:sz w:val="24"/>
          <w:szCs w:val="24"/>
        </w:rPr>
        <w:t xml:space="preserve">MR-Egger regression was employed to evaluate the potential impact of directed pleiotropy. A </w:t>
      </w:r>
      <w:r w:rsidRPr="009E5566">
        <w:rPr>
          <w:rFonts w:ascii="Times New Roman" w:hAnsi="Times New Roman" w:cs="Times New Roman"/>
          <w:i/>
          <w:iCs/>
          <w:sz w:val="24"/>
          <w:szCs w:val="24"/>
        </w:rPr>
        <w:t>P</w:t>
      </w:r>
      <w:r w:rsidRPr="009E5566">
        <w:rPr>
          <w:rFonts w:ascii="Times New Roman" w:hAnsi="Times New Roman" w:cs="Times New Roman"/>
          <w:sz w:val="24"/>
          <w:szCs w:val="24"/>
        </w:rPr>
        <w:t xml:space="preserve">-value &lt; 0.05 and a non-zero regression intercept were considered statistically significant indicators of genetic pleiotropy. Additionally, MR Pleiotropy </w:t>
      </w:r>
      <w:proofErr w:type="spellStart"/>
      <w:r w:rsidRPr="009E5566">
        <w:rPr>
          <w:rFonts w:ascii="Times New Roman" w:hAnsi="Times New Roman" w:cs="Times New Roman"/>
          <w:sz w:val="24"/>
          <w:szCs w:val="24"/>
        </w:rPr>
        <w:t>RESidual</w:t>
      </w:r>
      <w:proofErr w:type="spellEnd"/>
      <w:r w:rsidRPr="009E5566">
        <w:rPr>
          <w:rFonts w:ascii="Times New Roman" w:hAnsi="Times New Roman" w:cs="Times New Roman"/>
          <w:sz w:val="24"/>
          <w:szCs w:val="24"/>
        </w:rPr>
        <w:t xml:space="preserve"> Sum and Outlier (MR-PRESSO) analysis was performed to detect and correct for outlier effects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{"citationID":"ujvYcPjB","properties":{"formattedCitation":"(Verbanck et al., 2018)","plainCitation":"(Verbanck et al., 2018)","noteIndex":0},"citationItems":[{"id":99,"uris":["http://zotero.org/users/local/BxZnIjOg/items/4MT4AF48"],"itemData":{"id":99,"type":"article-journal","abstract":"Horizontal pleiotropy occurs when the variant has an effect on disease outside of its effect on the exposure in Mendelian randomization (MR). Violation of the 'no horizontal pleiotropy' assumption can cause severe bias in MR. We developed the Mendelian randomization pleiotropy residual sum and outlier (MR-PRESSO) test to identify horizontal pleiotropic outliers in multi-instrument summary-level MR testing. We showed using simulations that the MR-PRESSO test is best suited when horizontal pleiotropy occurs in &lt;50% of instruments. Next we applied the MR-PRESSO test, along with several other MR tests, to complex traits and diseases and found that horizontal pleiotropy (i) was detectable in over 48% of significant causal relationships in MR; (ii) introduced distortions in the causal estimates in MR that ranged on average from -131% to 201%; (iii) induced false-positive causal relationships in up to 10% of relationships; and (iv) could be corrected in some but not all instances.","container-title":"Nature Genetics","DOI":"10.1038/s41588-018-0099-7","ISSN":"1546-1718","issue":"5","journalAbbreviation":"Nat Genet","language":"eng","note":"PMID: 29686387\nPMCID: PMC6083837","page":"693-698","source":"PubMed","title":"Detection of widespread horizontal pleiotropy in causal relationships inferred from Mendelian randomization between complex traits and diseases","volume":"50","author":[{"family":"Verbanck","given":"Marie"},{"family":"Chen","given":"Chia-Yen"},{"family":"Neale","given":"Benjamin"},{"family":"Do","given":"Ron"}],"issued":{"date-parts":[["2018",5]]}}}],"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(Verbanck et al., 2018)</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 xml:space="preserve">. Cochran’s Q test was conducted to assess the heterogeneity of each SNP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{"citationID":"NPTsrf7h","properties":{"formattedCitation":"(Zhang et al., 2023)","plainCitation":"(Zhang et al., 2023)","noteIndex":0},"citationItems":[{"id":486,"uris":["http://zotero.org/users/local/BxZnIjOg/items/GIXXMLEY"],"itemData":{"id":486,"type":"article-journal","abstract":"BACKGROUND: There is a growing body of evidence that suggests a connection between the composition of gut microbiota and sepsis. However, more research is needed to better understand the causal relationship between the two. To gain a deeper insight into the association between gut microbiota, C-reactive protein (CRP), and sepsis, we conducted several Mendelian randomization (MR) analyses.\nMETHODS: In this study, publicly available genome-wide association study (GWAS) summary statistics were examined to determine the correlation between gut microbiota and sepsis, including various sepsis subgroups (such as under 75, 28-day death, Critical Care Units (ICU), 28-day death in ICU). Initially, two-sample and reverse Mendelian randomization (MR) analyses were conducted to identify causality between gut microbiota and sepsis. Subsequently, multivariable and two-step MR analyses revealed that the relationship between microbiota and sepsis was mediated by CRP. The robustness of the findings was confirmed through several sensitivity analyses.\nFINDINGS: In our study, we revealed positive correlations between 24 taxa and different sepsis outcomes, while 30 taxa demonstrated negative correlations with sepsis outcomes. Following the correction for multiple testing, we found that the Phylum Lentisphaerae (OR: 0.932, p = 2.64E-03), class Lentisphaeria, and order Victivallales (OR: 0.927, p = 1.42E-03) displayed a negative relationship with sepsis risk. In contrast, Phylum Tenericutes and class Mollicutes (OR: 1.274, p = 2.89E-03) were positively related to sepsis risk and death within 28 days. It is notable that Phylum Tenericutes and class Mollicutes (OR: 1.108, p = 1.72E-03) also indicated a positive relationship with sepsis risk in individuals under 75. From our analysis, it was shown that C-reactive protein (CRP) mediated 32.16% of the causal pathway from Phylum Tenericutes and class Mollicutes to sepsis for individuals under 75. Additionally, CRP was found to mediate 31.53% of the effect of the genus Gordonibacter on sepsis. Despite these findings, our reverse analysis did not indicate any influence of sepsis on the gut microbiota and CRP levels.\nCONCLUSION: The study showcased the connection between gut microbiota, CRP, and sepsis, which sheds new light on the potential role of CRP as a mediator in facilitating the impact of gut microbiota on sepsis.","container-title":"Frontiers in Immunology","DOI":"10.3389/fimmu.2023.1234924","ISSN":"1664-3224","journalAbbreviation":"Front Immunol","language":"eng","note":"PMID: 37662942\nPMCID: PMC10470830","page":"1234924","source":"PubMed","title":"Gut microbiota and sepsis: bidirectional Mendelian study and mediation analysis","title-short":"Gut microbiota and sepsis","volume":"14","author":[{"family":"Zhang","given":"Zhi"},{"family":"Cheng","given":"Lin"},{"family":"Ning","given":"Dong"}],"issued":{"date-parts":[["2023"]]}}}],"schema":"https://github.com/citation-style-language/schema/raw/master/csl-citation.json"}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(Zhang et al., 2023)</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 Furthermore, scatter plots of SNP–exposure and SNP–outcome associations were generated to visualize the MR results.</w:t>
      </w:r>
    </w:p>
    <w:p w14:paraId="7BF436DD" w14:textId="0565174E" w:rsidR="00C36DB9" w:rsidRPr="009E5566" w:rsidRDefault="00C36DB9" w:rsidP="00C36DB9">
      <w:pPr>
        <w:widowControl/>
        <w:spacing w:before="240" w:after="200" w:line="480" w:lineRule="auto"/>
        <w:ind w:left="567" w:hanging="567"/>
        <w:outlineLvl w:val="1"/>
        <w:rPr>
          <w:rFonts w:ascii="Times New Roman" w:eastAsia="Cambria" w:hAnsi="Times New Roman" w:cs="Times New Roman"/>
          <w:b/>
          <w:kern w:val="0"/>
          <w:sz w:val="24"/>
          <w:szCs w:val="24"/>
          <w:lang w:eastAsia="en-US"/>
        </w:rPr>
      </w:pPr>
      <w:r w:rsidRPr="009E5566">
        <w:rPr>
          <w:rFonts w:ascii="Times New Roman" w:eastAsia="Cambria" w:hAnsi="Times New Roman" w:cs="Times New Roman"/>
          <w:b/>
          <w:kern w:val="0"/>
          <w:sz w:val="24"/>
          <w:szCs w:val="24"/>
          <w:lang w:eastAsia="en-US"/>
        </w:rPr>
        <w:t>Questionnaire Survey</w:t>
      </w:r>
    </w:p>
    <w:p w14:paraId="3E7B4044" w14:textId="77777777" w:rsidR="00C36DB9" w:rsidRPr="009E5566" w:rsidRDefault="00C36DB9" w:rsidP="00C36DB9">
      <w:pPr>
        <w:tabs>
          <w:tab w:val="num" w:pos="720"/>
        </w:tabs>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b/>
          <w:bCs/>
          <w:sz w:val="24"/>
          <w:szCs w:val="24"/>
          <w:lang w:eastAsia="zh-CN"/>
        </w:rPr>
        <w:t xml:space="preserve">the Patient Assessment of Symptoms (PAC-SYM): </w:t>
      </w:r>
      <w:r w:rsidRPr="009E5566">
        <w:rPr>
          <w:rFonts w:ascii="Times New Roman" w:eastAsia="等线" w:hAnsi="Times New Roman" w:cs="Times New Roman"/>
          <w:sz w:val="24"/>
          <w:szCs w:val="24"/>
          <w:lang w:eastAsia="zh-CN"/>
        </w:rPr>
        <w:t>The PAC-SYM consists of 12 items in 3 dimensions (abdominal symptoms, rectal symptoms, and stool symptoms). The Likert 5-level scoring method was used to assign 0–4 points to “no such symptoms”, “mild”, “moderate”, “severe”, and “very severe”, respectively. The score of each dimension was the average score of all items in this dimension, and the total score was the average score of all items. The higher the score, the more severe the constipation symptoms.</w:t>
      </w:r>
    </w:p>
    <w:p w14:paraId="195D55B6" w14:textId="77777777" w:rsidR="00C36DB9" w:rsidRPr="009E5566" w:rsidRDefault="00C36DB9" w:rsidP="00C36DB9">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b/>
          <w:bCs/>
          <w:sz w:val="24"/>
          <w:szCs w:val="24"/>
          <w:lang w:eastAsia="zh-CN"/>
        </w:rPr>
        <w:t>the Patient Assessment of Quality of Life (PAC-QOL)</w:t>
      </w:r>
      <w:r w:rsidRPr="009E5566">
        <w:rPr>
          <w:rFonts w:ascii="Times New Roman" w:eastAsia="等线" w:hAnsi="Times New Roman" w:cs="Times New Roman"/>
          <w:sz w:val="24"/>
          <w:szCs w:val="24"/>
          <w:lang w:eastAsia="zh-CN"/>
        </w:rPr>
        <w:t xml:space="preserve">: This scale consists of 28 items </w:t>
      </w:r>
      <w:r w:rsidRPr="009E5566">
        <w:rPr>
          <w:rFonts w:ascii="Times New Roman" w:eastAsia="等线" w:hAnsi="Times New Roman" w:cs="Times New Roman"/>
          <w:sz w:val="24"/>
          <w:szCs w:val="24"/>
          <w:lang w:eastAsia="zh-CN"/>
        </w:rPr>
        <w:lastRenderedPageBreak/>
        <w:t xml:space="preserve">divided into 4 facets, including physical discomfort, psychosocial discomfort, anxiety, and satisfaction. The score ranges from 0 to 112, with a lower score indicating a higher quality of life. </w:t>
      </w:r>
    </w:p>
    <w:p w14:paraId="0425F02A" w14:textId="452086B6" w:rsidR="00C36DB9" w:rsidRDefault="00C36DB9" w:rsidP="00C36DB9">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b/>
          <w:bCs/>
          <w:sz w:val="24"/>
          <w:szCs w:val="24"/>
          <w:lang w:eastAsia="zh-CN"/>
        </w:rPr>
        <w:t>Bristol stool scale (BSS):</w:t>
      </w:r>
      <w:r w:rsidRPr="009E5566">
        <w:rPr>
          <w:rFonts w:ascii="Times New Roman" w:hAnsi="Times New Roman" w:cs="Times New Roman"/>
          <w:sz w:val="24"/>
          <w:szCs w:val="24"/>
        </w:rPr>
        <w:t xml:space="preserve"> </w:t>
      </w:r>
      <w:r w:rsidRPr="009E5566">
        <w:rPr>
          <w:rFonts w:ascii="Times New Roman" w:eastAsia="等线" w:hAnsi="Times New Roman" w:cs="Times New Roman"/>
          <w:sz w:val="24"/>
          <w:szCs w:val="24"/>
          <w:lang w:eastAsia="zh-CN"/>
        </w:rPr>
        <w:t>The BSS classifies stool form into seven types: type 1: separate hard lumps; type 2: lumpy, sausage-shaped; type 3: sausage with cracks on the surface; type 4: smooth, soft sausage; type 5: soft blobs with clear edges; type 6: mushy consistency with ragged edges; type 7: entirely liquid. Types 1 through 7 are assigned scores of 1 to 7, respectively. Stool form reflects colonic transit time—lower BSS scores correspond to slower transit, whereas higher scores indicate faster transit.</w:t>
      </w:r>
    </w:p>
    <w:p w14:paraId="78A432AE" w14:textId="15F5DA80" w:rsidR="005A7D7D" w:rsidRPr="005A7D7D" w:rsidRDefault="005A7D7D" w:rsidP="00C36DB9">
      <w:pPr>
        <w:spacing w:line="360" w:lineRule="auto"/>
        <w:rPr>
          <w:rFonts w:ascii="Times New Roman" w:eastAsia="等线" w:hAnsi="Times New Roman" w:cs="Times New Roman"/>
          <w:sz w:val="24"/>
          <w:szCs w:val="24"/>
          <w:lang w:eastAsia="zh-CN"/>
        </w:rPr>
      </w:pPr>
      <w:r w:rsidRPr="005A7D7D">
        <w:rPr>
          <w:rFonts w:ascii="Times New Roman" w:eastAsia="等线" w:hAnsi="Times New Roman" w:cs="Times New Roman"/>
          <w:sz w:val="24"/>
          <w:szCs w:val="24"/>
          <w:lang w:eastAsia="zh-CN"/>
        </w:rPr>
        <w:t xml:space="preserve">Power analysis was performed post hoc using a two-sample, two-sided t-test framework (α = 0.05). With </w:t>
      </w:r>
      <w:r w:rsidRPr="005A7D7D">
        <w:rPr>
          <w:rFonts w:ascii="Times New Roman" w:eastAsia="等线" w:hAnsi="Times New Roman" w:cs="Times New Roman"/>
          <w:i/>
          <w:iCs/>
          <w:sz w:val="24"/>
          <w:szCs w:val="24"/>
          <w:lang w:eastAsia="zh-CN"/>
        </w:rPr>
        <w:t>n</w:t>
      </w:r>
      <w:r w:rsidRPr="005A7D7D">
        <w:rPr>
          <w:rFonts w:ascii="Times New Roman" w:eastAsia="等线" w:hAnsi="Times New Roman" w:cs="Times New Roman"/>
          <w:sz w:val="24"/>
          <w:szCs w:val="24"/>
          <w:lang w:eastAsia="zh-CN"/>
        </w:rPr>
        <w:t>= 30 participants per group, the design provides approximately 85–97% power to detect large standardized mean differences (Cohen’s d = 0.8–1.0) in PAC-SYM, PAC-QOL and BSS scores, consistent with prior clinical studies of comparable scale.</w:t>
      </w:r>
    </w:p>
    <w:p w14:paraId="5D9483FB" w14:textId="7F2D0236" w:rsidR="00C36DB9" w:rsidRPr="009E5566" w:rsidRDefault="00C36DB9" w:rsidP="00C36DB9">
      <w:pPr>
        <w:widowControl/>
        <w:spacing w:before="240" w:after="200" w:line="480" w:lineRule="auto"/>
        <w:ind w:left="567" w:hanging="567"/>
        <w:outlineLvl w:val="1"/>
        <w:rPr>
          <w:rFonts w:ascii="Times New Roman" w:eastAsia="Cambria" w:hAnsi="Times New Roman" w:cs="Times New Roman"/>
          <w:b/>
          <w:kern w:val="0"/>
          <w:sz w:val="24"/>
          <w:szCs w:val="24"/>
          <w:lang w:eastAsia="en-US"/>
        </w:rPr>
      </w:pPr>
      <w:r w:rsidRPr="009E5566">
        <w:rPr>
          <w:rFonts w:ascii="Times New Roman" w:eastAsia="Cambria" w:hAnsi="Times New Roman" w:cs="Times New Roman"/>
          <w:b/>
          <w:kern w:val="0"/>
          <w:sz w:val="24"/>
          <w:szCs w:val="24"/>
          <w:lang w:eastAsia="en-US"/>
        </w:rPr>
        <w:t>Animal experiments</w:t>
      </w:r>
    </w:p>
    <w:p w14:paraId="1685C706" w14:textId="084B97D6" w:rsidR="00885312" w:rsidRPr="009E5566" w:rsidRDefault="00885312" w:rsidP="00C36DB9">
      <w:pPr>
        <w:spacing w:line="360" w:lineRule="auto"/>
        <w:rPr>
          <w:rFonts w:ascii="Times New Roman" w:hAnsi="Times New Roman" w:cs="Times New Roman"/>
          <w:sz w:val="24"/>
          <w:szCs w:val="24"/>
        </w:rPr>
      </w:pPr>
      <w:bookmarkStart w:id="5" w:name="_Hlk211105655"/>
      <w:r w:rsidRPr="009E5566">
        <w:rPr>
          <w:rFonts w:ascii="Times New Roman" w:hAnsi="Times New Roman" w:cs="Times New Roman"/>
          <w:sz w:val="24"/>
          <w:szCs w:val="24"/>
        </w:rPr>
        <w:t>In Animal Experiment 1 (Fig. 3A), mice were randomized into three groups</w:t>
      </w:r>
      <w:r w:rsidR="00D5709A" w:rsidRPr="009E5566">
        <w:rPr>
          <w:rFonts w:ascii="Times New Roman" w:eastAsia="等线" w:hAnsi="Times New Roman" w:cs="Times New Roman" w:hint="eastAsia"/>
          <w:sz w:val="24"/>
          <w:szCs w:val="24"/>
          <w:lang w:eastAsia="zh-CN"/>
        </w:rPr>
        <w:t xml:space="preserve"> (</w:t>
      </w:r>
      <w:r w:rsidR="006A5481" w:rsidRPr="009E5566">
        <w:rPr>
          <w:rFonts w:ascii="Times New Roman" w:eastAsia="等线" w:hAnsi="Times New Roman" w:cs="Times New Roman" w:hint="eastAsia"/>
          <w:i/>
          <w:iCs/>
          <w:sz w:val="24"/>
          <w:szCs w:val="24"/>
          <w:lang w:eastAsia="zh-CN"/>
        </w:rPr>
        <w:t>n</w:t>
      </w:r>
      <w:r w:rsidR="006A5481" w:rsidRPr="009E5566">
        <w:rPr>
          <w:rFonts w:ascii="Times New Roman" w:eastAsia="等线" w:hAnsi="Times New Roman" w:cs="Times New Roman" w:hint="eastAsia"/>
          <w:sz w:val="24"/>
          <w:szCs w:val="24"/>
          <w:lang w:eastAsia="zh-CN"/>
        </w:rPr>
        <w:t xml:space="preserve">=6 </w:t>
      </w:r>
      <w:r w:rsidR="006A5481" w:rsidRPr="009E5566">
        <w:rPr>
          <w:rFonts w:ascii="Times New Roman" w:hAnsi="Times New Roman"/>
          <w:kern w:val="0"/>
          <w:sz w:val="24"/>
          <w:szCs w:val="24"/>
        </w:rPr>
        <w:t>per group</w:t>
      </w:r>
      <w:r w:rsidR="00D5709A" w:rsidRPr="009E5566">
        <w:rPr>
          <w:rFonts w:ascii="Times New Roman" w:eastAsia="等线" w:hAnsi="Times New Roman" w:cs="Times New Roman" w:hint="eastAsia"/>
          <w:sz w:val="24"/>
          <w:szCs w:val="24"/>
          <w:lang w:eastAsia="zh-CN"/>
        </w:rPr>
        <w:t>)</w:t>
      </w:r>
      <w:r w:rsidRPr="009E5566">
        <w:rPr>
          <w:rFonts w:ascii="Times New Roman" w:hAnsi="Times New Roman" w:cs="Times New Roman"/>
          <w:sz w:val="24"/>
          <w:szCs w:val="24"/>
        </w:rPr>
        <w:t xml:space="preserve">: normal control (NC), loperamide-induced constipation (LOP), and RI (LOP + </w:t>
      </w:r>
      <w:r w:rsidRPr="009E5566">
        <w:rPr>
          <w:rFonts w:ascii="Times New Roman" w:hAnsi="Times New Roman" w:cs="Times New Roman"/>
          <w:sz w:val="24"/>
          <w:szCs w:val="24"/>
          <w:lang w:eastAsia="zh-CN"/>
        </w:rPr>
        <w:t>RI</w:t>
      </w:r>
      <w:r w:rsidRPr="009E5566">
        <w:rPr>
          <w:rFonts w:ascii="Times New Roman" w:hAnsi="Times New Roman" w:cs="Times New Roman"/>
          <w:sz w:val="24"/>
          <w:szCs w:val="24"/>
        </w:rPr>
        <w:t>) group.</w:t>
      </w:r>
      <w:bookmarkEnd w:id="5"/>
      <w:r w:rsidRPr="009E5566">
        <w:rPr>
          <w:rFonts w:ascii="Times New Roman" w:hAnsi="Times New Roman" w:cs="Times New Roman"/>
          <w:sz w:val="24"/>
          <w:szCs w:val="24"/>
        </w:rPr>
        <w:t xml:space="preserve"> RI was prepared at 1 × 10</w:t>
      </w:r>
      <w:r w:rsidRPr="009E5566">
        <w:rPr>
          <w:rFonts w:ascii="Times New Roman" w:hAnsi="Times New Roman" w:cs="Times New Roman"/>
          <w:sz w:val="24"/>
          <w:szCs w:val="24"/>
          <w:vertAlign w:val="superscript"/>
        </w:rPr>
        <w:t xml:space="preserve">9 </w:t>
      </w:r>
      <w:r w:rsidRPr="009E5566">
        <w:rPr>
          <w:rFonts w:ascii="Times New Roman" w:hAnsi="Times New Roman" w:cs="Times New Roman"/>
          <w:sz w:val="24"/>
          <w:szCs w:val="24"/>
        </w:rPr>
        <w:t>CFU/200 µL in sterile PBS. Each day for 14 days, NC received two gavages of PBS (200 µL each). LOP and RI groups first received a loperamide gavage (10 mg/kg); 6 h later, the LOP group received PBS (200 µL), whereas the RI group received RI suspension (1 × 10</w:t>
      </w:r>
      <w:r w:rsidRPr="009E5566">
        <w:rPr>
          <w:rFonts w:ascii="Times New Roman" w:hAnsi="Times New Roman" w:cs="Times New Roman"/>
          <w:sz w:val="24"/>
          <w:szCs w:val="24"/>
          <w:vertAlign w:val="superscript"/>
        </w:rPr>
        <w:t>9</w:t>
      </w:r>
      <w:r w:rsidRPr="009E5566">
        <w:rPr>
          <w:rFonts w:ascii="Times New Roman" w:hAnsi="Times New Roman" w:cs="Times New Roman"/>
          <w:sz w:val="24"/>
          <w:szCs w:val="24"/>
        </w:rPr>
        <w:t xml:space="preserve"> CFU/200 µL).</w:t>
      </w:r>
    </w:p>
    <w:p w14:paraId="2530F37E" w14:textId="78BE98B5" w:rsidR="00885312" w:rsidRPr="009E5566" w:rsidRDefault="00885312" w:rsidP="00C36DB9">
      <w:pPr>
        <w:spacing w:line="360" w:lineRule="auto"/>
        <w:rPr>
          <w:rFonts w:ascii="Times New Roman" w:hAnsi="Times New Roman" w:cs="Times New Roman"/>
          <w:sz w:val="24"/>
          <w:szCs w:val="24"/>
        </w:rPr>
      </w:pPr>
      <w:bookmarkStart w:id="6" w:name="_Hlk211105671"/>
      <w:r w:rsidRPr="009E5566">
        <w:rPr>
          <w:rFonts w:ascii="Times New Roman" w:hAnsi="Times New Roman" w:cs="Times New Roman"/>
          <w:sz w:val="24"/>
          <w:szCs w:val="24"/>
        </w:rPr>
        <w:t xml:space="preserve">In Animal Experiment 2 </w:t>
      </w:r>
      <w:r w:rsidR="006A5481" w:rsidRPr="009E5566">
        <w:rPr>
          <w:rFonts w:ascii="Times New Roman" w:eastAsia="等线" w:hAnsi="Times New Roman" w:cs="Times New Roman" w:hint="eastAsia"/>
          <w:sz w:val="24"/>
          <w:szCs w:val="24"/>
          <w:lang w:eastAsia="zh-CN"/>
        </w:rPr>
        <w:t>(</w:t>
      </w:r>
      <w:r w:rsidR="006A5481" w:rsidRPr="009E5566">
        <w:rPr>
          <w:rFonts w:ascii="Times New Roman" w:eastAsia="等线" w:hAnsi="Times New Roman" w:cs="Times New Roman" w:hint="eastAsia"/>
          <w:i/>
          <w:iCs/>
          <w:sz w:val="24"/>
          <w:szCs w:val="24"/>
          <w:lang w:eastAsia="zh-CN"/>
        </w:rPr>
        <w:t>n</w:t>
      </w:r>
      <w:r w:rsidR="006A5481" w:rsidRPr="009E5566">
        <w:rPr>
          <w:rFonts w:ascii="Times New Roman" w:eastAsia="等线" w:hAnsi="Times New Roman" w:cs="Times New Roman" w:hint="eastAsia"/>
          <w:sz w:val="24"/>
          <w:szCs w:val="24"/>
          <w:lang w:eastAsia="zh-CN"/>
        </w:rPr>
        <w:t xml:space="preserve">=5 </w:t>
      </w:r>
      <w:r w:rsidR="006A5481" w:rsidRPr="009E5566">
        <w:rPr>
          <w:rFonts w:ascii="Times New Roman" w:hAnsi="Times New Roman"/>
          <w:kern w:val="0"/>
          <w:sz w:val="24"/>
          <w:szCs w:val="24"/>
        </w:rPr>
        <w:t>per group)</w:t>
      </w:r>
      <w:r w:rsidR="006A5481" w:rsidRPr="009E5566">
        <w:rPr>
          <w:rFonts w:ascii="Times New Roman" w:hAnsi="Times New Roman" w:cs="Times New Roman"/>
          <w:sz w:val="24"/>
          <w:szCs w:val="24"/>
        </w:rPr>
        <w:t xml:space="preserve">: </w:t>
      </w:r>
      <w:r w:rsidRPr="009E5566">
        <w:rPr>
          <w:rFonts w:ascii="Times New Roman" w:hAnsi="Times New Roman" w:cs="Times New Roman"/>
          <w:sz w:val="24"/>
          <w:szCs w:val="24"/>
        </w:rPr>
        <w:t xml:space="preserve">(Fig. 5I), to probe pathway dependence, on the background of the 14-day LOP ± RI regimen above, an additional cohort received intraperitoneal SB431542 (S1067, Selleck, USA) at 200 µL of 1.5 mg/mL (in DMSO </w:t>
      </w:r>
      <w:r w:rsidRPr="009E5566">
        <w:rPr>
          <w:rFonts w:ascii="Times New Roman" w:hAnsi="Times New Roman" w:cs="Times New Roman"/>
          <w:sz w:val="24"/>
          <w:szCs w:val="24"/>
        </w:rPr>
        <w:lastRenderedPageBreak/>
        <w:t>solution) on days 1, 3, 5, and 7.</w:t>
      </w:r>
      <w:bookmarkEnd w:id="6"/>
      <w:r w:rsidRPr="009E5566">
        <w:rPr>
          <w:rFonts w:ascii="Times New Roman" w:hAnsi="Times New Roman" w:cs="Times New Roman"/>
          <w:sz w:val="24"/>
          <w:szCs w:val="24"/>
        </w:rPr>
        <w:t xml:space="preserve"> Concurrently, the LOP and RI groups received vehicle injections (200 µL; PBS:DMSO = 500:1) on the same schedule.</w:t>
      </w:r>
    </w:p>
    <w:p w14:paraId="61F9F918" w14:textId="0B5173EE" w:rsidR="00885312" w:rsidRPr="009E5566" w:rsidRDefault="00885312" w:rsidP="00C36DB9">
      <w:pPr>
        <w:spacing w:line="360" w:lineRule="auto"/>
        <w:rPr>
          <w:rFonts w:ascii="Times New Roman" w:hAnsi="Times New Roman" w:cs="Times New Roman"/>
          <w:sz w:val="24"/>
          <w:szCs w:val="24"/>
        </w:rPr>
      </w:pPr>
      <w:bookmarkStart w:id="7" w:name="_Hlk211105695"/>
      <w:r w:rsidRPr="009E5566">
        <w:rPr>
          <w:rFonts w:ascii="Times New Roman" w:hAnsi="Times New Roman" w:cs="Times New Roman"/>
          <w:sz w:val="24"/>
          <w:szCs w:val="24"/>
        </w:rPr>
        <w:t>In Animal Experiment 3 (Fig. 6A), mice were randomized into five groups</w:t>
      </w:r>
      <w:r w:rsidR="006A5481" w:rsidRPr="009E5566">
        <w:rPr>
          <w:rFonts w:ascii="Times New Roman" w:hAnsi="Times New Roman" w:cs="Times New Roman"/>
          <w:sz w:val="24"/>
          <w:szCs w:val="24"/>
        </w:rPr>
        <w:t xml:space="preserve"> </w:t>
      </w:r>
      <w:r w:rsidR="006A5481" w:rsidRPr="009E5566">
        <w:rPr>
          <w:rFonts w:ascii="Times New Roman" w:eastAsia="等线" w:hAnsi="Times New Roman" w:cs="Times New Roman" w:hint="eastAsia"/>
          <w:sz w:val="24"/>
          <w:szCs w:val="24"/>
          <w:lang w:eastAsia="zh-CN"/>
        </w:rPr>
        <w:t>(</w:t>
      </w:r>
      <w:r w:rsidR="006A5481" w:rsidRPr="009E5566">
        <w:rPr>
          <w:rFonts w:ascii="Times New Roman" w:eastAsia="等线" w:hAnsi="Times New Roman" w:cs="Times New Roman" w:hint="eastAsia"/>
          <w:i/>
          <w:iCs/>
          <w:sz w:val="24"/>
          <w:szCs w:val="24"/>
          <w:lang w:eastAsia="zh-CN"/>
        </w:rPr>
        <w:t>n</w:t>
      </w:r>
      <w:r w:rsidR="006A5481" w:rsidRPr="009E5566">
        <w:rPr>
          <w:rFonts w:ascii="Times New Roman" w:eastAsia="等线" w:hAnsi="Times New Roman" w:cs="Times New Roman" w:hint="eastAsia"/>
          <w:sz w:val="24"/>
          <w:szCs w:val="24"/>
          <w:lang w:eastAsia="zh-CN"/>
        </w:rPr>
        <w:t xml:space="preserve">=6 </w:t>
      </w:r>
      <w:r w:rsidR="006A5481" w:rsidRPr="009E5566">
        <w:rPr>
          <w:rFonts w:ascii="Times New Roman" w:hAnsi="Times New Roman"/>
          <w:kern w:val="0"/>
          <w:sz w:val="24"/>
          <w:szCs w:val="24"/>
        </w:rPr>
        <w:t>per group)</w:t>
      </w:r>
      <w:r w:rsidRPr="009E5566">
        <w:rPr>
          <w:rFonts w:ascii="Times New Roman" w:hAnsi="Times New Roman" w:cs="Times New Roman"/>
          <w:sz w:val="24"/>
          <w:szCs w:val="24"/>
        </w:rPr>
        <w:t xml:space="preserve">; all underwent the 2-week LOP model as in Experiment 1. </w:t>
      </w:r>
      <w:bookmarkEnd w:id="7"/>
      <w:r w:rsidRPr="009E5566">
        <w:rPr>
          <w:rFonts w:ascii="Times New Roman" w:hAnsi="Times New Roman" w:cs="Times New Roman"/>
          <w:sz w:val="24"/>
          <w:szCs w:val="24"/>
        </w:rPr>
        <w:t>Six hours after each daily LOP gavage, groups received one of the following by gavage (200 µL/day for 14 days): RCM medium (RCM group), RI supernatant (</w:t>
      </w:r>
      <w:r w:rsidRPr="009E5566">
        <w:rPr>
          <w:rFonts w:ascii="Times New Roman" w:hAnsi="Times New Roman" w:cs="Times New Roman"/>
          <w:i/>
          <w:iCs/>
          <w:sz w:val="24"/>
          <w:szCs w:val="24"/>
        </w:rPr>
        <w:t>RI</w:t>
      </w:r>
      <w:r w:rsidRPr="009E5566">
        <w:rPr>
          <w:rFonts w:ascii="Times New Roman" w:hAnsi="Times New Roman" w:cs="Times New Roman"/>
          <w:sz w:val="24"/>
          <w:szCs w:val="24"/>
        </w:rPr>
        <w:t xml:space="preserve">-S group), </w:t>
      </w:r>
      <w:r w:rsidR="00ED2E38" w:rsidRPr="009E5566">
        <w:rPr>
          <w:rFonts w:ascii="Times New Roman" w:hAnsi="Times New Roman" w:cs="Times New Roman"/>
          <w:i/>
          <w:iCs/>
          <w:sz w:val="24"/>
          <w:szCs w:val="24"/>
        </w:rPr>
        <w:t>RI</w:t>
      </w:r>
      <w:r w:rsidR="00ED2E38" w:rsidRPr="009E5566">
        <w:rPr>
          <w:rFonts w:ascii="Times New Roman" w:hAnsi="Times New Roman" w:cs="Times New Roman"/>
          <w:sz w:val="24"/>
          <w:szCs w:val="24"/>
        </w:rPr>
        <w:t xml:space="preserve">-S </w:t>
      </w:r>
      <w:r w:rsidRPr="009E5566">
        <w:rPr>
          <w:rFonts w:ascii="Times New Roman" w:hAnsi="Times New Roman" w:cs="Times New Roman"/>
          <w:sz w:val="24"/>
          <w:szCs w:val="24"/>
        </w:rPr>
        <w:t xml:space="preserve">&lt; 3kDa group or RI-S ≥3kDa group. The LOP group received PBS (200 µL) as control. </w:t>
      </w:r>
    </w:p>
    <w:p w14:paraId="4DD60322" w14:textId="21BA19F0" w:rsidR="00885312" w:rsidRPr="009E5566" w:rsidRDefault="00885312" w:rsidP="00C36DB9">
      <w:pPr>
        <w:spacing w:line="360" w:lineRule="auto"/>
        <w:rPr>
          <w:rFonts w:ascii="Times New Roman" w:eastAsia="等线" w:hAnsi="Times New Roman" w:cs="Times New Roman"/>
          <w:sz w:val="24"/>
          <w:szCs w:val="24"/>
          <w:lang w:eastAsia="zh-CN"/>
        </w:rPr>
      </w:pPr>
      <w:bookmarkStart w:id="8" w:name="_Hlk211105706"/>
      <w:r w:rsidRPr="009E5566">
        <w:rPr>
          <w:rFonts w:ascii="Times New Roman" w:hAnsi="Times New Roman" w:cs="Times New Roman"/>
          <w:sz w:val="24"/>
          <w:szCs w:val="24"/>
        </w:rPr>
        <w:t>In Animal Experiment 4 (Fig. 8A), mice were randomized into four groups</w:t>
      </w:r>
      <w:r w:rsidR="006A5481" w:rsidRPr="009E5566">
        <w:rPr>
          <w:rFonts w:ascii="Times New Roman" w:eastAsia="等线" w:hAnsi="Times New Roman" w:cs="Times New Roman" w:hint="eastAsia"/>
          <w:sz w:val="24"/>
          <w:szCs w:val="24"/>
          <w:lang w:eastAsia="zh-CN"/>
        </w:rPr>
        <w:t xml:space="preserve"> </w:t>
      </w:r>
      <w:r w:rsidR="006A5481" w:rsidRPr="009E5566">
        <w:rPr>
          <w:rFonts w:ascii="Times New Roman" w:hAnsi="Times New Roman"/>
          <w:kern w:val="0"/>
          <w:sz w:val="24"/>
          <w:szCs w:val="24"/>
        </w:rPr>
        <w:t>(</w:t>
      </w:r>
      <w:r w:rsidR="006A5481" w:rsidRPr="009E5566">
        <w:rPr>
          <w:rFonts w:ascii="Times New Roman" w:hAnsi="Times New Roman"/>
          <w:i/>
          <w:kern w:val="0"/>
          <w:sz w:val="24"/>
          <w:szCs w:val="24"/>
        </w:rPr>
        <w:t>n</w:t>
      </w:r>
      <w:r w:rsidR="006A5481" w:rsidRPr="009E5566">
        <w:rPr>
          <w:rFonts w:ascii="Times New Roman" w:hAnsi="Times New Roman"/>
          <w:kern w:val="0"/>
          <w:sz w:val="24"/>
          <w:szCs w:val="24"/>
        </w:rPr>
        <w:t>=</w:t>
      </w:r>
      <w:r w:rsidR="006A5481" w:rsidRPr="009E5566">
        <w:rPr>
          <w:rFonts w:ascii="Times New Roman" w:hAnsi="Times New Roman" w:hint="eastAsia"/>
          <w:kern w:val="0"/>
          <w:sz w:val="24"/>
          <w:szCs w:val="24"/>
          <w:lang w:eastAsia="zh-CN"/>
        </w:rPr>
        <w:t>6</w:t>
      </w:r>
      <w:r w:rsidR="006A5481" w:rsidRPr="009E5566">
        <w:rPr>
          <w:rFonts w:ascii="Times New Roman" w:hAnsi="Times New Roman"/>
          <w:kern w:val="0"/>
          <w:sz w:val="24"/>
          <w:szCs w:val="24"/>
        </w:rPr>
        <w:t xml:space="preserve"> per group)</w:t>
      </w:r>
      <w:r w:rsidRPr="009E5566">
        <w:rPr>
          <w:rFonts w:ascii="Times New Roman" w:hAnsi="Times New Roman" w:cs="Times New Roman"/>
          <w:sz w:val="24"/>
          <w:szCs w:val="24"/>
        </w:rPr>
        <w:t>: LOP</w:t>
      </w:r>
      <w:r w:rsidRPr="009E5566">
        <w:rPr>
          <w:rFonts w:ascii="Times New Roman" w:hAnsi="Times New Roman" w:cs="Times New Roman"/>
          <w:sz w:val="24"/>
          <w:szCs w:val="24"/>
          <w:lang w:eastAsia="zh-CN"/>
        </w:rPr>
        <w:t xml:space="preserve"> group</w:t>
      </w:r>
      <w:r w:rsidRPr="009E5566">
        <w:rPr>
          <w:rFonts w:ascii="Times New Roman" w:hAnsi="Times New Roman" w:cs="Times New Roman"/>
          <w:sz w:val="24"/>
          <w:szCs w:val="24"/>
        </w:rPr>
        <w:t>, low-dose inosine (INO-L)</w:t>
      </w:r>
      <w:r w:rsidRPr="009E5566">
        <w:rPr>
          <w:rFonts w:ascii="Times New Roman" w:hAnsi="Times New Roman" w:cs="Times New Roman"/>
          <w:sz w:val="24"/>
          <w:szCs w:val="24"/>
          <w:lang w:eastAsia="zh-CN"/>
        </w:rPr>
        <w:t xml:space="preserve"> group</w:t>
      </w:r>
      <w:r w:rsidRPr="009E5566">
        <w:rPr>
          <w:rFonts w:ascii="Times New Roman" w:hAnsi="Times New Roman" w:cs="Times New Roman"/>
          <w:sz w:val="24"/>
          <w:szCs w:val="24"/>
        </w:rPr>
        <w:t>, high-dose inosine (INO-H)</w:t>
      </w:r>
      <w:r w:rsidRPr="009E5566">
        <w:rPr>
          <w:rFonts w:ascii="Times New Roman" w:hAnsi="Times New Roman" w:cs="Times New Roman"/>
          <w:sz w:val="24"/>
          <w:szCs w:val="24"/>
          <w:lang w:eastAsia="zh-CN"/>
        </w:rPr>
        <w:t xml:space="preserve"> group</w:t>
      </w:r>
      <w:r w:rsidRPr="009E5566">
        <w:rPr>
          <w:rFonts w:ascii="Times New Roman" w:hAnsi="Times New Roman" w:cs="Times New Roman"/>
          <w:sz w:val="24"/>
          <w:szCs w:val="24"/>
        </w:rPr>
        <w:t>, and INO-H + SB431542</w:t>
      </w:r>
      <w:r w:rsidRPr="009E5566">
        <w:rPr>
          <w:rFonts w:ascii="Times New Roman" w:hAnsi="Times New Roman" w:cs="Times New Roman"/>
          <w:sz w:val="24"/>
          <w:szCs w:val="24"/>
          <w:lang w:eastAsia="zh-CN"/>
        </w:rPr>
        <w:t xml:space="preserve"> group</w:t>
      </w:r>
      <w:r w:rsidRPr="009E5566">
        <w:rPr>
          <w:rFonts w:ascii="Times New Roman" w:hAnsi="Times New Roman" w:cs="Times New Roman"/>
          <w:sz w:val="24"/>
          <w:szCs w:val="24"/>
        </w:rPr>
        <w:t>.</w:t>
      </w:r>
      <w:bookmarkEnd w:id="8"/>
      <w:r w:rsidRPr="009E5566">
        <w:rPr>
          <w:rFonts w:ascii="Times New Roman" w:hAnsi="Times New Roman" w:cs="Times New Roman"/>
          <w:sz w:val="24"/>
          <w:szCs w:val="24"/>
        </w:rPr>
        <w:t xml:space="preserve"> All groups underwent the 2-week LOP model (as above). In parallel, LOP mice received PBS gavage (200 µL /day), while INO-L and INO-H received inosine (104348</w:t>
      </w:r>
      <w:r w:rsidRPr="009E5566">
        <w:rPr>
          <w:rFonts w:ascii="Times New Roman" w:hAnsi="Times New Roman" w:cs="Times New Roman"/>
          <w:sz w:val="24"/>
          <w:szCs w:val="24"/>
          <w:lang w:eastAsia="zh-CN"/>
        </w:rPr>
        <w:t xml:space="preserve">, </w:t>
      </w:r>
      <w:r w:rsidRPr="009E5566">
        <w:rPr>
          <w:rFonts w:ascii="Times New Roman" w:hAnsi="Times New Roman" w:cs="Times New Roman"/>
          <w:sz w:val="24"/>
          <w:szCs w:val="24"/>
        </w:rPr>
        <w:t xml:space="preserve">Aladdin, China) at 100 or 300 mg/kg/day in 200 µL by gavage </w:t>
      </w:r>
      <w:r w:rsidRPr="009E5566">
        <w:rPr>
          <w:rFonts w:ascii="Times New Roman" w:hAnsi="Times New Roman" w:cs="Times New Roman"/>
          <w:sz w:val="24"/>
          <w:szCs w:val="24"/>
        </w:rPr>
        <w:fldChar w:fldCharType="begin"/>
      </w:r>
      <w:r w:rsidRPr="009E5566">
        <w:rPr>
          <w:rFonts w:ascii="Times New Roman" w:hAnsi="Times New Roman" w:cs="Times New Roman"/>
          <w:sz w:val="24"/>
          <w:szCs w:val="24"/>
        </w:rPr>
        <w:instrText xml:space="preserve"> ADDIN ZOTERO_ITEM CSL_CITATION {"citationID":"gPX0N2ik","properties":{"formattedCitation":"(Guo et al., 2023; Mager et al., 2020; Wei et al., 2024)","plainCitation":"(Guo et al., 2023; Mager et al., 2020; Wei et al., 2024)","noteIndex":0},"citationItems":[{"id":917,"uris":["http://zotero.org/users/local/BxZnIjOg/items/LQR2VR3D"],"itemData":{"id":917,"type":"article-journal","abstract":"BACKGROUND: Colonic and serum inosine are significantly reduced in patients with inflammatory bowel disease (IBD).\nMETHODS: This study aimed to explore whether microbiome-derived inosine alleviates colitis and its underlying mechanisms.\nRESULTS: An inosine intervention effectively improved the clinical signs in colitis mice, suppressed inflammatory cytokines (tumor necrosis factor-alpha (TNF-α), interleukin-6 (IL-6), and IL-1β) by regulating the nuclear factor-kappa B (NF-κB) pathway, and elevated the activities of anti-oxidative enzymes (including superoxide dismutase (SOD) and glutathione peroxidase (GSH-Px)) by regulating the nuclear factor erythroid-2 related factor 2 (Nrf2) pathway. Additionally, the inosine intervention significantly elevated the expression of tight junction proteins (ZO-1, occudin, and claudin-1) in mice with colitis. High-throughput sequencing revealed that the inosine intervention also prevented gut microbiota disorder by increasing the abundance of beneficial bacteria (Lachnospiraceae NK4A136 group, Romboutsia, Marvinbryantia, Clostridium sensu stricto 1, and Bifidobacterium) and reducing the abundance of harmful bacteria (Pseudomonas, Acinetobacter, and Tyzzerella) in mice with colitis.\nCONCLUSIONS: Inosine played a significant role in mitigating colitis-related intestinal barrier injury and could potentially be used for therapy in clinical practice.","container-title":"International Journal of Molecular Sciences","DOI":"10.3390/ijms241813852","ISSN":"1422-0067","issue":"18","journalAbbreviation":"Int J Mol Sci","language":"eng","note":"PMID: 37762155\nPMCID: PMC10530753","page":"13852","source":"PubMed","title":"Mitigation of Dextran-Sodium-Sulfate-Induced Colitis in Mice through Oral Administration of Microbiome-Derived Inosine and Its Underlying Mechanisms","volume":"24","author":[{"family":"Guo","given":"Weiling"},{"family":"Tang","given":"Xin"},{"family":"Zhang","given":"Qiuxiang"},{"family":"Zhao","given":"Jianxin"},{"family":"Mao","given":"Bingyong"},{"family":"Zhang","given":"Hao"},{"family":"Cui","given":"Shumao"}],"issued":{"date-parts":[["2023",9,8]]}}},{"id":832,"uris":["http://zotero.org/users/local/BxZnIjOg/items/JCASDHSK"],"itemData":{"id":832,"type":"article-journal","abstract":"Several species of intestinal bacteria have been associated with enhanced efficacy of checkpoint blockade immunotherapy, but the underlying mechanisms by which the microbiome enhances antitumor immunity are unclear. In this study, we isolated three bacterial species-Bifidobacterium pseudolongum, Lactobacillus johnsonii, and Olsenella species-that significantly enhanced efficacy of immune checkpoint inhibitors in four mouse models of cancer. We found that intestinal B. pseudolongum modulated enhanced immunotherapy response through production of the metabolite inosine. Decreased gut barrier function induced by immunotherapy increased systemic translocation of inosine and activated antitumor T cells. The effect of inosine was dependent on T cell expression of the adenosine A2A receptor and required costimulation. Collectively, our study identifies a previously unknown microbial metabolite immune pathway activated by immunotherapy that may be exploited to develop microbial-based adjuvant therapies.","container-title":"Science (New York, N.Y.)","DOI":"10.1126/science.abc3421","ISSN":"1095-9203","issue":"6510","journalAbbreviation":"Science","language":"eng","note":"PMID: 32792462","page":"1481-1489","source":"PubMed","title":"Microbiome-derived inosine modulates response to checkpoint inhibitor immunotherapy","volume":"369","author":[{"family":"Mager","given":"Lukas F."},{"family":"Burkhard","given":"Regula"},{"family":"Pett","given":"Nicola"},{"family":"Cooke","given":"Noah C. A."},{"family":"Brown","given":"Kirsty"},{"family":"Ramay","given":"Hena"},{"family":"Paik","given":"Seungil"},{"family":"Stagg","given":"John"},{"family":"Groves","given":"Ryan A."},{"family":"Gallo","given":"Marco"},{"family":"Lewis","given":"Ian A."},{"family":"Geuking","given":"Markus B."},{"family":"McCoy","given":"Kathy D."}],"issued":{"date-parts":[["2020",9,18]]}}},{"id":919,"uris":["http://zotero.org/users/local/BxZnIjOg/items/ZUZ8ZRQI"],"itemData":{"id":919,"type":"article-journal","abstract":"BACKGROUND: Alcoholic liver disease (ALD) is exacerbated by disruptions in intestinal microecology and immune imbalances within the gut-liver axis. The present study assesses the therapeutic potential of combining Akkermansia muciniphila (A. muciniphila) with inosine in alleviating alcohol-induced liver injury.\nMETHODS: Male C57BL/6 mice, subjected to a Lieber-DeCarli diet with 5% alcohol for 4 weeks, served as the alcoholic liver injury model. Various analyzes, including quantitative reverse transcription polymerase chain reaction (qRT-PCR), ELISA, immunochemistry, 16S rRNA gene sequencing, and flow cytometry, were employed to evaluate liver injury parameters, intestinal barrier function, microbiota composition, and immune responses.\nRESULTS: Compared to the model group, the A. muciniphila and inosine groups exhibited significantly decreased alanine aminotransferase, aspartate aminotransferase, and lipopolysaccharide (LPS) levels, reduced hepatic fat deposition and neutrophil infiltration, alleviated oxidative stress and inflammation, and increased expression of intestinal tight junction proteins (Claudin-1, Occludin, and ZO-1). These effects were further pronounced in the A. muciniphila and inosine combination group compared to individual treatments. While alcohol feeding induced intestinal dysbiosis and gut barrier disruption, the combined treatment reduced the abundance of harmful bacteria (Oscillibacter, Escherichia/Shigella, and Alistipes) induced by alcohol consumption, promoting the growth of butyrate-producing bacteria (Akkermansia, Lactobacillus, and Clostridium IV). Flow cytometry revealed that alcohol consumption reduced T regulatory (Treg) populations while increasing those of T-helper (Th) 1 and Th17, which were restored by A. muciniphila combined with inosine treatment. Moreover, A. muciniphila and inosine combination increased the expression levels of intestinal CD39, CD73, and adenosine A2A receptor (A2AR) along with enhanced proportions of CD4+CD39+Treg and CD4+CD73+Treg cells in the liver and spleen. The A2AR antagonist KW6002, blocked the beneficial effects of the A. muciniphila and inosine combination on liver injury in ALD mice.\nCONCLUSION: This study reveals that the combination of A. muciniphila and inosine holds promise for ameliorating ALD by enhancing the gut ecosystem, improving intestinal barrier function, upregulating A2AR, CD73, and CD39 expression, modulating Treg cells functionality, and regulating the imbalance of Treg/Th17/Th1 cells, and these beneficial effects are partly A2AR-dependent.","container-title":"Frontiers in Microbiology","DOI":"10.3389/fmicb.2024.1355225","ISSN":"1664-302X","journalAbbreviation":"Front Microbiol","language":"eng","note":"PMID: 38572243\nPMCID: PMC10987824","page":"1355225","source":"PubMed","title":"Symbiotic combination of Akkermansia muciniphila and inosine alleviates alcohol-induced liver injury by modulating gut dysbiosis and immune responses","volume":"15","author":[{"family":"Wei","given":"Li"},{"family":"Pan","given":"Yizhi"},{"family":"Guo","given":"Yu"},{"family":"Zhu","given":"Yin"},{"family":"Jin","given":"Haoran"},{"family":"Gu","given":"Yingying"},{"family":"Li","given":"Chuanshuang"},{"family":"Wang","given":"Yaqin"},{"family":"Lin","given":"Jingjing"},{"family":"Chen","given":"Yongping"},{"family":"Ke","given":"Chunhai"},{"family":"Xu","given":"Lanman"}],"issued":{"date-parts":[["2024"]]}}}],"schema":"https://github.com/citation-style-language/schema/raw/master/csl-citation.json"} </w:instrText>
      </w:r>
      <w:r w:rsidRPr="009E5566">
        <w:rPr>
          <w:rFonts w:ascii="Times New Roman" w:hAnsi="Times New Roman" w:cs="Times New Roman"/>
          <w:sz w:val="24"/>
          <w:szCs w:val="24"/>
        </w:rPr>
        <w:fldChar w:fldCharType="separate"/>
      </w:r>
      <w:r w:rsidRPr="009E5566">
        <w:rPr>
          <w:rFonts w:ascii="Times New Roman" w:hAnsi="Times New Roman" w:cs="Times New Roman"/>
          <w:sz w:val="24"/>
          <w:szCs w:val="24"/>
        </w:rPr>
        <w:t>(Guo et al., 2023; Mager et al., 2020; Wei et al., 2024)</w:t>
      </w:r>
      <w:r w:rsidRPr="009E5566">
        <w:rPr>
          <w:rFonts w:ascii="Times New Roman" w:hAnsi="Times New Roman" w:cs="Times New Roman"/>
          <w:sz w:val="24"/>
          <w:szCs w:val="24"/>
        </w:rPr>
        <w:fldChar w:fldCharType="end"/>
      </w:r>
      <w:r w:rsidRPr="009E5566">
        <w:rPr>
          <w:rFonts w:ascii="Times New Roman" w:hAnsi="Times New Roman" w:cs="Times New Roman"/>
          <w:sz w:val="24"/>
          <w:szCs w:val="24"/>
        </w:rPr>
        <w:t>. The INO-H + SB431542 group additionally received intraperitoneal SB431542 (as above) on days 1, 3, 5, and 7. On the same schedule, the LOP, INO-L, and INO-H groups received PBS injections.</w:t>
      </w:r>
    </w:p>
    <w:p w14:paraId="31A9DA7B" w14:textId="5C9B3C26" w:rsidR="00CA5FEF" w:rsidRPr="009E5566" w:rsidRDefault="002C57C8" w:rsidP="00C36DB9">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t>In Animal Experiment 5</w:t>
      </w:r>
      <w:r w:rsidRPr="009E5566">
        <w:rPr>
          <w:rFonts w:ascii="Times New Roman" w:eastAsia="等线" w:hAnsi="Times New Roman" w:cs="Times New Roman" w:hint="eastAsia"/>
          <w:sz w:val="24"/>
          <w:szCs w:val="24"/>
          <w:lang w:eastAsia="zh-CN"/>
        </w:rPr>
        <w:t xml:space="preserve"> </w:t>
      </w:r>
      <w:r w:rsidRPr="009E5566">
        <w:rPr>
          <w:rFonts w:ascii="Times New Roman" w:eastAsia="等线" w:hAnsi="Times New Roman" w:cs="Times New Roman"/>
          <w:sz w:val="24"/>
          <w:szCs w:val="24"/>
          <w:lang w:eastAsia="zh-CN"/>
        </w:rPr>
        <w:t>(</w:t>
      </w:r>
      <w:r w:rsidRPr="009E5566">
        <w:rPr>
          <w:rFonts w:ascii="Times New Roman" w:hAnsi="Times New Roman" w:cs="Times New Roman"/>
          <w:sz w:val="24"/>
          <w:szCs w:val="24"/>
        </w:rPr>
        <w:t xml:space="preserve">Supplementary Fig. </w:t>
      </w:r>
      <w:r w:rsidR="00FF744A" w:rsidRPr="009E5566">
        <w:rPr>
          <w:rFonts w:ascii="Times New Roman" w:eastAsia="等线" w:hAnsi="Times New Roman" w:cs="Times New Roman" w:hint="eastAsia"/>
          <w:sz w:val="24"/>
          <w:szCs w:val="24"/>
          <w:lang w:eastAsia="zh-CN"/>
        </w:rPr>
        <w:t>4A</w:t>
      </w:r>
      <w:r w:rsidRPr="009E5566">
        <w:rPr>
          <w:rFonts w:ascii="Times New Roman" w:eastAsia="等线" w:hAnsi="Times New Roman" w:cs="Times New Roman"/>
          <w:sz w:val="24"/>
          <w:szCs w:val="24"/>
          <w:lang w:eastAsia="zh-CN"/>
        </w:rPr>
        <w:t>), mice were randomized into three groups</w:t>
      </w:r>
      <w:r w:rsidR="006A5481" w:rsidRPr="009E5566">
        <w:rPr>
          <w:rFonts w:ascii="Times New Roman" w:eastAsia="等线" w:hAnsi="Times New Roman" w:cs="Times New Roman" w:hint="eastAsia"/>
          <w:sz w:val="24"/>
          <w:szCs w:val="24"/>
          <w:lang w:eastAsia="zh-CN"/>
        </w:rPr>
        <w:t xml:space="preserve"> </w:t>
      </w:r>
      <w:r w:rsidR="006A5481" w:rsidRPr="009E5566">
        <w:rPr>
          <w:rFonts w:ascii="Times New Roman" w:hAnsi="Times New Roman"/>
          <w:kern w:val="0"/>
          <w:sz w:val="24"/>
          <w:szCs w:val="24"/>
        </w:rPr>
        <w:t>(</w:t>
      </w:r>
      <w:r w:rsidR="006A5481" w:rsidRPr="009E5566">
        <w:rPr>
          <w:rFonts w:ascii="Times New Roman" w:hAnsi="Times New Roman"/>
          <w:i/>
          <w:kern w:val="0"/>
          <w:sz w:val="24"/>
          <w:szCs w:val="24"/>
        </w:rPr>
        <w:t>n</w:t>
      </w:r>
      <w:r w:rsidR="006A5481" w:rsidRPr="009E5566">
        <w:rPr>
          <w:rFonts w:ascii="Times New Roman" w:hAnsi="Times New Roman"/>
          <w:kern w:val="0"/>
          <w:sz w:val="24"/>
          <w:szCs w:val="24"/>
        </w:rPr>
        <w:t>=</w:t>
      </w:r>
      <w:r w:rsidR="006A5481" w:rsidRPr="009E5566">
        <w:rPr>
          <w:rFonts w:ascii="Times New Roman" w:eastAsia="等线" w:hAnsi="Times New Roman" w:hint="eastAsia"/>
          <w:kern w:val="0"/>
          <w:sz w:val="24"/>
          <w:szCs w:val="24"/>
          <w:lang w:eastAsia="zh-CN"/>
        </w:rPr>
        <w:t>5</w:t>
      </w:r>
      <w:r w:rsidR="006A5481" w:rsidRPr="009E5566">
        <w:rPr>
          <w:rFonts w:ascii="Times New Roman" w:hAnsi="Times New Roman"/>
          <w:kern w:val="0"/>
          <w:sz w:val="24"/>
          <w:szCs w:val="24"/>
        </w:rPr>
        <w:t xml:space="preserve"> per group)</w:t>
      </w:r>
      <w:r w:rsidRPr="009E5566">
        <w:rPr>
          <w:rFonts w:ascii="Times New Roman" w:eastAsia="等线" w:hAnsi="Times New Roman" w:cs="Times New Roman"/>
          <w:sz w:val="24"/>
          <w:szCs w:val="24"/>
          <w:lang w:eastAsia="zh-CN"/>
        </w:rPr>
        <w:t>: LOP, INO-H, and INO-H + ZM241385 group. In parallel with the standard 2-week LOP protocol, the INO-H group received inosine (300 mg/kg/day by gavage), while the INO-H + ZM241385 group additionally received the selective A2A receptor antagonist ZM241385</w:t>
      </w:r>
      <w:r w:rsidRPr="009E5566">
        <w:rPr>
          <w:rFonts w:ascii="Times New Roman" w:hAnsi="Times New Roman" w:cs="Times New Roman"/>
          <w:sz w:val="24"/>
          <w:szCs w:val="24"/>
        </w:rPr>
        <w:t>(HY-19532</w:t>
      </w:r>
      <w:r w:rsidRPr="009E5566">
        <w:rPr>
          <w:rFonts w:ascii="Times New Roman" w:eastAsia="等线" w:hAnsi="Times New Roman" w:cs="Times New Roman"/>
          <w:sz w:val="24"/>
          <w:szCs w:val="24"/>
          <w:lang w:eastAsia="zh-CN"/>
        </w:rPr>
        <w:t>, MCE, China</w:t>
      </w:r>
      <w:r w:rsidRPr="009E5566">
        <w:rPr>
          <w:rFonts w:ascii="Times New Roman" w:hAnsi="Times New Roman" w:cs="Times New Roman"/>
          <w:sz w:val="24"/>
          <w:szCs w:val="24"/>
        </w:rPr>
        <w:t>)</w:t>
      </w:r>
      <w:r w:rsidRPr="009E5566">
        <w:rPr>
          <w:rFonts w:ascii="Times New Roman" w:eastAsia="等线" w:hAnsi="Times New Roman" w:cs="Times New Roman"/>
          <w:sz w:val="24"/>
          <w:szCs w:val="24"/>
          <w:lang w:eastAsia="zh-CN"/>
        </w:rPr>
        <w:t xml:space="preserve"> with 3 mg/kg/day, intraperitoneally </w:t>
      </w:r>
      <w:r w:rsidRPr="009E5566">
        <w:rPr>
          <w:rFonts w:ascii="Times New Roman" w:eastAsia="等线" w:hAnsi="Times New Roman" w:cs="Times New Roman"/>
          <w:sz w:val="24"/>
          <w:szCs w:val="24"/>
          <w:lang w:eastAsia="zh-CN"/>
        </w:rPr>
        <w:fldChar w:fldCharType="begin"/>
      </w:r>
      <w:r w:rsidRPr="009E5566">
        <w:rPr>
          <w:rFonts w:ascii="Times New Roman" w:eastAsia="等线" w:hAnsi="Times New Roman" w:cs="Times New Roman"/>
          <w:sz w:val="24"/>
          <w:szCs w:val="24"/>
          <w:lang w:eastAsia="zh-CN"/>
        </w:rPr>
        <w:instrText xml:space="preserve"> ADDIN ZOTERO_ITEM CSL_CITATION {"citationID":"oRnNecuh","properties":{"formattedCitation":"(Fathalla et al., 2016; Go\\uc0\\u322{}embiowska and Dziubina, 2012)","plainCitation":"(Fathalla et al., 2016; Gołembiowska and Dziubina, 2012)","noteIndex":0},"citationItems":[{"id":960,"uris":["http://zotero.org/users/local/BxZnIjOg/items/WLWUZJ7Z"],"itemData":{"id":960,"type":"article-journal","abstract":"Pharmacological studies implicate the blockade of adenosine receptorsas an effective strategy for reducing Parkinson's disease (PD) symptoms. The objective of this study is to elucidate the possible protective effects of ZM241385 and 8-cyclopentyl-1, 3-dipropylxanthine, two selective A2A and A1 receptor antagonists, on a rotenone rat model of PD. Rats were split into four groups: vehicle control (1 ml/kg/48 h), rotenone (1.5 mg/kg/48 h, s.c.), ZM241385 (3.3 mg/kg/day, i.p) and 8-cyclopentyl-1, 3-dipropylxanthine (5 mg/kg/day, i.p). After that, animals were subjected to behavioral (stride length and grid walking) and biochemical (measuring concentration of dopamine levels using high performance liquid chromatography, HPLC). In the rotenone group, rats displayed a reduced motor activity and disturbed movement coordination in the behavioral tests and a decreased dopamine concentration as foundby HPLC. The effect of rotenone was partially prevented in the ZM241385 group, but not with 8-cyclopentyl-1,3-dipropylxanthine administration. The administration of ZM241385 improved motor function and movement coordination (partial increase of stride length and partial decrease in the number of foot slips) and an increase in dopamine concentration in the rotenone-injected rats. However, the 8-cyclopentyl-1,3-dipropylxanthine and rotenone groups were not significantly different. These results indicate that selective A2A receptor blockade by ZM241385, but not A1 receptor blockadeby 8-cyclopentyl-1,3-dipropylxanthine, may treat PD motor symptoms. This reinforces the potential use of A2A receptor antagonists as a treatment strategy for PD patients.","container-title":"Frontiers in Behavioral Neuroscience","DOI":"10.3389/fnbeh.2016.00035","ISSN":"1662-5153","journalAbbreviation":"Front Behav Neurosci","language":"eng","note":"PMID: 26973484\nPMCID: PMC4770055","page":"35","source":"PubMed","title":"Adenosine A2A Receptor Blockade Prevents Rotenone-Induced Motor Impairment in a Rat Model of Parkinsonism","volume":"10","author":[{"family":"Fathalla","given":"Ahmed M."},{"family":"Soliman","given":"Amira M."},{"family":"Ali","given":"Mohamed H."},{"family":"Moustafa","given":"Ahmed A."}],"issued":{"date-parts":[["2016"]]}}},{"id":963,"uris":["http://zotero.org/users/local/BxZnIjOg/items/YDQBIHXN"],"itemData":{"id":963,"type":"article-journal","abstract":"A(2A) adenosine receptor antagonists have been proposed as a new therapy of PD. Since oxidative stress plays an important role in the pathogenesis of PD, we studied the effect of the selective A(2A) adenosine receptor antagonists 8-(-3-chlorostyryl)caffeine (CSC) and 4-(2-[7-amino-2-(2-furyl)[1,2,4]triazolo[2,3-a][1,3,5]triazin-5-ylamino]ethyl)phenol (ZM 241385) on hydroxyl radical generation, and glutamate (GLU) and dopamine (DA) extracellular level using a microdialysis in the striatum of 6-OHDA-treated rats. CSC (1 mg/kg) and ZM 241385 (3 mg/kg) given repeatedly for 14 days decreased the production of hydroxyl radical and extracellular GLU level, both enhanced by prior 6-OHDA treatment in dialysates from the rat striatum. CSC and ZM 241385 did not affect DA and its metabolites, 3,4-dihydroxyphenylacetic acid (DOPAC) and homovanilic acid (HVA) extracellular levels in the striatum of 6-OHDA-treated rats. L-DOPA (6 mg/kg) given twice daily for two weeks in the presence of benserazide (3 mg/kg) decreased striatal hydroxyl radical and glutamate extracellular level in 6-OHDA-treated rats. At the same time, L-DOPA slightly but significantly increased the extracellular levels of DOPAC and HVA. A combined repeated administration of L-DOPA and CSC or ZM 241385 did not change the effect of L-DOPA on hydroxyl radical production and glutamate extracellular level in spite of an enhancement of extracellular DA level by CSC and elevation of extracellular level of DOPAC and HVA by ZM 241385. The data suggest that the 6-OHDA-induced damage of nigrostriatal DA-terminals is related to oxidative stress and excessive release of glutamate. Administration of L-DOPA in combination with CSC or ZM 241385, by restoring striatal DA-glutamate balance, suppressed 6-OHDA-induced overproduction of hydroxyl radical.","container-title":"Neurotoxicity Research","DOI":"10.1007/s12640-011-9263-x","ISSN":"1476-3524","issue":"2","journalAbbreviation":"Neurotox Res","language":"eng","note":"PMID: 21830163\nPMCID: PMC3246585","page":"222-230","source":"PubMed","title":"Effect of adenosine A(2A) receptor antagonists and L-DOPA on hydroxyl radical, glutamate and dopamine in the striatum of 6-OHDA-treated rats","volume":"21","author":[{"family":"Gołembiowska","given":"Krystyna"},{"family":"Dziubina","given":"Anna"}],"issued":{"date-parts":[["2012",2]]}}}],"schema":"https://github.com/citation-style-language/schema/raw/master/csl-citation.json"} </w:instrText>
      </w:r>
      <w:r w:rsidRPr="009E5566">
        <w:rPr>
          <w:rFonts w:ascii="Times New Roman" w:eastAsia="等线" w:hAnsi="Times New Roman" w:cs="Times New Roman"/>
          <w:sz w:val="24"/>
          <w:szCs w:val="24"/>
          <w:lang w:eastAsia="zh-CN"/>
        </w:rPr>
        <w:fldChar w:fldCharType="separate"/>
      </w:r>
      <w:r w:rsidRPr="009E5566">
        <w:rPr>
          <w:rFonts w:ascii="Times New Roman" w:hAnsi="Times New Roman" w:cs="Times New Roman"/>
          <w:kern w:val="0"/>
          <w:sz w:val="24"/>
          <w:szCs w:val="24"/>
        </w:rPr>
        <w:t>(Fathalla et al., 2016; Gołembiowska and Dziubina, 2012)</w:t>
      </w:r>
      <w:r w:rsidRPr="009E5566">
        <w:rPr>
          <w:rFonts w:ascii="Times New Roman" w:eastAsia="等线" w:hAnsi="Times New Roman" w:cs="Times New Roman"/>
          <w:sz w:val="24"/>
          <w:szCs w:val="24"/>
          <w:lang w:eastAsia="zh-CN"/>
        </w:rPr>
        <w:fldChar w:fldCharType="end"/>
      </w:r>
      <w:r w:rsidRPr="009E5566">
        <w:rPr>
          <w:rFonts w:ascii="Times New Roman" w:eastAsia="等线" w:hAnsi="Times New Roman" w:cs="Times New Roman"/>
          <w:sz w:val="24"/>
          <w:szCs w:val="24"/>
          <w:lang w:eastAsia="zh-CN"/>
        </w:rPr>
        <w:t>.</w:t>
      </w:r>
      <w:r w:rsidRPr="009E5566">
        <w:rPr>
          <w:rFonts w:ascii="Times New Roman" w:hAnsi="Times New Roman" w:cs="Times New Roman"/>
          <w:sz w:val="24"/>
          <w:szCs w:val="24"/>
        </w:rPr>
        <w:t xml:space="preserve"> On the same schedule, the LOP, and INO-H groups received PBS injections.</w:t>
      </w:r>
    </w:p>
    <w:p w14:paraId="108B9568" w14:textId="43CD3FBE" w:rsidR="00C36DB9" w:rsidRPr="009E5566" w:rsidRDefault="00C36DB9" w:rsidP="00C36DB9">
      <w:pPr>
        <w:widowControl/>
        <w:spacing w:before="240" w:after="200" w:line="480" w:lineRule="auto"/>
        <w:ind w:left="567" w:hanging="567"/>
        <w:outlineLvl w:val="1"/>
        <w:rPr>
          <w:rFonts w:ascii="Times New Roman" w:eastAsia="Cambria" w:hAnsi="Times New Roman" w:cs="Times New Roman"/>
          <w:b/>
          <w:kern w:val="0"/>
          <w:sz w:val="24"/>
          <w:szCs w:val="24"/>
          <w:lang w:eastAsia="en-US"/>
        </w:rPr>
      </w:pPr>
      <w:r w:rsidRPr="009E5566">
        <w:rPr>
          <w:rFonts w:ascii="Times New Roman" w:eastAsia="Cambria" w:hAnsi="Times New Roman" w:cs="Times New Roman"/>
          <w:b/>
          <w:kern w:val="0"/>
          <w:sz w:val="24"/>
          <w:szCs w:val="24"/>
          <w:lang w:eastAsia="en-US"/>
        </w:rPr>
        <w:t>Gut microbiota analysis</w:t>
      </w:r>
    </w:p>
    <w:p w14:paraId="19313A05" w14:textId="1A382835" w:rsidR="00C36DB9" w:rsidRPr="009E5566" w:rsidRDefault="00C36DB9" w:rsidP="00C36DB9">
      <w:pPr>
        <w:spacing w:line="360" w:lineRule="auto"/>
        <w:rPr>
          <w:rFonts w:ascii="Times New Roman" w:eastAsia="等线" w:hAnsi="Times New Roman" w:cs="Times New Roman"/>
          <w:sz w:val="24"/>
          <w:szCs w:val="24"/>
          <w:lang w:eastAsia="zh-CN"/>
        </w:rPr>
      </w:pPr>
      <w:r w:rsidRPr="009E5566">
        <w:rPr>
          <w:rFonts w:ascii="Times New Roman" w:hAnsi="Times New Roman" w:cs="Times New Roman"/>
          <w:sz w:val="24"/>
          <w:szCs w:val="24"/>
        </w:rPr>
        <w:lastRenderedPageBreak/>
        <w:t xml:space="preserve">16S rRNA gene sequencing was conducted by the </w:t>
      </w:r>
      <w:proofErr w:type="spellStart"/>
      <w:r w:rsidRPr="009E5566">
        <w:rPr>
          <w:rFonts w:ascii="Times New Roman" w:hAnsi="Times New Roman" w:cs="Times New Roman"/>
          <w:sz w:val="24"/>
          <w:szCs w:val="24"/>
        </w:rPr>
        <w:t>Realbio</w:t>
      </w:r>
      <w:proofErr w:type="spellEnd"/>
      <w:r w:rsidRPr="009E5566">
        <w:rPr>
          <w:rFonts w:ascii="Times New Roman" w:hAnsi="Times New Roman" w:cs="Times New Roman"/>
          <w:sz w:val="24"/>
          <w:szCs w:val="24"/>
        </w:rPr>
        <w:t xml:space="preserve"> Genomics Institute (Shanghai, China). Total fecal genomic DNA was extracted from frozen stool samples from control and IFC patients. V3-V4 hypervariable region was amplified. PCR was performed, and products were collected and further sequenced by the Illumina HiSeq platform (Illumina, San Diego, CA, USA). Cluster high-quality reads into operational taxonomic units (OTUs) at 97% similarity and then analyze using QIIME.</w:t>
      </w:r>
    </w:p>
    <w:p w14:paraId="1BD33192" w14:textId="2A6A72C4" w:rsidR="001C7826" w:rsidRPr="009E5566" w:rsidRDefault="00C36DB9" w:rsidP="00C36DB9">
      <w:pPr>
        <w:widowControl/>
        <w:spacing w:before="240" w:after="200" w:line="480" w:lineRule="auto"/>
        <w:ind w:left="567" w:hanging="567"/>
        <w:outlineLvl w:val="1"/>
        <w:rPr>
          <w:rFonts w:ascii="Times New Roman" w:eastAsia="等线" w:hAnsi="Times New Roman" w:cs="Times New Roman"/>
          <w:b/>
          <w:kern w:val="0"/>
          <w:sz w:val="24"/>
          <w:szCs w:val="24"/>
          <w:lang w:eastAsia="zh-CN"/>
        </w:rPr>
      </w:pPr>
      <w:r w:rsidRPr="009E5566">
        <w:rPr>
          <w:rFonts w:ascii="Times New Roman" w:eastAsia="Cambria" w:hAnsi="Times New Roman" w:cs="Times New Roman"/>
          <w:b/>
          <w:kern w:val="0"/>
          <w:sz w:val="24"/>
          <w:szCs w:val="24"/>
          <w:lang w:eastAsia="en-US"/>
        </w:rPr>
        <w:t>DNA/RNA extraction and qPCR</w:t>
      </w:r>
    </w:p>
    <w:p w14:paraId="2B439738" w14:textId="4C0D79DA" w:rsidR="00AB0E5F" w:rsidRPr="009E5566" w:rsidRDefault="008142E2" w:rsidP="00C36DB9">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t>Fecal DNA was extracted using a commercial fecal DNA extraction kit, and 1 μL of the supernatant was used for PCR amplification. Specific primers targeting RI were designed as follows: Forward primer: 5’ -</w:t>
      </w:r>
      <w:r w:rsidRPr="009E5566">
        <w:rPr>
          <w:rFonts w:ascii="Times New Roman" w:hAnsi="Times New Roman" w:cs="Times New Roman"/>
          <w:sz w:val="24"/>
          <w:szCs w:val="24"/>
        </w:rPr>
        <w:t xml:space="preserve"> </w:t>
      </w:r>
      <w:r w:rsidRPr="009E5566">
        <w:rPr>
          <w:rFonts w:ascii="Times New Roman" w:eastAsia="等线" w:hAnsi="Times New Roman" w:cs="Times New Roman"/>
          <w:sz w:val="24"/>
          <w:szCs w:val="24"/>
          <w:lang w:eastAsia="zh-CN"/>
        </w:rPr>
        <w:t>GCGGTRCGGCAAGTCTGA -3’, and Reverse primer: 5’ -</w:t>
      </w:r>
      <w:r w:rsidRPr="009E5566">
        <w:rPr>
          <w:rFonts w:ascii="Times New Roman" w:hAnsi="Times New Roman" w:cs="Times New Roman"/>
          <w:sz w:val="24"/>
          <w:szCs w:val="24"/>
        </w:rPr>
        <w:t xml:space="preserve"> </w:t>
      </w:r>
      <w:r w:rsidRPr="009E5566">
        <w:rPr>
          <w:rFonts w:ascii="Times New Roman" w:eastAsia="等线" w:hAnsi="Times New Roman" w:cs="Times New Roman"/>
          <w:sz w:val="24"/>
          <w:szCs w:val="24"/>
          <w:lang w:eastAsia="zh-CN"/>
        </w:rPr>
        <w:t xml:space="preserve">CCTCCGACACTCTAGTMCGAC -3’. </w:t>
      </w:r>
      <w:r w:rsidR="000F4888" w:rsidRPr="009E5566">
        <w:rPr>
          <w:rFonts w:ascii="Times New Roman" w:eastAsia="等线" w:hAnsi="Times New Roman" w:cs="Times New Roman"/>
          <w:sz w:val="24"/>
          <w:szCs w:val="24"/>
          <w:lang w:eastAsia="zh-CN"/>
        </w:rPr>
        <w:t xml:space="preserve">Frozen colonic tissues of mice were homogenized in 1 mL </w:t>
      </w:r>
      <w:proofErr w:type="spellStart"/>
      <w:r w:rsidR="000F4888" w:rsidRPr="009E5566">
        <w:rPr>
          <w:rFonts w:ascii="Times New Roman" w:eastAsia="等线" w:hAnsi="Times New Roman" w:cs="Times New Roman"/>
          <w:sz w:val="24"/>
          <w:szCs w:val="24"/>
          <w:lang w:eastAsia="zh-CN"/>
        </w:rPr>
        <w:t>trizol</w:t>
      </w:r>
      <w:proofErr w:type="spellEnd"/>
      <w:r w:rsidR="000F4888" w:rsidRPr="009E5566">
        <w:rPr>
          <w:rFonts w:ascii="Times New Roman" w:eastAsia="等线" w:hAnsi="Times New Roman" w:cs="Times New Roman"/>
          <w:sz w:val="24"/>
          <w:szCs w:val="24"/>
          <w:lang w:eastAsia="zh-CN"/>
        </w:rPr>
        <w:t xml:space="preserve"> (</w:t>
      </w:r>
      <w:proofErr w:type="spellStart"/>
      <w:r w:rsidR="000F4888" w:rsidRPr="009E5566">
        <w:rPr>
          <w:rFonts w:ascii="Times New Roman" w:eastAsia="等线" w:hAnsi="Times New Roman" w:cs="Times New Roman"/>
          <w:sz w:val="24"/>
          <w:szCs w:val="24"/>
          <w:lang w:eastAsia="zh-CN"/>
        </w:rPr>
        <w:t>Vazyme</w:t>
      </w:r>
      <w:proofErr w:type="spellEnd"/>
      <w:r w:rsidR="000F4888" w:rsidRPr="009E5566">
        <w:rPr>
          <w:rFonts w:ascii="Times New Roman" w:eastAsia="等线" w:hAnsi="Times New Roman" w:cs="Times New Roman"/>
          <w:sz w:val="24"/>
          <w:szCs w:val="24"/>
          <w:lang w:eastAsia="zh-CN"/>
        </w:rPr>
        <w:t xml:space="preserve">, China), followed by addition of chloroform phase separation. After centrifugation (12,000 rpm, 15 minutes, 4°C), the aqueous phase was precipitated with isopropanol. The RNA pellet was washed with 75% DEPC-ethanol and air-dried at room temperature. </w:t>
      </w:r>
      <w:r w:rsidR="00AB0E5F" w:rsidRPr="009E5566">
        <w:rPr>
          <w:rFonts w:ascii="Times New Roman" w:eastAsia="等线" w:hAnsi="Times New Roman" w:cs="Times New Roman"/>
          <w:sz w:val="24"/>
          <w:szCs w:val="24"/>
          <w:lang w:eastAsia="zh-CN"/>
        </w:rPr>
        <w:t>Quantitative PCR analysis was performed using Universal SYBR Green Fast qPCR Mix (</w:t>
      </w:r>
      <w:proofErr w:type="spellStart"/>
      <w:r w:rsidR="00AB0E5F" w:rsidRPr="009E5566">
        <w:rPr>
          <w:rFonts w:ascii="Times New Roman" w:eastAsia="等线" w:hAnsi="Times New Roman" w:cs="Times New Roman"/>
          <w:sz w:val="24"/>
          <w:szCs w:val="24"/>
          <w:lang w:eastAsia="zh-CN"/>
        </w:rPr>
        <w:t>ABclonal</w:t>
      </w:r>
      <w:proofErr w:type="spellEnd"/>
      <w:r w:rsidR="00AB0E5F" w:rsidRPr="009E5566">
        <w:rPr>
          <w:rFonts w:ascii="Times New Roman" w:eastAsia="等线" w:hAnsi="Times New Roman" w:cs="Times New Roman"/>
          <w:sz w:val="24"/>
          <w:szCs w:val="24"/>
          <w:lang w:eastAsia="zh-CN"/>
        </w:rPr>
        <w:t>, Hong Kong, China, RK21203), and the results were calculated with 2</w:t>
      </w:r>
      <w:r w:rsidR="00AB0E5F" w:rsidRPr="009E5566">
        <w:rPr>
          <w:rFonts w:ascii="Times New Roman" w:eastAsia="等线" w:hAnsi="Times New Roman" w:cs="Times New Roman"/>
          <w:sz w:val="24"/>
          <w:szCs w:val="24"/>
          <w:vertAlign w:val="superscript"/>
          <w:lang w:eastAsia="zh-CN"/>
        </w:rPr>
        <w:t>(</w:t>
      </w:r>
      <w:r w:rsidR="00AB0E5F" w:rsidRPr="009E5566">
        <w:rPr>
          <w:rFonts w:ascii="Times New Roman" w:eastAsia="等线" w:hAnsi="Times New Roman" w:cs="Times New Roman"/>
          <w:i/>
          <w:iCs/>
          <w:sz w:val="24"/>
          <w:szCs w:val="24"/>
          <w:vertAlign w:val="superscript"/>
          <w:lang w:eastAsia="zh-CN"/>
        </w:rPr>
        <w:t>−</w:t>
      </w:r>
      <w:r w:rsidR="00AB0E5F" w:rsidRPr="009E5566">
        <w:rPr>
          <w:rFonts w:ascii="Times New Roman" w:eastAsia="等线" w:hAnsi="Times New Roman" w:cs="Times New Roman"/>
          <w:sz w:val="24"/>
          <w:szCs w:val="24"/>
          <w:vertAlign w:val="superscript"/>
          <w:lang w:eastAsia="zh-CN"/>
        </w:rPr>
        <w:t>∆∆Ct)</w:t>
      </w:r>
      <w:r w:rsidRPr="009E5566">
        <w:rPr>
          <w:rFonts w:ascii="Times New Roman" w:eastAsia="等线" w:hAnsi="Times New Roman" w:cs="Times New Roman"/>
          <w:sz w:val="24"/>
          <w:szCs w:val="24"/>
          <w:lang w:eastAsia="zh-CN"/>
        </w:rPr>
        <w:t xml:space="preserve"> </w:t>
      </w:r>
      <w:r w:rsidR="00AB0E5F" w:rsidRPr="009E5566">
        <w:rPr>
          <w:rFonts w:ascii="Times New Roman" w:eastAsia="等线" w:hAnsi="Times New Roman" w:cs="Times New Roman"/>
          <w:sz w:val="24"/>
          <w:szCs w:val="24"/>
          <w:lang w:eastAsia="zh-CN"/>
        </w:rPr>
        <w:t xml:space="preserve">method with the GADPH serving as the internal control reference. </w:t>
      </w:r>
      <w:r w:rsidR="002010FB" w:rsidRPr="009E5566">
        <w:rPr>
          <w:rFonts w:ascii="Times New Roman" w:eastAsia="等线" w:hAnsi="Times New Roman" w:cs="Times New Roman"/>
          <w:sz w:val="24"/>
          <w:szCs w:val="24"/>
          <w:lang w:eastAsia="zh-CN"/>
        </w:rPr>
        <w:t>The primer sequences are listed below:</w:t>
      </w: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6300"/>
      </w:tblGrid>
      <w:tr w:rsidR="009E5566" w:rsidRPr="009E5566" w14:paraId="238EB66B" w14:textId="77777777" w:rsidTr="002010FB">
        <w:trPr>
          <w:trHeight w:val="315"/>
          <w:jc w:val="center"/>
        </w:trPr>
        <w:tc>
          <w:tcPr>
            <w:tcW w:w="1680" w:type="dxa"/>
            <w:noWrap/>
            <w:vAlign w:val="center"/>
            <w:hideMark/>
          </w:tcPr>
          <w:p w14:paraId="3F3AB673" w14:textId="05A5D6BE"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m-TGFβ1-F</w:t>
            </w:r>
          </w:p>
        </w:tc>
        <w:tc>
          <w:tcPr>
            <w:tcW w:w="6300" w:type="dxa"/>
            <w:noWrap/>
            <w:vAlign w:val="center"/>
            <w:hideMark/>
          </w:tcPr>
          <w:p w14:paraId="4A763A23"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TGATACGCCTGAGTGGCTGTCT</w:t>
            </w:r>
          </w:p>
        </w:tc>
      </w:tr>
      <w:tr w:rsidR="009E5566" w:rsidRPr="009E5566" w14:paraId="0871C01E" w14:textId="77777777" w:rsidTr="002010FB">
        <w:trPr>
          <w:trHeight w:val="315"/>
          <w:jc w:val="center"/>
        </w:trPr>
        <w:tc>
          <w:tcPr>
            <w:tcW w:w="1680" w:type="dxa"/>
            <w:noWrap/>
            <w:vAlign w:val="center"/>
            <w:hideMark/>
          </w:tcPr>
          <w:p w14:paraId="34F8EF54" w14:textId="01B28004"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 TGFβ1-R</w:t>
            </w:r>
          </w:p>
        </w:tc>
        <w:tc>
          <w:tcPr>
            <w:tcW w:w="6300" w:type="dxa"/>
            <w:noWrap/>
            <w:vAlign w:val="center"/>
            <w:hideMark/>
          </w:tcPr>
          <w:p w14:paraId="4D0235CB"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CACAAGAGCAGTGAGCGCTGAA</w:t>
            </w:r>
          </w:p>
        </w:tc>
      </w:tr>
      <w:tr w:rsidR="009E5566" w:rsidRPr="009E5566" w14:paraId="0460B02E" w14:textId="77777777" w:rsidTr="002010FB">
        <w:trPr>
          <w:trHeight w:val="315"/>
          <w:jc w:val="center"/>
        </w:trPr>
        <w:tc>
          <w:tcPr>
            <w:tcW w:w="1680" w:type="dxa"/>
            <w:noWrap/>
            <w:vAlign w:val="center"/>
            <w:hideMark/>
          </w:tcPr>
          <w:p w14:paraId="0EE3EFAE" w14:textId="29468F6D"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m-TGFβ2-F</w:t>
            </w:r>
          </w:p>
        </w:tc>
        <w:tc>
          <w:tcPr>
            <w:tcW w:w="6300" w:type="dxa"/>
            <w:noWrap/>
            <w:vAlign w:val="center"/>
            <w:hideMark/>
          </w:tcPr>
          <w:p w14:paraId="596EA334"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TTGTTGCCCTCCTACAGACTGG</w:t>
            </w:r>
          </w:p>
        </w:tc>
      </w:tr>
      <w:tr w:rsidR="009E5566" w:rsidRPr="009E5566" w14:paraId="6C3A5E1F" w14:textId="77777777" w:rsidTr="002010FB">
        <w:trPr>
          <w:trHeight w:val="315"/>
          <w:jc w:val="center"/>
        </w:trPr>
        <w:tc>
          <w:tcPr>
            <w:tcW w:w="1680" w:type="dxa"/>
            <w:noWrap/>
            <w:vAlign w:val="center"/>
            <w:hideMark/>
          </w:tcPr>
          <w:p w14:paraId="0C5385CB" w14:textId="76ABA265"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m-TGFβ2-R</w:t>
            </w:r>
          </w:p>
        </w:tc>
        <w:tc>
          <w:tcPr>
            <w:tcW w:w="6300" w:type="dxa"/>
            <w:noWrap/>
            <w:vAlign w:val="center"/>
            <w:hideMark/>
          </w:tcPr>
          <w:p w14:paraId="7B406F3F"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GTAAAGAGGGCGAAGGCAGCAA</w:t>
            </w:r>
          </w:p>
        </w:tc>
      </w:tr>
      <w:tr w:rsidR="009E5566" w:rsidRPr="009E5566" w14:paraId="020F1D45" w14:textId="77777777" w:rsidTr="002010FB">
        <w:trPr>
          <w:trHeight w:val="315"/>
          <w:jc w:val="center"/>
        </w:trPr>
        <w:tc>
          <w:tcPr>
            <w:tcW w:w="1680" w:type="dxa"/>
            <w:noWrap/>
            <w:vAlign w:val="center"/>
            <w:hideMark/>
          </w:tcPr>
          <w:p w14:paraId="1639C207" w14:textId="6422DFAD"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m-TGFβ3-F</w:t>
            </w:r>
          </w:p>
        </w:tc>
        <w:tc>
          <w:tcPr>
            <w:tcW w:w="6300" w:type="dxa"/>
            <w:noWrap/>
            <w:vAlign w:val="center"/>
            <w:hideMark/>
          </w:tcPr>
          <w:p w14:paraId="40D53646"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AAGCAGCGCTACATAGGTGGCA</w:t>
            </w:r>
          </w:p>
        </w:tc>
      </w:tr>
      <w:tr w:rsidR="009E5566" w:rsidRPr="009E5566" w14:paraId="59C7B34F" w14:textId="77777777" w:rsidTr="002010FB">
        <w:trPr>
          <w:trHeight w:val="315"/>
          <w:jc w:val="center"/>
        </w:trPr>
        <w:tc>
          <w:tcPr>
            <w:tcW w:w="1680" w:type="dxa"/>
            <w:noWrap/>
            <w:vAlign w:val="center"/>
            <w:hideMark/>
          </w:tcPr>
          <w:p w14:paraId="18E29B90" w14:textId="7B7C75E3"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m-TGFβ3-R</w:t>
            </w:r>
          </w:p>
        </w:tc>
        <w:tc>
          <w:tcPr>
            <w:tcW w:w="6300" w:type="dxa"/>
            <w:noWrap/>
            <w:vAlign w:val="center"/>
            <w:hideMark/>
          </w:tcPr>
          <w:p w14:paraId="48769F55"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GGCTGAAAGGTGTGACATGGAC</w:t>
            </w:r>
          </w:p>
        </w:tc>
      </w:tr>
      <w:tr w:rsidR="009E5566" w:rsidRPr="009E5566" w14:paraId="2C0AD2F4" w14:textId="77777777" w:rsidTr="002010FB">
        <w:trPr>
          <w:trHeight w:val="315"/>
          <w:jc w:val="center"/>
        </w:trPr>
        <w:tc>
          <w:tcPr>
            <w:tcW w:w="1680" w:type="dxa"/>
            <w:noWrap/>
            <w:vAlign w:val="center"/>
            <w:hideMark/>
          </w:tcPr>
          <w:p w14:paraId="521F86C4"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m-GAPDH-F</w:t>
            </w:r>
          </w:p>
        </w:tc>
        <w:tc>
          <w:tcPr>
            <w:tcW w:w="6300" w:type="dxa"/>
            <w:noWrap/>
            <w:vAlign w:val="center"/>
            <w:hideMark/>
          </w:tcPr>
          <w:p w14:paraId="1E81DDFB" w14:textId="77777777" w:rsidR="002010FB" w:rsidRPr="009E5566" w:rsidRDefault="002010FB" w:rsidP="008142E2">
            <w:pPr>
              <w:widowControl/>
              <w:jc w:val="left"/>
              <w:rPr>
                <w:rFonts w:ascii="Times New Roman" w:eastAsia="宋体" w:hAnsi="Times New Roman" w:cs="Times New Roman"/>
                <w:kern w:val="0"/>
                <w:sz w:val="24"/>
                <w:szCs w:val="24"/>
                <w:lang w:eastAsia="zh-CN"/>
              </w:rPr>
            </w:pPr>
            <w:bookmarkStart w:id="9" w:name="RANGE!C18"/>
            <w:r w:rsidRPr="009E5566">
              <w:rPr>
                <w:rFonts w:ascii="Times New Roman" w:eastAsia="宋体" w:hAnsi="Times New Roman" w:cs="Times New Roman"/>
                <w:kern w:val="0"/>
                <w:sz w:val="24"/>
                <w:szCs w:val="24"/>
                <w:lang w:eastAsia="zh-CN"/>
              </w:rPr>
              <w:t>GGAGAAACCTGCCAAGTATG</w:t>
            </w:r>
            <w:bookmarkEnd w:id="9"/>
          </w:p>
        </w:tc>
      </w:tr>
      <w:tr w:rsidR="009E5566" w:rsidRPr="009E5566" w14:paraId="1A8E0285" w14:textId="77777777" w:rsidTr="002010FB">
        <w:trPr>
          <w:trHeight w:val="315"/>
          <w:jc w:val="center"/>
        </w:trPr>
        <w:tc>
          <w:tcPr>
            <w:tcW w:w="1680" w:type="dxa"/>
            <w:noWrap/>
            <w:vAlign w:val="center"/>
            <w:hideMark/>
          </w:tcPr>
          <w:p w14:paraId="364BB7A1"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lastRenderedPageBreak/>
              <w:t>m-GAPDH-R</w:t>
            </w:r>
          </w:p>
        </w:tc>
        <w:tc>
          <w:tcPr>
            <w:tcW w:w="6300" w:type="dxa"/>
            <w:noWrap/>
            <w:vAlign w:val="center"/>
            <w:hideMark/>
          </w:tcPr>
          <w:p w14:paraId="11D05EED" w14:textId="77777777"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TGGGAGTTGCTGTTGAAGTC</w:t>
            </w:r>
          </w:p>
        </w:tc>
      </w:tr>
      <w:tr w:rsidR="009E5566" w:rsidRPr="009E5566" w14:paraId="5EA50592" w14:textId="77777777" w:rsidTr="002010FB">
        <w:trPr>
          <w:trHeight w:val="315"/>
          <w:jc w:val="center"/>
        </w:trPr>
        <w:tc>
          <w:tcPr>
            <w:tcW w:w="1680" w:type="dxa"/>
            <w:noWrap/>
            <w:vAlign w:val="center"/>
          </w:tcPr>
          <w:p w14:paraId="2F7F7604" w14:textId="27F640B2"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m-TAGLN-R</w:t>
            </w:r>
          </w:p>
        </w:tc>
        <w:tc>
          <w:tcPr>
            <w:tcW w:w="6300" w:type="dxa"/>
            <w:noWrap/>
            <w:vAlign w:val="center"/>
          </w:tcPr>
          <w:p w14:paraId="47DF52CA" w14:textId="6ECDDE89" w:rsidR="002010FB" w:rsidRPr="009E5566" w:rsidRDefault="002010FB" w:rsidP="008142E2">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GCAGATGGAACAGGTGGCTCAA</w:t>
            </w:r>
          </w:p>
        </w:tc>
      </w:tr>
      <w:tr w:rsidR="009E5566" w:rsidRPr="009E5566" w14:paraId="1A245B9C" w14:textId="77777777" w:rsidTr="002010FB">
        <w:trPr>
          <w:trHeight w:val="315"/>
          <w:jc w:val="center"/>
        </w:trPr>
        <w:tc>
          <w:tcPr>
            <w:tcW w:w="1680" w:type="dxa"/>
            <w:noWrap/>
            <w:vAlign w:val="center"/>
          </w:tcPr>
          <w:p w14:paraId="4047CB88" w14:textId="2A3DE27B" w:rsidR="002010FB" w:rsidRPr="009E5566" w:rsidRDefault="002010FB" w:rsidP="002010FB">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m-TAGLN-F</w:t>
            </w:r>
          </w:p>
        </w:tc>
        <w:tc>
          <w:tcPr>
            <w:tcW w:w="6300" w:type="dxa"/>
            <w:noWrap/>
            <w:vAlign w:val="center"/>
          </w:tcPr>
          <w:p w14:paraId="1D5800EB" w14:textId="3A7C67D6" w:rsidR="002010FB" w:rsidRPr="009E5566" w:rsidRDefault="002010FB" w:rsidP="002010FB">
            <w:pPr>
              <w:widowControl/>
              <w:jc w:val="left"/>
              <w:rPr>
                <w:rFonts w:ascii="Times New Roman" w:eastAsia="宋体" w:hAnsi="Times New Roman" w:cs="Times New Roman"/>
                <w:kern w:val="0"/>
                <w:sz w:val="24"/>
                <w:szCs w:val="24"/>
                <w:lang w:eastAsia="zh-CN"/>
              </w:rPr>
            </w:pPr>
            <w:r w:rsidRPr="009E5566">
              <w:rPr>
                <w:rFonts w:ascii="Times New Roman" w:eastAsia="宋体" w:hAnsi="Times New Roman" w:cs="Times New Roman"/>
                <w:kern w:val="0"/>
                <w:sz w:val="24"/>
                <w:szCs w:val="24"/>
                <w:lang w:eastAsia="zh-CN"/>
              </w:rPr>
              <w:t>CCCAAAGCCATTAGAGTCCTCTG</w:t>
            </w:r>
          </w:p>
        </w:tc>
      </w:tr>
    </w:tbl>
    <w:p w14:paraId="5B4C2C24" w14:textId="5E524C4F" w:rsidR="002010FB" w:rsidRPr="009E5566" w:rsidRDefault="002010FB" w:rsidP="002010FB">
      <w:pPr>
        <w:widowControl/>
        <w:spacing w:before="240" w:after="200" w:line="480" w:lineRule="auto"/>
        <w:ind w:left="567" w:hanging="567"/>
        <w:outlineLvl w:val="1"/>
        <w:rPr>
          <w:rFonts w:ascii="Times New Roman" w:eastAsia="等线" w:hAnsi="Times New Roman" w:cs="Times New Roman"/>
          <w:b/>
          <w:kern w:val="0"/>
          <w:sz w:val="24"/>
          <w:szCs w:val="24"/>
          <w:lang w:eastAsia="zh-CN"/>
        </w:rPr>
      </w:pPr>
      <w:r w:rsidRPr="009E5566">
        <w:rPr>
          <w:rFonts w:ascii="Times New Roman" w:eastAsia="Cambria" w:hAnsi="Times New Roman" w:cs="Times New Roman"/>
          <w:b/>
          <w:kern w:val="0"/>
          <w:sz w:val="24"/>
          <w:szCs w:val="24"/>
          <w:lang w:eastAsia="en-US"/>
        </w:rPr>
        <w:t>Bulk RNA sequencing</w:t>
      </w:r>
    </w:p>
    <w:p w14:paraId="07245152" w14:textId="2923F12A" w:rsidR="000F4888" w:rsidRPr="009E5566" w:rsidRDefault="000F4888" w:rsidP="002010FB">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t xml:space="preserve">1.5 </w:t>
      </w:r>
      <w:proofErr w:type="spellStart"/>
      <w:r w:rsidRPr="009E5566">
        <w:rPr>
          <w:rFonts w:ascii="Times New Roman" w:eastAsia="等线" w:hAnsi="Times New Roman" w:cs="Times New Roman"/>
          <w:sz w:val="24"/>
          <w:szCs w:val="24"/>
          <w:lang w:eastAsia="zh-CN"/>
        </w:rPr>
        <w:t>μg</w:t>
      </w:r>
      <w:proofErr w:type="spellEnd"/>
      <w:r w:rsidRPr="009E5566">
        <w:rPr>
          <w:rFonts w:ascii="Times New Roman" w:eastAsia="等线" w:hAnsi="Times New Roman" w:cs="Times New Roman"/>
          <w:sz w:val="24"/>
          <w:szCs w:val="24"/>
          <w:lang w:eastAsia="zh-CN"/>
        </w:rPr>
        <w:t xml:space="preserve"> of RNA </w:t>
      </w:r>
      <w:r w:rsidR="00817E0C" w:rsidRPr="009E5566">
        <w:rPr>
          <w:rFonts w:ascii="Times New Roman" w:eastAsia="等线" w:hAnsi="Times New Roman" w:cs="Times New Roman"/>
          <w:sz w:val="24"/>
          <w:szCs w:val="24"/>
          <w:lang w:eastAsia="zh-CN"/>
        </w:rPr>
        <w:t xml:space="preserve">of colonic tissues from loperamide-treated mice with or without RI gavage (n = 3 per group) </w:t>
      </w:r>
      <w:r w:rsidRPr="009E5566">
        <w:rPr>
          <w:rFonts w:ascii="Times New Roman" w:eastAsia="等线" w:hAnsi="Times New Roman" w:cs="Times New Roman"/>
          <w:sz w:val="24"/>
          <w:szCs w:val="24"/>
          <w:lang w:eastAsia="zh-CN"/>
        </w:rPr>
        <w:t xml:space="preserve">were sent to </w:t>
      </w:r>
      <w:r w:rsidR="00817E0C" w:rsidRPr="009E5566">
        <w:rPr>
          <w:rFonts w:ascii="Times New Roman" w:eastAsia="等线" w:hAnsi="Times New Roman" w:cs="Times New Roman"/>
          <w:sz w:val="24"/>
          <w:szCs w:val="24"/>
          <w:lang w:eastAsia="zh-CN"/>
        </w:rPr>
        <w:t>Shanghai Personal Biotechnology</w:t>
      </w:r>
      <w:r w:rsidRPr="009E5566">
        <w:rPr>
          <w:rFonts w:ascii="Times New Roman" w:eastAsia="等线" w:hAnsi="Times New Roman" w:cs="Times New Roman"/>
          <w:sz w:val="24"/>
          <w:szCs w:val="24"/>
          <w:lang w:eastAsia="zh-CN"/>
        </w:rPr>
        <w:t xml:space="preserve"> Co., Ltd.</w:t>
      </w:r>
      <w:r w:rsidR="00817E0C" w:rsidRPr="009E5566">
        <w:rPr>
          <w:rFonts w:ascii="Times New Roman" w:eastAsia="等线" w:hAnsi="Times New Roman" w:cs="Times New Roman"/>
          <w:sz w:val="24"/>
          <w:szCs w:val="24"/>
          <w:lang w:eastAsia="zh-CN"/>
        </w:rPr>
        <w:t>, China</w:t>
      </w:r>
      <w:r w:rsidRPr="009E5566">
        <w:rPr>
          <w:rFonts w:ascii="Times New Roman" w:eastAsia="等线" w:hAnsi="Times New Roman" w:cs="Times New Roman"/>
          <w:sz w:val="24"/>
          <w:szCs w:val="24"/>
          <w:lang w:eastAsia="zh-CN"/>
        </w:rPr>
        <w:t xml:space="preserve"> for library preparation and sequencing. mRNA was enriched using Oligo(dT)-attached magnetic beads, followed by fragmentation of the mRNA using fragmentation buffer. Random hexamer primers were used for reverse transcription to synthesize the first-strand cDNA. After second-strand synthesis using buffer, dNTPs, and DNA polymerase I, the cDNA was purified using </w:t>
      </w:r>
      <w:proofErr w:type="spellStart"/>
      <w:r w:rsidRPr="009E5566">
        <w:rPr>
          <w:rFonts w:ascii="Times New Roman" w:eastAsia="等线" w:hAnsi="Times New Roman" w:cs="Times New Roman"/>
          <w:sz w:val="24"/>
          <w:szCs w:val="24"/>
          <w:lang w:eastAsia="zh-CN"/>
        </w:rPr>
        <w:t>AMPure</w:t>
      </w:r>
      <w:proofErr w:type="spellEnd"/>
      <w:r w:rsidRPr="009E5566">
        <w:rPr>
          <w:rFonts w:ascii="Times New Roman" w:eastAsia="等线" w:hAnsi="Times New Roman" w:cs="Times New Roman"/>
          <w:sz w:val="24"/>
          <w:szCs w:val="24"/>
          <w:lang w:eastAsia="zh-CN"/>
        </w:rPr>
        <w:t xml:space="preserve"> XP beads. The purified double-stranded cDNA was subjected to end repair, A-tailing, and adapter ligation. Size selection (200-250 bp) was performed using </w:t>
      </w:r>
      <w:proofErr w:type="spellStart"/>
      <w:r w:rsidRPr="009E5566">
        <w:rPr>
          <w:rFonts w:ascii="Times New Roman" w:eastAsia="等线" w:hAnsi="Times New Roman" w:cs="Times New Roman"/>
          <w:sz w:val="24"/>
          <w:szCs w:val="24"/>
          <w:lang w:eastAsia="zh-CN"/>
        </w:rPr>
        <w:t>AMPure</w:t>
      </w:r>
      <w:proofErr w:type="spellEnd"/>
      <w:r w:rsidRPr="009E5566">
        <w:rPr>
          <w:rFonts w:ascii="Times New Roman" w:eastAsia="等线" w:hAnsi="Times New Roman" w:cs="Times New Roman"/>
          <w:sz w:val="24"/>
          <w:szCs w:val="24"/>
          <w:lang w:eastAsia="zh-CN"/>
        </w:rPr>
        <w:t xml:space="preserve"> XP beads, followed by PCR amplification to construct the cDNA library. The library was validated for quality and quantified before pooling for sequencing. Sequencing was performed on the Illumina </w:t>
      </w:r>
      <w:proofErr w:type="spellStart"/>
      <w:r w:rsidRPr="009E5566">
        <w:rPr>
          <w:rFonts w:ascii="Times New Roman" w:eastAsia="等线" w:hAnsi="Times New Roman" w:cs="Times New Roman"/>
          <w:sz w:val="24"/>
          <w:szCs w:val="24"/>
          <w:lang w:eastAsia="zh-CN"/>
        </w:rPr>
        <w:t>NovaSeq</w:t>
      </w:r>
      <w:proofErr w:type="spellEnd"/>
      <w:r w:rsidRPr="009E5566">
        <w:rPr>
          <w:rFonts w:ascii="Times New Roman" w:eastAsia="等线" w:hAnsi="Times New Roman" w:cs="Times New Roman"/>
          <w:sz w:val="24"/>
          <w:szCs w:val="24"/>
          <w:lang w:eastAsia="zh-CN"/>
        </w:rPr>
        <w:t xml:space="preserve"> 6000 platform with a PE150 sequencing strategy (Illumina, San Diego, USA). Raw sequencing data were filtered using in-house Perl scripts and </w:t>
      </w:r>
      <w:proofErr w:type="spellStart"/>
      <w:r w:rsidRPr="009E5566">
        <w:rPr>
          <w:rFonts w:ascii="Times New Roman" w:eastAsia="等线" w:hAnsi="Times New Roman" w:cs="Times New Roman"/>
          <w:sz w:val="24"/>
          <w:szCs w:val="24"/>
          <w:lang w:eastAsia="zh-CN"/>
        </w:rPr>
        <w:t>Trimmomatic</w:t>
      </w:r>
      <w:proofErr w:type="spellEnd"/>
      <w:r w:rsidRPr="009E5566">
        <w:rPr>
          <w:rFonts w:ascii="Times New Roman" w:eastAsia="等线" w:hAnsi="Times New Roman" w:cs="Times New Roman"/>
          <w:sz w:val="24"/>
          <w:szCs w:val="24"/>
          <w:lang w:eastAsia="zh-CN"/>
        </w:rPr>
        <w:t xml:space="preserve"> software (v0.33) to remove adapter sequences, reads with &gt;10% N bases, and low-quality reads (Q ≤ 20 for more than 50% of bases). Clean data were used for SNP and </w:t>
      </w:r>
      <w:proofErr w:type="spellStart"/>
      <w:r w:rsidRPr="009E5566">
        <w:rPr>
          <w:rFonts w:ascii="Times New Roman" w:eastAsia="等线" w:hAnsi="Times New Roman" w:cs="Times New Roman"/>
          <w:sz w:val="24"/>
          <w:szCs w:val="24"/>
          <w:lang w:eastAsia="zh-CN"/>
        </w:rPr>
        <w:t>InDel</w:t>
      </w:r>
      <w:proofErr w:type="spellEnd"/>
      <w:r w:rsidRPr="009E5566">
        <w:rPr>
          <w:rFonts w:ascii="Times New Roman" w:eastAsia="等线" w:hAnsi="Times New Roman" w:cs="Times New Roman"/>
          <w:sz w:val="24"/>
          <w:szCs w:val="24"/>
          <w:lang w:eastAsia="zh-CN"/>
        </w:rPr>
        <w:t xml:space="preserve"> analysis, with results processed using Picard-tools (v1.96) or </w:t>
      </w:r>
      <w:proofErr w:type="spellStart"/>
      <w:r w:rsidRPr="009E5566">
        <w:rPr>
          <w:rFonts w:ascii="Times New Roman" w:eastAsia="等线" w:hAnsi="Times New Roman" w:cs="Times New Roman"/>
          <w:sz w:val="24"/>
          <w:szCs w:val="24"/>
          <w:lang w:eastAsia="zh-CN"/>
        </w:rPr>
        <w:t>samtools</w:t>
      </w:r>
      <w:proofErr w:type="spellEnd"/>
      <w:r w:rsidRPr="009E5566">
        <w:rPr>
          <w:rFonts w:ascii="Times New Roman" w:eastAsia="等线" w:hAnsi="Times New Roman" w:cs="Times New Roman"/>
          <w:sz w:val="24"/>
          <w:szCs w:val="24"/>
          <w:lang w:eastAsia="zh-CN"/>
        </w:rPr>
        <w:t xml:space="preserve"> (v0.1.18), followed by variant calling with GATK. Gene and transcript alignment to the reference genome was performed with HISAT2, and transcript assembly was done using </w:t>
      </w:r>
      <w:proofErr w:type="spellStart"/>
      <w:r w:rsidRPr="009E5566">
        <w:rPr>
          <w:rFonts w:ascii="Times New Roman" w:eastAsia="等线" w:hAnsi="Times New Roman" w:cs="Times New Roman"/>
          <w:sz w:val="24"/>
          <w:szCs w:val="24"/>
          <w:lang w:eastAsia="zh-CN"/>
        </w:rPr>
        <w:t>StringTie</w:t>
      </w:r>
      <w:proofErr w:type="spellEnd"/>
      <w:r w:rsidRPr="009E5566">
        <w:rPr>
          <w:rFonts w:ascii="Times New Roman" w:eastAsia="等线" w:hAnsi="Times New Roman" w:cs="Times New Roman"/>
          <w:sz w:val="24"/>
          <w:szCs w:val="24"/>
          <w:lang w:eastAsia="zh-CN"/>
        </w:rPr>
        <w:t xml:space="preserve">. Final assembly annotations were obtained by comparing the results with the reference annotation using </w:t>
      </w:r>
      <w:proofErr w:type="spellStart"/>
      <w:r w:rsidRPr="009E5566">
        <w:rPr>
          <w:rFonts w:ascii="Times New Roman" w:eastAsia="等线" w:hAnsi="Times New Roman" w:cs="Times New Roman"/>
          <w:sz w:val="24"/>
          <w:szCs w:val="24"/>
          <w:lang w:eastAsia="zh-CN"/>
        </w:rPr>
        <w:t>gffcompare</w:t>
      </w:r>
      <w:proofErr w:type="spellEnd"/>
      <w:r w:rsidRPr="009E5566">
        <w:rPr>
          <w:rFonts w:ascii="Times New Roman" w:eastAsia="等线" w:hAnsi="Times New Roman" w:cs="Times New Roman"/>
          <w:sz w:val="24"/>
          <w:szCs w:val="24"/>
          <w:lang w:eastAsia="zh-CN"/>
        </w:rPr>
        <w:t xml:space="preserve">. </w:t>
      </w:r>
      <w:bookmarkStart w:id="10" w:name="_Hlk211107643"/>
      <w:r w:rsidR="003A301E" w:rsidRPr="009E5566">
        <w:rPr>
          <w:rFonts w:ascii="Times New Roman" w:eastAsia="等线" w:hAnsi="Times New Roman" w:cs="Times New Roman"/>
          <w:sz w:val="24"/>
          <w:szCs w:val="24"/>
          <w:lang w:eastAsia="zh-CN"/>
        </w:rPr>
        <w:t xml:space="preserve">Principal component analysis (PCA) was performed in R software (version 4.3.1) using the </w:t>
      </w:r>
      <w:proofErr w:type="spellStart"/>
      <w:r w:rsidR="003A301E" w:rsidRPr="009E5566">
        <w:rPr>
          <w:rFonts w:ascii="Times New Roman" w:eastAsia="等线" w:hAnsi="Times New Roman" w:cs="Times New Roman"/>
          <w:sz w:val="24"/>
          <w:szCs w:val="24"/>
          <w:lang w:eastAsia="zh-CN"/>
        </w:rPr>
        <w:lastRenderedPageBreak/>
        <w:t>FactoMineR</w:t>
      </w:r>
      <w:proofErr w:type="spellEnd"/>
      <w:r w:rsidR="003A301E" w:rsidRPr="009E5566">
        <w:rPr>
          <w:rFonts w:ascii="Times New Roman" w:eastAsia="等线" w:hAnsi="Times New Roman" w:cs="Times New Roman"/>
          <w:sz w:val="24"/>
          <w:szCs w:val="24"/>
          <w:lang w:eastAsia="zh-CN"/>
        </w:rPr>
        <w:t xml:space="preserve"> and </w:t>
      </w:r>
      <w:proofErr w:type="spellStart"/>
      <w:r w:rsidR="003A301E" w:rsidRPr="009E5566">
        <w:rPr>
          <w:rFonts w:ascii="Times New Roman" w:eastAsia="等线" w:hAnsi="Times New Roman" w:cs="Times New Roman"/>
          <w:sz w:val="24"/>
          <w:szCs w:val="24"/>
          <w:lang w:eastAsia="zh-CN"/>
        </w:rPr>
        <w:t>factoextra</w:t>
      </w:r>
      <w:proofErr w:type="spellEnd"/>
      <w:r w:rsidR="003A301E" w:rsidRPr="009E5566">
        <w:rPr>
          <w:rFonts w:ascii="Times New Roman" w:eastAsia="等线" w:hAnsi="Times New Roman" w:cs="Times New Roman"/>
          <w:sz w:val="24"/>
          <w:szCs w:val="24"/>
          <w:lang w:eastAsia="zh-CN"/>
        </w:rPr>
        <w:t xml:space="preserve"> packages. Data were preprocessed by centering and scaling prior to PCA computation to ensure comparability across variables. The quality of clustering and variance contribution of each component were evaluated based on eigenvalues and cumulative variance plots.</w:t>
      </w:r>
      <w:bookmarkEnd w:id="10"/>
      <w:r w:rsidR="003A301E" w:rsidRPr="009E5566">
        <w:rPr>
          <w:rFonts w:ascii="Times New Roman" w:eastAsia="等线" w:hAnsi="Times New Roman" w:cs="Times New Roman" w:hint="eastAsia"/>
          <w:sz w:val="24"/>
          <w:szCs w:val="24"/>
          <w:lang w:eastAsia="zh-CN"/>
        </w:rPr>
        <w:t xml:space="preserve"> </w:t>
      </w:r>
      <w:r w:rsidRPr="009E5566">
        <w:rPr>
          <w:rFonts w:ascii="Times New Roman" w:eastAsia="等线" w:hAnsi="Times New Roman" w:cs="Times New Roman"/>
          <w:sz w:val="24"/>
          <w:szCs w:val="24"/>
          <w:lang w:eastAsia="zh-CN"/>
        </w:rPr>
        <w:t>Differential expressed genes (DEGs) were identified using DESeq2 (</w:t>
      </w:r>
      <w:r w:rsidR="00817E0C" w:rsidRPr="009E5566">
        <w:rPr>
          <w:rFonts w:ascii="Times New Roman" w:hAnsi="Times New Roman" w:cs="Times New Roman"/>
          <w:sz w:val="24"/>
          <w:szCs w:val="24"/>
          <w:lang w:eastAsia="zh-CN"/>
        </w:rPr>
        <w:t>|</w:t>
      </w:r>
      <w:bookmarkStart w:id="11" w:name="_Hlk205559735"/>
      <w:r w:rsidR="00817E0C" w:rsidRPr="009E5566">
        <w:rPr>
          <w:rFonts w:ascii="Times New Roman" w:hAnsi="Times New Roman" w:cs="Times New Roman"/>
          <w:sz w:val="24"/>
          <w:szCs w:val="24"/>
          <w:lang w:eastAsia="zh-CN"/>
        </w:rPr>
        <w:t>log₂ FC</w:t>
      </w:r>
      <w:bookmarkEnd w:id="11"/>
      <w:r w:rsidR="00817E0C" w:rsidRPr="009E5566">
        <w:rPr>
          <w:rFonts w:ascii="Times New Roman" w:hAnsi="Times New Roman" w:cs="Times New Roman"/>
          <w:sz w:val="24"/>
          <w:szCs w:val="24"/>
          <w:lang w:eastAsia="zh-CN"/>
        </w:rPr>
        <w:t>| ≥ 1</w:t>
      </w:r>
      <w:r w:rsidRPr="009E5566">
        <w:rPr>
          <w:rFonts w:ascii="Times New Roman" w:eastAsia="等线" w:hAnsi="Times New Roman" w:cs="Times New Roman"/>
          <w:sz w:val="24"/>
          <w:szCs w:val="24"/>
          <w:lang w:eastAsia="zh-CN"/>
        </w:rPr>
        <w:t>) and subjected to Gene Ontology (GO) and Kyoto Encyclopedia of Genes and Genomes (KEGG) enrichment analysis.</w:t>
      </w:r>
    </w:p>
    <w:p w14:paraId="0A538AE5" w14:textId="2C825624" w:rsidR="002010FB" w:rsidRPr="009E5566" w:rsidRDefault="002010FB" w:rsidP="002010FB">
      <w:pPr>
        <w:widowControl/>
        <w:spacing w:before="240" w:after="200" w:line="480" w:lineRule="auto"/>
        <w:ind w:left="567" w:hanging="567"/>
        <w:outlineLvl w:val="1"/>
        <w:rPr>
          <w:rFonts w:ascii="Times New Roman" w:eastAsia="等线" w:hAnsi="Times New Roman" w:cs="Times New Roman"/>
          <w:b/>
          <w:kern w:val="0"/>
          <w:sz w:val="24"/>
          <w:szCs w:val="24"/>
          <w:lang w:eastAsia="zh-CN"/>
        </w:rPr>
      </w:pPr>
      <w:r w:rsidRPr="009E5566">
        <w:rPr>
          <w:rFonts w:ascii="Times New Roman" w:eastAsia="Cambria" w:hAnsi="Times New Roman" w:cs="Times New Roman"/>
          <w:b/>
          <w:kern w:val="0"/>
          <w:sz w:val="24"/>
          <w:szCs w:val="24"/>
          <w:lang w:eastAsia="en-US"/>
        </w:rPr>
        <w:t>LC-MS/MS analyses</w:t>
      </w:r>
    </w:p>
    <w:p w14:paraId="7D701D65" w14:textId="037ECC71" w:rsidR="000F4888" w:rsidRPr="009E5566" w:rsidRDefault="00675790" w:rsidP="002010FB">
      <w:pPr>
        <w:spacing w:line="360" w:lineRule="auto"/>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t>RI</w:t>
      </w:r>
      <w:r w:rsidR="000F4888" w:rsidRPr="009E5566">
        <w:rPr>
          <w:rFonts w:ascii="Times New Roman" w:eastAsia="等线" w:hAnsi="Times New Roman" w:cs="Times New Roman"/>
          <w:sz w:val="24"/>
          <w:szCs w:val="24"/>
          <w:lang w:eastAsia="zh-CN"/>
        </w:rPr>
        <w:t xml:space="preserve"> was cultured in sterile </w:t>
      </w:r>
      <w:r w:rsidRPr="009E5566">
        <w:rPr>
          <w:rFonts w:ascii="Times New Roman" w:eastAsia="等线" w:hAnsi="Times New Roman" w:cs="Times New Roman"/>
          <w:sz w:val="24"/>
          <w:szCs w:val="24"/>
          <w:lang w:eastAsia="zh-CN"/>
        </w:rPr>
        <w:t>RCM</w:t>
      </w:r>
      <w:r w:rsidR="000F4888" w:rsidRPr="009E5566">
        <w:rPr>
          <w:rFonts w:ascii="Times New Roman" w:eastAsia="等线" w:hAnsi="Times New Roman" w:cs="Times New Roman"/>
          <w:sz w:val="24"/>
          <w:szCs w:val="24"/>
          <w:lang w:eastAsia="zh-CN"/>
        </w:rPr>
        <w:t xml:space="preserve"> solution (0.1 g/10 ml, </w:t>
      </w:r>
      <w:proofErr w:type="spellStart"/>
      <w:r w:rsidR="000F4888" w:rsidRPr="009E5566">
        <w:rPr>
          <w:rFonts w:ascii="Times New Roman" w:eastAsia="等线" w:hAnsi="Times New Roman" w:cs="Times New Roman"/>
          <w:sz w:val="24"/>
          <w:szCs w:val="24"/>
          <w:lang w:eastAsia="zh-CN"/>
        </w:rPr>
        <w:t>Solarbio</w:t>
      </w:r>
      <w:proofErr w:type="spellEnd"/>
      <w:r w:rsidR="000F4888" w:rsidRPr="009E5566">
        <w:rPr>
          <w:rFonts w:ascii="Times New Roman" w:eastAsia="等线" w:hAnsi="Times New Roman" w:cs="Times New Roman"/>
          <w:sz w:val="24"/>
          <w:szCs w:val="24"/>
          <w:lang w:eastAsia="zh-CN"/>
        </w:rPr>
        <w:t xml:space="preserve">, China) </w:t>
      </w:r>
      <w:r w:rsidRPr="009E5566">
        <w:rPr>
          <w:rFonts w:ascii="Times New Roman" w:eastAsia="等线" w:hAnsi="Times New Roman" w:cs="Times New Roman"/>
          <w:sz w:val="24"/>
          <w:szCs w:val="24"/>
          <w:lang w:eastAsia="zh-CN"/>
        </w:rPr>
        <w:t xml:space="preserve">under strict anaerobic conditions </w:t>
      </w:r>
      <w:r w:rsidR="000F4888" w:rsidRPr="009E5566">
        <w:rPr>
          <w:rFonts w:ascii="Times New Roman" w:eastAsia="等线" w:hAnsi="Times New Roman" w:cs="Times New Roman"/>
          <w:sz w:val="24"/>
          <w:szCs w:val="24"/>
          <w:lang w:eastAsia="zh-CN"/>
        </w:rPr>
        <w:t>at 3</w:t>
      </w:r>
      <w:r w:rsidRPr="009E5566">
        <w:rPr>
          <w:rFonts w:ascii="Times New Roman" w:eastAsia="等线" w:hAnsi="Times New Roman" w:cs="Times New Roman"/>
          <w:sz w:val="24"/>
          <w:szCs w:val="24"/>
          <w:lang w:eastAsia="zh-CN"/>
        </w:rPr>
        <w:t>7</w:t>
      </w:r>
      <w:r w:rsidR="000F4888" w:rsidRPr="009E5566">
        <w:rPr>
          <w:rFonts w:ascii="Times New Roman" w:eastAsia="等线" w:hAnsi="Times New Roman" w:cs="Times New Roman"/>
          <w:sz w:val="24"/>
          <w:szCs w:val="24"/>
          <w:lang w:eastAsia="zh-CN"/>
        </w:rPr>
        <w:t xml:space="preserve">°C to achieve a concentration of 10^7 CFU. The culture was then centrifuged at </w:t>
      </w:r>
      <w:r w:rsidRPr="009E5566">
        <w:rPr>
          <w:rFonts w:ascii="Times New Roman" w:eastAsia="等线" w:hAnsi="Times New Roman" w:cs="Times New Roman"/>
          <w:sz w:val="24"/>
          <w:szCs w:val="24"/>
          <w:lang w:eastAsia="zh-CN"/>
        </w:rPr>
        <w:t>4000</w:t>
      </w:r>
      <w:r w:rsidR="000F4888" w:rsidRPr="009E5566">
        <w:rPr>
          <w:rFonts w:ascii="Times New Roman" w:eastAsia="等线" w:hAnsi="Times New Roman" w:cs="Times New Roman"/>
          <w:sz w:val="24"/>
          <w:szCs w:val="24"/>
          <w:lang w:eastAsia="zh-CN"/>
        </w:rPr>
        <w:t xml:space="preserve"> g for </w:t>
      </w:r>
      <w:r w:rsidRPr="009E5566">
        <w:rPr>
          <w:rFonts w:ascii="Times New Roman" w:eastAsia="等线" w:hAnsi="Times New Roman" w:cs="Times New Roman"/>
          <w:sz w:val="24"/>
          <w:szCs w:val="24"/>
          <w:lang w:eastAsia="zh-CN"/>
        </w:rPr>
        <w:t>20</w:t>
      </w:r>
      <w:r w:rsidR="000F4888" w:rsidRPr="009E5566">
        <w:rPr>
          <w:rFonts w:ascii="Times New Roman" w:eastAsia="等线" w:hAnsi="Times New Roman" w:cs="Times New Roman"/>
          <w:sz w:val="24"/>
          <w:szCs w:val="24"/>
          <w:lang w:eastAsia="zh-CN"/>
        </w:rPr>
        <w:t xml:space="preserve"> minutes, and the supernatant was collected and filtered through 0.22-μm filters. For sample preparation, 25 mg of the supernatant or feces was mixed with 500 μL of extraction solution (methanol: acetonitrile: water = 2:2:1). The mixture was homogenized at 35 Hz for 4 minutes, followed by sonication for 5 minutes in an ice-water bath, with 3 cycles of homogenization and sonication. The samples were centrifuged at 12,000 rpm (RCF=13,800 ×g, R=8.6 cm) for 15 minutes at 4°C, and the supernatant was transferred to a glass vial for LC-MS analysis. Quality control (QC) samples were prepared by pooling equal aliquots from all samples. LC-MS/MS analysis was performed on a Vanquish UHPLC system (</w:t>
      </w:r>
      <w:proofErr w:type="spellStart"/>
      <w:r w:rsidR="000F4888" w:rsidRPr="009E5566">
        <w:rPr>
          <w:rFonts w:ascii="Times New Roman" w:eastAsia="等线" w:hAnsi="Times New Roman" w:cs="Times New Roman"/>
          <w:sz w:val="24"/>
          <w:szCs w:val="24"/>
          <w:lang w:eastAsia="zh-CN"/>
        </w:rPr>
        <w:t>Thermo</w:t>
      </w:r>
      <w:proofErr w:type="spellEnd"/>
      <w:r w:rsidR="000F4888" w:rsidRPr="009E5566">
        <w:rPr>
          <w:rFonts w:ascii="Times New Roman" w:eastAsia="等线" w:hAnsi="Times New Roman" w:cs="Times New Roman"/>
          <w:sz w:val="24"/>
          <w:szCs w:val="24"/>
          <w:lang w:eastAsia="zh-CN"/>
        </w:rPr>
        <w:t xml:space="preserve"> Fisher Scientific, USA) with a UPLC BEH Amide column (2.1 mm × 100 mm, 1.7 μm), coupled to an Orbitrap </w:t>
      </w:r>
      <w:proofErr w:type="spellStart"/>
      <w:r w:rsidR="000F4888" w:rsidRPr="009E5566">
        <w:rPr>
          <w:rFonts w:ascii="Times New Roman" w:eastAsia="等线" w:hAnsi="Times New Roman" w:cs="Times New Roman"/>
          <w:sz w:val="24"/>
          <w:szCs w:val="24"/>
          <w:lang w:eastAsia="zh-CN"/>
        </w:rPr>
        <w:t>Exploris</w:t>
      </w:r>
      <w:proofErr w:type="spellEnd"/>
      <w:r w:rsidR="000F4888" w:rsidRPr="009E5566">
        <w:rPr>
          <w:rFonts w:ascii="Times New Roman" w:eastAsia="等线" w:hAnsi="Times New Roman" w:cs="Times New Roman"/>
          <w:sz w:val="24"/>
          <w:szCs w:val="24"/>
          <w:lang w:eastAsia="zh-CN"/>
        </w:rPr>
        <w:t xml:space="preserve"> 120 mass spectrometer (</w:t>
      </w:r>
      <w:proofErr w:type="spellStart"/>
      <w:r w:rsidR="000F4888" w:rsidRPr="009E5566">
        <w:rPr>
          <w:rFonts w:ascii="Times New Roman" w:eastAsia="等线" w:hAnsi="Times New Roman" w:cs="Times New Roman"/>
          <w:sz w:val="24"/>
          <w:szCs w:val="24"/>
          <w:lang w:eastAsia="zh-CN"/>
        </w:rPr>
        <w:t>Thermo</w:t>
      </w:r>
      <w:proofErr w:type="spellEnd"/>
      <w:r w:rsidR="000F4888" w:rsidRPr="009E5566">
        <w:rPr>
          <w:rFonts w:ascii="Times New Roman" w:eastAsia="等线" w:hAnsi="Times New Roman" w:cs="Times New Roman"/>
          <w:sz w:val="24"/>
          <w:szCs w:val="24"/>
          <w:lang w:eastAsia="zh-CN"/>
        </w:rPr>
        <w:t xml:space="preserve"> Fisher Scientific, USA).</w:t>
      </w:r>
    </w:p>
    <w:p w14:paraId="3B61C4B1" w14:textId="1352D328" w:rsidR="002010FB" w:rsidRPr="009E5566" w:rsidRDefault="002010FB" w:rsidP="002010FB">
      <w:pPr>
        <w:widowControl/>
        <w:spacing w:before="240" w:after="200" w:line="480" w:lineRule="auto"/>
        <w:ind w:left="567" w:hanging="567"/>
        <w:outlineLvl w:val="1"/>
        <w:rPr>
          <w:rFonts w:ascii="Times New Roman" w:eastAsia="等线" w:hAnsi="Times New Roman" w:cs="Times New Roman"/>
          <w:b/>
          <w:kern w:val="0"/>
          <w:sz w:val="24"/>
          <w:szCs w:val="24"/>
          <w:lang w:eastAsia="zh-CN"/>
        </w:rPr>
      </w:pPr>
      <w:r w:rsidRPr="009E5566">
        <w:rPr>
          <w:rFonts w:ascii="Times New Roman" w:eastAsia="Cambria" w:hAnsi="Times New Roman" w:cs="Times New Roman"/>
          <w:b/>
          <w:kern w:val="0"/>
          <w:sz w:val="24"/>
          <w:szCs w:val="24"/>
          <w:lang w:eastAsia="en-US"/>
        </w:rPr>
        <w:t>Western blot</w:t>
      </w:r>
    </w:p>
    <w:p w14:paraId="1FA0CA38" w14:textId="58B18A16" w:rsidR="00DB5F58" w:rsidRPr="009E5566" w:rsidRDefault="00DB5F58" w:rsidP="00DB5F58">
      <w:pPr>
        <w:spacing w:line="480" w:lineRule="exact"/>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t xml:space="preserve">Total proteins were extracted from </w:t>
      </w:r>
      <w:r w:rsidR="000A4E24" w:rsidRPr="009E5566">
        <w:rPr>
          <w:rFonts w:ascii="Times New Roman" w:eastAsia="等线" w:hAnsi="Times New Roman" w:cs="Times New Roman"/>
          <w:sz w:val="24"/>
          <w:szCs w:val="24"/>
          <w:lang w:eastAsia="zh-CN"/>
        </w:rPr>
        <w:t xml:space="preserve">mice colonic tissue </w:t>
      </w:r>
      <w:r w:rsidRPr="009E5566">
        <w:rPr>
          <w:rFonts w:ascii="Times New Roman" w:eastAsia="等线" w:hAnsi="Times New Roman" w:cs="Times New Roman"/>
          <w:sz w:val="24"/>
          <w:szCs w:val="24"/>
          <w:lang w:eastAsia="zh-CN"/>
        </w:rPr>
        <w:t xml:space="preserve">following lysis. Western blotting </w:t>
      </w:r>
      <w:r w:rsidRPr="009E5566">
        <w:rPr>
          <w:rFonts w:ascii="Times New Roman" w:eastAsia="等线" w:hAnsi="Times New Roman" w:cs="Times New Roman"/>
          <w:sz w:val="24"/>
          <w:szCs w:val="24"/>
          <w:lang w:eastAsia="zh-CN"/>
        </w:rPr>
        <w:lastRenderedPageBreak/>
        <w:t>was carried out using standard procedures as outlined previously. Data from three independent experiments were used for statistical analysis. Band intensities were semi-quantitatively assessed using ImageJ software and expressed as the ratio of the target protein band intensity to the loading control.</w:t>
      </w:r>
    </w:p>
    <w:p w14:paraId="0997B8F1" w14:textId="02022DEC" w:rsidR="002010FB" w:rsidRPr="009E5566" w:rsidRDefault="002010FB" w:rsidP="002010FB">
      <w:pPr>
        <w:widowControl/>
        <w:spacing w:before="240" w:after="200" w:line="480" w:lineRule="auto"/>
        <w:ind w:left="567" w:hanging="567"/>
        <w:outlineLvl w:val="1"/>
        <w:rPr>
          <w:rFonts w:ascii="Times New Roman" w:eastAsia="等线" w:hAnsi="Times New Roman" w:cs="Times New Roman"/>
          <w:b/>
          <w:kern w:val="0"/>
          <w:sz w:val="24"/>
          <w:szCs w:val="24"/>
          <w:lang w:eastAsia="zh-CN"/>
        </w:rPr>
      </w:pPr>
      <w:r w:rsidRPr="009E5566">
        <w:rPr>
          <w:rFonts w:ascii="Times New Roman" w:eastAsia="Cambria" w:hAnsi="Times New Roman" w:cs="Times New Roman"/>
          <w:b/>
          <w:kern w:val="0"/>
          <w:sz w:val="24"/>
          <w:szCs w:val="24"/>
          <w:lang w:eastAsia="en-US"/>
        </w:rPr>
        <w:t>Reference</w:t>
      </w:r>
    </w:p>
    <w:p w14:paraId="7E6D6D1B" w14:textId="77777777" w:rsidR="002C57C8" w:rsidRPr="009E5566" w:rsidRDefault="00885312" w:rsidP="002C57C8">
      <w:pPr>
        <w:pStyle w:val="afb"/>
        <w:rPr>
          <w:rFonts w:ascii="Times New Roman" w:hAnsi="Times New Roman" w:cs="Times New Roman"/>
          <w:sz w:val="24"/>
          <w:szCs w:val="24"/>
        </w:rPr>
      </w:pPr>
      <w:r w:rsidRPr="009E5566">
        <w:rPr>
          <w:rFonts w:ascii="Times New Roman" w:eastAsia="等线" w:hAnsi="Times New Roman" w:cs="Times New Roman"/>
          <w:sz w:val="24"/>
          <w:szCs w:val="24"/>
        </w:rPr>
        <w:fldChar w:fldCharType="begin"/>
      </w:r>
      <w:r w:rsidR="002C57C8" w:rsidRPr="009E5566">
        <w:rPr>
          <w:rFonts w:ascii="Times New Roman" w:eastAsia="等线" w:hAnsi="Times New Roman" w:cs="Times New Roman"/>
          <w:sz w:val="24"/>
          <w:szCs w:val="24"/>
        </w:rPr>
        <w:instrText xml:space="preserve"> ADDIN ZOTERO_BIBL {"uncited":[],"omitted":[],"custom":[]} CSL_BIBLIOGRAPHY </w:instrText>
      </w:r>
      <w:r w:rsidRPr="009E5566">
        <w:rPr>
          <w:rFonts w:ascii="Times New Roman" w:eastAsia="等线" w:hAnsi="Times New Roman" w:cs="Times New Roman"/>
          <w:sz w:val="24"/>
          <w:szCs w:val="24"/>
        </w:rPr>
        <w:fldChar w:fldCharType="separate"/>
      </w:r>
      <w:r w:rsidR="002C57C8" w:rsidRPr="009E5566">
        <w:rPr>
          <w:rFonts w:ascii="Times New Roman" w:hAnsi="Times New Roman" w:cs="Times New Roman"/>
          <w:sz w:val="24"/>
          <w:szCs w:val="24"/>
        </w:rPr>
        <w:t>Burgess, S., Davey Smith, G., Davies, N.M., Dudbridge, F., Gill, D., Glymour, M.M., Hartwig, F.P., Kutalik, Z., Holmes, M.V., Minelli, C., Morrison, J.V., Pan, W., Relton, C.L., Theodoratou, E., 2019. Guidelines for performing Mendelian randomization investigations: update for summer 2023. Wellcome Open Res. 4, 186. https://doi.org/10.12688/wellcomeopenres.15555.3</w:t>
      </w:r>
    </w:p>
    <w:p w14:paraId="46FF96B3"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Fathalla, A.M., Soliman, A.M., Ali, M.H., Moustafa, A.A., 2016. Adenosine A2A Receptor Blockade Prevents Rotenone-Induced Motor Impairment in a Rat Model of Parkinsonism. Front. Behav. Neurosci. 10, 35. https://doi.org/10.3389/fnbeh.2016.00035</w:t>
      </w:r>
    </w:p>
    <w:p w14:paraId="56452E76"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Gołembiowska, K., Dziubina, A., 2012. Effect of adenosine A(2A) receptor antagonists and L-DOPA on hydroxyl radical, glutamate and dopamine in the striatum of 6-OHDA-treated rats. Neurotox. Res. 21, 222–230. https://doi.org/10.1007/s12640-011-9263-x</w:t>
      </w:r>
    </w:p>
    <w:p w14:paraId="3714521D"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Guo, W., Tang, X., Zhang, Q., Zhao, J., Mao, B., Zhang, H., Cui, S., 2023. Mitigation of Dextran-Sodium-Sulfate-Induced Colitis in Mice through Oral Administration of Microbiome-Derived Inosine and Its Underlying Mechanisms. Int. J. Mol. Sci. 24, 13852. https://doi.org/10.3390/ijms241813852</w:t>
      </w:r>
    </w:p>
    <w:p w14:paraId="219EF5EF"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Jia, J., Dou, P., Gao, M., Kong, X., Li, C., Liu, Z., Huang, T., 2019. Assessment of Causal Direction Between Gut Microbiota-Dependent Metabolites and Cardiometabolic Health: A Bidirectional Mendelian Randomization Analysis. Diabetes 68, 1747–1755. https://doi.org/10.2337/db19-0153</w:t>
      </w:r>
    </w:p>
    <w:p w14:paraId="6A4D8BAB"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Korthauer, K., Kimes, P.K., Duvallet, C., Reyes, A., Subramanian, A., Teng, M., Shukla, C., Alm, E.J., Hicks, S.C., 2019. A practical guide to methods controlling false discoveries in computational biology. Genome Biol. 20, 118. https://doi.org/10.1186/s13059-019-1716-1</w:t>
      </w:r>
    </w:p>
    <w:p w14:paraId="3BF401A7"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 xml:space="preserve">Lv, W.-Q., Lin, X., Shen, H., Liu, H.-M., Qiu, X., Li, B.-Y., Shen, W.-D., Ge, C.-L., Lv, F.-Y., Shen, J., Xiao, H.-M., Deng, H.-W., 2021. Human gut microbiome impacts skeletal muscle mass via gut microbial synthesis of the short-chain fatty acid </w:t>
      </w:r>
      <w:r w:rsidRPr="009E5566">
        <w:rPr>
          <w:rFonts w:ascii="Times New Roman" w:hAnsi="Times New Roman" w:cs="Times New Roman"/>
          <w:sz w:val="24"/>
          <w:szCs w:val="24"/>
        </w:rPr>
        <w:lastRenderedPageBreak/>
        <w:t>butyrate among healthy menopausal women. J. Cachexia Sarcopenia Muscle 12, 1860–1870. https://doi.org/10.1002/jcsm.12788</w:t>
      </w:r>
    </w:p>
    <w:p w14:paraId="1AF0380A"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Mager, L.F., Burkhard, R., Pett, N., Cooke, N.C.A., Brown, K., Ramay, H., Paik, S., Stagg, J., Groves, R.A., Gallo, M., Lewis, I.A., Geuking, M.B., McCoy, K.D., 2020. Microbiome-derived inosine modulates response to checkpoint inhibitor immunotherapy. Science 369, 1481–1489. https://doi.org/10.1126/science.abc3421</w:t>
      </w:r>
    </w:p>
    <w:p w14:paraId="0CA29F58"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Sanna, S., van Zuydam, N.R., Mahajan, A., Kurilshikov, A., Vich Vila, A., Võsa, U., Mujagic, Z., Masclee, A.A.M., Jonkers, D.M.A.E., Oosting, M., Joosten, L.A.B., Netea, M.G., Franke, L., Zhernakova, A., Fu, J., Wijmenga, C., McCarthy, M.I., 2019. Causal relationships among the gut microbiome, short-chain fatty acids and metabolic diseases. Nat. Genet. 51, 600–605. https://doi.org/10.1038/s41588-019-0350-x</w:t>
      </w:r>
    </w:p>
    <w:p w14:paraId="55C79FED"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Verbanck, M., Chen, C.-Y., Neale, B., Do, R., 2018. Detection of widespread horizontal pleiotropy in causal relationships inferred from Mendelian randomization between complex traits and diseases. Nat. Genet. 50, 693–698. https://doi.org/10.1038/s41588-018-0099-7</w:t>
      </w:r>
    </w:p>
    <w:p w14:paraId="664F2056"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Wei, L., Pan, Y., Guo, Y., Zhu, Y., Jin, H., Gu, Y., Li, C., Wang, Y., Lin, J., Chen, Y., Ke, C., Xu, L., 2024. Symbiotic combination of Akkermansia muciniphila and inosine alleviates alcohol-induced liver injury by modulating gut dysbiosis and immune responses. Front. Microbiol. 15, 1355225. https://doi.org/10.3389/fmicb.2024.1355225</w:t>
      </w:r>
    </w:p>
    <w:p w14:paraId="049869E6"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 xml:space="preserve">Yengo, L., Sidorenko, J., Kemper, K.E., Zheng, Z., Wood, A.R., Weedon, M.N., Frayling, T.M., Hirschhorn, J., Yang, J., Visscher, P.M., GIANT Consortium, 2018. Meta-analysis of genome-wide association studies for height and body mass index in </w:t>
      </w:r>
      <w:r w:rsidRPr="009E5566">
        <w:rPr>
          <w:rFonts w:ascii="Cambria Math" w:hAnsi="Cambria Math" w:cs="Cambria Math"/>
          <w:sz w:val="24"/>
          <w:szCs w:val="24"/>
        </w:rPr>
        <w:t>∼</w:t>
      </w:r>
      <w:r w:rsidRPr="009E5566">
        <w:rPr>
          <w:rFonts w:ascii="Times New Roman" w:hAnsi="Times New Roman" w:cs="Times New Roman"/>
          <w:sz w:val="24"/>
          <w:szCs w:val="24"/>
        </w:rPr>
        <w:t>700000 individuals of European ancestry. Hum. Mol. Genet. 27, 3641–3649. https://doi.org/10.1093/hmg/ddy271</w:t>
      </w:r>
    </w:p>
    <w:p w14:paraId="66234A2F" w14:textId="77777777" w:rsidR="002C57C8" w:rsidRPr="009E5566" w:rsidRDefault="002C57C8" w:rsidP="002C57C8">
      <w:pPr>
        <w:pStyle w:val="afb"/>
        <w:rPr>
          <w:rFonts w:ascii="Times New Roman" w:hAnsi="Times New Roman" w:cs="Times New Roman"/>
          <w:sz w:val="24"/>
          <w:szCs w:val="24"/>
        </w:rPr>
      </w:pPr>
      <w:r w:rsidRPr="009E5566">
        <w:rPr>
          <w:rFonts w:ascii="Times New Roman" w:hAnsi="Times New Roman" w:cs="Times New Roman"/>
          <w:sz w:val="24"/>
          <w:szCs w:val="24"/>
        </w:rPr>
        <w:t>Zhang, Z., Cheng, L., Ning, D., 2023. Gut microbiota and sepsis: bidirectional Mendelian study and mediation analysis. Front. Immunol. 14, 1234924. https://doi.org/10.3389/fimmu.2023.1234924</w:t>
      </w:r>
    </w:p>
    <w:p w14:paraId="28DBBB70" w14:textId="5E2807AF" w:rsidR="00885312" w:rsidRPr="009E5566" w:rsidRDefault="00885312" w:rsidP="00DB5F58">
      <w:pPr>
        <w:spacing w:line="480" w:lineRule="exact"/>
        <w:rPr>
          <w:rFonts w:ascii="Times New Roman" w:eastAsia="等线" w:hAnsi="Times New Roman" w:cs="Times New Roman"/>
          <w:sz w:val="24"/>
          <w:szCs w:val="24"/>
          <w:lang w:eastAsia="zh-CN"/>
        </w:rPr>
      </w:pPr>
      <w:r w:rsidRPr="009E5566">
        <w:rPr>
          <w:rFonts w:ascii="Times New Roman" w:eastAsia="等线" w:hAnsi="Times New Roman" w:cs="Times New Roman"/>
          <w:sz w:val="24"/>
          <w:szCs w:val="24"/>
          <w:lang w:eastAsia="zh-CN"/>
        </w:rPr>
        <w:fldChar w:fldCharType="end"/>
      </w:r>
    </w:p>
    <w:p w14:paraId="637B7CF5" w14:textId="77777777" w:rsidR="000F4888" w:rsidRPr="009E5566" w:rsidRDefault="000F4888" w:rsidP="004657B5">
      <w:pPr>
        <w:spacing w:line="480" w:lineRule="exact"/>
        <w:rPr>
          <w:rFonts w:ascii="Times New Roman" w:eastAsia="等线" w:hAnsi="Times New Roman" w:cs="Times New Roman"/>
          <w:b/>
          <w:bCs/>
          <w:sz w:val="24"/>
          <w:szCs w:val="24"/>
          <w:lang w:eastAsia="zh-CN"/>
        </w:rPr>
      </w:pPr>
    </w:p>
    <w:p w14:paraId="0166E7F7" w14:textId="45D8501A" w:rsidR="0026733E" w:rsidRPr="009E5566" w:rsidRDefault="0026733E" w:rsidP="006710BF">
      <w:pPr>
        <w:widowControl/>
        <w:jc w:val="left"/>
        <w:rPr>
          <w:rFonts w:ascii="Times New Roman" w:eastAsia="等线" w:hAnsi="Times New Roman" w:cs="Times New Roman"/>
          <w:sz w:val="24"/>
          <w:szCs w:val="24"/>
          <w:lang w:eastAsia="zh-CN"/>
        </w:rPr>
      </w:pPr>
    </w:p>
    <w:sectPr w:rsidR="0026733E" w:rsidRPr="009E5566" w:rsidSect="00C0497F">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7997" w14:textId="77777777" w:rsidR="000411B4" w:rsidRDefault="000411B4" w:rsidP="001D4CD3">
      <w:pPr>
        <w:rPr>
          <w:rFonts w:hint="eastAsia"/>
        </w:rPr>
      </w:pPr>
      <w:r>
        <w:separator/>
      </w:r>
    </w:p>
  </w:endnote>
  <w:endnote w:type="continuationSeparator" w:id="0">
    <w:p w14:paraId="69C718B9" w14:textId="77777777" w:rsidR="000411B4" w:rsidRDefault="000411B4" w:rsidP="001D4C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3612"/>
      <w:docPartObj>
        <w:docPartGallery w:val="Page Numbers (Bottom of Page)"/>
        <w:docPartUnique/>
      </w:docPartObj>
    </w:sdtPr>
    <w:sdtContent>
      <w:p w14:paraId="21145053" w14:textId="587E0202" w:rsidR="001D4CD3" w:rsidRDefault="001D4CD3">
        <w:pPr>
          <w:pStyle w:val="af1"/>
          <w:jc w:val="center"/>
          <w:rPr>
            <w:rFonts w:hint="eastAsia"/>
          </w:rPr>
        </w:pPr>
        <w:r>
          <w:fldChar w:fldCharType="begin"/>
        </w:r>
        <w:r>
          <w:instrText>PAGE   \* MERGEFORMAT</w:instrText>
        </w:r>
        <w:r>
          <w:fldChar w:fldCharType="separate"/>
        </w:r>
        <w:r>
          <w:rPr>
            <w:lang w:val="ja-JP"/>
          </w:rPr>
          <w:t>2</w:t>
        </w:r>
        <w:r>
          <w:fldChar w:fldCharType="end"/>
        </w:r>
      </w:p>
    </w:sdtContent>
  </w:sdt>
  <w:p w14:paraId="775208AD" w14:textId="77777777" w:rsidR="001D4CD3" w:rsidRDefault="001D4CD3">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78F1" w14:textId="77777777" w:rsidR="000411B4" w:rsidRDefault="000411B4" w:rsidP="001D4CD3">
      <w:pPr>
        <w:rPr>
          <w:rFonts w:hint="eastAsia"/>
        </w:rPr>
      </w:pPr>
      <w:r>
        <w:separator/>
      </w:r>
    </w:p>
  </w:footnote>
  <w:footnote w:type="continuationSeparator" w:id="0">
    <w:p w14:paraId="0F1E3624" w14:textId="77777777" w:rsidR="000411B4" w:rsidRDefault="000411B4" w:rsidP="001D4CD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08D"/>
    <w:multiLevelType w:val="multilevel"/>
    <w:tmpl w:val="EFC2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A1D80"/>
    <w:multiLevelType w:val="hybridMultilevel"/>
    <w:tmpl w:val="AB962C14"/>
    <w:lvl w:ilvl="0" w:tplc="78F49C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3A80D98"/>
    <w:multiLevelType w:val="hybridMultilevel"/>
    <w:tmpl w:val="CB04F724"/>
    <w:lvl w:ilvl="0" w:tplc="ABAEDE76">
      <w:start w:val="1"/>
      <w:numFmt w:val="decimal"/>
      <w:lvlText w:val="%1."/>
      <w:lvlJc w:val="left"/>
      <w:pPr>
        <w:ind w:left="360" w:hanging="360"/>
      </w:pPr>
      <w:rPr>
        <w:rFonts w:hint="default"/>
        <w:b w:val="0"/>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4822421"/>
    <w:multiLevelType w:val="multilevel"/>
    <w:tmpl w:val="75D8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09072A"/>
    <w:multiLevelType w:val="hybridMultilevel"/>
    <w:tmpl w:val="58901930"/>
    <w:lvl w:ilvl="0" w:tplc="640EF9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08974906">
    <w:abstractNumId w:val="2"/>
  </w:num>
  <w:num w:numId="2" w16cid:durableId="348877122">
    <w:abstractNumId w:val="4"/>
  </w:num>
  <w:num w:numId="3" w16cid:durableId="159122089">
    <w:abstractNumId w:val="1"/>
  </w:num>
  <w:num w:numId="4" w16cid:durableId="439223118">
    <w:abstractNumId w:val="0"/>
  </w:num>
  <w:num w:numId="5" w16cid:durableId="1384134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Gastroenterology &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D4CD3"/>
    <w:rsid w:val="0000528B"/>
    <w:rsid w:val="00006EE4"/>
    <w:rsid w:val="0001070E"/>
    <w:rsid w:val="0001163C"/>
    <w:rsid w:val="000131E0"/>
    <w:rsid w:val="000134DD"/>
    <w:rsid w:val="00014F6E"/>
    <w:rsid w:val="0001507E"/>
    <w:rsid w:val="000157E9"/>
    <w:rsid w:val="000214D7"/>
    <w:rsid w:val="00022294"/>
    <w:rsid w:val="000228E7"/>
    <w:rsid w:val="00022EF9"/>
    <w:rsid w:val="0002392C"/>
    <w:rsid w:val="0002439C"/>
    <w:rsid w:val="0002588E"/>
    <w:rsid w:val="00027B35"/>
    <w:rsid w:val="00027C26"/>
    <w:rsid w:val="00027DC3"/>
    <w:rsid w:val="00031226"/>
    <w:rsid w:val="000313B6"/>
    <w:rsid w:val="000345E6"/>
    <w:rsid w:val="00036A57"/>
    <w:rsid w:val="000411B4"/>
    <w:rsid w:val="00042B52"/>
    <w:rsid w:val="00045196"/>
    <w:rsid w:val="00052AB5"/>
    <w:rsid w:val="000537A9"/>
    <w:rsid w:val="00053A51"/>
    <w:rsid w:val="00063054"/>
    <w:rsid w:val="00063E3D"/>
    <w:rsid w:val="00070DDC"/>
    <w:rsid w:val="00072228"/>
    <w:rsid w:val="00072E65"/>
    <w:rsid w:val="00073CD6"/>
    <w:rsid w:val="00075843"/>
    <w:rsid w:val="0007596C"/>
    <w:rsid w:val="00076172"/>
    <w:rsid w:val="0007706B"/>
    <w:rsid w:val="00080D8F"/>
    <w:rsid w:val="00080DCC"/>
    <w:rsid w:val="00081512"/>
    <w:rsid w:val="0008171A"/>
    <w:rsid w:val="00081A8A"/>
    <w:rsid w:val="00084B85"/>
    <w:rsid w:val="00084B88"/>
    <w:rsid w:val="00084B9B"/>
    <w:rsid w:val="000856F7"/>
    <w:rsid w:val="0008691A"/>
    <w:rsid w:val="000872BD"/>
    <w:rsid w:val="00087673"/>
    <w:rsid w:val="00090E73"/>
    <w:rsid w:val="0009396E"/>
    <w:rsid w:val="000A40F9"/>
    <w:rsid w:val="000A4E24"/>
    <w:rsid w:val="000A51A6"/>
    <w:rsid w:val="000B2F4B"/>
    <w:rsid w:val="000B3238"/>
    <w:rsid w:val="000C258F"/>
    <w:rsid w:val="000C2F32"/>
    <w:rsid w:val="000C639E"/>
    <w:rsid w:val="000D3034"/>
    <w:rsid w:val="000D3D2F"/>
    <w:rsid w:val="000D7F3C"/>
    <w:rsid w:val="000E076D"/>
    <w:rsid w:val="000E2D2B"/>
    <w:rsid w:val="000E33C6"/>
    <w:rsid w:val="000E39A0"/>
    <w:rsid w:val="000E73AE"/>
    <w:rsid w:val="000F0A6E"/>
    <w:rsid w:val="000F1F4A"/>
    <w:rsid w:val="000F226F"/>
    <w:rsid w:val="000F245B"/>
    <w:rsid w:val="000F4888"/>
    <w:rsid w:val="000F4F00"/>
    <w:rsid w:val="000F5769"/>
    <w:rsid w:val="000F6CD3"/>
    <w:rsid w:val="000F7976"/>
    <w:rsid w:val="000F7FB5"/>
    <w:rsid w:val="00102B9A"/>
    <w:rsid w:val="001044E1"/>
    <w:rsid w:val="001108B9"/>
    <w:rsid w:val="00110915"/>
    <w:rsid w:val="0011344E"/>
    <w:rsid w:val="0011763B"/>
    <w:rsid w:val="00121C01"/>
    <w:rsid w:val="001245F8"/>
    <w:rsid w:val="00132130"/>
    <w:rsid w:val="0013383B"/>
    <w:rsid w:val="00133E44"/>
    <w:rsid w:val="001348CB"/>
    <w:rsid w:val="00135E32"/>
    <w:rsid w:val="001362C5"/>
    <w:rsid w:val="001421EE"/>
    <w:rsid w:val="00144C0E"/>
    <w:rsid w:val="00146F9B"/>
    <w:rsid w:val="0015028C"/>
    <w:rsid w:val="00150351"/>
    <w:rsid w:val="001576A7"/>
    <w:rsid w:val="00161419"/>
    <w:rsid w:val="001621C6"/>
    <w:rsid w:val="00162645"/>
    <w:rsid w:val="00165802"/>
    <w:rsid w:val="001757A7"/>
    <w:rsid w:val="00184CB0"/>
    <w:rsid w:val="001866BC"/>
    <w:rsid w:val="00187032"/>
    <w:rsid w:val="00187C72"/>
    <w:rsid w:val="00190A72"/>
    <w:rsid w:val="00194397"/>
    <w:rsid w:val="001A1E8C"/>
    <w:rsid w:val="001A3ED2"/>
    <w:rsid w:val="001A7ABF"/>
    <w:rsid w:val="001B12FE"/>
    <w:rsid w:val="001B1EF9"/>
    <w:rsid w:val="001B2815"/>
    <w:rsid w:val="001B3CE5"/>
    <w:rsid w:val="001B3E18"/>
    <w:rsid w:val="001C0F48"/>
    <w:rsid w:val="001C27D9"/>
    <w:rsid w:val="001C35DD"/>
    <w:rsid w:val="001C4BA0"/>
    <w:rsid w:val="001C56C6"/>
    <w:rsid w:val="001C6EE0"/>
    <w:rsid w:val="001C7826"/>
    <w:rsid w:val="001D3D73"/>
    <w:rsid w:val="001D4CD3"/>
    <w:rsid w:val="001D5DD4"/>
    <w:rsid w:val="001D5FD6"/>
    <w:rsid w:val="001D7A22"/>
    <w:rsid w:val="001E05CF"/>
    <w:rsid w:val="001E0639"/>
    <w:rsid w:val="001E0FA4"/>
    <w:rsid w:val="001E1BA8"/>
    <w:rsid w:val="001F0EE4"/>
    <w:rsid w:val="001F3DE0"/>
    <w:rsid w:val="001F454A"/>
    <w:rsid w:val="001F6A47"/>
    <w:rsid w:val="001F6B6A"/>
    <w:rsid w:val="001F6DCC"/>
    <w:rsid w:val="001F73A8"/>
    <w:rsid w:val="00200FBD"/>
    <w:rsid w:val="002010FB"/>
    <w:rsid w:val="00201FE9"/>
    <w:rsid w:val="00210F71"/>
    <w:rsid w:val="0021180D"/>
    <w:rsid w:val="002129CF"/>
    <w:rsid w:val="002168AB"/>
    <w:rsid w:val="002201B0"/>
    <w:rsid w:val="00220212"/>
    <w:rsid w:val="00232D9C"/>
    <w:rsid w:val="002330AF"/>
    <w:rsid w:val="00233C7F"/>
    <w:rsid w:val="00235D2B"/>
    <w:rsid w:val="002374E2"/>
    <w:rsid w:val="00240A32"/>
    <w:rsid w:val="00241D27"/>
    <w:rsid w:val="00241E02"/>
    <w:rsid w:val="00250103"/>
    <w:rsid w:val="0025170E"/>
    <w:rsid w:val="00251EFB"/>
    <w:rsid w:val="002520E4"/>
    <w:rsid w:val="002529B9"/>
    <w:rsid w:val="00253C84"/>
    <w:rsid w:val="00253F15"/>
    <w:rsid w:val="00260505"/>
    <w:rsid w:val="00262945"/>
    <w:rsid w:val="002640AE"/>
    <w:rsid w:val="002646FA"/>
    <w:rsid w:val="00264EBD"/>
    <w:rsid w:val="00265B94"/>
    <w:rsid w:val="00266D25"/>
    <w:rsid w:val="0026733E"/>
    <w:rsid w:val="0026771F"/>
    <w:rsid w:val="0027287D"/>
    <w:rsid w:val="0027291A"/>
    <w:rsid w:val="00276653"/>
    <w:rsid w:val="002776C1"/>
    <w:rsid w:val="00277786"/>
    <w:rsid w:val="00277F12"/>
    <w:rsid w:val="0028580A"/>
    <w:rsid w:val="00285A4C"/>
    <w:rsid w:val="002904E5"/>
    <w:rsid w:val="00291DF3"/>
    <w:rsid w:val="002A633B"/>
    <w:rsid w:val="002B19AF"/>
    <w:rsid w:val="002B443E"/>
    <w:rsid w:val="002B51CF"/>
    <w:rsid w:val="002C222F"/>
    <w:rsid w:val="002C57C8"/>
    <w:rsid w:val="002C58FC"/>
    <w:rsid w:val="002C59DA"/>
    <w:rsid w:val="002C6CF6"/>
    <w:rsid w:val="002D18BE"/>
    <w:rsid w:val="002D18C6"/>
    <w:rsid w:val="002D3C99"/>
    <w:rsid w:val="002D4245"/>
    <w:rsid w:val="002E120E"/>
    <w:rsid w:val="002E5FF7"/>
    <w:rsid w:val="002E6831"/>
    <w:rsid w:val="002E6A36"/>
    <w:rsid w:val="002E740C"/>
    <w:rsid w:val="002E7425"/>
    <w:rsid w:val="002E75C0"/>
    <w:rsid w:val="002F0D55"/>
    <w:rsid w:val="002F2F36"/>
    <w:rsid w:val="002F30A3"/>
    <w:rsid w:val="002F6F71"/>
    <w:rsid w:val="002F7BD4"/>
    <w:rsid w:val="003018D1"/>
    <w:rsid w:val="00303109"/>
    <w:rsid w:val="00303C29"/>
    <w:rsid w:val="00307938"/>
    <w:rsid w:val="00311432"/>
    <w:rsid w:val="00312C31"/>
    <w:rsid w:val="0031588C"/>
    <w:rsid w:val="00317CE9"/>
    <w:rsid w:val="003238C1"/>
    <w:rsid w:val="0033261E"/>
    <w:rsid w:val="00334656"/>
    <w:rsid w:val="00343F0F"/>
    <w:rsid w:val="0034421C"/>
    <w:rsid w:val="0034427D"/>
    <w:rsid w:val="00346EEA"/>
    <w:rsid w:val="00350067"/>
    <w:rsid w:val="00360FEE"/>
    <w:rsid w:val="00361D27"/>
    <w:rsid w:val="00362DF5"/>
    <w:rsid w:val="00365627"/>
    <w:rsid w:val="003661BA"/>
    <w:rsid w:val="003667F2"/>
    <w:rsid w:val="00366DFE"/>
    <w:rsid w:val="003738E7"/>
    <w:rsid w:val="0037430D"/>
    <w:rsid w:val="003930A3"/>
    <w:rsid w:val="003A301E"/>
    <w:rsid w:val="003A349B"/>
    <w:rsid w:val="003B1A52"/>
    <w:rsid w:val="003B2C73"/>
    <w:rsid w:val="003B550E"/>
    <w:rsid w:val="003C0FC4"/>
    <w:rsid w:val="003C1B0E"/>
    <w:rsid w:val="003C2B73"/>
    <w:rsid w:val="003C370D"/>
    <w:rsid w:val="003C3A1E"/>
    <w:rsid w:val="003C3E1F"/>
    <w:rsid w:val="003D1449"/>
    <w:rsid w:val="003D39B9"/>
    <w:rsid w:val="003D75B3"/>
    <w:rsid w:val="003E0073"/>
    <w:rsid w:val="003E2808"/>
    <w:rsid w:val="003E2C28"/>
    <w:rsid w:val="003E581D"/>
    <w:rsid w:val="003E664E"/>
    <w:rsid w:val="003E7B84"/>
    <w:rsid w:val="003E7E49"/>
    <w:rsid w:val="003F040F"/>
    <w:rsid w:val="003F0618"/>
    <w:rsid w:val="003F4397"/>
    <w:rsid w:val="00405DE0"/>
    <w:rsid w:val="00406482"/>
    <w:rsid w:val="00406DB1"/>
    <w:rsid w:val="00407779"/>
    <w:rsid w:val="00407D9E"/>
    <w:rsid w:val="0041191D"/>
    <w:rsid w:val="00411B31"/>
    <w:rsid w:val="00412E93"/>
    <w:rsid w:val="00414566"/>
    <w:rsid w:val="0041785A"/>
    <w:rsid w:val="00420BE3"/>
    <w:rsid w:val="004214E4"/>
    <w:rsid w:val="00427BD7"/>
    <w:rsid w:val="0043426E"/>
    <w:rsid w:val="00435C6E"/>
    <w:rsid w:val="004375E8"/>
    <w:rsid w:val="0044037D"/>
    <w:rsid w:val="004408BB"/>
    <w:rsid w:val="00440EE5"/>
    <w:rsid w:val="004425D0"/>
    <w:rsid w:val="00443776"/>
    <w:rsid w:val="00443E44"/>
    <w:rsid w:val="00445085"/>
    <w:rsid w:val="004462FB"/>
    <w:rsid w:val="00446BCD"/>
    <w:rsid w:val="0044726A"/>
    <w:rsid w:val="004472E0"/>
    <w:rsid w:val="004500A1"/>
    <w:rsid w:val="00452F73"/>
    <w:rsid w:val="00456814"/>
    <w:rsid w:val="00461625"/>
    <w:rsid w:val="00464238"/>
    <w:rsid w:val="00465263"/>
    <w:rsid w:val="0046539F"/>
    <w:rsid w:val="004657B5"/>
    <w:rsid w:val="00473C15"/>
    <w:rsid w:val="00475E56"/>
    <w:rsid w:val="0047714D"/>
    <w:rsid w:val="0048584B"/>
    <w:rsid w:val="00490686"/>
    <w:rsid w:val="00492379"/>
    <w:rsid w:val="0049256A"/>
    <w:rsid w:val="00493224"/>
    <w:rsid w:val="00493950"/>
    <w:rsid w:val="0049478E"/>
    <w:rsid w:val="00495A31"/>
    <w:rsid w:val="00495A5E"/>
    <w:rsid w:val="00497532"/>
    <w:rsid w:val="00497B48"/>
    <w:rsid w:val="004A1C21"/>
    <w:rsid w:val="004A40E3"/>
    <w:rsid w:val="004A461E"/>
    <w:rsid w:val="004A5626"/>
    <w:rsid w:val="004B11AA"/>
    <w:rsid w:val="004B34D5"/>
    <w:rsid w:val="004B36A4"/>
    <w:rsid w:val="004B5292"/>
    <w:rsid w:val="004B77B6"/>
    <w:rsid w:val="004C0B6E"/>
    <w:rsid w:val="004C25D5"/>
    <w:rsid w:val="004C629D"/>
    <w:rsid w:val="004C6652"/>
    <w:rsid w:val="004D05F0"/>
    <w:rsid w:val="004D1FC6"/>
    <w:rsid w:val="004D3970"/>
    <w:rsid w:val="004D4C40"/>
    <w:rsid w:val="004D6DC1"/>
    <w:rsid w:val="004E68FD"/>
    <w:rsid w:val="004E7C7B"/>
    <w:rsid w:val="004F068B"/>
    <w:rsid w:val="004F19EF"/>
    <w:rsid w:val="004F2213"/>
    <w:rsid w:val="004F3146"/>
    <w:rsid w:val="004F4384"/>
    <w:rsid w:val="004F5576"/>
    <w:rsid w:val="004F59C3"/>
    <w:rsid w:val="00505804"/>
    <w:rsid w:val="00506E12"/>
    <w:rsid w:val="0051010E"/>
    <w:rsid w:val="00511F46"/>
    <w:rsid w:val="0051369D"/>
    <w:rsid w:val="00514974"/>
    <w:rsid w:val="00516276"/>
    <w:rsid w:val="005162CC"/>
    <w:rsid w:val="005171B9"/>
    <w:rsid w:val="00522A79"/>
    <w:rsid w:val="00523AB2"/>
    <w:rsid w:val="00523E4B"/>
    <w:rsid w:val="005265B9"/>
    <w:rsid w:val="00527B7E"/>
    <w:rsid w:val="00532DE5"/>
    <w:rsid w:val="00534400"/>
    <w:rsid w:val="00535979"/>
    <w:rsid w:val="00535C04"/>
    <w:rsid w:val="00535F55"/>
    <w:rsid w:val="00541112"/>
    <w:rsid w:val="0055294F"/>
    <w:rsid w:val="0055548A"/>
    <w:rsid w:val="00555FAE"/>
    <w:rsid w:val="005626D7"/>
    <w:rsid w:val="005627F6"/>
    <w:rsid w:val="005632D8"/>
    <w:rsid w:val="00567363"/>
    <w:rsid w:val="005700EB"/>
    <w:rsid w:val="005743F7"/>
    <w:rsid w:val="00575046"/>
    <w:rsid w:val="005765AC"/>
    <w:rsid w:val="00582337"/>
    <w:rsid w:val="005831B3"/>
    <w:rsid w:val="00586B7A"/>
    <w:rsid w:val="005A23FE"/>
    <w:rsid w:val="005A5646"/>
    <w:rsid w:val="005A5CB9"/>
    <w:rsid w:val="005A7D7D"/>
    <w:rsid w:val="005B0F1D"/>
    <w:rsid w:val="005B1B62"/>
    <w:rsid w:val="005B3FD5"/>
    <w:rsid w:val="005B4636"/>
    <w:rsid w:val="005B4E2E"/>
    <w:rsid w:val="005B5C29"/>
    <w:rsid w:val="005B6D55"/>
    <w:rsid w:val="005C6BE6"/>
    <w:rsid w:val="005D07E3"/>
    <w:rsid w:val="005D3B6E"/>
    <w:rsid w:val="005D64CB"/>
    <w:rsid w:val="005D7399"/>
    <w:rsid w:val="005E445F"/>
    <w:rsid w:val="005E552F"/>
    <w:rsid w:val="005E684A"/>
    <w:rsid w:val="005F015A"/>
    <w:rsid w:val="005F0708"/>
    <w:rsid w:val="005F5245"/>
    <w:rsid w:val="005F7CC3"/>
    <w:rsid w:val="0060187A"/>
    <w:rsid w:val="00602FDC"/>
    <w:rsid w:val="00605EFD"/>
    <w:rsid w:val="0060773E"/>
    <w:rsid w:val="00611603"/>
    <w:rsid w:val="00612848"/>
    <w:rsid w:val="00617AF3"/>
    <w:rsid w:val="00617F79"/>
    <w:rsid w:val="00620CA6"/>
    <w:rsid w:val="00620E4D"/>
    <w:rsid w:val="00622388"/>
    <w:rsid w:val="0062396B"/>
    <w:rsid w:val="00626554"/>
    <w:rsid w:val="0062675A"/>
    <w:rsid w:val="00627280"/>
    <w:rsid w:val="00630268"/>
    <w:rsid w:val="006318AE"/>
    <w:rsid w:val="006329E4"/>
    <w:rsid w:val="00635C45"/>
    <w:rsid w:val="00641A6A"/>
    <w:rsid w:val="0064487B"/>
    <w:rsid w:val="0064530E"/>
    <w:rsid w:val="00651770"/>
    <w:rsid w:val="00653E8D"/>
    <w:rsid w:val="00654549"/>
    <w:rsid w:val="00657D1C"/>
    <w:rsid w:val="00662109"/>
    <w:rsid w:val="00664D0A"/>
    <w:rsid w:val="0066722B"/>
    <w:rsid w:val="00667EBE"/>
    <w:rsid w:val="006710BF"/>
    <w:rsid w:val="006711DB"/>
    <w:rsid w:val="0067502C"/>
    <w:rsid w:val="00675790"/>
    <w:rsid w:val="00677B2B"/>
    <w:rsid w:val="00680D86"/>
    <w:rsid w:val="006816C2"/>
    <w:rsid w:val="00682560"/>
    <w:rsid w:val="00682C6D"/>
    <w:rsid w:val="00683694"/>
    <w:rsid w:val="00686F76"/>
    <w:rsid w:val="00691A1F"/>
    <w:rsid w:val="00695714"/>
    <w:rsid w:val="00696619"/>
    <w:rsid w:val="0069679B"/>
    <w:rsid w:val="00697F4C"/>
    <w:rsid w:val="006A12FF"/>
    <w:rsid w:val="006A36C3"/>
    <w:rsid w:val="006A5481"/>
    <w:rsid w:val="006B03DA"/>
    <w:rsid w:val="006B0E8A"/>
    <w:rsid w:val="006B3FEF"/>
    <w:rsid w:val="006B514C"/>
    <w:rsid w:val="006B7C34"/>
    <w:rsid w:val="006C0D51"/>
    <w:rsid w:val="006C1864"/>
    <w:rsid w:val="006C532E"/>
    <w:rsid w:val="006C6025"/>
    <w:rsid w:val="006C64A9"/>
    <w:rsid w:val="006C67DB"/>
    <w:rsid w:val="006C69A0"/>
    <w:rsid w:val="006C7D6F"/>
    <w:rsid w:val="006D524A"/>
    <w:rsid w:val="006D6869"/>
    <w:rsid w:val="006D6D6B"/>
    <w:rsid w:val="006D74F4"/>
    <w:rsid w:val="006E1283"/>
    <w:rsid w:val="006E3AF7"/>
    <w:rsid w:val="006E40AF"/>
    <w:rsid w:val="006E62A6"/>
    <w:rsid w:val="006E6FD8"/>
    <w:rsid w:val="006E71B1"/>
    <w:rsid w:val="006F59E5"/>
    <w:rsid w:val="0070064B"/>
    <w:rsid w:val="00703651"/>
    <w:rsid w:val="00703FB7"/>
    <w:rsid w:val="00704F6D"/>
    <w:rsid w:val="007111D0"/>
    <w:rsid w:val="00711BA1"/>
    <w:rsid w:val="00721EEB"/>
    <w:rsid w:val="007224C7"/>
    <w:rsid w:val="00725EBA"/>
    <w:rsid w:val="00730DFC"/>
    <w:rsid w:val="00731E8F"/>
    <w:rsid w:val="007345CB"/>
    <w:rsid w:val="00737447"/>
    <w:rsid w:val="00737F7F"/>
    <w:rsid w:val="00742E2A"/>
    <w:rsid w:val="00743723"/>
    <w:rsid w:val="00745FC1"/>
    <w:rsid w:val="00750F7F"/>
    <w:rsid w:val="007518C8"/>
    <w:rsid w:val="00754719"/>
    <w:rsid w:val="00754A23"/>
    <w:rsid w:val="007556C0"/>
    <w:rsid w:val="0075635B"/>
    <w:rsid w:val="0075683B"/>
    <w:rsid w:val="00756A74"/>
    <w:rsid w:val="007643C2"/>
    <w:rsid w:val="00766BF4"/>
    <w:rsid w:val="0077018E"/>
    <w:rsid w:val="00770323"/>
    <w:rsid w:val="00770BD1"/>
    <w:rsid w:val="00770DCA"/>
    <w:rsid w:val="0077570C"/>
    <w:rsid w:val="00776280"/>
    <w:rsid w:val="00777005"/>
    <w:rsid w:val="00784BB5"/>
    <w:rsid w:val="007851F0"/>
    <w:rsid w:val="00787DA8"/>
    <w:rsid w:val="00787EE3"/>
    <w:rsid w:val="00791146"/>
    <w:rsid w:val="00791976"/>
    <w:rsid w:val="007919B9"/>
    <w:rsid w:val="00794E1C"/>
    <w:rsid w:val="007A075A"/>
    <w:rsid w:val="007A1D9A"/>
    <w:rsid w:val="007A3063"/>
    <w:rsid w:val="007A3264"/>
    <w:rsid w:val="007B0032"/>
    <w:rsid w:val="007B1F68"/>
    <w:rsid w:val="007B4709"/>
    <w:rsid w:val="007B617A"/>
    <w:rsid w:val="007C12AC"/>
    <w:rsid w:val="007C49A6"/>
    <w:rsid w:val="007D2847"/>
    <w:rsid w:val="007D2C28"/>
    <w:rsid w:val="007E0F01"/>
    <w:rsid w:val="007E16F8"/>
    <w:rsid w:val="007E2FD0"/>
    <w:rsid w:val="007E3327"/>
    <w:rsid w:val="007E5526"/>
    <w:rsid w:val="007E6775"/>
    <w:rsid w:val="007E7124"/>
    <w:rsid w:val="007E762B"/>
    <w:rsid w:val="0080001E"/>
    <w:rsid w:val="0080010E"/>
    <w:rsid w:val="008015F2"/>
    <w:rsid w:val="00804068"/>
    <w:rsid w:val="0080458B"/>
    <w:rsid w:val="00807C18"/>
    <w:rsid w:val="00811F62"/>
    <w:rsid w:val="008124C0"/>
    <w:rsid w:val="008142E2"/>
    <w:rsid w:val="008146FC"/>
    <w:rsid w:val="00816C51"/>
    <w:rsid w:val="00817E0C"/>
    <w:rsid w:val="00820D27"/>
    <w:rsid w:val="00824A2D"/>
    <w:rsid w:val="00825870"/>
    <w:rsid w:val="00832C4C"/>
    <w:rsid w:val="0083715E"/>
    <w:rsid w:val="00837711"/>
    <w:rsid w:val="0084567F"/>
    <w:rsid w:val="0084733C"/>
    <w:rsid w:val="008474BD"/>
    <w:rsid w:val="00850F68"/>
    <w:rsid w:val="00853D81"/>
    <w:rsid w:val="00854D98"/>
    <w:rsid w:val="00856793"/>
    <w:rsid w:val="0085792D"/>
    <w:rsid w:val="00863C63"/>
    <w:rsid w:val="0087073A"/>
    <w:rsid w:val="00875137"/>
    <w:rsid w:val="00877F22"/>
    <w:rsid w:val="008838AB"/>
    <w:rsid w:val="00884738"/>
    <w:rsid w:val="00885312"/>
    <w:rsid w:val="0089014B"/>
    <w:rsid w:val="008934C5"/>
    <w:rsid w:val="00894209"/>
    <w:rsid w:val="008954E3"/>
    <w:rsid w:val="0089719F"/>
    <w:rsid w:val="00897A1A"/>
    <w:rsid w:val="008A2546"/>
    <w:rsid w:val="008A4D9B"/>
    <w:rsid w:val="008A5C14"/>
    <w:rsid w:val="008A66A4"/>
    <w:rsid w:val="008A75D3"/>
    <w:rsid w:val="008A7D28"/>
    <w:rsid w:val="008B16AF"/>
    <w:rsid w:val="008B2963"/>
    <w:rsid w:val="008B65F1"/>
    <w:rsid w:val="008B6D69"/>
    <w:rsid w:val="008C0651"/>
    <w:rsid w:val="008C2369"/>
    <w:rsid w:val="008C4DA2"/>
    <w:rsid w:val="008C4E8B"/>
    <w:rsid w:val="008C5C1F"/>
    <w:rsid w:val="008C6BE5"/>
    <w:rsid w:val="008C6C83"/>
    <w:rsid w:val="008C757F"/>
    <w:rsid w:val="008D1220"/>
    <w:rsid w:val="008D1724"/>
    <w:rsid w:val="008D4D5D"/>
    <w:rsid w:val="008D5FE3"/>
    <w:rsid w:val="008D625F"/>
    <w:rsid w:val="008E717A"/>
    <w:rsid w:val="008F0C53"/>
    <w:rsid w:val="008F0E3D"/>
    <w:rsid w:val="008F0E60"/>
    <w:rsid w:val="008F36DA"/>
    <w:rsid w:val="008F4021"/>
    <w:rsid w:val="008F4107"/>
    <w:rsid w:val="008F7457"/>
    <w:rsid w:val="00901132"/>
    <w:rsid w:val="00902F99"/>
    <w:rsid w:val="00906F98"/>
    <w:rsid w:val="009078F7"/>
    <w:rsid w:val="0091073A"/>
    <w:rsid w:val="0091135D"/>
    <w:rsid w:val="009113B4"/>
    <w:rsid w:val="00915ED8"/>
    <w:rsid w:val="00920A45"/>
    <w:rsid w:val="00921B20"/>
    <w:rsid w:val="009240E8"/>
    <w:rsid w:val="00924113"/>
    <w:rsid w:val="0092653E"/>
    <w:rsid w:val="00926F44"/>
    <w:rsid w:val="00927C28"/>
    <w:rsid w:val="00930A43"/>
    <w:rsid w:val="009310E2"/>
    <w:rsid w:val="009335A7"/>
    <w:rsid w:val="009341B5"/>
    <w:rsid w:val="00935D3D"/>
    <w:rsid w:val="0093629B"/>
    <w:rsid w:val="0094001A"/>
    <w:rsid w:val="0094660B"/>
    <w:rsid w:val="00946675"/>
    <w:rsid w:val="00947E74"/>
    <w:rsid w:val="0095226D"/>
    <w:rsid w:val="00953126"/>
    <w:rsid w:val="00953883"/>
    <w:rsid w:val="00954731"/>
    <w:rsid w:val="009647CE"/>
    <w:rsid w:val="009662AE"/>
    <w:rsid w:val="00970F31"/>
    <w:rsid w:val="00971290"/>
    <w:rsid w:val="009718BB"/>
    <w:rsid w:val="00972168"/>
    <w:rsid w:val="00973E50"/>
    <w:rsid w:val="00974E0A"/>
    <w:rsid w:val="00975D5A"/>
    <w:rsid w:val="0098051E"/>
    <w:rsid w:val="00980CA8"/>
    <w:rsid w:val="00983CDE"/>
    <w:rsid w:val="009846FE"/>
    <w:rsid w:val="00991933"/>
    <w:rsid w:val="00992B7B"/>
    <w:rsid w:val="00993D9F"/>
    <w:rsid w:val="009A417A"/>
    <w:rsid w:val="009A4B6D"/>
    <w:rsid w:val="009A4BDD"/>
    <w:rsid w:val="009A5698"/>
    <w:rsid w:val="009A7758"/>
    <w:rsid w:val="009B33A8"/>
    <w:rsid w:val="009B3F35"/>
    <w:rsid w:val="009C207A"/>
    <w:rsid w:val="009D047A"/>
    <w:rsid w:val="009D3A84"/>
    <w:rsid w:val="009D7CFC"/>
    <w:rsid w:val="009E100E"/>
    <w:rsid w:val="009E48D8"/>
    <w:rsid w:val="009E5566"/>
    <w:rsid w:val="009E5CFB"/>
    <w:rsid w:val="009E5E61"/>
    <w:rsid w:val="009F15CD"/>
    <w:rsid w:val="009F1A71"/>
    <w:rsid w:val="00A00439"/>
    <w:rsid w:val="00A0316F"/>
    <w:rsid w:val="00A03B7D"/>
    <w:rsid w:val="00A04F3C"/>
    <w:rsid w:val="00A050BB"/>
    <w:rsid w:val="00A05B1F"/>
    <w:rsid w:val="00A074A5"/>
    <w:rsid w:val="00A1110E"/>
    <w:rsid w:val="00A11D50"/>
    <w:rsid w:val="00A150D6"/>
    <w:rsid w:val="00A21714"/>
    <w:rsid w:val="00A279B6"/>
    <w:rsid w:val="00A3052E"/>
    <w:rsid w:val="00A32B92"/>
    <w:rsid w:val="00A32BF3"/>
    <w:rsid w:val="00A33521"/>
    <w:rsid w:val="00A340A4"/>
    <w:rsid w:val="00A440FD"/>
    <w:rsid w:val="00A45FD9"/>
    <w:rsid w:val="00A46101"/>
    <w:rsid w:val="00A510DE"/>
    <w:rsid w:val="00A514AE"/>
    <w:rsid w:val="00A522EF"/>
    <w:rsid w:val="00A52DDA"/>
    <w:rsid w:val="00A5322B"/>
    <w:rsid w:val="00A54041"/>
    <w:rsid w:val="00A55AD7"/>
    <w:rsid w:val="00A5767E"/>
    <w:rsid w:val="00A6200B"/>
    <w:rsid w:val="00A64C9F"/>
    <w:rsid w:val="00A65B21"/>
    <w:rsid w:val="00A72E69"/>
    <w:rsid w:val="00A736C8"/>
    <w:rsid w:val="00A750E7"/>
    <w:rsid w:val="00A7727E"/>
    <w:rsid w:val="00A774E4"/>
    <w:rsid w:val="00A77EC7"/>
    <w:rsid w:val="00A822A6"/>
    <w:rsid w:val="00A83EBB"/>
    <w:rsid w:val="00A87739"/>
    <w:rsid w:val="00A87F26"/>
    <w:rsid w:val="00A911D8"/>
    <w:rsid w:val="00A91261"/>
    <w:rsid w:val="00A93A5F"/>
    <w:rsid w:val="00A95CC3"/>
    <w:rsid w:val="00A977C4"/>
    <w:rsid w:val="00A97B84"/>
    <w:rsid w:val="00AA0433"/>
    <w:rsid w:val="00AA0F6D"/>
    <w:rsid w:val="00AA178A"/>
    <w:rsid w:val="00AA21BE"/>
    <w:rsid w:val="00AA255F"/>
    <w:rsid w:val="00AA6071"/>
    <w:rsid w:val="00AA66EE"/>
    <w:rsid w:val="00AA6FDB"/>
    <w:rsid w:val="00AA77A2"/>
    <w:rsid w:val="00AB0012"/>
    <w:rsid w:val="00AB0E5F"/>
    <w:rsid w:val="00AB3B5F"/>
    <w:rsid w:val="00AB6E00"/>
    <w:rsid w:val="00AC134B"/>
    <w:rsid w:val="00AC6993"/>
    <w:rsid w:val="00AC6A90"/>
    <w:rsid w:val="00AD1EEE"/>
    <w:rsid w:val="00AD366C"/>
    <w:rsid w:val="00AD4AF0"/>
    <w:rsid w:val="00AD4B38"/>
    <w:rsid w:val="00AD51AA"/>
    <w:rsid w:val="00AD60E8"/>
    <w:rsid w:val="00AE0C0D"/>
    <w:rsid w:val="00AE6260"/>
    <w:rsid w:val="00AF044A"/>
    <w:rsid w:val="00AF087E"/>
    <w:rsid w:val="00AF16BD"/>
    <w:rsid w:val="00AF3522"/>
    <w:rsid w:val="00AF7070"/>
    <w:rsid w:val="00AF739A"/>
    <w:rsid w:val="00B02CAE"/>
    <w:rsid w:val="00B0588F"/>
    <w:rsid w:val="00B109BB"/>
    <w:rsid w:val="00B12E53"/>
    <w:rsid w:val="00B139F7"/>
    <w:rsid w:val="00B163C6"/>
    <w:rsid w:val="00B210C0"/>
    <w:rsid w:val="00B22044"/>
    <w:rsid w:val="00B265FE"/>
    <w:rsid w:val="00B31551"/>
    <w:rsid w:val="00B315BC"/>
    <w:rsid w:val="00B33952"/>
    <w:rsid w:val="00B33E8B"/>
    <w:rsid w:val="00B33F1D"/>
    <w:rsid w:val="00B360B4"/>
    <w:rsid w:val="00B36166"/>
    <w:rsid w:val="00B36514"/>
    <w:rsid w:val="00B40815"/>
    <w:rsid w:val="00B505A7"/>
    <w:rsid w:val="00B50D41"/>
    <w:rsid w:val="00B52932"/>
    <w:rsid w:val="00B53288"/>
    <w:rsid w:val="00B57319"/>
    <w:rsid w:val="00B579B4"/>
    <w:rsid w:val="00B61BED"/>
    <w:rsid w:val="00B62CCE"/>
    <w:rsid w:val="00B62DB0"/>
    <w:rsid w:val="00B66511"/>
    <w:rsid w:val="00B70C3C"/>
    <w:rsid w:val="00B754C7"/>
    <w:rsid w:val="00B762D9"/>
    <w:rsid w:val="00B77DE4"/>
    <w:rsid w:val="00B80E08"/>
    <w:rsid w:val="00B8304D"/>
    <w:rsid w:val="00B84772"/>
    <w:rsid w:val="00B86C54"/>
    <w:rsid w:val="00B871A1"/>
    <w:rsid w:val="00B87673"/>
    <w:rsid w:val="00B949F6"/>
    <w:rsid w:val="00B95D7F"/>
    <w:rsid w:val="00BA010B"/>
    <w:rsid w:val="00BB1A28"/>
    <w:rsid w:val="00BB1F61"/>
    <w:rsid w:val="00BB2783"/>
    <w:rsid w:val="00BB4DF4"/>
    <w:rsid w:val="00BB5C7A"/>
    <w:rsid w:val="00BC04D1"/>
    <w:rsid w:val="00BC29D3"/>
    <w:rsid w:val="00BC2B7A"/>
    <w:rsid w:val="00BE045D"/>
    <w:rsid w:val="00BE447D"/>
    <w:rsid w:val="00BE70E2"/>
    <w:rsid w:val="00BF10CB"/>
    <w:rsid w:val="00BF204B"/>
    <w:rsid w:val="00BF2BEA"/>
    <w:rsid w:val="00BF4421"/>
    <w:rsid w:val="00BF594D"/>
    <w:rsid w:val="00BF5B9A"/>
    <w:rsid w:val="00BF76A4"/>
    <w:rsid w:val="00BF7D2A"/>
    <w:rsid w:val="00C01046"/>
    <w:rsid w:val="00C04686"/>
    <w:rsid w:val="00C047FC"/>
    <w:rsid w:val="00C0481B"/>
    <w:rsid w:val="00C0497F"/>
    <w:rsid w:val="00C0620C"/>
    <w:rsid w:val="00C1448B"/>
    <w:rsid w:val="00C17690"/>
    <w:rsid w:val="00C2185F"/>
    <w:rsid w:val="00C227AF"/>
    <w:rsid w:val="00C22CEC"/>
    <w:rsid w:val="00C231DF"/>
    <w:rsid w:val="00C25BFE"/>
    <w:rsid w:val="00C279BB"/>
    <w:rsid w:val="00C30D99"/>
    <w:rsid w:val="00C31BB2"/>
    <w:rsid w:val="00C3378F"/>
    <w:rsid w:val="00C36DB9"/>
    <w:rsid w:val="00C371B1"/>
    <w:rsid w:val="00C37EE3"/>
    <w:rsid w:val="00C41812"/>
    <w:rsid w:val="00C501B6"/>
    <w:rsid w:val="00C51B02"/>
    <w:rsid w:val="00C541BF"/>
    <w:rsid w:val="00C5598C"/>
    <w:rsid w:val="00C60B4E"/>
    <w:rsid w:val="00C6248C"/>
    <w:rsid w:val="00C64E20"/>
    <w:rsid w:val="00C65B0F"/>
    <w:rsid w:val="00C65CA1"/>
    <w:rsid w:val="00C6763F"/>
    <w:rsid w:val="00C75080"/>
    <w:rsid w:val="00C77338"/>
    <w:rsid w:val="00C82228"/>
    <w:rsid w:val="00C85936"/>
    <w:rsid w:val="00C87CE0"/>
    <w:rsid w:val="00C91364"/>
    <w:rsid w:val="00C91E4D"/>
    <w:rsid w:val="00C929A9"/>
    <w:rsid w:val="00C95B2C"/>
    <w:rsid w:val="00C97C02"/>
    <w:rsid w:val="00CA0951"/>
    <w:rsid w:val="00CA2F1B"/>
    <w:rsid w:val="00CA3FB7"/>
    <w:rsid w:val="00CA5FEF"/>
    <w:rsid w:val="00CA6992"/>
    <w:rsid w:val="00CA6EE2"/>
    <w:rsid w:val="00CB1CD0"/>
    <w:rsid w:val="00CB271A"/>
    <w:rsid w:val="00CB3561"/>
    <w:rsid w:val="00CB5BE2"/>
    <w:rsid w:val="00CB6C0C"/>
    <w:rsid w:val="00CB766E"/>
    <w:rsid w:val="00CC0F49"/>
    <w:rsid w:val="00CC12C6"/>
    <w:rsid w:val="00CC22FA"/>
    <w:rsid w:val="00CC37EE"/>
    <w:rsid w:val="00CC3AA7"/>
    <w:rsid w:val="00CC3EB2"/>
    <w:rsid w:val="00CC444C"/>
    <w:rsid w:val="00CC5ABB"/>
    <w:rsid w:val="00CD0CA2"/>
    <w:rsid w:val="00CD1E5B"/>
    <w:rsid w:val="00CD4F29"/>
    <w:rsid w:val="00CD6162"/>
    <w:rsid w:val="00CD7FCC"/>
    <w:rsid w:val="00CE0BA7"/>
    <w:rsid w:val="00CE2FB2"/>
    <w:rsid w:val="00CE63AC"/>
    <w:rsid w:val="00CE7A88"/>
    <w:rsid w:val="00CF2931"/>
    <w:rsid w:val="00CF44B0"/>
    <w:rsid w:val="00CF57AA"/>
    <w:rsid w:val="00CF6AA1"/>
    <w:rsid w:val="00CF6B30"/>
    <w:rsid w:val="00CF724C"/>
    <w:rsid w:val="00CF75A9"/>
    <w:rsid w:val="00D04268"/>
    <w:rsid w:val="00D06600"/>
    <w:rsid w:val="00D10100"/>
    <w:rsid w:val="00D106A7"/>
    <w:rsid w:val="00D10AFA"/>
    <w:rsid w:val="00D119B6"/>
    <w:rsid w:val="00D11EE3"/>
    <w:rsid w:val="00D12F7B"/>
    <w:rsid w:val="00D1340F"/>
    <w:rsid w:val="00D158C4"/>
    <w:rsid w:val="00D209ED"/>
    <w:rsid w:val="00D23043"/>
    <w:rsid w:val="00D24074"/>
    <w:rsid w:val="00D24B37"/>
    <w:rsid w:val="00D24B42"/>
    <w:rsid w:val="00D32B01"/>
    <w:rsid w:val="00D336ED"/>
    <w:rsid w:val="00D341F2"/>
    <w:rsid w:val="00D3548D"/>
    <w:rsid w:val="00D40AE9"/>
    <w:rsid w:val="00D41F3A"/>
    <w:rsid w:val="00D42E34"/>
    <w:rsid w:val="00D4516A"/>
    <w:rsid w:val="00D45A76"/>
    <w:rsid w:val="00D47F5F"/>
    <w:rsid w:val="00D5379F"/>
    <w:rsid w:val="00D53AA4"/>
    <w:rsid w:val="00D562A5"/>
    <w:rsid w:val="00D5709A"/>
    <w:rsid w:val="00D578EE"/>
    <w:rsid w:val="00D62FA1"/>
    <w:rsid w:val="00D63D5C"/>
    <w:rsid w:val="00D66F50"/>
    <w:rsid w:val="00D66F8E"/>
    <w:rsid w:val="00D72FB0"/>
    <w:rsid w:val="00D74501"/>
    <w:rsid w:val="00D74BE9"/>
    <w:rsid w:val="00D75CD5"/>
    <w:rsid w:val="00D7712D"/>
    <w:rsid w:val="00D7799A"/>
    <w:rsid w:val="00D808BE"/>
    <w:rsid w:val="00D8129B"/>
    <w:rsid w:val="00D814CC"/>
    <w:rsid w:val="00D816F1"/>
    <w:rsid w:val="00D820C4"/>
    <w:rsid w:val="00D90194"/>
    <w:rsid w:val="00D9069C"/>
    <w:rsid w:val="00D90909"/>
    <w:rsid w:val="00D90B9C"/>
    <w:rsid w:val="00D90FE5"/>
    <w:rsid w:val="00D93D04"/>
    <w:rsid w:val="00D94597"/>
    <w:rsid w:val="00D96481"/>
    <w:rsid w:val="00D973DC"/>
    <w:rsid w:val="00DA52CA"/>
    <w:rsid w:val="00DA66FA"/>
    <w:rsid w:val="00DB162D"/>
    <w:rsid w:val="00DB1655"/>
    <w:rsid w:val="00DB21F5"/>
    <w:rsid w:val="00DB36D2"/>
    <w:rsid w:val="00DB5F58"/>
    <w:rsid w:val="00DB6586"/>
    <w:rsid w:val="00DC1D38"/>
    <w:rsid w:val="00DC41A4"/>
    <w:rsid w:val="00DC4C5D"/>
    <w:rsid w:val="00DC57A2"/>
    <w:rsid w:val="00DC5D9D"/>
    <w:rsid w:val="00DC602C"/>
    <w:rsid w:val="00DD01C3"/>
    <w:rsid w:val="00DD0F44"/>
    <w:rsid w:val="00DD30AB"/>
    <w:rsid w:val="00DD5F66"/>
    <w:rsid w:val="00DD792D"/>
    <w:rsid w:val="00DE0D00"/>
    <w:rsid w:val="00DE1076"/>
    <w:rsid w:val="00DE79F1"/>
    <w:rsid w:val="00DF1BAF"/>
    <w:rsid w:val="00DF286B"/>
    <w:rsid w:val="00DF4EBF"/>
    <w:rsid w:val="00DF63BD"/>
    <w:rsid w:val="00DF7037"/>
    <w:rsid w:val="00DF7501"/>
    <w:rsid w:val="00E0421E"/>
    <w:rsid w:val="00E0466F"/>
    <w:rsid w:val="00E04FAC"/>
    <w:rsid w:val="00E07E20"/>
    <w:rsid w:val="00E10CA6"/>
    <w:rsid w:val="00E11664"/>
    <w:rsid w:val="00E165F0"/>
    <w:rsid w:val="00E16627"/>
    <w:rsid w:val="00E16B82"/>
    <w:rsid w:val="00E170FF"/>
    <w:rsid w:val="00E21335"/>
    <w:rsid w:val="00E2597C"/>
    <w:rsid w:val="00E2638A"/>
    <w:rsid w:val="00E30664"/>
    <w:rsid w:val="00E30E43"/>
    <w:rsid w:val="00E42FA5"/>
    <w:rsid w:val="00E445AB"/>
    <w:rsid w:val="00E45131"/>
    <w:rsid w:val="00E47B58"/>
    <w:rsid w:val="00E507DC"/>
    <w:rsid w:val="00E52528"/>
    <w:rsid w:val="00E52F48"/>
    <w:rsid w:val="00E55302"/>
    <w:rsid w:val="00E56563"/>
    <w:rsid w:val="00E5676B"/>
    <w:rsid w:val="00E61D5A"/>
    <w:rsid w:val="00E6496C"/>
    <w:rsid w:val="00E7498F"/>
    <w:rsid w:val="00E751AF"/>
    <w:rsid w:val="00E76E27"/>
    <w:rsid w:val="00E82305"/>
    <w:rsid w:val="00E85789"/>
    <w:rsid w:val="00E8799C"/>
    <w:rsid w:val="00E90491"/>
    <w:rsid w:val="00E93379"/>
    <w:rsid w:val="00E94C4C"/>
    <w:rsid w:val="00E97DFB"/>
    <w:rsid w:val="00EA0C0A"/>
    <w:rsid w:val="00EA2C1F"/>
    <w:rsid w:val="00EA4182"/>
    <w:rsid w:val="00EA5018"/>
    <w:rsid w:val="00EA56FE"/>
    <w:rsid w:val="00EB4378"/>
    <w:rsid w:val="00EB4D4B"/>
    <w:rsid w:val="00EB5231"/>
    <w:rsid w:val="00EB6AAE"/>
    <w:rsid w:val="00EC4C44"/>
    <w:rsid w:val="00EC63B8"/>
    <w:rsid w:val="00EC762E"/>
    <w:rsid w:val="00EC79B1"/>
    <w:rsid w:val="00ED20E9"/>
    <w:rsid w:val="00ED2E38"/>
    <w:rsid w:val="00ED2F20"/>
    <w:rsid w:val="00ED5F4E"/>
    <w:rsid w:val="00ED6B26"/>
    <w:rsid w:val="00EE010E"/>
    <w:rsid w:val="00EE055F"/>
    <w:rsid w:val="00EE4396"/>
    <w:rsid w:val="00EE47D6"/>
    <w:rsid w:val="00EF3F18"/>
    <w:rsid w:val="00EF48C0"/>
    <w:rsid w:val="00EF5BE1"/>
    <w:rsid w:val="00EF679B"/>
    <w:rsid w:val="00F03C94"/>
    <w:rsid w:val="00F06DC8"/>
    <w:rsid w:val="00F11A71"/>
    <w:rsid w:val="00F13674"/>
    <w:rsid w:val="00F1415C"/>
    <w:rsid w:val="00F14407"/>
    <w:rsid w:val="00F17FE1"/>
    <w:rsid w:val="00F204BD"/>
    <w:rsid w:val="00F20A27"/>
    <w:rsid w:val="00F216CC"/>
    <w:rsid w:val="00F22174"/>
    <w:rsid w:val="00F226B4"/>
    <w:rsid w:val="00F24625"/>
    <w:rsid w:val="00F24660"/>
    <w:rsid w:val="00F24D9C"/>
    <w:rsid w:val="00F252DF"/>
    <w:rsid w:val="00F25485"/>
    <w:rsid w:val="00F258D3"/>
    <w:rsid w:val="00F266B4"/>
    <w:rsid w:val="00F27B3D"/>
    <w:rsid w:val="00F3026B"/>
    <w:rsid w:val="00F31CC6"/>
    <w:rsid w:val="00F32D77"/>
    <w:rsid w:val="00F33882"/>
    <w:rsid w:val="00F35011"/>
    <w:rsid w:val="00F360AB"/>
    <w:rsid w:val="00F372E5"/>
    <w:rsid w:val="00F37F6E"/>
    <w:rsid w:val="00F405AC"/>
    <w:rsid w:val="00F416DC"/>
    <w:rsid w:val="00F44370"/>
    <w:rsid w:val="00F443B8"/>
    <w:rsid w:val="00F51DC4"/>
    <w:rsid w:val="00F537C3"/>
    <w:rsid w:val="00F53E99"/>
    <w:rsid w:val="00F56F8F"/>
    <w:rsid w:val="00F62169"/>
    <w:rsid w:val="00F62504"/>
    <w:rsid w:val="00F63725"/>
    <w:rsid w:val="00F74790"/>
    <w:rsid w:val="00F76F86"/>
    <w:rsid w:val="00F8338F"/>
    <w:rsid w:val="00F83A4D"/>
    <w:rsid w:val="00F83E21"/>
    <w:rsid w:val="00F8435F"/>
    <w:rsid w:val="00F85DDE"/>
    <w:rsid w:val="00F8628F"/>
    <w:rsid w:val="00F86B52"/>
    <w:rsid w:val="00F906C6"/>
    <w:rsid w:val="00F91606"/>
    <w:rsid w:val="00F92F55"/>
    <w:rsid w:val="00F92F65"/>
    <w:rsid w:val="00FA2FF3"/>
    <w:rsid w:val="00FA33AC"/>
    <w:rsid w:val="00FA5B7B"/>
    <w:rsid w:val="00FA69E1"/>
    <w:rsid w:val="00FA767E"/>
    <w:rsid w:val="00FA7CCF"/>
    <w:rsid w:val="00FA7EF2"/>
    <w:rsid w:val="00FB4778"/>
    <w:rsid w:val="00FB539A"/>
    <w:rsid w:val="00FC2B80"/>
    <w:rsid w:val="00FC4139"/>
    <w:rsid w:val="00FC437F"/>
    <w:rsid w:val="00FC439E"/>
    <w:rsid w:val="00FC44AB"/>
    <w:rsid w:val="00FD1B9C"/>
    <w:rsid w:val="00FD2D19"/>
    <w:rsid w:val="00FD3F1B"/>
    <w:rsid w:val="00FD44B4"/>
    <w:rsid w:val="00FD4978"/>
    <w:rsid w:val="00FD61BB"/>
    <w:rsid w:val="00FD6B76"/>
    <w:rsid w:val="00FE0371"/>
    <w:rsid w:val="00FE1382"/>
    <w:rsid w:val="00FE2A00"/>
    <w:rsid w:val="00FE2D79"/>
    <w:rsid w:val="00FE452D"/>
    <w:rsid w:val="00FF2350"/>
    <w:rsid w:val="00FF513C"/>
    <w:rsid w:val="00FF571C"/>
    <w:rsid w:val="00FF6354"/>
    <w:rsid w:val="00FF7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680B8E"/>
  <w15:chartTrackingRefBased/>
  <w15:docId w15:val="{BB5D04D1-A7AF-405E-96C6-3584CD92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C29"/>
    <w:pPr>
      <w:widowControl w:val="0"/>
      <w:jc w:val="both"/>
    </w:pPr>
  </w:style>
  <w:style w:type="paragraph" w:styleId="1">
    <w:name w:val="heading 1"/>
    <w:basedOn w:val="a"/>
    <w:next w:val="a"/>
    <w:link w:val="10"/>
    <w:uiPriority w:val="9"/>
    <w:qFormat/>
    <w:rsid w:val="001D4C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1D4C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D4C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4C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4C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4C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4C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4C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4C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4CD3"/>
    <w:rPr>
      <w:rFonts w:asciiTheme="majorHAnsi" w:eastAsiaTheme="majorEastAsia" w:hAnsiTheme="majorHAnsi" w:cstheme="majorBidi"/>
      <w:color w:val="000000" w:themeColor="text1"/>
      <w:sz w:val="32"/>
      <w:szCs w:val="32"/>
    </w:rPr>
  </w:style>
  <w:style w:type="character" w:customStyle="1" w:styleId="20">
    <w:name w:val="标题 2 字符"/>
    <w:basedOn w:val="a0"/>
    <w:link w:val="2"/>
    <w:uiPriority w:val="9"/>
    <w:rsid w:val="001D4CD3"/>
    <w:rPr>
      <w:rFonts w:asciiTheme="majorHAnsi" w:eastAsiaTheme="majorEastAsia" w:hAnsiTheme="majorHAnsi" w:cstheme="majorBidi"/>
      <w:color w:val="000000" w:themeColor="text1"/>
      <w:sz w:val="28"/>
      <w:szCs w:val="28"/>
    </w:rPr>
  </w:style>
  <w:style w:type="character" w:customStyle="1" w:styleId="30">
    <w:name w:val="标题 3 字符"/>
    <w:basedOn w:val="a0"/>
    <w:link w:val="3"/>
    <w:uiPriority w:val="9"/>
    <w:rsid w:val="001D4CD3"/>
    <w:rPr>
      <w:rFonts w:asciiTheme="majorHAnsi" w:eastAsiaTheme="majorEastAsia" w:hAnsiTheme="majorHAnsi" w:cstheme="majorBidi"/>
      <w:color w:val="000000" w:themeColor="text1"/>
      <w:sz w:val="24"/>
      <w:szCs w:val="24"/>
    </w:rPr>
  </w:style>
  <w:style w:type="character" w:customStyle="1" w:styleId="40">
    <w:name w:val="标题 4 字符"/>
    <w:basedOn w:val="a0"/>
    <w:link w:val="4"/>
    <w:uiPriority w:val="9"/>
    <w:semiHidden/>
    <w:rsid w:val="001D4CD3"/>
    <w:rPr>
      <w:rFonts w:asciiTheme="majorHAnsi" w:eastAsiaTheme="majorEastAsia" w:hAnsiTheme="majorHAnsi" w:cstheme="majorBidi"/>
      <w:color w:val="000000" w:themeColor="text1"/>
    </w:rPr>
  </w:style>
  <w:style w:type="character" w:customStyle="1" w:styleId="50">
    <w:name w:val="标题 5 字符"/>
    <w:basedOn w:val="a0"/>
    <w:link w:val="5"/>
    <w:uiPriority w:val="9"/>
    <w:semiHidden/>
    <w:rsid w:val="001D4CD3"/>
    <w:rPr>
      <w:rFonts w:asciiTheme="majorHAnsi" w:eastAsiaTheme="majorEastAsia" w:hAnsiTheme="majorHAnsi" w:cstheme="majorBidi"/>
      <w:color w:val="000000" w:themeColor="text1"/>
    </w:rPr>
  </w:style>
  <w:style w:type="character" w:customStyle="1" w:styleId="60">
    <w:name w:val="标题 6 字符"/>
    <w:basedOn w:val="a0"/>
    <w:link w:val="6"/>
    <w:uiPriority w:val="9"/>
    <w:semiHidden/>
    <w:rsid w:val="001D4CD3"/>
    <w:rPr>
      <w:rFonts w:asciiTheme="majorHAnsi" w:eastAsiaTheme="majorEastAsia" w:hAnsiTheme="majorHAnsi" w:cstheme="majorBidi"/>
      <w:color w:val="000000" w:themeColor="text1"/>
    </w:rPr>
  </w:style>
  <w:style w:type="character" w:customStyle="1" w:styleId="70">
    <w:name w:val="标题 7 字符"/>
    <w:basedOn w:val="a0"/>
    <w:link w:val="7"/>
    <w:uiPriority w:val="9"/>
    <w:semiHidden/>
    <w:rsid w:val="001D4CD3"/>
    <w:rPr>
      <w:rFonts w:asciiTheme="majorHAnsi" w:eastAsiaTheme="majorEastAsia" w:hAnsiTheme="majorHAnsi" w:cstheme="majorBidi"/>
      <w:color w:val="000000" w:themeColor="text1"/>
    </w:rPr>
  </w:style>
  <w:style w:type="character" w:customStyle="1" w:styleId="80">
    <w:name w:val="标题 8 字符"/>
    <w:basedOn w:val="a0"/>
    <w:link w:val="8"/>
    <w:uiPriority w:val="9"/>
    <w:semiHidden/>
    <w:rsid w:val="001D4CD3"/>
    <w:rPr>
      <w:rFonts w:asciiTheme="majorHAnsi" w:eastAsiaTheme="majorEastAsia" w:hAnsiTheme="majorHAnsi" w:cstheme="majorBidi"/>
      <w:color w:val="000000" w:themeColor="text1"/>
    </w:rPr>
  </w:style>
  <w:style w:type="character" w:customStyle="1" w:styleId="90">
    <w:name w:val="标题 9 字符"/>
    <w:basedOn w:val="a0"/>
    <w:link w:val="9"/>
    <w:uiPriority w:val="9"/>
    <w:semiHidden/>
    <w:rsid w:val="001D4C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4C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D4C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4C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D4C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4CD3"/>
    <w:pPr>
      <w:spacing w:before="160" w:after="160"/>
      <w:jc w:val="center"/>
    </w:pPr>
    <w:rPr>
      <w:i/>
      <w:iCs/>
      <w:color w:val="404040" w:themeColor="text1" w:themeTint="BF"/>
    </w:rPr>
  </w:style>
  <w:style w:type="character" w:customStyle="1" w:styleId="a8">
    <w:name w:val="引用 字符"/>
    <w:basedOn w:val="a0"/>
    <w:link w:val="a7"/>
    <w:uiPriority w:val="29"/>
    <w:rsid w:val="001D4CD3"/>
    <w:rPr>
      <w:i/>
      <w:iCs/>
      <w:color w:val="404040" w:themeColor="text1" w:themeTint="BF"/>
    </w:rPr>
  </w:style>
  <w:style w:type="paragraph" w:styleId="a9">
    <w:name w:val="List Paragraph"/>
    <w:basedOn w:val="a"/>
    <w:uiPriority w:val="34"/>
    <w:qFormat/>
    <w:rsid w:val="001D4CD3"/>
    <w:pPr>
      <w:ind w:left="720"/>
      <w:contextualSpacing/>
    </w:pPr>
  </w:style>
  <w:style w:type="character" w:styleId="aa">
    <w:name w:val="Intense Emphasis"/>
    <w:basedOn w:val="a0"/>
    <w:uiPriority w:val="21"/>
    <w:qFormat/>
    <w:rsid w:val="001D4CD3"/>
    <w:rPr>
      <w:i/>
      <w:iCs/>
      <w:color w:val="0F4761" w:themeColor="accent1" w:themeShade="BF"/>
    </w:rPr>
  </w:style>
  <w:style w:type="paragraph" w:styleId="ab">
    <w:name w:val="Intense Quote"/>
    <w:basedOn w:val="a"/>
    <w:next w:val="a"/>
    <w:link w:val="ac"/>
    <w:uiPriority w:val="30"/>
    <w:qFormat/>
    <w:rsid w:val="001D4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D4CD3"/>
    <w:rPr>
      <w:i/>
      <w:iCs/>
      <w:color w:val="0F4761" w:themeColor="accent1" w:themeShade="BF"/>
    </w:rPr>
  </w:style>
  <w:style w:type="character" w:styleId="ad">
    <w:name w:val="Intense Reference"/>
    <w:basedOn w:val="a0"/>
    <w:uiPriority w:val="32"/>
    <w:qFormat/>
    <w:rsid w:val="001D4CD3"/>
    <w:rPr>
      <w:b/>
      <w:bCs/>
      <w:smallCaps/>
      <w:color w:val="0F4761" w:themeColor="accent1" w:themeShade="BF"/>
      <w:spacing w:val="5"/>
    </w:rPr>
  </w:style>
  <w:style w:type="character" w:styleId="ae">
    <w:name w:val="line number"/>
    <w:basedOn w:val="a0"/>
    <w:uiPriority w:val="99"/>
    <w:semiHidden/>
    <w:unhideWhenUsed/>
    <w:rsid w:val="001D4CD3"/>
  </w:style>
  <w:style w:type="paragraph" w:styleId="af">
    <w:name w:val="header"/>
    <w:basedOn w:val="a"/>
    <w:link w:val="af0"/>
    <w:uiPriority w:val="99"/>
    <w:unhideWhenUsed/>
    <w:rsid w:val="001D4CD3"/>
    <w:pPr>
      <w:tabs>
        <w:tab w:val="center" w:pos="4252"/>
        <w:tab w:val="right" w:pos="8504"/>
      </w:tabs>
      <w:snapToGrid w:val="0"/>
    </w:pPr>
  </w:style>
  <w:style w:type="character" w:customStyle="1" w:styleId="af0">
    <w:name w:val="页眉 字符"/>
    <w:basedOn w:val="a0"/>
    <w:link w:val="af"/>
    <w:uiPriority w:val="99"/>
    <w:rsid w:val="001D4CD3"/>
  </w:style>
  <w:style w:type="paragraph" w:styleId="af1">
    <w:name w:val="footer"/>
    <w:basedOn w:val="a"/>
    <w:link w:val="af2"/>
    <w:uiPriority w:val="99"/>
    <w:unhideWhenUsed/>
    <w:rsid w:val="001D4CD3"/>
    <w:pPr>
      <w:tabs>
        <w:tab w:val="center" w:pos="4252"/>
        <w:tab w:val="right" w:pos="8504"/>
      </w:tabs>
      <w:snapToGrid w:val="0"/>
    </w:pPr>
  </w:style>
  <w:style w:type="character" w:customStyle="1" w:styleId="af2">
    <w:name w:val="页脚 字符"/>
    <w:basedOn w:val="a0"/>
    <w:link w:val="af1"/>
    <w:uiPriority w:val="99"/>
    <w:rsid w:val="001D4CD3"/>
  </w:style>
  <w:style w:type="paragraph" w:customStyle="1" w:styleId="EndNoteBibliographyTitle">
    <w:name w:val="EndNote Bibliography Title"/>
    <w:basedOn w:val="a"/>
    <w:link w:val="EndNoteBibliographyTitle0"/>
    <w:rsid w:val="00754719"/>
    <w:pPr>
      <w:jc w:val="center"/>
    </w:pPr>
    <w:rPr>
      <w:rFonts w:ascii="Yu Mincho" w:eastAsia="Yu Mincho" w:hAnsi="Yu Mincho"/>
      <w:noProof/>
      <w:sz w:val="20"/>
    </w:rPr>
  </w:style>
  <w:style w:type="character" w:customStyle="1" w:styleId="EndNoteBibliographyTitle0">
    <w:name w:val="EndNote Bibliography Title (文字)"/>
    <w:basedOn w:val="a0"/>
    <w:link w:val="EndNoteBibliographyTitle"/>
    <w:rsid w:val="00754719"/>
    <w:rPr>
      <w:rFonts w:ascii="Yu Mincho" w:eastAsia="Yu Mincho" w:hAnsi="Yu Mincho"/>
      <w:noProof/>
      <w:sz w:val="20"/>
    </w:rPr>
  </w:style>
  <w:style w:type="paragraph" w:customStyle="1" w:styleId="EndNoteBibliography">
    <w:name w:val="EndNote Bibliography"/>
    <w:basedOn w:val="a"/>
    <w:link w:val="EndNoteBibliography0"/>
    <w:rsid w:val="00754719"/>
    <w:rPr>
      <w:rFonts w:ascii="Yu Mincho" w:eastAsia="Yu Mincho" w:hAnsi="Yu Mincho"/>
      <w:noProof/>
      <w:sz w:val="20"/>
    </w:rPr>
  </w:style>
  <w:style w:type="character" w:customStyle="1" w:styleId="EndNoteBibliography0">
    <w:name w:val="EndNote Bibliography (文字)"/>
    <w:basedOn w:val="a0"/>
    <w:link w:val="EndNoteBibliography"/>
    <w:rsid w:val="00754719"/>
    <w:rPr>
      <w:rFonts w:ascii="Yu Mincho" w:eastAsia="Yu Mincho" w:hAnsi="Yu Mincho"/>
      <w:noProof/>
      <w:sz w:val="20"/>
    </w:rPr>
  </w:style>
  <w:style w:type="paragraph" w:styleId="af3">
    <w:name w:val="Revision"/>
    <w:hidden/>
    <w:uiPriority w:val="99"/>
    <w:semiHidden/>
    <w:rsid w:val="00A5322B"/>
  </w:style>
  <w:style w:type="character" w:styleId="af4">
    <w:name w:val="annotation reference"/>
    <w:basedOn w:val="a0"/>
    <w:uiPriority w:val="99"/>
    <w:semiHidden/>
    <w:unhideWhenUsed/>
    <w:rsid w:val="00F405AC"/>
    <w:rPr>
      <w:sz w:val="18"/>
      <w:szCs w:val="18"/>
    </w:rPr>
  </w:style>
  <w:style w:type="paragraph" w:styleId="af5">
    <w:name w:val="annotation text"/>
    <w:basedOn w:val="a"/>
    <w:link w:val="af6"/>
    <w:uiPriority w:val="99"/>
    <w:unhideWhenUsed/>
    <w:rsid w:val="00F405AC"/>
    <w:pPr>
      <w:jc w:val="left"/>
    </w:pPr>
  </w:style>
  <w:style w:type="character" w:customStyle="1" w:styleId="af6">
    <w:name w:val="批注文字 字符"/>
    <w:basedOn w:val="a0"/>
    <w:link w:val="af5"/>
    <w:uiPriority w:val="99"/>
    <w:rsid w:val="00F405AC"/>
  </w:style>
  <w:style w:type="paragraph" w:styleId="af7">
    <w:name w:val="annotation subject"/>
    <w:basedOn w:val="af5"/>
    <w:next w:val="af5"/>
    <w:link w:val="af8"/>
    <w:uiPriority w:val="99"/>
    <w:semiHidden/>
    <w:unhideWhenUsed/>
    <w:rsid w:val="00F405AC"/>
    <w:rPr>
      <w:b/>
      <w:bCs/>
    </w:rPr>
  </w:style>
  <w:style w:type="character" w:customStyle="1" w:styleId="af8">
    <w:name w:val="批注主题 字符"/>
    <w:basedOn w:val="af6"/>
    <w:link w:val="af7"/>
    <w:uiPriority w:val="99"/>
    <w:semiHidden/>
    <w:rsid w:val="00F405AC"/>
    <w:rPr>
      <w:b/>
      <w:bCs/>
    </w:rPr>
  </w:style>
  <w:style w:type="table" w:styleId="af9">
    <w:name w:val="Table Grid"/>
    <w:basedOn w:val="a1"/>
    <w:uiPriority w:val="39"/>
    <w:rsid w:val="0026733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0"/>
    <w:uiPriority w:val="99"/>
    <w:unhideWhenUsed/>
    <w:rsid w:val="00787EE3"/>
    <w:rPr>
      <w:color w:val="0000FF"/>
      <w:u w:val="single"/>
    </w:rPr>
  </w:style>
  <w:style w:type="paragraph" w:customStyle="1" w:styleId="MDPI51figurecaption">
    <w:name w:val="MDPI_5.1_figure_caption"/>
    <w:qFormat/>
    <w:rsid w:val="006B0E8A"/>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14:ligatures w14:val="standardContextual"/>
    </w:rPr>
  </w:style>
  <w:style w:type="paragraph" w:styleId="afb">
    <w:name w:val="Bibliography"/>
    <w:basedOn w:val="a"/>
    <w:next w:val="a"/>
    <w:uiPriority w:val="37"/>
    <w:unhideWhenUsed/>
    <w:rsid w:val="00053A51"/>
    <w:pPr>
      <w:ind w:left="720" w:hanging="720"/>
    </w:pPr>
    <w:rPr>
      <w:lang w:eastAsia="zh-CN"/>
    </w:rPr>
  </w:style>
  <w:style w:type="character" w:styleId="afc">
    <w:name w:val="Unresolved Mention"/>
    <w:basedOn w:val="a0"/>
    <w:uiPriority w:val="99"/>
    <w:semiHidden/>
    <w:unhideWhenUsed/>
    <w:rsid w:val="001C7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5612">
      <w:bodyDiv w:val="1"/>
      <w:marLeft w:val="0"/>
      <w:marRight w:val="0"/>
      <w:marTop w:val="0"/>
      <w:marBottom w:val="0"/>
      <w:divBdr>
        <w:top w:val="none" w:sz="0" w:space="0" w:color="auto"/>
        <w:left w:val="none" w:sz="0" w:space="0" w:color="auto"/>
        <w:bottom w:val="none" w:sz="0" w:space="0" w:color="auto"/>
        <w:right w:val="none" w:sz="0" w:space="0" w:color="auto"/>
      </w:divBdr>
    </w:div>
    <w:div w:id="185020754">
      <w:bodyDiv w:val="1"/>
      <w:marLeft w:val="0"/>
      <w:marRight w:val="0"/>
      <w:marTop w:val="0"/>
      <w:marBottom w:val="0"/>
      <w:divBdr>
        <w:top w:val="none" w:sz="0" w:space="0" w:color="auto"/>
        <w:left w:val="none" w:sz="0" w:space="0" w:color="auto"/>
        <w:bottom w:val="none" w:sz="0" w:space="0" w:color="auto"/>
        <w:right w:val="none" w:sz="0" w:space="0" w:color="auto"/>
      </w:divBdr>
    </w:div>
    <w:div w:id="281310043">
      <w:bodyDiv w:val="1"/>
      <w:marLeft w:val="0"/>
      <w:marRight w:val="0"/>
      <w:marTop w:val="0"/>
      <w:marBottom w:val="0"/>
      <w:divBdr>
        <w:top w:val="none" w:sz="0" w:space="0" w:color="auto"/>
        <w:left w:val="none" w:sz="0" w:space="0" w:color="auto"/>
        <w:bottom w:val="none" w:sz="0" w:space="0" w:color="auto"/>
        <w:right w:val="none" w:sz="0" w:space="0" w:color="auto"/>
      </w:divBdr>
    </w:div>
    <w:div w:id="283198374">
      <w:bodyDiv w:val="1"/>
      <w:marLeft w:val="0"/>
      <w:marRight w:val="0"/>
      <w:marTop w:val="0"/>
      <w:marBottom w:val="0"/>
      <w:divBdr>
        <w:top w:val="none" w:sz="0" w:space="0" w:color="auto"/>
        <w:left w:val="none" w:sz="0" w:space="0" w:color="auto"/>
        <w:bottom w:val="none" w:sz="0" w:space="0" w:color="auto"/>
        <w:right w:val="none" w:sz="0" w:space="0" w:color="auto"/>
      </w:divBdr>
      <w:divsChild>
        <w:div w:id="1599753265">
          <w:marLeft w:val="0"/>
          <w:marRight w:val="0"/>
          <w:marTop w:val="0"/>
          <w:marBottom w:val="0"/>
          <w:divBdr>
            <w:top w:val="none" w:sz="0" w:space="0" w:color="auto"/>
            <w:left w:val="none" w:sz="0" w:space="0" w:color="auto"/>
            <w:bottom w:val="none" w:sz="0" w:space="0" w:color="auto"/>
            <w:right w:val="none" w:sz="0" w:space="0" w:color="auto"/>
          </w:divBdr>
        </w:div>
        <w:div w:id="452675755">
          <w:marLeft w:val="0"/>
          <w:marRight w:val="0"/>
          <w:marTop w:val="0"/>
          <w:marBottom w:val="0"/>
          <w:divBdr>
            <w:top w:val="none" w:sz="0" w:space="0" w:color="auto"/>
            <w:left w:val="none" w:sz="0" w:space="0" w:color="auto"/>
            <w:bottom w:val="none" w:sz="0" w:space="0" w:color="auto"/>
            <w:right w:val="none" w:sz="0" w:space="0" w:color="auto"/>
          </w:divBdr>
        </w:div>
        <w:div w:id="2003658985">
          <w:marLeft w:val="0"/>
          <w:marRight w:val="0"/>
          <w:marTop w:val="0"/>
          <w:marBottom w:val="0"/>
          <w:divBdr>
            <w:top w:val="none" w:sz="0" w:space="0" w:color="auto"/>
            <w:left w:val="none" w:sz="0" w:space="0" w:color="auto"/>
            <w:bottom w:val="none" w:sz="0" w:space="0" w:color="auto"/>
            <w:right w:val="none" w:sz="0" w:space="0" w:color="auto"/>
          </w:divBdr>
        </w:div>
        <w:div w:id="1188253322">
          <w:marLeft w:val="0"/>
          <w:marRight w:val="0"/>
          <w:marTop w:val="0"/>
          <w:marBottom w:val="0"/>
          <w:divBdr>
            <w:top w:val="none" w:sz="0" w:space="0" w:color="auto"/>
            <w:left w:val="none" w:sz="0" w:space="0" w:color="auto"/>
            <w:bottom w:val="none" w:sz="0" w:space="0" w:color="auto"/>
            <w:right w:val="none" w:sz="0" w:space="0" w:color="auto"/>
          </w:divBdr>
        </w:div>
        <w:div w:id="453253568">
          <w:marLeft w:val="0"/>
          <w:marRight w:val="0"/>
          <w:marTop w:val="0"/>
          <w:marBottom w:val="0"/>
          <w:divBdr>
            <w:top w:val="none" w:sz="0" w:space="0" w:color="auto"/>
            <w:left w:val="none" w:sz="0" w:space="0" w:color="auto"/>
            <w:bottom w:val="none" w:sz="0" w:space="0" w:color="auto"/>
            <w:right w:val="none" w:sz="0" w:space="0" w:color="auto"/>
          </w:divBdr>
        </w:div>
        <w:div w:id="1975674370">
          <w:marLeft w:val="0"/>
          <w:marRight w:val="0"/>
          <w:marTop w:val="0"/>
          <w:marBottom w:val="0"/>
          <w:divBdr>
            <w:top w:val="none" w:sz="0" w:space="0" w:color="auto"/>
            <w:left w:val="none" w:sz="0" w:space="0" w:color="auto"/>
            <w:bottom w:val="none" w:sz="0" w:space="0" w:color="auto"/>
            <w:right w:val="none" w:sz="0" w:space="0" w:color="auto"/>
          </w:divBdr>
        </w:div>
        <w:div w:id="216356629">
          <w:marLeft w:val="0"/>
          <w:marRight w:val="0"/>
          <w:marTop w:val="0"/>
          <w:marBottom w:val="0"/>
          <w:divBdr>
            <w:top w:val="none" w:sz="0" w:space="0" w:color="auto"/>
            <w:left w:val="none" w:sz="0" w:space="0" w:color="auto"/>
            <w:bottom w:val="none" w:sz="0" w:space="0" w:color="auto"/>
            <w:right w:val="none" w:sz="0" w:space="0" w:color="auto"/>
          </w:divBdr>
        </w:div>
        <w:div w:id="1863009872">
          <w:marLeft w:val="0"/>
          <w:marRight w:val="0"/>
          <w:marTop w:val="0"/>
          <w:marBottom w:val="0"/>
          <w:divBdr>
            <w:top w:val="none" w:sz="0" w:space="0" w:color="auto"/>
            <w:left w:val="none" w:sz="0" w:space="0" w:color="auto"/>
            <w:bottom w:val="none" w:sz="0" w:space="0" w:color="auto"/>
            <w:right w:val="none" w:sz="0" w:space="0" w:color="auto"/>
          </w:divBdr>
        </w:div>
        <w:div w:id="323046079">
          <w:marLeft w:val="0"/>
          <w:marRight w:val="0"/>
          <w:marTop w:val="0"/>
          <w:marBottom w:val="0"/>
          <w:divBdr>
            <w:top w:val="none" w:sz="0" w:space="0" w:color="auto"/>
            <w:left w:val="none" w:sz="0" w:space="0" w:color="auto"/>
            <w:bottom w:val="none" w:sz="0" w:space="0" w:color="auto"/>
            <w:right w:val="none" w:sz="0" w:space="0" w:color="auto"/>
          </w:divBdr>
        </w:div>
      </w:divsChild>
    </w:div>
    <w:div w:id="312178070">
      <w:bodyDiv w:val="1"/>
      <w:marLeft w:val="0"/>
      <w:marRight w:val="0"/>
      <w:marTop w:val="0"/>
      <w:marBottom w:val="0"/>
      <w:divBdr>
        <w:top w:val="none" w:sz="0" w:space="0" w:color="auto"/>
        <w:left w:val="none" w:sz="0" w:space="0" w:color="auto"/>
        <w:bottom w:val="none" w:sz="0" w:space="0" w:color="auto"/>
        <w:right w:val="none" w:sz="0" w:space="0" w:color="auto"/>
      </w:divBdr>
    </w:div>
    <w:div w:id="327490490">
      <w:bodyDiv w:val="1"/>
      <w:marLeft w:val="0"/>
      <w:marRight w:val="0"/>
      <w:marTop w:val="0"/>
      <w:marBottom w:val="0"/>
      <w:divBdr>
        <w:top w:val="none" w:sz="0" w:space="0" w:color="auto"/>
        <w:left w:val="none" w:sz="0" w:space="0" w:color="auto"/>
        <w:bottom w:val="none" w:sz="0" w:space="0" w:color="auto"/>
        <w:right w:val="none" w:sz="0" w:space="0" w:color="auto"/>
      </w:divBdr>
    </w:div>
    <w:div w:id="334572720">
      <w:bodyDiv w:val="1"/>
      <w:marLeft w:val="0"/>
      <w:marRight w:val="0"/>
      <w:marTop w:val="0"/>
      <w:marBottom w:val="0"/>
      <w:divBdr>
        <w:top w:val="none" w:sz="0" w:space="0" w:color="auto"/>
        <w:left w:val="none" w:sz="0" w:space="0" w:color="auto"/>
        <w:bottom w:val="none" w:sz="0" w:space="0" w:color="auto"/>
        <w:right w:val="none" w:sz="0" w:space="0" w:color="auto"/>
      </w:divBdr>
    </w:div>
    <w:div w:id="335764959">
      <w:bodyDiv w:val="1"/>
      <w:marLeft w:val="0"/>
      <w:marRight w:val="0"/>
      <w:marTop w:val="0"/>
      <w:marBottom w:val="0"/>
      <w:divBdr>
        <w:top w:val="none" w:sz="0" w:space="0" w:color="auto"/>
        <w:left w:val="none" w:sz="0" w:space="0" w:color="auto"/>
        <w:bottom w:val="none" w:sz="0" w:space="0" w:color="auto"/>
        <w:right w:val="none" w:sz="0" w:space="0" w:color="auto"/>
      </w:divBdr>
    </w:div>
    <w:div w:id="346760874">
      <w:bodyDiv w:val="1"/>
      <w:marLeft w:val="0"/>
      <w:marRight w:val="0"/>
      <w:marTop w:val="0"/>
      <w:marBottom w:val="0"/>
      <w:divBdr>
        <w:top w:val="none" w:sz="0" w:space="0" w:color="auto"/>
        <w:left w:val="none" w:sz="0" w:space="0" w:color="auto"/>
        <w:bottom w:val="none" w:sz="0" w:space="0" w:color="auto"/>
        <w:right w:val="none" w:sz="0" w:space="0" w:color="auto"/>
      </w:divBdr>
    </w:div>
    <w:div w:id="364333202">
      <w:bodyDiv w:val="1"/>
      <w:marLeft w:val="0"/>
      <w:marRight w:val="0"/>
      <w:marTop w:val="0"/>
      <w:marBottom w:val="0"/>
      <w:divBdr>
        <w:top w:val="none" w:sz="0" w:space="0" w:color="auto"/>
        <w:left w:val="none" w:sz="0" w:space="0" w:color="auto"/>
        <w:bottom w:val="none" w:sz="0" w:space="0" w:color="auto"/>
        <w:right w:val="none" w:sz="0" w:space="0" w:color="auto"/>
      </w:divBdr>
    </w:div>
    <w:div w:id="458231007">
      <w:bodyDiv w:val="1"/>
      <w:marLeft w:val="0"/>
      <w:marRight w:val="0"/>
      <w:marTop w:val="0"/>
      <w:marBottom w:val="0"/>
      <w:divBdr>
        <w:top w:val="none" w:sz="0" w:space="0" w:color="auto"/>
        <w:left w:val="none" w:sz="0" w:space="0" w:color="auto"/>
        <w:bottom w:val="none" w:sz="0" w:space="0" w:color="auto"/>
        <w:right w:val="none" w:sz="0" w:space="0" w:color="auto"/>
      </w:divBdr>
    </w:div>
    <w:div w:id="562453483">
      <w:bodyDiv w:val="1"/>
      <w:marLeft w:val="0"/>
      <w:marRight w:val="0"/>
      <w:marTop w:val="0"/>
      <w:marBottom w:val="0"/>
      <w:divBdr>
        <w:top w:val="none" w:sz="0" w:space="0" w:color="auto"/>
        <w:left w:val="none" w:sz="0" w:space="0" w:color="auto"/>
        <w:bottom w:val="none" w:sz="0" w:space="0" w:color="auto"/>
        <w:right w:val="none" w:sz="0" w:space="0" w:color="auto"/>
      </w:divBdr>
    </w:div>
    <w:div w:id="684215021">
      <w:bodyDiv w:val="1"/>
      <w:marLeft w:val="0"/>
      <w:marRight w:val="0"/>
      <w:marTop w:val="0"/>
      <w:marBottom w:val="0"/>
      <w:divBdr>
        <w:top w:val="none" w:sz="0" w:space="0" w:color="auto"/>
        <w:left w:val="none" w:sz="0" w:space="0" w:color="auto"/>
        <w:bottom w:val="none" w:sz="0" w:space="0" w:color="auto"/>
        <w:right w:val="none" w:sz="0" w:space="0" w:color="auto"/>
      </w:divBdr>
    </w:div>
    <w:div w:id="719129853">
      <w:bodyDiv w:val="1"/>
      <w:marLeft w:val="0"/>
      <w:marRight w:val="0"/>
      <w:marTop w:val="0"/>
      <w:marBottom w:val="0"/>
      <w:divBdr>
        <w:top w:val="none" w:sz="0" w:space="0" w:color="auto"/>
        <w:left w:val="none" w:sz="0" w:space="0" w:color="auto"/>
        <w:bottom w:val="none" w:sz="0" w:space="0" w:color="auto"/>
        <w:right w:val="none" w:sz="0" w:space="0" w:color="auto"/>
      </w:divBdr>
    </w:div>
    <w:div w:id="832450998">
      <w:bodyDiv w:val="1"/>
      <w:marLeft w:val="0"/>
      <w:marRight w:val="0"/>
      <w:marTop w:val="0"/>
      <w:marBottom w:val="0"/>
      <w:divBdr>
        <w:top w:val="none" w:sz="0" w:space="0" w:color="auto"/>
        <w:left w:val="none" w:sz="0" w:space="0" w:color="auto"/>
        <w:bottom w:val="none" w:sz="0" w:space="0" w:color="auto"/>
        <w:right w:val="none" w:sz="0" w:space="0" w:color="auto"/>
      </w:divBdr>
      <w:divsChild>
        <w:div w:id="463543916">
          <w:marLeft w:val="0"/>
          <w:marRight w:val="0"/>
          <w:marTop w:val="0"/>
          <w:marBottom w:val="0"/>
          <w:divBdr>
            <w:top w:val="none" w:sz="0" w:space="0" w:color="auto"/>
            <w:left w:val="none" w:sz="0" w:space="0" w:color="auto"/>
            <w:bottom w:val="none" w:sz="0" w:space="0" w:color="auto"/>
            <w:right w:val="none" w:sz="0" w:space="0" w:color="auto"/>
          </w:divBdr>
          <w:divsChild>
            <w:div w:id="845630910">
              <w:marLeft w:val="0"/>
              <w:marRight w:val="0"/>
              <w:marTop w:val="0"/>
              <w:marBottom w:val="0"/>
              <w:divBdr>
                <w:top w:val="none" w:sz="0" w:space="0" w:color="auto"/>
                <w:left w:val="none" w:sz="0" w:space="0" w:color="auto"/>
                <w:bottom w:val="none" w:sz="0" w:space="0" w:color="auto"/>
                <w:right w:val="none" w:sz="0" w:space="0" w:color="auto"/>
              </w:divBdr>
              <w:divsChild>
                <w:div w:id="146215395">
                  <w:marLeft w:val="0"/>
                  <w:marRight w:val="0"/>
                  <w:marTop w:val="0"/>
                  <w:marBottom w:val="0"/>
                  <w:divBdr>
                    <w:top w:val="none" w:sz="0" w:space="0" w:color="auto"/>
                    <w:left w:val="none" w:sz="0" w:space="0" w:color="auto"/>
                    <w:bottom w:val="none" w:sz="0" w:space="0" w:color="auto"/>
                    <w:right w:val="none" w:sz="0" w:space="0" w:color="auto"/>
                  </w:divBdr>
                  <w:divsChild>
                    <w:div w:id="1611819279">
                      <w:marLeft w:val="0"/>
                      <w:marRight w:val="0"/>
                      <w:marTop w:val="0"/>
                      <w:marBottom w:val="0"/>
                      <w:divBdr>
                        <w:top w:val="none" w:sz="0" w:space="0" w:color="auto"/>
                        <w:left w:val="none" w:sz="0" w:space="0" w:color="auto"/>
                        <w:bottom w:val="none" w:sz="0" w:space="0" w:color="auto"/>
                        <w:right w:val="none" w:sz="0" w:space="0" w:color="auto"/>
                      </w:divBdr>
                      <w:divsChild>
                        <w:div w:id="1561789386">
                          <w:marLeft w:val="0"/>
                          <w:marRight w:val="0"/>
                          <w:marTop w:val="0"/>
                          <w:marBottom w:val="0"/>
                          <w:divBdr>
                            <w:top w:val="none" w:sz="0" w:space="0" w:color="auto"/>
                            <w:left w:val="none" w:sz="0" w:space="0" w:color="auto"/>
                            <w:bottom w:val="none" w:sz="0" w:space="0" w:color="auto"/>
                            <w:right w:val="none" w:sz="0" w:space="0" w:color="auto"/>
                          </w:divBdr>
                          <w:divsChild>
                            <w:div w:id="17762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343168">
      <w:bodyDiv w:val="1"/>
      <w:marLeft w:val="0"/>
      <w:marRight w:val="0"/>
      <w:marTop w:val="0"/>
      <w:marBottom w:val="0"/>
      <w:divBdr>
        <w:top w:val="none" w:sz="0" w:space="0" w:color="auto"/>
        <w:left w:val="none" w:sz="0" w:space="0" w:color="auto"/>
        <w:bottom w:val="none" w:sz="0" w:space="0" w:color="auto"/>
        <w:right w:val="none" w:sz="0" w:space="0" w:color="auto"/>
      </w:divBdr>
    </w:div>
    <w:div w:id="1153644296">
      <w:bodyDiv w:val="1"/>
      <w:marLeft w:val="0"/>
      <w:marRight w:val="0"/>
      <w:marTop w:val="0"/>
      <w:marBottom w:val="0"/>
      <w:divBdr>
        <w:top w:val="none" w:sz="0" w:space="0" w:color="auto"/>
        <w:left w:val="none" w:sz="0" w:space="0" w:color="auto"/>
        <w:bottom w:val="none" w:sz="0" w:space="0" w:color="auto"/>
        <w:right w:val="none" w:sz="0" w:space="0" w:color="auto"/>
      </w:divBdr>
    </w:div>
    <w:div w:id="1465780980">
      <w:bodyDiv w:val="1"/>
      <w:marLeft w:val="0"/>
      <w:marRight w:val="0"/>
      <w:marTop w:val="0"/>
      <w:marBottom w:val="0"/>
      <w:divBdr>
        <w:top w:val="none" w:sz="0" w:space="0" w:color="auto"/>
        <w:left w:val="none" w:sz="0" w:space="0" w:color="auto"/>
        <w:bottom w:val="none" w:sz="0" w:space="0" w:color="auto"/>
        <w:right w:val="none" w:sz="0" w:space="0" w:color="auto"/>
      </w:divBdr>
    </w:div>
    <w:div w:id="1512186016">
      <w:bodyDiv w:val="1"/>
      <w:marLeft w:val="0"/>
      <w:marRight w:val="0"/>
      <w:marTop w:val="0"/>
      <w:marBottom w:val="0"/>
      <w:divBdr>
        <w:top w:val="none" w:sz="0" w:space="0" w:color="auto"/>
        <w:left w:val="none" w:sz="0" w:space="0" w:color="auto"/>
        <w:bottom w:val="none" w:sz="0" w:space="0" w:color="auto"/>
        <w:right w:val="none" w:sz="0" w:space="0" w:color="auto"/>
      </w:divBdr>
    </w:div>
    <w:div w:id="1631085559">
      <w:bodyDiv w:val="1"/>
      <w:marLeft w:val="0"/>
      <w:marRight w:val="0"/>
      <w:marTop w:val="0"/>
      <w:marBottom w:val="0"/>
      <w:divBdr>
        <w:top w:val="none" w:sz="0" w:space="0" w:color="auto"/>
        <w:left w:val="none" w:sz="0" w:space="0" w:color="auto"/>
        <w:bottom w:val="none" w:sz="0" w:space="0" w:color="auto"/>
        <w:right w:val="none" w:sz="0" w:space="0" w:color="auto"/>
      </w:divBdr>
    </w:div>
    <w:div w:id="1637100006">
      <w:bodyDiv w:val="1"/>
      <w:marLeft w:val="0"/>
      <w:marRight w:val="0"/>
      <w:marTop w:val="0"/>
      <w:marBottom w:val="0"/>
      <w:divBdr>
        <w:top w:val="none" w:sz="0" w:space="0" w:color="auto"/>
        <w:left w:val="none" w:sz="0" w:space="0" w:color="auto"/>
        <w:bottom w:val="none" w:sz="0" w:space="0" w:color="auto"/>
        <w:right w:val="none" w:sz="0" w:space="0" w:color="auto"/>
      </w:divBdr>
    </w:div>
    <w:div w:id="1643536351">
      <w:bodyDiv w:val="1"/>
      <w:marLeft w:val="0"/>
      <w:marRight w:val="0"/>
      <w:marTop w:val="0"/>
      <w:marBottom w:val="0"/>
      <w:divBdr>
        <w:top w:val="none" w:sz="0" w:space="0" w:color="auto"/>
        <w:left w:val="none" w:sz="0" w:space="0" w:color="auto"/>
        <w:bottom w:val="none" w:sz="0" w:space="0" w:color="auto"/>
        <w:right w:val="none" w:sz="0" w:space="0" w:color="auto"/>
      </w:divBdr>
    </w:div>
    <w:div w:id="1679699284">
      <w:bodyDiv w:val="1"/>
      <w:marLeft w:val="0"/>
      <w:marRight w:val="0"/>
      <w:marTop w:val="0"/>
      <w:marBottom w:val="0"/>
      <w:divBdr>
        <w:top w:val="none" w:sz="0" w:space="0" w:color="auto"/>
        <w:left w:val="none" w:sz="0" w:space="0" w:color="auto"/>
        <w:bottom w:val="none" w:sz="0" w:space="0" w:color="auto"/>
        <w:right w:val="none" w:sz="0" w:space="0" w:color="auto"/>
      </w:divBdr>
    </w:div>
    <w:div w:id="1814908757">
      <w:bodyDiv w:val="1"/>
      <w:marLeft w:val="0"/>
      <w:marRight w:val="0"/>
      <w:marTop w:val="0"/>
      <w:marBottom w:val="0"/>
      <w:divBdr>
        <w:top w:val="none" w:sz="0" w:space="0" w:color="auto"/>
        <w:left w:val="none" w:sz="0" w:space="0" w:color="auto"/>
        <w:bottom w:val="none" w:sz="0" w:space="0" w:color="auto"/>
        <w:right w:val="none" w:sz="0" w:space="0" w:color="auto"/>
      </w:divBdr>
    </w:div>
    <w:div w:id="1830553336">
      <w:bodyDiv w:val="1"/>
      <w:marLeft w:val="0"/>
      <w:marRight w:val="0"/>
      <w:marTop w:val="0"/>
      <w:marBottom w:val="0"/>
      <w:divBdr>
        <w:top w:val="none" w:sz="0" w:space="0" w:color="auto"/>
        <w:left w:val="none" w:sz="0" w:space="0" w:color="auto"/>
        <w:bottom w:val="none" w:sz="0" w:space="0" w:color="auto"/>
        <w:right w:val="none" w:sz="0" w:space="0" w:color="auto"/>
      </w:divBdr>
      <w:divsChild>
        <w:div w:id="396980682">
          <w:marLeft w:val="0"/>
          <w:marRight w:val="0"/>
          <w:marTop w:val="0"/>
          <w:marBottom w:val="0"/>
          <w:divBdr>
            <w:top w:val="none" w:sz="0" w:space="0" w:color="auto"/>
            <w:left w:val="none" w:sz="0" w:space="0" w:color="auto"/>
            <w:bottom w:val="none" w:sz="0" w:space="0" w:color="auto"/>
            <w:right w:val="none" w:sz="0" w:space="0" w:color="auto"/>
          </w:divBdr>
        </w:div>
        <w:div w:id="1822580893">
          <w:marLeft w:val="0"/>
          <w:marRight w:val="0"/>
          <w:marTop w:val="0"/>
          <w:marBottom w:val="0"/>
          <w:divBdr>
            <w:top w:val="none" w:sz="0" w:space="0" w:color="auto"/>
            <w:left w:val="none" w:sz="0" w:space="0" w:color="auto"/>
            <w:bottom w:val="none" w:sz="0" w:space="0" w:color="auto"/>
            <w:right w:val="none" w:sz="0" w:space="0" w:color="auto"/>
          </w:divBdr>
        </w:div>
        <w:div w:id="37242177">
          <w:marLeft w:val="0"/>
          <w:marRight w:val="0"/>
          <w:marTop w:val="0"/>
          <w:marBottom w:val="0"/>
          <w:divBdr>
            <w:top w:val="none" w:sz="0" w:space="0" w:color="auto"/>
            <w:left w:val="none" w:sz="0" w:space="0" w:color="auto"/>
            <w:bottom w:val="none" w:sz="0" w:space="0" w:color="auto"/>
            <w:right w:val="none" w:sz="0" w:space="0" w:color="auto"/>
          </w:divBdr>
        </w:div>
        <w:div w:id="1866289195">
          <w:marLeft w:val="0"/>
          <w:marRight w:val="0"/>
          <w:marTop w:val="0"/>
          <w:marBottom w:val="0"/>
          <w:divBdr>
            <w:top w:val="none" w:sz="0" w:space="0" w:color="auto"/>
            <w:left w:val="none" w:sz="0" w:space="0" w:color="auto"/>
            <w:bottom w:val="none" w:sz="0" w:space="0" w:color="auto"/>
            <w:right w:val="none" w:sz="0" w:space="0" w:color="auto"/>
          </w:divBdr>
        </w:div>
        <w:div w:id="751239524">
          <w:marLeft w:val="0"/>
          <w:marRight w:val="0"/>
          <w:marTop w:val="0"/>
          <w:marBottom w:val="0"/>
          <w:divBdr>
            <w:top w:val="none" w:sz="0" w:space="0" w:color="auto"/>
            <w:left w:val="none" w:sz="0" w:space="0" w:color="auto"/>
            <w:bottom w:val="none" w:sz="0" w:space="0" w:color="auto"/>
            <w:right w:val="none" w:sz="0" w:space="0" w:color="auto"/>
          </w:divBdr>
        </w:div>
        <w:div w:id="1632203653">
          <w:marLeft w:val="0"/>
          <w:marRight w:val="0"/>
          <w:marTop w:val="0"/>
          <w:marBottom w:val="0"/>
          <w:divBdr>
            <w:top w:val="none" w:sz="0" w:space="0" w:color="auto"/>
            <w:left w:val="none" w:sz="0" w:space="0" w:color="auto"/>
            <w:bottom w:val="none" w:sz="0" w:space="0" w:color="auto"/>
            <w:right w:val="none" w:sz="0" w:space="0" w:color="auto"/>
          </w:divBdr>
        </w:div>
        <w:div w:id="1570729031">
          <w:marLeft w:val="0"/>
          <w:marRight w:val="0"/>
          <w:marTop w:val="0"/>
          <w:marBottom w:val="0"/>
          <w:divBdr>
            <w:top w:val="none" w:sz="0" w:space="0" w:color="auto"/>
            <w:left w:val="none" w:sz="0" w:space="0" w:color="auto"/>
            <w:bottom w:val="none" w:sz="0" w:space="0" w:color="auto"/>
            <w:right w:val="none" w:sz="0" w:space="0" w:color="auto"/>
          </w:divBdr>
        </w:div>
        <w:div w:id="284116598">
          <w:marLeft w:val="0"/>
          <w:marRight w:val="0"/>
          <w:marTop w:val="0"/>
          <w:marBottom w:val="0"/>
          <w:divBdr>
            <w:top w:val="none" w:sz="0" w:space="0" w:color="auto"/>
            <w:left w:val="none" w:sz="0" w:space="0" w:color="auto"/>
            <w:bottom w:val="none" w:sz="0" w:space="0" w:color="auto"/>
            <w:right w:val="none" w:sz="0" w:space="0" w:color="auto"/>
          </w:divBdr>
        </w:div>
        <w:div w:id="782842566">
          <w:marLeft w:val="0"/>
          <w:marRight w:val="0"/>
          <w:marTop w:val="0"/>
          <w:marBottom w:val="0"/>
          <w:divBdr>
            <w:top w:val="none" w:sz="0" w:space="0" w:color="auto"/>
            <w:left w:val="none" w:sz="0" w:space="0" w:color="auto"/>
            <w:bottom w:val="none" w:sz="0" w:space="0" w:color="auto"/>
            <w:right w:val="none" w:sz="0" w:space="0" w:color="auto"/>
          </w:divBdr>
        </w:div>
      </w:divsChild>
    </w:div>
    <w:div w:id="1888057961">
      <w:bodyDiv w:val="1"/>
      <w:marLeft w:val="0"/>
      <w:marRight w:val="0"/>
      <w:marTop w:val="0"/>
      <w:marBottom w:val="0"/>
      <w:divBdr>
        <w:top w:val="none" w:sz="0" w:space="0" w:color="auto"/>
        <w:left w:val="none" w:sz="0" w:space="0" w:color="auto"/>
        <w:bottom w:val="none" w:sz="0" w:space="0" w:color="auto"/>
        <w:right w:val="none" w:sz="0" w:space="0" w:color="auto"/>
      </w:divBdr>
    </w:div>
    <w:div w:id="2029402846">
      <w:bodyDiv w:val="1"/>
      <w:marLeft w:val="0"/>
      <w:marRight w:val="0"/>
      <w:marTop w:val="0"/>
      <w:marBottom w:val="0"/>
      <w:divBdr>
        <w:top w:val="none" w:sz="0" w:space="0" w:color="auto"/>
        <w:left w:val="none" w:sz="0" w:space="0" w:color="auto"/>
        <w:bottom w:val="none" w:sz="0" w:space="0" w:color="auto"/>
        <w:right w:val="none" w:sz="0" w:space="0" w:color="auto"/>
      </w:divBdr>
    </w:div>
    <w:div w:id="2078630092">
      <w:bodyDiv w:val="1"/>
      <w:marLeft w:val="0"/>
      <w:marRight w:val="0"/>
      <w:marTop w:val="0"/>
      <w:marBottom w:val="0"/>
      <w:divBdr>
        <w:top w:val="none" w:sz="0" w:space="0" w:color="auto"/>
        <w:left w:val="none" w:sz="0" w:space="0" w:color="auto"/>
        <w:bottom w:val="none" w:sz="0" w:space="0" w:color="auto"/>
        <w:right w:val="none" w:sz="0" w:space="0" w:color="auto"/>
      </w:divBdr>
    </w:div>
    <w:div w:id="21162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6D4BE-3DEC-40AB-A09B-335C05DA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Pages>
  <Words>7757</Words>
  <Characters>44216</Characters>
  <Application>Microsoft Office Word</Application>
  <DocSecurity>0</DocSecurity>
  <Lines>368</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久木山直貴</dc:creator>
  <cp:keywords/>
  <dc:description/>
  <cp:lastModifiedBy>晓倩 董</cp:lastModifiedBy>
  <cp:revision>7</cp:revision>
  <dcterms:created xsi:type="dcterms:W3CDTF">2025-08-16T08:57:00Z</dcterms:created>
  <dcterms:modified xsi:type="dcterms:W3CDTF">2025-10-26T09:07:00Z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bcf40295-af40-4962-8f45-740ddb6ddfe7</vt:lpwstr>
  </property>
  <property fmtid="{D5CDD505-2E9C-101B-9397-08002B2CF9AE}" pid="3" name="ZOTERO_PREF_1">
    <vt:lpwstr>&lt;data data-version="3" zotero-version="6.0.36"&gt;&lt;session id="i9g0YaEx"/&gt;&lt;style id="http://www.zotero.org/styles/journal-of-affective-disorders" hasBibliography="1" bibliographyStyleHasBeenSet="1"/&gt;&lt;prefs&gt;&lt;pref name="fieldType" value="Field"/&gt;&lt;pref name="au</vt:lpwstr>
  </property>
  <property fmtid="{D5CDD505-2E9C-101B-9397-08002B2CF9AE}" pid="4" name="ZOTERO_PREF_2">
    <vt:lpwstr>tomaticJournalAbbreviations" value="true"/&gt;&lt;/prefs&gt;&lt;/data&gt;</vt:lpwstr>
  </property>
</Properties>
</file>