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710" w:rsidRPr="009212B7" w:rsidRDefault="004E3710" w:rsidP="004E3710">
      <w:pPr>
        <w:spacing w:line="259" w:lineRule="auto"/>
        <w:jc w:val="left"/>
        <w:rPr>
          <w:b/>
          <w:bCs/>
          <w:color w:val="000000" w:themeColor="text1"/>
        </w:rPr>
      </w:pPr>
      <w:r w:rsidRPr="009212B7">
        <w:rPr>
          <w:b/>
          <w:bCs/>
          <w:color w:val="000000" w:themeColor="text1"/>
        </w:rPr>
        <w:t>Additional Data</w:t>
      </w:r>
    </w:p>
    <w:p w:rsidR="004E3710" w:rsidRPr="009212B7" w:rsidRDefault="004E3710" w:rsidP="004E3710">
      <w:pPr>
        <w:spacing w:line="259" w:lineRule="auto"/>
        <w:jc w:val="left"/>
        <w:rPr>
          <w:b/>
          <w:bCs/>
          <w:color w:val="000000" w:themeColor="text1"/>
        </w:rPr>
      </w:pPr>
      <w:r w:rsidRPr="009212B7">
        <w:rPr>
          <w:b/>
          <w:bCs/>
          <w:color w:val="000000" w:themeColor="text1"/>
        </w:rPr>
        <w:t>Table S1</w:t>
      </w:r>
    </w:p>
    <w:tbl>
      <w:tblPr>
        <w:tblStyle w:val="PlainTable2"/>
        <w:tblW w:w="3739" w:type="pct"/>
        <w:tblLook w:val="0420" w:firstRow="1" w:lastRow="0" w:firstColumn="0" w:lastColumn="0" w:noHBand="0" w:noVBand="1"/>
      </w:tblPr>
      <w:tblGrid>
        <w:gridCol w:w="2213"/>
        <w:gridCol w:w="4698"/>
      </w:tblGrid>
      <w:tr w:rsidR="004E3710" w:rsidRPr="009212B7" w:rsidTr="009D12CA">
        <w:trPr>
          <w:cnfStyle w:val="100000000000" w:firstRow="1" w:lastRow="0" w:firstColumn="0" w:lastColumn="0" w:oddVBand="0" w:evenVBand="0" w:oddHBand="0" w:evenHBand="0" w:firstRowFirstColumn="0" w:firstRowLastColumn="0" w:lastRowFirstColumn="0" w:lastRowLastColumn="0"/>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Primer</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Sequence</w:t>
            </w:r>
          </w:p>
        </w:tc>
      </w:tr>
      <w:tr w:rsidR="004E3710" w:rsidRPr="009212B7" w:rsidTr="009D12CA">
        <w:trPr>
          <w:cnfStyle w:val="000000100000" w:firstRow="0" w:lastRow="0" w:firstColumn="0" w:lastColumn="0" w:oddVBand="0" w:evenVBand="0" w:oddHBand="1" w:evenHBand="0" w:firstRowFirstColumn="0" w:firstRowLastColumn="0" w:lastRowFirstColumn="0" w:lastRowLastColumn="0"/>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rpl13a_F</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TCTGGAGGACTGTAAGAGGTATGC</w:t>
            </w:r>
          </w:p>
        </w:tc>
      </w:tr>
      <w:tr w:rsidR="004E3710" w:rsidRPr="009212B7" w:rsidTr="009D12CA">
        <w:trPr>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rpl13a_R</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AGACGCACAATCTTGAGAGCAG</w:t>
            </w:r>
          </w:p>
        </w:tc>
      </w:tr>
      <w:tr w:rsidR="004E3710" w:rsidRPr="009212B7" w:rsidTr="009D12CA">
        <w:trPr>
          <w:cnfStyle w:val="000000100000" w:firstRow="0" w:lastRow="0" w:firstColumn="0" w:lastColumn="0" w:oddVBand="0" w:evenVBand="0" w:oddHBand="1" w:evenHBand="0" w:firstRowFirstColumn="0" w:firstRowLastColumn="0" w:lastRowFirstColumn="0" w:lastRowLastColumn="0"/>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ncam3_F</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AAAGGGATTGACGAGGAGGC</w:t>
            </w:r>
          </w:p>
        </w:tc>
      </w:tr>
      <w:tr w:rsidR="004E3710" w:rsidRPr="009212B7" w:rsidTr="009D12CA">
        <w:trPr>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ncam3_R</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CGTGACCTCTGAATGAACGC</w:t>
            </w:r>
          </w:p>
        </w:tc>
      </w:tr>
      <w:tr w:rsidR="004E3710" w:rsidRPr="009212B7" w:rsidTr="009D12CA">
        <w:trPr>
          <w:cnfStyle w:val="000000100000" w:firstRow="0" w:lastRow="0" w:firstColumn="0" w:lastColumn="0" w:oddVBand="0" w:evenVBand="0" w:oddHBand="1" w:evenHBand="0" w:firstRowFirstColumn="0" w:firstRowLastColumn="0" w:lastRowFirstColumn="0" w:lastRowLastColumn="0"/>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cxcl13_F</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CCTGCATGAAAATTCCAGCTCAC</w:t>
            </w:r>
          </w:p>
        </w:tc>
      </w:tr>
      <w:tr w:rsidR="004E3710" w:rsidRPr="009212B7" w:rsidTr="009D12CA">
        <w:trPr>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cxcl13_R</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GTCTGACAGGGGAGGCATTT</w:t>
            </w:r>
          </w:p>
        </w:tc>
      </w:tr>
      <w:tr w:rsidR="004E3710" w:rsidRPr="009212B7" w:rsidTr="009D12CA">
        <w:trPr>
          <w:cnfStyle w:val="000000100000" w:firstRow="0" w:lastRow="0" w:firstColumn="0" w:lastColumn="0" w:oddVBand="0" w:evenVBand="0" w:oddHBand="1" w:evenHBand="0" w:firstRowFirstColumn="0" w:firstRowLastColumn="0" w:lastRowFirstColumn="0" w:lastRowLastColumn="0"/>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rig1_F</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TGTGGAGTGCAAACACGACT</w:t>
            </w:r>
          </w:p>
        </w:tc>
      </w:tr>
      <w:tr w:rsidR="004E3710" w:rsidRPr="009212B7" w:rsidTr="009D12CA">
        <w:trPr>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rig1_R</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ACTCTCGTATGGCGAACGTC</w:t>
            </w:r>
          </w:p>
        </w:tc>
      </w:tr>
      <w:tr w:rsidR="004E3710" w:rsidRPr="009212B7" w:rsidTr="009D12CA">
        <w:trPr>
          <w:cnfStyle w:val="000000100000" w:firstRow="0" w:lastRow="0" w:firstColumn="0" w:lastColumn="0" w:oddVBand="0" w:evenVBand="0" w:oddHBand="1" w:evenHBand="0" w:firstRowFirstColumn="0" w:firstRowLastColumn="0" w:lastRowFirstColumn="0" w:lastRowLastColumn="0"/>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rad54b_F</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ATATGACCCGAACGCACCAG</w:t>
            </w:r>
          </w:p>
        </w:tc>
      </w:tr>
      <w:tr w:rsidR="004E3710" w:rsidRPr="009212B7" w:rsidTr="009D12CA">
        <w:trPr>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rad54b_R</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CCACGCCCTCTTTCTGATGT</w:t>
            </w:r>
          </w:p>
        </w:tc>
      </w:tr>
      <w:tr w:rsidR="004E3710" w:rsidRPr="009212B7" w:rsidTr="009D12CA">
        <w:trPr>
          <w:cnfStyle w:val="000000100000" w:firstRow="0" w:lastRow="0" w:firstColumn="0" w:lastColumn="0" w:oddVBand="0" w:evenVBand="0" w:oddHBand="1" w:evenHBand="0" w:firstRowFirstColumn="0" w:firstRowLastColumn="0" w:lastRowFirstColumn="0" w:lastRowLastColumn="0"/>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fosb_F</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GGCCTTTTGCTTGCCTATCG</w:t>
            </w:r>
          </w:p>
        </w:tc>
      </w:tr>
      <w:tr w:rsidR="004E3710" w:rsidRPr="009212B7" w:rsidTr="009D12CA">
        <w:trPr>
          <w:trHeight w:val="285"/>
        </w:trPr>
        <w:tc>
          <w:tcPr>
            <w:tcW w:w="1601" w:type="pct"/>
            <w:noWrap/>
            <w:hideMark/>
          </w:tcPr>
          <w:p w:rsidR="004E3710" w:rsidRPr="009212B7" w:rsidRDefault="004E3710" w:rsidP="009D12CA">
            <w:pPr>
              <w:spacing w:line="259" w:lineRule="auto"/>
              <w:jc w:val="left"/>
              <w:rPr>
                <w:color w:val="000000" w:themeColor="text1"/>
              </w:rPr>
            </w:pPr>
            <w:r w:rsidRPr="009212B7">
              <w:rPr>
                <w:color w:val="000000" w:themeColor="text1"/>
              </w:rPr>
              <w:t>fosb_R</w:t>
            </w:r>
          </w:p>
        </w:tc>
        <w:tc>
          <w:tcPr>
            <w:tcW w:w="3399" w:type="pct"/>
            <w:noWrap/>
            <w:hideMark/>
          </w:tcPr>
          <w:p w:rsidR="004E3710" w:rsidRPr="009212B7" w:rsidRDefault="004E3710" w:rsidP="009D12CA">
            <w:pPr>
              <w:spacing w:line="259" w:lineRule="auto"/>
              <w:jc w:val="left"/>
              <w:rPr>
                <w:color w:val="000000" w:themeColor="text1"/>
              </w:rPr>
            </w:pPr>
            <w:r w:rsidRPr="009212B7">
              <w:rPr>
                <w:color w:val="000000" w:themeColor="text1"/>
              </w:rPr>
              <w:t>TGAAGTCGCACAGACGCTAA</w:t>
            </w:r>
          </w:p>
        </w:tc>
      </w:tr>
      <w:tr w:rsidR="004E3710" w:rsidRPr="009212B7" w:rsidTr="009D12CA">
        <w:trPr>
          <w:cnfStyle w:val="000000100000" w:firstRow="0" w:lastRow="0" w:firstColumn="0" w:lastColumn="0" w:oddVBand="0" w:evenVBand="0" w:oddHBand="1" w:evenHBand="0" w:firstRowFirstColumn="0" w:firstRowLastColumn="0" w:lastRowFirstColumn="0" w:lastRowLastColumn="0"/>
          <w:trHeight w:val="285"/>
        </w:trPr>
        <w:tc>
          <w:tcPr>
            <w:tcW w:w="1601" w:type="pct"/>
            <w:noWrap/>
          </w:tcPr>
          <w:p w:rsidR="004E3710" w:rsidRPr="009212B7" w:rsidRDefault="004E3710" w:rsidP="009D12CA">
            <w:pPr>
              <w:spacing w:line="259" w:lineRule="auto"/>
              <w:jc w:val="left"/>
              <w:rPr>
                <w:color w:val="000000" w:themeColor="text1"/>
              </w:rPr>
            </w:pPr>
            <w:r w:rsidRPr="009212B7">
              <w:rPr>
                <w:color w:val="000000" w:themeColor="text1"/>
              </w:rPr>
              <w:t>hmox1a_F</w:t>
            </w:r>
          </w:p>
        </w:tc>
        <w:tc>
          <w:tcPr>
            <w:tcW w:w="3399" w:type="pct"/>
            <w:noWrap/>
          </w:tcPr>
          <w:p w:rsidR="004E3710" w:rsidRPr="009212B7" w:rsidRDefault="004E3710" w:rsidP="009D12CA">
            <w:pPr>
              <w:spacing w:line="259" w:lineRule="auto"/>
              <w:jc w:val="left"/>
              <w:rPr>
                <w:color w:val="000000" w:themeColor="text1"/>
              </w:rPr>
            </w:pPr>
            <w:r w:rsidRPr="009212B7">
              <w:rPr>
                <w:color w:val="000000" w:themeColor="text1"/>
              </w:rPr>
              <w:t>GGACTTGGAGCACTTCTTCG</w:t>
            </w:r>
          </w:p>
        </w:tc>
      </w:tr>
      <w:tr w:rsidR="004E3710" w:rsidRPr="009212B7" w:rsidTr="009D12CA">
        <w:trPr>
          <w:trHeight w:val="285"/>
        </w:trPr>
        <w:tc>
          <w:tcPr>
            <w:tcW w:w="1601" w:type="pct"/>
            <w:noWrap/>
          </w:tcPr>
          <w:p w:rsidR="004E3710" w:rsidRPr="009212B7" w:rsidRDefault="004E3710" w:rsidP="009D12CA">
            <w:pPr>
              <w:spacing w:line="259" w:lineRule="auto"/>
              <w:jc w:val="left"/>
              <w:rPr>
                <w:color w:val="000000" w:themeColor="text1"/>
              </w:rPr>
            </w:pPr>
            <w:r w:rsidRPr="009212B7">
              <w:rPr>
                <w:color w:val="000000" w:themeColor="text1"/>
              </w:rPr>
              <w:t>hmox1a_R</w:t>
            </w:r>
          </w:p>
        </w:tc>
        <w:tc>
          <w:tcPr>
            <w:tcW w:w="3399" w:type="pct"/>
            <w:noWrap/>
          </w:tcPr>
          <w:p w:rsidR="004E3710" w:rsidRPr="009212B7" w:rsidRDefault="004E3710" w:rsidP="009D12CA">
            <w:pPr>
              <w:spacing w:line="259" w:lineRule="auto"/>
              <w:jc w:val="left"/>
              <w:rPr>
                <w:color w:val="000000" w:themeColor="text1"/>
              </w:rPr>
            </w:pPr>
            <w:r w:rsidRPr="009212B7">
              <w:rPr>
                <w:color w:val="000000" w:themeColor="text1"/>
              </w:rPr>
              <w:t>GGACTGCTCTTGCCAATCTC</w:t>
            </w:r>
          </w:p>
        </w:tc>
      </w:tr>
      <w:tr w:rsidR="004E3710" w:rsidRPr="009212B7" w:rsidTr="009D12CA">
        <w:trPr>
          <w:cnfStyle w:val="000000100000" w:firstRow="0" w:lastRow="0" w:firstColumn="0" w:lastColumn="0" w:oddVBand="0" w:evenVBand="0" w:oddHBand="1" w:evenHBand="0" w:firstRowFirstColumn="0" w:firstRowLastColumn="0" w:lastRowFirstColumn="0" w:lastRowLastColumn="0"/>
          <w:trHeight w:val="285"/>
        </w:trPr>
        <w:tc>
          <w:tcPr>
            <w:tcW w:w="1601" w:type="pct"/>
            <w:noWrap/>
          </w:tcPr>
          <w:p w:rsidR="004E3710" w:rsidRPr="009212B7" w:rsidRDefault="004E3710" w:rsidP="009D12CA">
            <w:pPr>
              <w:spacing w:line="259" w:lineRule="auto"/>
              <w:jc w:val="left"/>
              <w:rPr>
                <w:color w:val="000000" w:themeColor="text1"/>
              </w:rPr>
            </w:pPr>
            <w:r w:rsidRPr="009212B7">
              <w:rPr>
                <w:color w:val="000000" w:themeColor="text1"/>
              </w:rPr>
              <w:t>il6_F</w:t>
            </w:r>
          </w:p>
        </w:tc>
        <w:tc>
          <w:tcPr>
            <w:tcW w:w="3399" w:type="pct"/>
            <w:noWrap/>
          </w:tcPr>
          <w:p w:rsidR="004E3710" w:rsidRPr="009212B7" w:rsidRDefault="004E3710" w:rsidP="009D12CA">
            <w:pPr>
              <w:spacing w:line="259" w:lineRule="auto"/>
              <w:jc w:val="left"/>
              <w:rPr>
                <w:color w:val="000000" w:themeColor="text1"/>
              </w:rPr>
            </w:pPr>
            <w:r w:rsidRPr="009212B7">
              <w:rPr>
                <w:color w:val="000000" w:themeColor="text1"/>
              </w:rPr>
              <w:t>CACTCAGAGACGAGCAGTTTG</w:t>
            </w:r>
          </w:p>
        </w:tc>
      </w:tr>
      <w:tr w:rsidR="004E3710" w:rsidRPr="009212B7" w:rsidTr="009D12CA">
        <w:trPr>
          <w:trHeight w:val="285"/>
        </w:trPr>
        <w:tc>
          <w:tcPr>
            <w:tcW w:w="1601" w:type="pct"/>
            <w:noWrap/>
          </w:tcPr>
          <w:p w:rsidR="004E3710" w:rsidRPr="009212B7" w:rsidRDefault="004E3710" w:rsidP="009D12CA">
            <w:pPr>
              <w:spacing w:line="259" w:lineRule="auto"/>
              <w:jc w:val="left"/>
              <w:rPr>
                <w:color w:val="000000" w:themeColor="text1"/>
              </w:rPr>
            </w:pPr>
            <w:r w:rsidRPr="009212B7">
              <w:rPr>
                <w:color w:val="000000" w:themeColor="text1"/>
              </w:rPr>
              <w:t>il6_R</w:t>
            </w:r>
          </w:p>
        </w:tc>
        <w:tc>
          <w:tcPr>
            <w:tcW w:w="3399" w:type="pct"/>
            <w:noWrap/>
          </w:tcPr>
          <w:p w:rsidR="004E3710" w:rsidRPr="009212B7" w:rsidRDefault="004E3710" w:rsidP="009D12CA">
            <w:pPr>
              <w:spacing w:line="259" w:lineRule="auto"/>
              <w:jc w:val="left"/>
              <w:rPr>
                <w:color w:val="000000" w:themeColor="text1"/>
              </w:rPr>
            </w:pPr>
            <w:r w:rsidRPr="009212B7">
              <w:rPr>
                <w:color w:val="000000" w:themeColor="text1"/>
              </w:rPr>
              <w:t>TCAGGACGCTGTAGATTCGC</w:t>
            </w:r>
          </w:p>
        </w:tc>
      </w:tr>
      <w:tr w:rsidR="004E3710" w:rsidRPr="009212B7" w:rsidTr="009D12CA">
        <w:trPr>
          <w:cnfStyle w:val="000000100000" w:firstRow="0" w:lastRow="0" w:firstColumn="0" w:lastColumn="0" w:oddVBand="0" w:evenVBand="0" w:oddHBand="1" w:evenHBand="0" w:firstRowFirstColumn="0" w:firstRowLastColumn="0" w:lastRowFirstColumn="0" w:lastRowLastColumn="0"/>
          <w:trHeight w:val="285"/>
        </w:trPr>
        <w:tc>
          <w:tcPr>
            <w:tcW w:w="1601" w:type="pct"/>
            <w:noWrap/>
          </w:tcPr>
          <w:p w:rsidR="004E3710" w:rsidRPr="009212B7" w:rsidRDefault="004E3710" w:rsidP="009D12CA">
            <w:pPr>
              <w:spacing w:line="259" w:lineRule="auto"/>
              <w:jc w:val="left"/>
              <w:rPr>
                <w:color w:val="000000" w:themeColor="text1"/>
              </w:rPr>
            </w:pPr>
            <w:r w:rsidRPr="009212B7">
              <w:rPr>
                <w:color w:val="000000" w:themeColor="text1"/>
              </w:rPr>
              <w:t>il1b_F</w:t>
            </w:r>
          </w:p>
        </w:tc>
        <w:tc>
          <w:tcPr>
            <w:tcW w:w="3399" w:type="pct"/>
            <w:noWrap/>
          </w:tcPr>
          <w:p w:rsidR="004E3710" w:rsidRPr="009212B7" w:rsidRDefault="004E3710" w:rsidP="009D12CA">
            <w:pPr>
              <w:spacing w:line="259" w:lineRule="auto"/>
              <w:jc w:val="left"/>
              <w:rPr>
                <w:color w:val="000000" w:themeColor="text1"/>
              </w:rPr>
            </w:pPr>
            <w:r w:rsidRPr="009212B7">
              <w:rPr>
                <w:color w:val="000000" w:themeColor="text1"/>
              </w:rPr>
              <w:t>GATCCGCTTGCAATGAGCTAC</w:t>
            </w:r>
          </w:p>
        </w:tc>
      </w:tr>
      <w:tr w:rsidR="004E3710" w:rsidRPr="009212B7" w:rsidTr="009D12CA">
        <w:trPr>
          <w:trHeight w:val="285"/>
        </w:trPr>
        <w:tc>
          <w:tcPr>
            <w:tcW w:w="1601" w:type="pct"/>
            <w:noWrap/>
          </w:tcPr>
          <w:p w:rsidR="004E3710" w:rsidRPr="009212B7" w:rsidRDefault="004E3710" w:rsidP="009D12CA">
            <w:pPr>
              <w:spacing w:line="259" w:lineRule="auto"/>
              <w:jc w:val="left"/>
              <w:rPr>
                <w:color w:val="000000" w:themeColor="text1"/>
              </w:rPr>
            </w:pPr>
            <w:r w:rsidRPr="009212B7">
              <w:rPr>
                <w:color w:val="000000" w:themeColor="text1"/>
              </w:rPr>
              <w:t>il1b_R</w:t>
            </w:r>
          </w:p>
        </w:tc>
        <w:tc>
          <w:tcPr>
            <w:tcW w:w="3399" w:type="pct"/>
            <w:noWrap/>
          </w:tcPr>
          <w:p w:rsidR="004E3710" w:rsidRPr="009212B7" w:rsidRDefault="004E3710" w:rsidP="009D12CA">
            <w:pPr>
              <w:spacing w:line="259" w:lineRule="auto"/>
              <w:jc w:val="left"/>
              <w:rPr>
                <w:color w:val="000000" w:themeColor="text1"/>
              </w:rPr>
            </w:pPr>
            <w:r w:rsidRPr="009212B7">
              <w:rPr>
                <w:color w:val="000000" w:themeColor="text1"/>
              </w:rPr>
              <w:t>TCAGGGCGATGATGACGTTC</w:t>
            </w:r>
          </w:p>
        </w:tc>
      </w:tr>
    </w:tbl>
    <w:p w:rsidR="004E3710" w:rsidRPr="009212B7" w:rsidRDefault="004E3710" w:rsidP="004E3710">
      <w:pPr>
        <w:spacing w:line="259" w:lineRule="auto"/>
        <w:jc w:val="left"/>
        <w:rPr>
          <w:b/>
          <w:bCs/>
          <w:color w:val="000000" w:themeColor="text1"/>
        </w:rPr>
      </w:pPr>
    </w:p>
    <w:p w:rsidR="004E3710" w:rsidRPr="009212B7" w:rsidRDefault="004E3710" w:rsidP="004E3710">
      <w:pPr>
        <w:spacing w:line="259" w:lineRule="auto"/>
        <w:jc w:val="left"/>
        <w:rPr>
          <w:b/>
          <w:bCs/>
          <w:color w:val="000000" w:themeColor="text1"/>
        </w:rPr>
      </w:pPr>
      <w:r w:rsidRPr="009212B7">
        <w:rPr>
          <w:b/>
          <w:bCs/>
          <w:color w:val="000000" w:themeColor="text1"/>
        </w:rPr>
        <w:br w:type="page"/>
      </w:r>
    </w:p>
    <w:p w:rsidR="004E3710" w:rsidRPr="009212B7" w:rsidRDefault="004E3710" w:rsidP="004E3710">
      <w:pPr>
        <w:rPr>
          <w:b/>
          <w:bCs/>
          <w:color w:val="000000" w:themeColor="text1"/>
          <w:u w:val="single"/>
        </w:rPr>
      </w:pPr>
      <w:r w:rsidRPr="009212B7">
        <w:rPr>
          <w:b/>
          <w:bCs/>
          <w:color w:val="000000" w:themeColor="text1"/>
          <w:u w:val="single"/>
        </w:rPr>
        <w:lastRenderedPageBreak/>
        <w:t>Additional Supplementary Figures</w:t>
      </w:r>
    </w:p>
    <w:p w:rsidR="004E3710" w:rsidRPr="009212B7" w:rsidRDefault="004E3710" w:rsidP="004E3710">
      <w:pPr>
        <w:rPr>
          <w:b/>
          <w:bCs/>
          <w:color w:val="000000" w:themeColor="text1"/>
        </w:rPr>
      </w:pPr>
      <w:r w:rsidRPr="00D71261">
        <w:rPr>
          <w:b/>
          <w:bCs/>
          <w:color w:val="000000" w:themeColor="text1"/>
        </w:rPr>
        <w:t>Figure S1</w:t>
      </w:r>
    </w:p>
    <w:p w:rsidR="004E3710" w:rsidRPr="009212B7" w:rsidRDefault="004E3710" w:rsidP="004E3710">
      <w:pPr>
        <w:spacing w:line="259" w:lineRule="auto"/>
        <w:jc w:val="left"/>
        <w:rPr>
          <w:b/>
          <w:bCs/>
          <w:color w:val="000000" w:themeColor="text1"/>
          <w:u w:val="single"/>
        </w:rPr>
      </w:pPr>
      <w:r w:rsidRPr="009212B7">
        <w:rPr>
          <w:noProof/>
          <w:lang w:eastAsia="en-IN"/>
        </w:rPr>
        <w:drawing>
          <wp:inline distT="0" distB="0" distL="0" distR="0" wp14:anchorId="272632C0" wp14:editId="7F75BDE6">
            <wp:extent cx="5731510" cy="4019550"/>
            <wp:effectExtent l="0" t="0" r="2540" b="0"/>
            <wp:docPr id="995986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019550"/>
                    </a:xfrm>
                    <a:prstGeom prst="rect">
                      <a:avLst/>
                    </a:prstGeom>
                    <a:noFill/>
                    <a:ln>
                      <a:noFill/>
                    </a:ln>
                  </pic:spPr>
                </pic:pic>
              </a:graphicData>
            </a:graphic>
          </wp:inline>
        </w:drawing>
      </w:r>
    </w:p>
    <w:p w:rsidR="004E3710" w:rsidRPr="009212B7" w:rsidRDefault="004E3710" w:rsidP="004E3710">
      <w:pPr>
        <w:pStyle w:val="Caption"/>
        <w:spacing w:after="0" w:line="276" w:lineRule="auto"/>
        <w:rPr>
          <w:sz w:val="20"/>
          <w:szCs w:val="20"/>
        </w:rPr>
      </w:pPr>
      <w:r w:rsidRPr="00D71261">
        <w:rPr>
          <w:b/>
          <w:bCs/>
          <w:color w:val="000000" w:themeColor="text1"/>
          <w:sz w:val="20"/>
          <w:szCs w:val="20"/>
        </w:rPr>
        <w:t xml:space="preserve">Figure S1: Zebrafish brain regeneration upon telencephalic stab-wound injury. </w:t>
      </w:r>
      <w:r w:rsidRPr="00D71261">
        <w:rPr>
          <w:b/>
          <w:bCs/>
          <w:i w:val="0"/>
          <w:iCs w:val="0"/>
          <w:color w:val="000000" w:themeColor="text1"/>
          <w:sz w:val="20"/>
          <w:szCs w:val="20"/>
        </w:rPr>
        <w:t>A)</w:t>
      </w:r>
      <w:r w:rsidRPr="00D71261">
        <w:rPr>
          <w:color w:val="000000" w:themeColor="text1"/>
          <w:sz w:val="20"/>
          <w:szCs w:val="20"/>
        </w:rPr>
        <w:t xml:space="preserve"> Quantification of PCNA levels (Fig. 1 (B)) in uninjured control and regenerating brains (1 dpl, 4dp, 7dpl and 14 dpl) (n=4). Significance is represented as * for P-value&lt;0.05, ** for p-value&lt;0.01 and *** for p-value&lt;0.001 for all the quantifications</w:t>
      </w:r>
      <w:r w:rsidRPr="00D71261">
        <w:rPr>
          <w:sz w:val="20"/>
          <w:szCs w:val="20"/>
        </w:rPr>
        <w:t>.</w:t>
      </w:r>
      <w:r w:rsidRPr="00D71261">
        <w:rPr>
          <w:i w:val="0"/>
          <w:iCs w:val="0"/>
          <w:color w:val="000000" w:themeColor="text1"/>
          <w:sz w:val="20"/>
          <w:szCs w:val="20"/>
        </w:rPr>
        <w:t xml:space="preserve"> dpl: days post-lesion.</w:t>
      </w:r>
      <w:r w:rsidRPr="00D71261">
        <w:rPr>
          <w:b/>
          <w:bCs/>
          <w:i w:val="0"/>
          <w:iCs w:val="0"/>
          <w:color w:val="000000" w:themeColor="text1"/>
          <w:sz w:val="20"/>
          <w:szCs w:val="20"/>
        </w:rPr>
        <w:t xml:space="preserve"> B-D) </w:t>
      </w:r>
      <w:r w:rsidRPr="00D71261">
        <w:rPr>
          <w:color w:val="000000" w:themeColor="text1"/>
          <w:sz w:val="20"/>
          <w:szCs w:val="20"/>
        </w:rPr>
        <w:t>Immunostaining of the regenerating zebrafish brain (where right telencephalic hemisphere was lesioned/injured) using antibodies against BrdU (</w:t>
      </w:r>
      <w:r w:rsidRPr="00D71261">
        <w:rPr>
          <w:i w:val="0"/>
          <w:iCs w:val="0"/>
          <w:color w:val="000000" w:themeColor="text1"/>
          <w:sz w:val="20"/>
          <w:szCs w:val="20"/>
        </w:rPr>
        <w:t>B</w:t>
      </w:r>
      <w:r w:rsidRPr="00D71261">
        <w:rPr>
          <w:color w:val="000000" w:themeColor="text1"/>
          <w:sz w:val="20"/>
          <w:szCs w:val="20"/>
        </w:rPr>
        <w:t>1-</w:t>
      </w:r>
      <w:r w:rsidRPr="00D71261">
        <w:rPr>
          <w:i w:val="0"/>
          <w:iCs w:val="0"/>
          <w:color w:val="000000" w:themeColor="text1"/>
          <w:sz w:val="20"/>
          <w:szCs w:val="20"/>
        </w:rPr>
        <w:t>B</w:t>
      </w:r>
      <w:r w:rsidRPr="00D71261">
        <w:rPr>
          <w:color w:val="000000" w:themeColor="text1"/>
          <w:sz w:val="20"/>
          <w:szCs w:val="20"/>
        </w:rPr>
        <w:t>9) at 4dpl, 7 dpl and 14 dpl, NeuroD1 (</w:t>
      </w:r>
      <w:r w:rsidRPr="00D71261">
        <w:rPr>
          <w:i w:val="0"/>
          <w:iCs w:val="0"/>
          <w:color w:val="000000" w:themeColor="text1"/>
          <w:sz w:val="20"/>
          <w:szCs w:val="20"/>
        </w:rPr>
        <w:t>C</w:t>
      </w:r>
      <w:r w:rsidRPr="00D71261">
        <w:rPr>
          <w:color w:val="000000" w:themeColor="text1"/>
          <w:sz w:val="20"/>
          <w:szCs w:val="20"/>
        </w:rPr>
        <w:t>1-</w:t>
      </w:r>
      <w:r w:rsidRPr="00D71261">
        <w:rPr>
          <w:i w:val="0"/>
          <w:iCs w:val="0"/>
          <w:color w:val="000000" w:themeColor="text1"/>
          <w:sz w:val="20"/>
          <w:szCs w:val="20"/>
        </w:rPr>
        <w:t>C</w:t>
      </w:r>
      <w:r w:rsidRPr="00D71261">
        <w:rPr>
          <w:color w:val="000000" w:themeColor="text1"/>
          <w:sz w:val="20"/>
          <w:szCs w:val="20"/>
        </w:rPr>
        <w:t>6) at 7 dpl and 14 dpl, and GFAP (</w:t>
      </w:r>
      <w:r w:rsidRPr="00D71261">
        <w:rPr>
          <w:i w:val="0"/>
          <w:iCs w:val="0"/>
          <w:color w:val="000000" w:themeColor="text1"/>
          <w:sz w:val="20"/>
          <w:szCs w:val="20"/>
        </w:rPr>
        <w:t>D</w:t>
      </w:r>
      <w:r w:rsidRPr="00D71261">
        <w:rPr>
          <w:color w:val="000000" w:themeColor="text1"/>
          <w:sz w:val="20"/>
          <w:szCs w:val="20"/>
        </w:rPr>
        <w:t>1-</w:t>
      </w:r>
      <w:r w:rsidRPr="00D71261">
        <w:rPr>
          <w:i w:val="0"/>
          <w:iCs w:val="0"/>
          <w:color w:val="000000" w:themeColor="text1"/>
          <w:sz w:val="20"/>
          <w:szCs w:val="20"/>
        </w:rPr>
        <w:t>D</w:t>
      </w:r>
      <w:r w:rsidRPr="00D71261">
        <w:rPr>
          <w:color w:val="000000" w:themeColor="text1"/>
          <w:sz w:val="20"/>
          <w:szCs w:val="20"/>
        </w:rPr>
        <w:t>6) at 7 dpl and 14 dpl. Counterstaining was done with DAPI. Scale bar is 100µm. dpl: days post-lesion</w:t>
      </w:r>
      <w:r w:rsidRPr="00D71261">
        <w:rPr>
          <w:sz w:val="20"/>
          <w:szCs w:val="20"/>
        </w:rPr>
        <w:t>.</w:t>
      </w:r>
    </w:p>
    <w:p w:rsidR="004E3710" w:rsidRPr="009212B7" w:rsidRDefault="004E3710" w:rsidP="004E3710">
      <w:pPr>
        <w:pStyle w:val="Caption"/>
        <w:spacing w:after="0" w:line="276" w:lineRule="auto"/>
        <w:rPr>
          <w:color w:val="000000" w:themeColor="text1"/>
          <w:sz w:val="20"/>
          <w:szCs w:val="20"/>
        </w:rPr>
      </w:pPr>
      <w:r w:rsidRPr="009212B7">
        <w:rPr>
          <w:b/>
          <w:bCs/>
          <w:color w:val="000000" w:themeColor="text1"/>
          <w:u w:val="single"/>
        </w:rPr>
        <w:br w:type="page"/>
      </w:r>
    </w:p>
    <w:p w:rsidR="004E3710" w:rsidRPr="009212B7" w:rsidRDefault="004E3710" w:rsidP="004E3710">
      <w:pPr>
        <w:rPr>
          <w:b/>
          <w:bCs/>
          <w:color w:val="000000" w:themeColor="text1"/>
        </w:rPr>
      </w:pPr>
      <w:r w:rsidRPr="00D71261">
        <w:rPr>
          <w:b/>
          <w:bCs/>
          <w:color w:val="000000" w:themeColor="text1"/>
        </w:rPr>
        <w:lastRenderedPageBreak/>
        <w:t>Figure S</w:t>
      </w:r>
      <w:r w:rsidRPr="009212B7">
        <w:rPr>
          <w:b/>
          <w:bCs/>
          <w:color w:val="000000" w:themeColor="text1"/>
        </w:rPr>
        <w:t>2</w:t>
      </w:r>
    </w:p>
    <w:p w:rsidR="004E3710" w:rsidRPr="009212B7" w:rsidRDefault="004E3710" w:rsidP="004E3710">
      <w:pPr>
        <w:rPr>
          <w:noProof/>
        </w:rPr>
      </w:pPr>
    </w:p>
    <w:p w:rsidR="004E3710" w:rsidRPr="009212B7" w:rsidRDefault="004E3710" w:rsidP="004E3710">
      <w:pPr>
        <w:rPr>
          <w:b/>
          <w:bCs/>
          <w:color w:val="000000" w:themeColor="text1"/>
        </w:rPr>
      </w:pPr>
      <w:r w:rsidRPr="009212B7">
        <w:rPr>
          <w:noProof/>
          <w:lang w:eastAsia="en-IN"/>
        </w:rPr>
        <w:drawing>
          <wp:inline distT="0" distB="0" distL="0" distR="0" wp14:anchorId="63030BB3" wp14:editId="06E4C87E">
            <wp:extent cx="5416828" cy="4140413"/>
            <wp:effectExtent l="0" t="0" r="0" b="0"/>
            <wp:docPr id="1682839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39155" name=""/>
                    <pic:cNvPicPr/>
                  </pic:nvPicPr>
                  <pic:blipFill>
                    <a:blip r:embed="rId6"/>
                    <a:stretch>
                      <a:fillRect/>
                    </a:stretch>
                  </pic:blipFill>
                  <pic:spPr>
                    <a:xfrm>
                      <a:off x="0" y="0"/>
                      <a:ext cx="5416828" cy="4140413"/>
                    </a:xfrm>
                    <a:prstGeom prst="rect">
                      <a:avLst/>
                    </a:prstGeom>
                  </pic:spPr>
                </pic:pic>
              </a:graphicData>
            </a:graphic>
          </wp:inline>
        </w:drawing>
      </w:r>
    </w:p>
    <w:p w:rsidR="004E3710" w:rsidRPr="009212B7" w:rsidRDefault="004E3710" w:rsidP="004E3710">
      <w:pPr>
        <w:rPr>
          <w:b/>
          <w:bCs/>
          <w:color w:val="000000" w:themeColor="text1"/>
        </w:rPr>
      </w:pPr>
      <w:r w:rsidRPr="00D71261">
        <w:rPr>
          <w:b/>
          <w:bCs/>
          <w:i/>
          <w:iCs/>
          <w:color w:val="000000" w:themeColor="text1"/>
          <w:sz w:val="20"/>
          <w:szCs w:val="20"/>
        </w:rPr>
        <w:t xml:space="preserve">Figure S2: PCA plot visualizing the variance in gene expression data across different brain regeneration samples (control, 1 dpl, 4 dpl and 7 dpl). </w:t>
      </w:r>
      <w:r w:rsidRPr="00D71261">
        <w:rPr>
          <w:i/>
          <w:iCs/>
          <w:color w:val="000000" w:themeColor="text1"/>
          <w:sz w:val="20"/>
          <w:szCs w:val="20"/>
        </w:rPr>
        <w:t>Each point signifies an individual biological replicate from one of four categories: 1-day post-lesion (1dpl, blue), 4 days post-lesion (4dpl, orange), 7 days post-lesion (7dpl, green), and uninjured controls (red). The first two principal components (PC1 and PC2) explain 23.35% and 16.32% of the variance, respectively, and demonstrate a clear distinction between the experimental groups, highlighting the unique transcriptomic profiles linked to each time point and the control condition.</w:t>
      </w: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r w:rsidRPr="00D71261">
        <w:rPr>
          <w:b/>
          <w:bCs/>
          <w:color w:val="000000" w:themeColor="text1"/>
        </w:rPr>
        <w:lastRenderedPageBreak/>
        <w:t>Figure S3</w:t>
      </w:r>
    </w:p>
    <w:p w:rsidR="004E3710" w:rsidRPr="009212B7" w:rsidRDefault="004E3710" w:rsidP="004E3710">
      <w:pPr>
        <w:rPr>
          <w:b/>
          <w:bCs/>
          <w:color w:val="000000" w:themeColor="text1"/>
        </w:rPr>
      </w:pPr>
      <w:r w:rsidRPr="009212B7">
        <w:rPr>
          <w:noProof/>
          <w:lang w:eastAsia="en-IN"/>
        </w:rPr>
        <w:drawing>
          <wp:inline distT="0" distB="0" distL="0" distR="0" wp14:anchorId="11EC43EC" wp14:editId="2FF6666A">
            <wp:extent cx="5731510" cy="6145530"/>
            <wp:effectExtent l="0" t="0" r="2540" b="7620"/>
            <wp:docPr id="819307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6145530"/>
                    </a:xfrm>
                    <a:prstGeom prst="rect">
                      <a:avLst/>
                    </a:prstGeom>
                    <a:noFill/>
                    <a:ln>
                      <a:noFill/>
                    </a:ln>
                  </pic:spPr>
                </pic:pic>
              </a:graphicData>
            </a:graphic>
          </wp:inline>
        </w:drawing>
      </w:r>
    </w:p>
    <w:p w:rsidR="004E3710" w:rsidRPr="00D71261" w:rsidRDefault="004E3710" w:rsidP="004E3710">
      <w:pPr>
        <w:rPr>
          <w:b/>
          <w:bCs/>
          <w:color w:val="000000" w:themeColor="text1"/>
        </w:rPr>
      </w:pPr>
    </w:p>
    <w:p w:rsidR="004E3710" w:rsidRPr="009212B7" w:rsidRDefault="004E3710" w:rsidP="004E3710">
      <w:pPr>
        <w:pStyle w:val="Caption"/>
        <w:spacing w:after="0" w:line="276" w:lineRule="auto"/>
        <w:rPr>
          <w:color w:val="000000" w:themeColor="text1"/>
          <w:sz w:val="20"/>
          <w:szCs w:val="20"/>
        </w:rPr>
      </w:pPr>
      <w:r w:rsidRPr="00D71261">
        <w:rPr>
          <w:b/>
          <w:bCs/>
          <w:color w:val="000000" w:themeColor="text1"/>
          <w:sz w:val="20"/>
          <w:szCs w:val="20"/>
        </w:rPr>
        <w:t>Figure S3: Activation dynamics of inflammation response across different time points</w:t>
      </w:r>
      <w:r w:rsidRPr="00D71261">
        <w:rPr>
          <w:color w:val="000000" w:themeColor="text1"/>
          <w:sz w:val="20"/>
          <w:szCs w:val="20"/>
        </w:rPr>
        <w:t xml:space="preserve">. </w:t>
      </w:r>
      <w:r w:rsidRPr="00D71261">
        <w:rPr>
          <w:b/>
          <w:bCs/>
          <w:color w:val="000000" w:themeColor="text1"/>
          <w:sz w:val="20"/>
          <w:szCs w:val="20"/>
        </w:rPr>
        <w:t>A)</w:t>
      </w:r>
      <w:r w:rsidRPr="00D71261">
        <w:rPr>
          <w:color w:val="000000" w:themeColor="text1"/>
          <w:sz w:val="20"/>
          <w:szCs w:val="20"/>
        </w:rPr>
        <w:t xml:space="preserve"> Heatmaps showing the expression of inflammation related genes that are upregulated. </w:t>
      </w:r>
      <w:r w:rsidRPr="00D71261">
        <w:rPr>
          <w:b/>
          <w:bCs/>
          <w:color w:val="000000" w:themeColor="text1"/>
          <w:sz w:val="20"/>
          <w:szCs w:val="20"/>
        </w:rPr>
        <w:t>B)</w:t>
      </w:r>
      <w:r w:rsidRPr="00D71261">
        <w:rPr>
          <w:color w:val="000000" w:themeColor="text1"/>
          <w:sz w:val="20"/>
          <w:szCs w:val="20"/>
        </w:rPr>
        <w:t xml:space="preserve"> Heatmaps showing the expression of inflammation related genes that are downregulated. </w:t>
      </w:r>
      <w:r w:rsidRPr="00D71261">
        <w:rPr>
          <w:b/>
          <w:bCs/>
          <w:color w:val="000000" w:themeColor="text1"/>
          <w:sz w:val="20"/>
          <w:szCs w:val="20"/>
        </w:rPr>
        <w:t>C-E)</w:t>
      </w:r>
      <w:r w:rsidRPr="00D71261">
        <w:rPr>
          <w:color w:val="000000" w:themeColor="text1"/>
          <w:sz w:val="20"/>
          <w:szCs w:val="20"/>
        </w:rPr>
        <w:t xml:space="preserve"> qRT-PCR of hmox1a, il6 and il1b at 1 dpl, 4 dpl and 7 dpl compared to the uninjured control. Results are shown as mean ± SEM (n=4; 5 brains pooled for each sample). Significance is represented as * for P-value&lt;0.05, ** for p-value&lt;0.01 and *** for p-value&lt;0.001 for all the quantifications</w:t>
      </w:r>
      <w:r w:rsidRPr="00D71261">
        <w:rPr>
          <w:sz w:val="20"/>
          <w:szCs w:val="20"/>
        </w:rPr>
        <w:t>.</w:t>
      </w:r>
      <w:r w:rsidRPr="00D71261">
        <w:rPr>
          <w:i w:val="0"/>
          <w:iCs w:val="0"/>
          <w:color w:val="000000" w:themeColor="text1"/>
          <w:sz w:val="20"/>
          <w:szCs w:val="20"/>
        </w:rPr>
        <w:t xml:space="preserve"> dpl: days post-lesion</w:t>
      </w:r>
    </w:p>
    <w:p w:rsidR="004E3710" w:rsidRPr="009212B7" w:rsidRDefault="004E3710" w:rsidP="004E3710">
      <w:pPr>
        <w:rPr>
          <w:b/>
          <w:bCs/>
          <w:color w:val="000000" w:themeColor="text1"/>
        </w:rPr>
      </w:pPr>
    </w:p>
    <w:p w:rsidR="004E3710" w:rsidRPr="00D71261" w:rsidRDefault="004E3710" w:rsidP="004E3710">
      <w:pPr>
        <w:rPr>
          <w:b/>
          <w:bCs/>
          <w:color w:val="000000" w:themeColor="text1"/>
        </w:rPr>
      </w:pPr>
    </w:p>
    <w:p w:rsidR="004E3710" w:rsidRPr="009212B7" w:rsidRDefault="004E3710" w:rsidP="004E3710">
      <w:pPr>
        <w:rPr>
          <w:b/>
          <w:bCs/>
          <w:color w:val="000000" w:themeColor="text1"/>
        </w:rPr>
      </w:pPr>
      <w:r w:rsidRPr="00D71261">
        <w:rPr>
          <w:b/>
          <w:bCs/>
          <w:color w:val="000000" w:themeColor="text1"/>
        </w:rPr>
        <w:lastRenderedPageBreak/>
        <w:t>Figure S4</w:t>
      </w:r>
    </w:p>
    <w:p w:rsidR="004E3710" w:rsidRPr="009212B7" w:rsidRDefault="004E3710" w:rsidP="004E3710">
      <w:pPr>
        <w:rPr>
          <w:b/>
          <w:bCs/>
          <w:color w:val="000000" w:themeColor="text1"/>
        </w:rPr>
      </w:pPr>
      <w:r w:rsidRPr="009212B7">
        <w:rPr>
          <w:b/>
          <w:bCs/>
          <w:noProof/>
          <w:color w:val="000000" w:themeColor="text1"/>
          <w:lang w:eastAsia="en-IN"/>
        </w:rPr>
        <w:drawing>
          <wp:inline distT="0" distB="0" distL="0" distR="0" wp14:anchorId="1AC3B465" wp14:editId="60EC4FE5">
            <wp:extent cx="5731510" cy="2407920"/>
            <wp:effectExtent l="0" t="0" r="2540" b="0"/>
            <wp:docPr id="2052694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94005" name="Picture 20526940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407920"/>
                    </a:xfrm>
                    <a:prstGeom prst="rect">
                      <a:avLst/>
                    </a:prstGeom>
                  </pic:spPr>
                </pic:pic>
              </a:graphicData>
            </a:graphic>
          </wp:inline>
        </w:drawing>
      </w:r>
    </w:p>
    <w:p w:rsidR="004E3710" w:rsidRPr="009212B7" w:rsidRDefault="004E3710" w:rsidP="004E3710">
      <w:pPr>
        <w:spacing w:line="259" w:lineRule="auto"/>
        <w:rPr>
          <w:i/>
          <w:iCs/>
          <w:color w:val="000000" w:themeColor="text1"/>
          <w:sz w:val="20"/>
          <w:szCs w:val="20"/>
        </w:rPr>
      </w:pPr>
      <w:r w:rsidRPr="00D71261">
        <w:rPr>
          <w:b/>
          <w:bCs/>
          <w:i/>
          <w:iCs/>
          <w:color w:val="000000" w:themeColor="text1"/>
          <w:sz w:val="20"/>
          <w:szCs w:val="20"/>
        </w:rPr>
        <w:t xml:space="preserve">Figure S4: A) </w:t>
      </w:r>
      <w:r w:rsidRPr="00D71261">
        <w:rPr>
          <w:i/>
          <w:iCs/>
          <w:color w:val="000000" w:themeColor="text1"/>
          <w:sz w:val="20"/>
          <w:szCs w:val="20"/>
          <w:shd w:val="clear" w:color="auto" w:fill="FFFFFF"/>
        </w:rPr>
        <w:t xml:space="preserve">The </w:t>
      </w:r>
      <w:r w:rsidRPr="00D71261">
        <w:rPr>
          <w:b/>
          <w:bCs/>
          <w:i/>
          <w:iCs/>
          <w:color w:val="000000" w:themeColor="text1"/>
          <w:sz w:val="20"/>
          <w:szCs w:val="20"/>
          <w:shd w:val="clear" w:color="auto" w:fill="FFFFFF"/>
        </w:rPr>
        <w:t>heatmap</w:t>
      </w:r>
      <w:r w:rsidRPr="00D71261">
        <w:rPr>
          <w:i/>
          <w:iCs/>
          <w:color w:val="000000" w:themeColor="text1"/>
          <w:sz w:val="20"/>
          <w:szCs w:val="20"/>
          <w:shd w:val="clear" w:color="auto" w:fill="FFFFFF"/>
        </w:rPr>
        <w:t xml:space="preserve"> depicts the topological overlap matrix among the top 1000 genes in the analysis. </w:t>
      </w:r>
      <w:r w:rsidRPr="00D71261">
        <w:rPr>
          <w:b/>
          <w:bCs/>
          <w:i/>
          <w:iCs/>
          <w:color w:val="000000" w:themeColor="text1"/>
          <w:sz w:val="20"/>
          <w:szCs w:val="20"/>
          <w:shd w:val="clear" w:color="auto" w:fill="FFFFFF"/>
        </w:rPr>
        <w:t xml:space="preserve">B) </w:t>
      </w:r>
      <w:r w:rsidRPr="00D71261">
        <w:rPr>
          <w:i/>
          <w:iCs/>
          <w:color w:val="000000" w:themeColor="text1"/>
          <w:sz w:val="20"/>
          <w:szCs w:val="20"/>
          <w:shd w:val="clear" w:color="auto" w:fill="FFFFFF"/>
        </w:rPr>
        <w:t>The</w:t>
      </w:r>
      <w:r w:rsidRPr="00D71261">
        <w:rPr>
          <w:b/>
          <w:bCs/>
          <w:i/>
          <w:iCs/>
          <w:color w:val="000000" w:themeColor="text1"/>
          <w:sz w:val="20"/>
          <w:szCs w:val="20"/>
          <w:shd w:val="clear" w:color="auto" w:fill="FFFFFF"/>
        </w:rPr>
        <w:t xml:space="preserve"> donut chart </w:t>
      </w:r>
      <w:r w:rsidRPr="00D71261">
        <w:rPr>
          <w:i/>
          <w:iCs/>
          <w:color w:val="000000" w:themeColor="text1"/>
          <w:sz w:val="20"/>
          <w:szCs w:val="20"/>
          <w:shd w:val="clear" w:color="auto" w:fill="FFFFFF"/>
        </w:rPr>
        <w:t xml:space="preserve">represents the percentage of genes per module. </w:t>
      </w:r>
      <w:r w:rsidRPr="00D71261">
        <w:rPr>
          <w:b/>
          <w:bCs/>
          <w:i/>
          <w:iCs/>
          <w:color w:val="000000" w:themeColor="text1"/>
          <w:sz w:val="20"/>
          <w:szCs w:val="20"/>
          <w:shd w:val="clear" w:color="auto" w:fill="FFFFFF"/>
        </w:rPr>
        <w:t xml:space="preserve">C) </w:t>
      </w:r>
      <w:r w:rsidRPr="00D71261">
        <w:rPr>
          <w:i/>
          <w:iCs/>
          <w:color w:val="000000" w:themeColor="text1"/>
          <w:sz w:val="20"/>
          <w:szCs w:val="20"/>
          <w:shd w:val="clear" w:color="auto" w:fill="FFFFFF"/>
        </w:rPr>
        <w:t xml:space="preserve">The </w:t>
      </w:r>
      <w:r w:rsidRPr="00D71261">
        <w:rPr>
          <w:b/>
          <w:bCs/>
          <w:i/>
          <w:iCs/>
          <w:color w:val="000000" w:themeColor="text1"/>
          <w:sz w:val="20"/>
          <w:szCs w:val="20"/>
          <w:shd w:val="clear" w:color="auto" w:fill="FFFFFF"/>
        </w:rPr>
        <w:t>correlation matrix</w:t>
      </w:r>
      <w:r w:rsidRPr="00D71261">
        <w:rPr>
          <w:i/>
          <w:iCs/>
          <w:color w:val="000000" w:themeColor="text1"/>
          <w:sz w:val="20"/>
          <w:szCs w:val="20"/>
          <w:shd w:val="clear" w:color="auto" w:fill="FFFFFF"/>
        </w:rPr>
        <w:t xml:space="preserve"> for the module and (samples) traits. The red lattice represents a positive correlation between the traits of the module, while the blue lattice represents a negative correlation.</w:t>
      </w:r>
      <w:r w:rsidRPr="009212B7">
        <w:rPr>
          <w:i/>
          <w:iCs/>
          <w:color w:val="000000" w:themeColor="text1"/>
          <w:sz w:val="20"/>
          <w:szCs w:val="20"/>
          <w:shd w:val="clear" w:color="auto" w:fill="FFFFFF"/>
        </w:rPr>
        <w:t xml:space="preserve"> </w:t>
      </w:r>
      <w:r w:rsidRPr="00D71261">
        <w:rPr>
          <w:i/>
          <w:iCs/>
          <w:color w:val="000000" w:themeColor="text1"/>
          <w:sz w:val="20"/>
          <w:szCs w:val="20"/>
        </w:rPr>
        <w:t>dpl: days post-lesion</w:t>
      </w:r>
    </w:p>
    <w:p w:rsidR="004E3710" w:rsidRPr="009212B7" w:rsidRDefault="004E3710" w:rsidP="004E3710">
      <w:pPr>
        <w:rPr>
          <w:b/>
          <w:bCs/>
          <w:color w:val="000000" w:themeColor="text1"/>
          <w:u w:val="single"/>
        </w:rPr>
      </w:pPr>
    </w:p>
    <w:p w:rsidR="004E3710" w:rsidRPr="009212B7" w:rsidRDefault="004E3710" w:rsidP="004E3710">
      <w:pPr>
        <w:rPr>
          <w:b/>
          <w:bCs/>
          <w:color w:val="000000" w:themeColor="text1"/>
          <w:u w:val="single"/>
        </w:rPr>
      </w:pPr>
    </w:p>
    <w:p w:rsidR="004E3710" w:rsidRPr="00D71261" w:rsidRDefault="004E3710" w:rsidP="004E3710">
      <w:pPr>
        <w:spacing w:line="259" w:lineRule="auto"/>
        <w:jc w:val="left"/>
        <w:rPr>
          <w:b/>
          <w:bCs/>
          <w:color w:val="000000" w:themeColor="text1"/>
        </w:rPr>
      </w:pPr>
      <w:r w:rsidRPr="00D71261">
        <w:rPr>
          <w:b/>
          <w:bCs/>
          <w:color w:val="000000" w:themeColor="text1"/>
        </w:rPr>
        <w:br w:type="page"/>
      </w:r>
    </w:p>
    <w:p w:rsidR="004E3710" w:rsidRPr="009212B7" w:rsidRDefault="004E3710" w:rsidP="004E3710">
      <w:pPr>
        <w:rPr>
          <w:b/>
          <w:bCs/>
          <w:color w:val="000000" w:themeColor="text1"/>
        </w:rPr>
      </w:pPr>
      <w:r w:rsidRPr="00D71261">
        <w:rPr>
          <w:b/>
          <w:bCs/>
          <w:color w:val="000000" w:themeColor="text1"/>
        </w:rPr>
        <w:lastRenderedPageBreak/>
        <w:t>Figure S</w:t>
      </w:r>
      <w:r w:rsidRPr="009212B7">
        <w:rPr>
          <w:b/>
          <w:bCs/>
          <w:color w:val="000000" w:themeColor="text1"/>
        </w:rPr>
        <w:t>5</w:t>
      </w:r>
    </w:p>
    <w:p w:rsidR="004E3710" w:rsidRPr="009212B7" w:rsidRDefault="004E3710" w:rsidP="004E3710">
      <w:pPr>
        <w:spacing w:line="259" w:lineRule="auto"/>
        <w:jc w:val="left"/>
        <w:rPr>
          <w:b/>
          <w:bCs/>
          <w:color w:val="000000" w:themeColor="text1"/>
        </w:rPr>
      </w:pPr>
      <w:r w:rsidRPr="009212B7">
        <w:rPr>
          <w:noProof/>
          <w:color w:val="000000" w:themeColor="text1"/>
          <w:lang w:eastAsia="en-IN"/>
        </w:rPr>
        <w:drawing>
          <wp:inline distT="0" distB="0" distL="0" distR="0" wp14:anchorId="64C1EFC9" wp14:editId="7F18EBED">
            <wp:extent cx="5226685" cy="5245215"/>
            <wp:effectExtent l="0" t="0" r="0" b="0"/>
            <wp:docPr id="13394920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5522" name="Picture 150805522"/>
                    <pic:cNvPicPr/>
                  </pic:nvPicPr>
                  <pic:blipFill>
                    <a:blip r:embed="rId9">
                      <a:extLst>
                        <a:ext uri="{28A0092B-C50C-407E-A947-70E740481C1C}">
                          <a14:useLocalDpi xmlns:a14="http://schemas.microsoft.com/office/drawing/2010/main" val="0"/>
                        </a:ext>
                      </a:extLst>
                    </a:blip>
                    <a:stretch>
                      <a:fillRect/>
                    </a:stretch>
                  </pic:blipFill>
                  <pic:spPr>
                    <a:xfrm>
                      <a:off x="0" y="0"/>
                      <a:ext cx="5237470" cy="5256038"/>
                    </a:xfrm>
                    <a:prstGeom prst="rect">
                      <a:avLst/>
                    </a:prstGeom>
                  </pic:spPr>
                </pic:pic>
              </a:graphicData>
            </a:graphic>
          </wp:inline>
        </w:drawing>
      </w:r>
    </w:p>
    <w:p w:rsidR="004E3710" w:rsidRPr="009212B7" w:rsidRDefault="004E3710" w:rsidP="004E3710">
      <w:pPr>
        <w:spacing w:line="276" w:lineRule="auto"/>
        <w:rPr>
          <w:i/>
          <w:iCs/>
          <w:color w:val="000000" w:themeColor="text1"/>
          <w:sz w:val="20"/>
          <w:szCs w:val="20"/>
        </w:rPr>
      </w:pPr>
      <w:bookmarkStart w:id="0" w:name="_Hlk195467528"/>
      <w:r w:rsidRPr="009212B7">
        <w:rPr>
          <w:b/>
          <w:bCs/>
          <w:i/>
          <w:iCs/>
          <w:color w:val="000000" w:themeColor="text1"/>
          <w:sz w:val="20"/>
          <w:szCs w:val="20"/>
        </w:rPr>
        <w:t xml:space="preserve">Figure S5: Identification and functional enrichment of hub genes: </w:t>
      </w:r>
      <w:r w:rsidRPr="009212B7">
        <w:rPr>
          <w:i/>
          <w:iCs/>
          <w:color w:val="000000" w:themeColor="text1"/>
          <w:sz w:val="20"/>
          <w:szCs w:val="20"/>
        </w:rPr>
        <w:t>The</w:t>
      </w:r>
      <w:r w:rsidRPr="009212B7">
        <w:rPr>
          <w:b/>
          <w:bCs/>
          <w:i/>
          <w:iCs/>
          <w:color w:val="000000" w:themeColor="text1"/>
          <w:sz w:val="20"/>
          <w:szCs w:val="20"/>
        </w:rPr>
        <w:t xml:space="preserve"> </w:t>
      </w:r>
      <w:r w:rsidRPr="009212B7">
        <w:rPr>
          <w:i/>
          <w:iCs/>
          <w:color w:val="000000" w:themeColor="text1"/>
          <w:sz w:val="20"/>
          <w:szCs w:val="20"/>
        </w:rPr>
        <w:t xml:space="preserve">hub genes were identified using the model-Degree for </w:t>
      </w:r>
      <w:r w:rsidRPr="009212B7">
        <w:rPr>
          <w:b/>
          <w:bCs/>
          <w:i/>
          <w:iCs/>
          <w:color w:val="000000" w:themeColor="text1"/>
          <w:sz w:val="20"/>
          <w:szCs w:val="20"/>
        </w:rPr>
        <w:t>A)</w:t>
      </w:r>
      <w:r w:rsidRPr="009212B7">
        <w:rPr>
          <w:i/>
          <w:iCs/>
          <w:color w:val="000000" w:themeColor="text1"/>
          <w:sz w:val="20"/>
          <w:szCs w:val="20"/>
        </w:rPr>
        <w:t xml:space="preserve"> Day1 </w:t>
      </w:r>
      <w:r w:rsidRPr="009212B7">
        <w:rPr>
          <w:b/>
          <w:bCs/>
          <w:i/>
          <w:iCs/>
          <w:color w:val="000000" w:themeColor="text1"/>
          <w:sz w:val="20"/>
          <w:szCs w:val="20"/>
        </w:rPr>
        <w:t xml:space="preserve">B) </w:t>
      </w:r>
      <w:r w:rsidRPr="009212B7">
        <w:rPr>
          <w:i/>
          <w:iCs/>
          <w:color w:val="000000" w:themeColor="text1"/>
          <w:sz w:val="20"/>
          <w:szCs w:val="20"/>
        </w:rPr>
        <w:t>Day4</w:t>
      </w:r>
      <w:r w:rsidRPr="009212B7">
        <w:rPr>
          <w:b/>
          <w:bCs/>
          <w:i/>
          <w:iCs/>
          <w:color w:val="000000" w:themeColor="text1"/>
          <w:sz w:val="20"/>
          <w:szCs w:val="20"/>
        </w:rPr>
        <w:t xml:space="preserve"> </w:t>
      </w:r>
      <w:r w:rsidRPr="009212B7">
        <w:rPr>
          <w:i/>
          <w:iCs/>
          <w:color w:val="000000" w:themeColor="text1"/>
          <w:sz w:val="20"/>
          <w:szCs w:val="20"/>
        </w:rPr>
        <w:t>and</w:t>
      </w:r>
      <w:r w:rsidRPr="009212B7">
        <w:rPr>
          <w:b/>
          <w:bCs/>
          <w:i/>
          <w:iCs/>
          <w:color w:val="000000" w:themeColor="text1"/>
          <w:sz w:val="20"/>
          <w:szCs w:val="20"/>
        </w:rPr>
        <w:t xml:space="preserve"> C)</w:t>
      </w:r>
      <w:r w:rsidRPr="009212B7">
        <w:rPr>
          <w:i/>
          <w:iCs/>
          <w:color w:val="000000" w:themeColor="text1"/>
          <w:sz w:val="20"/>
          <w:szCs w:val="20"/>
        </w:rPr>
        <w:t xml:space="preserve"> Day7 with the Cytoscape plug-in CytoHubba. The darker the color of the node, the more critical the gene, indicating the gene is more important in the network. </w:t>
      </w:r>
      <w:r w:rsidRPr="009212B7">
        <w:rPr>
          <w:b/>
          <w:bCs/>
          <w:i/>
          <w:iCs/>
          <w:color w:val="000000" w:themeColor="text1"/>
          <w:sz w:val="20"/>
          <w:szCs w:val="20"/>
        </w:rPr>
        <w:t xml:space="preserve">D) </w:t>
      </w:r>
      <w:r w:rsidRPr="009212B7">
        <w:rPr>
          <w:i/>
          <w:iCs/>
          <w:color w:val="000000" w:themeColor="text1"/>
          <w:sz w:val="20"/>
          <w:szCs w:val="20"/>
        </w:rPr>
        <w:t>Chord plot shows</w:t>
      </w:r>
      <w:r w:rsidRPr="009212B7">
        <w:rPr>
          <w:b/>
          <w:bCs/>
          <w:i/>
          <w:iCs/>
          <w:color w:val="000000" w:themeColor="text1"/>
          <w:sz w:val="20"/>
          <w:szCs w:val="20"/>
        </w:rPr>
        <w:t xml:space="preserve"> </w:t>
      </w:r>
      <w:r w:rsidRPr="009212B7">
        <w:rPr>
          <w:i/>
          <w:iCs/>
          <w:color w:val="000000" w:themeColor="text1"/>
          <w:sz w:val="20"/>
          <w:szCs w:val="20"/>
        </w:rPr>
        <w:t xml:space="preserve">the common hub genes across the three time points and their associated functions. The picture is illustrated using SR plot. </w:t>
      </w:r>
      <w:r w:rsidRPr="00D71261">
        <w:rPr>
          <w:i/>
          <w:iCs/>
          <w:color w:val="000000" w:themeColor="text1"/>
          <w:sz w:val="20"/>
          <w:szCs w:val="20"/>
        </w:rPr>
        <w:t>dpl: days post-lesion</w:t>
      </w:r>
    </w:p>
    <w:bookmarkEnd w:id="0"/>
    <w:p w:rsidR="004E3710" w:rsidRPr="009212B7" w:rsidRDefault="004E3710" w:rsidP="004E3710">
      <w:pPr>
        <w:spacing w:line="259" w:lineRule="auto"/>
        <w:jc w:val="left"/>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p>
    <w:p w:rsidR="004E3710" w:rsidRPr="009212B7" w:rsidRDefault="004E3710" w:rsidP="004E3710">
      <w:pPr>
        <w:rPr>
          <w:b/>
          <w:bCs/>
          <w:color w:val="000000" w:themeColor="text1"/>
        </w:rPr>
      </w:pPr>
      <w:r w:rsidRPr="00D71261">
        <w:rPr>
          <w:b/>
          <w:bCs/>
          <w:color w:val="000000" w:themeColor="text1"/>
        </w:rPr>
        <w:lastRenderedPageBreak/>
        <w:t>Figure S</w:t>
      </w:r>
      <w:r w:rsidRPr="009212B7">
        <w:rPr>
          <w:b/>
          <w:bCs/>
          <w:color w:val="000000" w:themeColor="text1"/>
        </w:rPr>
        <w:t>6</w:t>
      </w:r>
    </w:p>
    <w:p w:rsidR="004E3710" w:rsidRPr="009212B7" w:rsidRDefault="004E3710" w:rsidP="004E3710">
      <w:pPr>
        <w:jc w:val="center"/>
        <w:rPr>
          <w:b/>
          <w:bCs/>
          <w:color w:val="000000" w:themeColor="text1"/>
        </w:rPr>
      </w:pPr>
      <w:r w:rsidRPr="009212B7">
        <w:rPr>
          <w:b/>
          <w:bCs/>
          <w:noProof/>
          <w:lang w:eastAsia="en-IN"/>
        </w:rPr>
        <w:drawing>
          <wp:inline distT="0" distB="0" distL="0" distR="0" wp14:anchorId="7A1FD13D" wp14:editId="31AB11D0">
            <wp:extent cx="4023995" cy="5231130"/>
            <wp:effectExtent l="0" t="0" r="0" b="7620"/>
            <wp:docPr id="8774933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3995" cy="5231130"/>
                    </a:xfrm>
                    <a:prstGeom prst="rect">
                      <a:avLst/>
                    </a:prstGeom>
                    <a:noFill/>
                  </pic:spPr>
                </pic:pic>
              </a:graphicData>
            </a:graphic>
          </wp:inline>
        </w:drawing>
      </w:r>
    </w:p>
    <w:p w:rsidR="004E3710" w:rsidRPr="009212B7" w:rsidRDefault="004E3710" w:rsidP="004E3710">
      <w:pPr>
        <w:rPr>
          <w:i/>
          <w:iCs/>
          <w:color w:val="000000" w:themeColor="text1"/>
          <w:sz w:val="20"/>
          <w:szCs w:val="20"/>
        </w:rPr>
      </w:pPr>
      <w:r w:rsidRPr="00D71261">
        <w:rPr>
          <w:b/>
          <w:bCs/>
          <w:i/>
          <w:iCs/>
          <w:sz w:val="20"/>
          <w:szCs w:val="20"/>
        </w:rPr>
        <w:t>Figure S6:</w:t>
      </w:r>
      <w:r w:rsidRPr="00D71261">
        <w:rPr>
          <w:b/>
          <w:bCs/>
        </w:rPr>
        <w:t xml:space="preserve"> </w:t>
      </w:r>
      <w:r w:rsidRPr="00D71261">
        <w:rPr>
          <w:i/>
          <w:iCs/>
          <w:color w:val="000000" w:themeColor="text1"/>
          <w:sz w:val="20"/>
          <w:szCs w:val="20"/>
        </w:rPr>
        <w:t>Network representation of DEG’s combined across all the time points.</w:t>
      </w:r>
      <w:r w:rsidRPr="00D71261">
        <w:rPr>
          <w:b/>
          <w:bCs/>
          <w:i/>
          <w:iCs/>
          <w:color w:val="000000" w:themeColor="text1"/>
          <w:sz w:val="20"/>
          <w:szCs w:val="20"/>
        </w:rPr>
        <w:t xml:space="preserve"> </w:t>
      </w:r>
      <w:r w:rsidRPr="00D71261">
        <w:rPr>
          <w:i/>
          <w:iCs/>
          <w:color w:val="000000" w:themeColor="text1"/>
          <w:sz w:val="20"/>
          <w:szCs w:val="20"/>
        </w:rPr>
        <w:t>The cytoscape ClueGO and Cluepedia plugin was used to identify enriched KEGG pathways amongst all statistically significant proteins across all the time points. Nodes containing proteins from related KEGG terms are colored the same.</w:t>
      </w:r>
    </w:p>
    <w:p w:rsidR="004E3710" w:rsidRPr="009212B7" w:rsidRDefault="004E3710" w:rsidP="004E3710">
      <w:pPr>
        <w:rPr>
          <w:b/>
          <w:bCs/>
          <w:color w:val="000000" w:themeColor="text1"/>
        </w:rPr>
      </w:pPr>
    </w:p>
    <w:p w:rsidR="004E3710" w:rsidRPr="009212B7" w:rsidRDefault="004E3710" w:rsidP="004E3710">
      <w:pPr>
        <w:spacing w:line="259" w:lineRule="auto"/>
        <w:jc w:val="left"/>
        <w:rPr>
          <w:b/>
          <w:bCs/>
          <w:color w:val="000000" w:themeColor="text1"/>
        </w:rPr>
      </w:pPr>
      <w:bookmarkStart w:id="1" w:name="_Hlk195467559"/>
      <w:r w:rsidRPr="009212B7">
        <w:rPr>
          <w:sz w:val="20"/>
          <w:szCs w:val="20"/>
        </w:rPr>
        <w:br w:type="page"/>
      </w:r>
      <w:bookmarkEnd w:id="1"/>
    </w:p>
    <w:p w:rsidR="004E3710" w:rsidRPr="009212B7" w:rsidRDefault="004E3710" w:rsidP="004E3710">
      <w:pPr>
        <w:rPr>
          <w:b/>
          <w:bCs/>
          <w:color w:val="000000" w:themeColor="text1"/>
        </w:rPr>
      </w:pPr>
      <w:r w:rsidRPr="00D71261">
        <w:rPr>
          <w:b/>
          <w:bCs/>
          <w:color w:val="000000" w:themeColor="text1"/>
        </w:rPr>
        <w:lastRenderedPageBreak/>
        <w:t>Figure S</w:t>
      </w:r>
      <w:r w:rsidRPr="009212B7">
        <w:rPr>
          <w:b/>
          <w:bCs/>
          <w:color w:val="000000" w:themeColor="text1"/>
        </w:rPr>
        <w:t>7</w:t>
      </w:r>
    </w:p>
    <w:p w:rsidR="004E3710" w:rsidRPr="009212B7" w:rsidRDefault="004E3710" w:rsidP="004E3710">
      <w:pPr>
        <w:rPr>
          <w:b/>
          <w:bCs/>
          <w:color w:val="000000" w:themeColor="text1"/>
        </w:rPr>
      </w:pPr>
      <w:r w:rsidRPr="009212B7">
        <w:rPr>
          <w:b/>
          <w:bCs/>
          <w:color w:val="000000" w:themeColor="text1"/>
        </w:rPr>
        <w:t>A)</w:t>
      </w:r>
    </w:p>
    <w:p w:rsidR="004E3710" w:rsidRPr="009212B7" w:rsidRDefault="004E3710" w:rsidP="004E3710">
      <w:pPr>
        <w:jc w:val="center"/>
        <w:rPr>
          <w:color w:val="000000" w:themeColor="text1"/>
        </w:rPr>
      </w:pPr>
      <w:r w:rsidRPr="009212B7">
        <w:rPr>
          <w:noProof/>
          <w:color w:val="000000" w:themeColor="text1"/>
          <w:lang w:eastAsia="en-IN"/>
        </w:rPr>
        <w:drawing>
          <wp:inline distT="0" distB="0" distL="0" distR="0" wp14:anchorId="0AD72DC2" wp14:editId="7C03331B">
            <wp:extent cx="5731510" cy="7399655"/>
            <wp:effectExtent l="0" t="0" r="0" b="0"/>
            <wp:docPr id="235594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94785" name="Picture 235594785"/>
                    <pic:cNvPicPr/>
                  </pic:nvPicPr>
                  <pic:blipFill>
                    <a:blip r:embed="rId11">
                      <a:extLst>
                        <a:ext uri="{28A0092B-C50C-407E-A947-70E740481C1C}">
                          <a14:useLocalDpi xmlns:a14="http://schemas.microsoft.com/office/drawing/2010/main" val="0"/>
                        </a:ext>
                      </a:extLst>
                    </a:blip>
                    <a:stretch>
                      <a:fillRect/>
                    </a:stretch>
                  </pic:blipFill>
                  <pic:spPr>
                    <a:xfrm>
                      <a:off x="0" y="0"/>
                      <a:ext cx="5731510" cy="7399655"/>
                    </a:xfrm>
                    <a:prstGeom prst="rect">
                      <a:avLst/>
                    </a:prstGeom>
                  </pic:spPr>
                </pic:pic>
              </a:graphicData>
            </a:graphic>
          </wp:inline>
        </w:drawing>
      </w:r>
    </w:p>
    <w:p w:rsidR="004E3710" w:rsidRPr="009212B7" w:rsidRDefault="004E3710" w:rsidP="004E3710">
      <w:pPr>
        <w:jc w:val="center"/>
        <w:rPr>
          <w:color w:val="000000" w:themeColor="text1"/>
        </w:rPr>
      </w:pPr>
    </w:p>
    <w:p w:rsidR="004E3710" w:rsidRPr="009212B7" w:rsidRDefault="004E3710" w:rsidP="004E3710">
      <w:pPr>
        <w:spacing w:after="0"/>
        <w:rPr>
          <w:b/>
          <w:bCs/>
          <w:color w:val="000000" w:themeColor="text1"/>
        </w:rPr>
      </w:pPr>
      <w:r w:rsidRPr="009212B7">
        <w:rPr>
          <w:b/>
          <w:bCs/>
          <w:color w:val="000000" w:themeColor="text1"/>
        </w:rPr>
        <w:t>B)</w:t>
      </w:r>
    </w:p>
    <w:p w:rsidR="004E3710" w:rsidRPr="009212B7" w:rsidRDefault="004E3710" w:rsidP="004E3710">
      <w:pPr>
        <w:rPr>
          <w:b/>
          <w:bCs/>
          <w:i/>
          <w:iCs/>
          <w:color w:val="000000" w:themeColor="text1"/>
          <w:sz w:val="18"/>
          <w:szCs w:val="18"/>
        </w:rPr>
      </w:pPr>
      <w:r w:rsidRPr="009212B7">
        <w:rPr>
          <w:noProof/>
          <w:color w:val="000000" w:themeColor="text1"/>
          <w:lang w:eastAsia="en-IN"/>
        </w:rPr>
        <w:lastRenderedPageBreak/>
        <w:drawing>
          <wp:inline distT="0" distB="0" distL="0" distR="0" wp14:anchorId="21CC8587" wp14:editId="3E2B431E">
            <wp:extent cx="5794151" cy="7200000"/>
            <wp:effectExtent l="0" t="0" r="0" b="1270"/>
            <wp:docPr id="7798461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846158" name="Picture 779846158"/>
                    <pic:cNvPicPr/>
                  </pic:nvPicPr>
                  <pic:blipFill>
                    <a:blip r:embed="rId12">
                      <a:extLst>
                        <a:ext uri="{28A0092B-C50C-407E-A947-70E740481C1C}">
                          <a14:useLocalDpi xmlns:a14="http://schemas.microsoft.com/office/drawing/2010/main" val="0"/>
                        </a:ext>
                      </a:extLst>
                    </a:blip>
                    <a:stretch>
                      <a:fillRect/>
                    </a:stretch>
                  </pic:blipFill>
                  <pic:spPr>
                    <a:xfrm>
                      <a:off x="0" y="0"/>
                      <a:ext cx="5794151" cy="7200000"/>
                    </a:xfrm>
                    <a:prstGeom prst="rect">
                      <a:avLst/>
                    </a:prstGeom>
                  </pic:spPr>
                </pic:pic>
              </a:graphicData>
            </a:graphic>
          </wp:inline>
        </w:drawing>
      </w:r>
    </w:p>
    <w:p w:rsidR="004E3710" w:rsidRPr="009212B7" w:rsidRDefault="004E3710" w:rsidP="004E3710">
      <w:pPr>
        <w:spacing w:line="259" w:lineRule="auto"/>
        <w:rPr>
          <w:i/>
          <w:iCs/>
          <w:color w:val="000000" w:themeColor="text1"/>
          <w:sz w:val="20"/>
          <w:szCs w:val="20"/>
        </w:rPr>
      </w:pPr>
      <w:r w:rsidRPr="00D71261">
        <w:rPr>
          <w:b/>
          <w:bCs/>
          <w:i/>
          <w:iCs/>
          <w:color w:val="000000" w:themeColor="text1"/>
          <w:sz w:val="20"/>
          <w:szCs w:val="20"/>
        </w:rPr>
        <w:t>Figure S7:</w:t>
      </w:r>
      <w:r w:rsidRPr="009212B7">
        <w:rPr>
          <w:b/>
          <w:bCs/>
          <w:i/>
          <w:iCs/>
          <w:color w:val="000000" w:themeColor="text1"/>
          <w:sz w:val="20"/>
          <w:szCs w:val="20"/>
        </w:rPr>
        <w:t xml:space="preserve"> Visualization of Identified KEGG Pathway Routes:</w:t>
      </w:r>
      <w:r w:rsidRPr="009212B7">
        <w:rPr>
          <w:i/>
          <w:iCs/>
          <w:color w:val="000000" w:themeColor="text1"/>
          <w:sz w:val="20"/>
          <w:szCs w:val="20"/>
        </w:rPr>
        <w:t xml:space="preserve"> KEGG Pathway visualization for </w:t>
      </w:r>
      <w:r w:rsidRPr="009212B7">
        <w:rPr>
          <w:b/>
          <w:bCs/>
          <w:i/>
          <w:iCs/>
          <w:color w:val="000000" w:themeColor="text1"/>
          <w:sz w:val="20"/>
          <w:szCs w:val="20"/>
        </w:rPr>
        <w:t>A)</w:t>
      </w:r>
      <w:r w:rsidRPr="009212B7">
        <w:rPr>
          <w:i/>
          <w:iCs/>
          <w:color w:val="000000" w:themeColor="text1"/>
          <w:sz w:val="20"/>
          <w:szCs w:val="20"/>
        </w:rPr>
        <w:t xml:space="preserve"> MAPK signaling Pathway and Cell Cycle </w:t>
      </w:r>
      <w:r w:rsidRPr="009212B7">
        <w:rPr>
          <w:b/>
          <w:bCs/>
          <w:i/>
          <w:iCs/>
          <w:color w:val="000000" w:themeColor="text1"/>
          <w:sz w:val="20"/>
          <w:szCs w:val="20"/>
        </w:rPr>
        <w:t xml:space="preserve">B) </w:t>
      </w:r>
      <w:r w:rsidRPr="009212B7">
        <w:rPr>
          <w:i/>
          <w:iCs/>
          <w:color w:val="000000" w:themeColor="text1"/>
          <w:sz w:val="20"/>
          <w:szCs w:val="20"/>
        </w:rPr>
        <w:t>Calcium Signaling Pathway and PPAR signaling pathway. Each node is represented by three squares corresponding to day 1, day 4, and day 7 post-injury. The gene boxes are colored based on their expression levels at each respective day. The color scale is illustrated on the right: greener shades indicate higher expression levels, while redder shades signify lower expression levels.</w:t>
      </w:r>
    </w:p>
    <w:p w:rsidR="004E3710" w:rsidRPr="009212B7" w:rsidRDefault="004E3710" w:rsidP="004E3710">
      <w:pPr>
        <w:spacing w:line="259" w:lineRule="auto"/>
        <w:jc w:val="left"/>
        <w:rPr>
          <w:b/>
          <w:bCs/>
          <w:color w:val="000000" w:themeColor="text1"/>
        </w:rPr>
      </w:pPr>
      <w:r w:rsidRPr="009212B7">
        <w:rPr>
          <w:b/>
          <w:bCs/>
          <w:color w:val="000000" w:themeColor="text1"/>
        </w:rPr>
        <w:br w:type="page"/>
      </w:r>
    </w:p>
    <w:p w:rsidR="004E3710" w:rsidRPr="009212B7" w:rsidRDefault="004E3710" w:rsidP="004E3710">
      <w:pPr>
        <w:rPr>
          <w:b/>
          <w:bCs/>
          <w:color w:val="000000" w:themeColor="text1"/>
        </w:rPr>
      </w:pPr>
      <w:r w:rsidRPr="00D71261">
        <w:rPr>
          <w:b/>
          <w:bCs/>
          <w:color w:val="000000" w:themeColor="text1"/>
        </w:rPr>
        <w:lastRenderedPageBreak/>
        <w:t>Figure S</w:t>
      </w:r>
      <w:r w:rsidRPr="009212B7">
        <w:rPr>
          <w:b/>
          <w:bCs/>
          <w:color w:val="000000" w:themeColor="text1"/>
        </w:rPr>
        <w:t>8</w:t>
      </w:r>
    </w:p>
    <w:p w:rsidR="004E3710" w:rsidRPr="009212B7" w:rsidRDefault="004E3710" w:rsidP="004E3710">
      <w:pPr>
        <w:spacing w:line="259" w:lineRule="auto"/>
        <w:jc w:val="left"/>
        <w:rPr>
          <w:i/>
          <w:iCs/>
          <w:color w:val="000000" w:themeColor="text1"/>
          <w:sz w:val="20"/>
          <w:szCs w:val="20"/>
        </w:rPr>
      </w:pPr>
      <w:r w:rsidRPr="009212B7">
        <w:rPr>
          <w:noProof/>
          <w:lang w:eastAsia="en-IN"/>
        </w:rPr>
        <w:drawing>
          <wp:inline distT="0" distB="0" distL="0" distR="0" wp14:anchorId="1CBA9CC8" wp14:editId="3E1D780D">
            <wp:extent cx="5731510" cy="6439535"/>
            <wp:effectExtent l="0" t="0" r="2540" b="0"/>
            <wp:docPr id="1331889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0563"/>
                    <a:stretch/>
                  </pic:blipFill>
                  <pic:spPr bwMode="auto">
                    <a:xfrm>
                      <a:off x="0" y="0"/>
                      <a:ext cx="5731510" cy="6439535"/>
                    </a:xfrm>
                    <a:prstGeom prst="rect">
                      <a:avLst/>
                    </a:prstGeom>
                    <a:noFill/>
                    <a:ln>
                      <a:noFill/>
                    </a:ln>
                    <a:extLst>
                      <a:ext uri="{53640926-AAD7-44D8-BBD7-CCE9431645EC}">
                        <a14:shadowObscured xmlns:a14="http://schemas.microsoft.com/office/drawing/2010/main"/>
                      </a:ext>
                    </a:extLst>
                  </pic:spPr>
                </pic:pic>
              </a:graphicData>
            </a:graphic>
          </wp:inline>
        </w:drawing>
      </w:r>
    </w:p>
    <w:p w:rsidR="004E3710" w:rsidRPr="009212B7" w:rsidRDefault="004E3710" w:rsidP="004E3710">
      <w:pPr>
        <w:spacing w:line="259" w:lineRule="auto"/>
        <w:rPr>
          <w:i/>
          <w:iCs/>
          <w:sz w:val="20"/>
          <w:szCs w:val="20"/>
        </w:rPr>
      </w:pPr>
      <w:r w:rsidRPr="00D71261">
        <w:rPr>
          <w:b/>
          <w:bCs/>
          <w:i/>
          <w:iCs/>
          <w:sz w:val="20"/>
          <w:szCs w:val="20"/>
        </w:rPr>
        <w:t>Figure S8:</w:t>
      </w:r>
      <w:r w:rsidRPr="009212B7">
        <w:rPr>
          <w:i/>
          <w:iCs/>
          <w:sz w:val="20"/>
          <w:szCs w:val="20"/>
        </w:rPr>
        <w:t xml:space="preserve"> </w:t>
      </w:r>
      <w:bookmarkStart w:id="2" w:name="_Hlk184742145"/>
      <w:r w:rsidRPr="009212B7">
        <w:rPr>
          <w:b/>
          <w:bCs/>
          <w:i/>
          <w:iCs/>
          <w:sz w:val="20"/>
          <w:szCs w:val="20"/>
        </w:rPr>
        <w:t>Inhibition of MAPK14a appears to hinder successful regenerative response post traumatic brain injury</w:t>
      </w:r>
      <w:bookmarkEnd w:id="2"/>
      <w:r w:rsidRPr="009212B7">
        <w:rPr>
          <w:b/>
          <w:bCs/>
          <w:i/>
          <w:iCs/>
          <w:sz w:val="20"/>
          <w:szCs w:val="20"/>
        </w:rPr>
        <w:t>.</w:t>
      </w:r>
      <w:r w:rsidRPr="009212B7">
        <w:rPr>
          <w:i/>
          <w:iCs/>
          <w:sz w:val="20"/>
          <w:szCs w:val="20"/>
        </w:rPr>
        <w:t xml:space="preserve"> Immunofluorescence staining of 4 dpl zebrafish brains treated with </w:t>
      </w:r>
      <w:r w:rsidRPr="00D71261">
        <w:rPr>
          <w:i/>
          <w:iCs/>
          <w:sz w:val="20"/>
          <w:szCs w:val="20"/>
        </w:rPr>
        <w:t>DMSO (control) or 1 μM BIRB796</w:t>
      </w:r>
      <w:r w:rsidRPr="009212B7">
        <w:rPr>
          <w:i/>
          <w:iCs/>
          <w:sz w:val="20"/>
          <w:szCs w:val="20"/>
        </w:rPr>
        <w:t xml:space="preserve"> </w:t>
      </w:r>
      <w:r w:rsidRPr="00D71261">
        <w:rPr>
          <w:i/>
          <w:iCs/>
          <w:color w:val="000000" w:themeColor="text1"/>
          <w:sz w:val="20"/>
          <w:szCs w:val="20"/>
          <w:lang w:val="en-US"/>
        </w:rPr>
        <w:t>immediately after lesion induction and maintained until sacrifice at 4 dpl</w:t>
      </w:r>
      <w:r w:rsidRPr="009212B7">
        <w:rPr>
          <w:i/>
          <w:iCs/>
          <w:sz w:val="20"/>
          <w:szCs w:val="20"/>
        </w:rPr>
        <w:t xml:space="preserve">, with anti-Olig2 antibody to label oligodendrocyte progenitors. </w:t>
      </w:r>
      <w:r w:rsidRPr="009212B7">
        <w:rPr>
          <w:b/>
          <w:bCs/>
          <w:i/>
          <w:iCs/>
          <w:sz w:val="20"/>
          <w:szCs w:val="20"/>
        </w:rPr>
        <w:t>Top row:</w:t>
      </w:r>
      <w:r w:rsidRPr="009212B7">
        <w:rPr>
          <w:i/>
          <w:iCs/>
          <w:sz w:val="20"/>
          <w:szCs w:val="20"/>
        </w:rPr>
        <w:t xml:space="preserve"> DMSO control, </w:t>
      </w:r>
      <w:r w:rsidRPr="009212B7">
        <w:rPr>
          <w:b/>
          <w:bCs/>
          <w:i/>
          <w:iCs/>
          <w:sz w:val="20"/>
          <w:szCs w:val="20"/>
        </w:rPr>
        <w:t>Bottom row:</w:t>
      </w:r>
      <w:r w:rsidRPr="009212B7">
        <w:rPr>
          <w:i/>
          <w:iCs/>
          <w:sz w:val="20"/>
          <w:szCs w:val="20"/>
        </w:rPr>
        <w:t xml:space="preserve"> BIRB796 treatment. Scale bar = 100 μm. </w:t>
      </w:r>
      <w:r w:rsidRPr="009212B7">
        <w:rPr>
          <w:b/>
          <w:bCs/>
          <w:i/>
          <w:iCs/>
          <w:sz w:val="20"/>
          <w:szCs w:val="20"/>
        </w:rPr>
        <w:t>C.</w:t>
      </w:r>
      <w:r w:rsidRPr="009212B7">
        <w:rPr>
          <w:i/>
          <w:iCs/>
          <w:sz w:val="20"/>
          <w:szCs w:val="20"/>
        </w:rPr>
        <w:t xml:space="preserve"> TUNEL staining of 4 dpl zebrafish brains treated with DMSO (control) or 1 μM BIRB796 to assess cell death. </w:t>
      </w:r>
      <w:r w:rsidRPr="009212B7">
        <w:rPr>
          <w:b/>
          <w:bCs/>
          <w:i/>
          <w:iCs/>
          <w:sz w:val="20"/>
          <w:szCs w:val="20"/>
        </w:rPr>
        <w:t>Top row:</w:t>
      </w:r>
      <w:r w:rsidRPr="009212B7">
        <w:rPr>
          <w:i/>
          <w:iCs/>
          <w:sz w:val="20"/>
          <w:szCs w:val="20"/>
        </w:rPr>
        <w:t xml:space="preserve"> DMSO control, </w:t>
      </w:r>
      <w:r w:rsidRPr="009212B7">
        <w:rPr>
          <w:b/>
          <w:bCs/>
          <w:i/>
          <w:iCs/>
          <w:sz w:val="20"/>
          <w:szCs w:val="20"/>
        </w:rPr>
        <w:t>Bottom row:</w:t>
      </w:r>
      <w:r w:rsidRPr="009212B7">
        <w:rPr>
          <w:i/>
          <w:iCs/>
          <w:sz w:val="20"/>
          <w:szCs w:val="20"/>
        </w:rPr>
        <w:t xml:space="preserve"> BIRB796 treatment. Scale bar = 10 μm. Anatomical regions are indicated: </w:t>
      </w:r>
      <w:r w:rsidRPr="009212B7">
        <w:rPr>
          <w:b/>
          <w:bCs/>
          <w:i/>
          <w:iCs/>
          <w:sz w:val="20"/>
          <w:szCs w:val="20"/>
        </w:rPr>
        <w:t>D</w:t>
      </w:r>
      <w:bookmarkStart w:id="3" w:name="_Hlk188192269"/>
      <w:r w:rsidRPr="009212B7">
        <w:rPr>
          <w:b/>
          <w:bCs/>
          <w:i/>
          <w:iCs/>
          <w:sz w:val="20"/>
          <w:szCs w:val="20"/>
        </w:rPr>
        <w:t>c</w:t>
      </w:r>
      <w:r w:rsidRPr="009212B7">
        <w:rPr>
          <w:i/>
          <w:iCs/>
          <w:sz w:val="20"/>
          <w:szCs w:val="20"/>
        </w:rPr>
        <w:t xml:space="preserve"> (central zone of dorsal telencephalic area), </w:t>
      </w:r>
      <w:r w:rsidRPr="009212B7">
        <w:rPr>
          <w:b/>
          <w:bCs/>
          <w:i/>
          <w:iCs/>
          <w:sz w:val="20"/>
          <w:szCs w:val="20"/>
        </w:rPr>
        <w:t>Dp</w:t>
      </w:r>
      <w:r w:rsidRPr="009212B7">
        <w:rPr>
          <w:i/>
          <w:iCs/>
          <w:sz w:val="20"/>
          <w:szCs w:val="20"/>
        </w:rPr>
        <w:t xml:space="preserve"> (posterior zone of dorsal telencephalic area), </w:t>
      </w:r>
      <w:r w:rsidRPr="009212B7">
        <w:rPr>
          <w:b/>
          <w:bCs/>
          <w:i/>
          <w:iCs/>
          <w:sz w:val="20"/>
          <w:szCs w:val="20"/>
        </w:rPr>
        <w:t>Dm</w:t>
      </w:r>
      <w:r w:rsidRPr="009212B7">
        <w:rPr>
          <w:i/>
          <w:iCs/>
          <w:sz w:val="20"/>
          <w:szCs w:val="20"/>
        </w:rPr>
        <w:t xml:space="preserve"> (medial zone of dorsal telencephalic area), </w:t>
      </w:r>
      <w:r w:rsidRPr="009212B7">
        <w:rPr>
          <w:b/>
          <w:bCs/>
          <w:i/>
          <w:iCs/>
          <w:sz w:val="20"/>
          <w:szCs w:val="20"/>
        </w:rPr>
        <w:t>Dl</w:t>
      </w:r>
      <w:r w:rsidRPr="009212B7">
        <w:rPr>
          <w:i/>
          <w:iCs/>
          <w:sz w:val="20"/>
          <w:szCs w:val="20"/>
        </w:rPr>
        <w:t xml:space="preserve"> (lateral zone of dorsal telencephalic area), </w:t>
      </w:r>
      <w:r w:rsidRPr="009212B7">
        <w:rPr>
          <w:b/>
          <w:bCs/>
          <w:i/>
          <w:iCs/>
          <w:sz w:val="20"/>
          <w:szCs w:val="20"/>
        </w:rPr>
        <w:t>Vd</w:t>
      </w:r>
      <w:r w:rsidRPr="009212B7">
        <w:rPr>
          <w:i/>
          <w:iCs/>
          <w:sz w:val="20"/>
          <w:szCs w:val="20"/>
        </w:rPr>
        <w:t xml:space="preserve"> (dorsal nucleus of ventral telencephalic area), and </w:t>
      </w:r>
      <w:r w:rsidRPr="009212B7">
        <w:rPr>
          <w:b/>
          <w:bCs/>
          <w:i/>
          <w:iCs/>
          <w:sz w:val="20"/>
          <w:szCs w:val="20"/>
        </w:rPr>
        <w:t>Vv</w:t>
      </w:r>
      <w:r w:rsidRPr="009212B7">
        <w:rPr>
          <w:i/>
          <w:iCs/>
          <w:sz w:val="20"/>
          <w:szCs w:val="20"/>
        </w:rPr>
        <w:t xml:space="preserve"> (ventral nucleus of ventral telencephalic area).</w:t>
      </w:r>
      <w:bookmarkEnd w:id="3"/>
    </w:p>
    <w:p w:rsidR="004E3710" w:rsidRPr="009212B7" w:rsidRDefault="004E3710" w:rsidP="004E3710">
      <w:pPr>
        <w:spacing w:line="259" w:lineRule="auto"/>
        <w:rPr>
          <w:i/>
          <w:iCs/>
          <w:color w:val="000000" w:themeColor="text1"/>
          <w:sz w:val="20"/>
          <w:szCs w:val="20"/>
        </w:rPr>
      </w:pPr>
    </w:p>
    <w:p w:rsidR="004E3710" w:rsidRPr="00D71261" w:rsidRDefault="004E3710" w:rsidP="004E3710">
      <w:pPr>
        <w:rPr>
          <w:b/>
          <w:bCs/>
          <w:color w:val="000000" w:themeColor="text1"/>
        </w:rPr>
      </w:pPr>
    </w:p>
    <w:p w:rsidR="004E3710" w:rsidRPr="009212B7" w:rsidRDefault="004E3710" w:rsidP="004E3710">
      <w:pPr>
        <w:rPr>
          <w:b/>
          <w:bCs/>
          <w:color w:val="000000" w:themeColor="text1"/>
        </w:rPr>
      </w:pPr>
      <w:r w:rsidRPr="00D71261">
        <w:rPr>
          <w:b/>
          <w:bCs/>
          <w:color w:val="000000" w:themeColor="text1"/>
        </w:rPr>
        <w:t>Figure S</w:t>
      </w:r>
      <w:r w:rsidRPr="009212B7">
        <w:rPr>
          <w:b/>
          <w:bCs/>
          <w:color w:val="000000" w:themeColor="text1"/>
        </w:rPr>
        <w:t>9</w:t>
      </w:r>
    </w:p>
    <w:p w:rsidR="004E3710" w:rsidRPr="009212B7" w:rsidRDefault="004E3710" w:rsidP="004E3710">
      <w:pPr>
        <w:rPr>
          <w:b/>
          <w:bCs/>
          <w:color w:val="000000" w:themeColor="text1"/>
        </w:rPr>
      </w:pPr>
      <w:r w:rsidRPr="009212B7">
        <w:rPr>
          <w:noProof/>
          <w:lang w:eastAsia="en-IN"/>
        </w:rPr>
        <w:drawing>
          <wp:inline distT="0" distB="0" distL="0" distR="0" wp14:anchorId="0B936AEF" wp14:editId="317A0EFE">
            <wp:extent cx="5731510" cy="3019425"/>
            <wp:effectExtent l="0" t="0" r="2540" b="9525"/>
            <wp:docPr id="1786165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019425"/>
                    </a:xfrm>
                    <a:prstGeom prst="rect">
                      <a:avLst/>
                    </a:prstGeom>
                    <a:noFill/>
                    <a:ln>
                      <a:noFill/>
                    </a:ln>
                  </pic:spPr>
                </pic:pic>
              </a:graphicData>
            </a:graphic>
          </wp:inline>
        </w:drawing>
      </w:r>
    </w:p>
    <w:p w:rsidR="004E3710" w:rsidRPr="009212B7" w:rsidRDefault="004E3710" w:rsidP="004E3710">
      <w:pPr>
        <w:spacing w:line="276" w:lineRule="auto"/>
        <w:rPr>
          <w:i/>
          <w:iCs/>
          <w:color w:val="000000" w:themeColor="text1"/>
          <w:sz w:val="20"/>
          <w:szCs w:val="20"/>
        </w:rPr>
      </w:pPr>
      <w:r w:rsidRPr="00D71261">
        <w:rPr>
          <w:b/>
          <w:bCs/>
          <w:i/>
          <w:iCs/>
          <w:color w:val="000000" w:themeColor="text1"/>
          <w:sz w:val="20"/>
          <w:szCs w:val="20"/>
        </w:rPr>
        <w:t>Figure S9:</w:t>
      </w:r>
      <w:r w:rsidRPr="009212B7">
        <w:rPr>
          <w:b/>
          <w:bCs/>
          <w:i/>
          <w:iCs/>
          <w:color w:val="000000" w:themeColor="text1"/>
          <w:sz w:val="20"/>
          <w:szCs w:val="20"/>
        </w:rPr>
        <w:t xml:space="preserve"> Dynamics of β-catenin and AKT signaling during zebrafish brain regeneration and their modulation by </w:t>
      </w:r>
      <w:r w:rsidRPr="00D71261">
        <w:rPr>
          <w:b/>
          <w:bCs/>
          <w:i/>
          <w:iCs/>
          <w:color w:val="000000" w:themeColor="text1"/>
          <w:sz w:val="20"/>
          <w:szCs w:val="20"/>
        </w:rPr>
        <w:t>p38α MAPK</w:t>
      </w:r>
      <w:r w:rsidRPr="009212B7">
        <w:rPr>
          <w:b/>
          <w:bCs/>
          <w:i/>
          <w:iCs/>
          <w:color w:val="000000" w:themeColor="text1"/>
          <w:sz w:val="20"/>
          <w:szCs w:val="20"/>
        </w:rPr>
        <w:t xml:space="preserve"> inhibition</w:t>
      </w:r>
      <w:r w:rsidRPr="009212B7">
        <w:rPr>
          <w:i/>
          <w:iCs/>
          <w:color w:val="000000" w:themeColor="text1"/>
          <w:sz w:val="20"/>
          <w:szCs w:val="20"/>
        </w:rPr>
        <w:t xml:space="preserve">. </w:t>
      </w:r>
      <w:r w:rsidRPr="009212B7">
        <w:rPr>
          <w:b/>
          <w:bCs/>
          <w:i/>
          <w:iCs/>
          <w:color w:val="000000" w:themeColor="text1"/>
          <w:sz w:val="20"/>
          <w:szCs w:val="20"/>
        </w:rPr>
        <w:t>A)</w:t>
      </w:r>
      <w:r w:rsidRPr="009212B7">
        <w:rPr>
          <w:i/>
          <w:iCs/>
          <w:color w:val="000000" w:themeColor="text1"/>
          <w:sz w:val="20"/>
          <w:szCs w:val="20"/>
        </w:rPr>
        <w:t xml:space="preserve"> Immunoblot showing temporal changes in β-catenin protein levels in the zebrafish brain at different days post-lesion (dpl): 1, 4, 7, and 14 dpl, compared to uninjured control. </w:t>
      </w:r>
      <w:r w:rsidRPr="009212B7">
        <w:rPr>
          <w:b/>
          <w:bCs/>
          <w:i/>
          <w:iCs/>
          <w:color w:val="000000" w:themeColor="text1"/>
          <w:sz w:val="20"/>
          <w:szCs w:val="20"/>
        </w:rPr>
        <w:t>B)</w:t>
      </w:r>
      <w:r w:rsidRPr="009212B7">
        <w:rPr>
          <w:i/>
          <w:iCs/>
          <w:color w:val="000000" w:themeColor="text1"/>
          <w:sz w:val="20"/>
          <w:szCs w:val="20"/>
        </w:rPr>
        <w:t xml:space="preserve"> Immunoblot showing levels of phosphorylated (active) AKT (p-AKT) and total AKT across the regeneration time course. </w:t>
      </w:r>
      <w:r w:rsidRPr="009212B7">
        <w:rPr>
          <w:b/>
          <w:bCs/>
          <w:i/>
          <w:iCs/>
          <w:color w:val="000000" w:themeColor="text1"/>
          <w:sz w:val="20"/>
          <w:szCs w:val="20"/>
        </w:rPr>
        <w:t>C)</w:t>
      </w:r>
      <w:r w:rsidRPr="009212B7">
        <w:rPr>
          <w:i/>
          <w:iCs/>
          <w:color w:val="000000" w:themeColor="text1"/>
          <w:sz w:val="20"/>
          <w:szCs w:val="20"/>
        </w:rPr>
        <w:t xml:space="preserve"> Effect of p38 MAPK inhibition using BIRB796 on β-catenin levels at 4 dpl. Zebrafish brains were treated with DMSO (vehicle control), or BIRB796 at 0.5 µM and 1 µM. </w:t>
      </w:r>
      <w:r w:rsidRPr="009212B7">
        <w:rPr>
          <w:b/>
          <w:bCs/>
          <w:i/>
          <w:iCs/>
          <w:color w:val="000000" w:themeColor="text1"/>
          <w:sz w:val="20"/>
          <w:szCs w:val="20"/>
        </w:rPr>
        <w:t>D)</w:t>
      </w:r>
      <w:r w:rsidRPr="009212B7">
        <w:rPr>
          <w:i/>
          <w:iCs/>
          <w:color w:val="000000" w:themeColor="text1"/>
          <w:sz w:val="20"/>
          <w:szCs w:val="20"/>
        </w:rPr>
        <w:t xml:space="preserve"> Immunoblot showing the effect of BIRB796 on phosphorylated (active) and total AKT levels at 4 dpl. Zebrafish brains were treated with DMSO (vehicle control), or BIRB796 at 0.5 µM and 1 µM. DMSO was used as the vehicle control. β-Actin was used as the loading control for all panels. </w:t>
      </w:r>
      <w:r w:rsidRPr="00D71261">
        <w:rPr>
          <w:i/>
          <w:iCs/>
          <w:color w:val="000000" w:themeColor="text1"/>
          <w:sz w:val="20"/>
          <w:szCs w:val="20"/>
        </w:rPr>
        <w:t>dpl: days post-lesion</w:t>
      </w: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rPr>
          <w:b/>
          <w:bCs/>
          <w:color w:val="000000" w:themeColor="text1"/>
        </w:rPr>
      </w:pPr>
      <w:r w:rsidRPr="00D71261">
        <w:rPr>
          <w:b/>
          <w:bCs/>
          <w:color w:val="000000" w:themeColor="text1"/>
        </w:rPr>
        <w:t>Figure S</w:t>
      </w:r>
      <w:r w:rsidRPr="009212B7">
        <w:rPr>
          <w:b/>
          <w:bCs/>
          <w:color w:val="000000" w:themeColor="text1"/>
        </w:rPr>
        <w:t>10</w:t>
      </w: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b/>
          <w:bCs/>
          <w:i/>
          <w:iCs/>
          <w:color w:val="FF0000"/>
          <w:sz w:val="18"/>
          <w:szCs w:val="18"/>
        </w:rPr>
      </w:pPr>
      <w:r w:rsidRPr="009212B7">
        <w:rPr>
          <w:b/>
          <w:bCs/>
          <w:i/>
          <w:iCs/>
          <w:noProof/>
          <w:color w:val="FF0000"/>
          <w:sz w:val="18"/>
          <w:szCs w:val="18"/>
          <w:lang w:eastAsia="en-IN"/>
        </w:rPr>
        <w:drawing>
          <wp:inline distT="0" distB="0" distL="0" distR="0" wp14:anchorId="329DFAA5" wp14:editId="71A553A5">
            <wp:extent cx="5731510" cy="5387340"/>
            <wp:effectExtent l="0" t="0" r="2540" b="3810"/>
            <wp:docPr id="14500804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80458" name="Picture 1450080458"/>
                    <pic:cNvPicPr/>
                  </pic:nvPicPr>
                  <pic:blipFill>
                    <a:blip r:embed="rId15">
                      <a:extLst>
                        <a:ext uri="{28A0092B-C50C-407E-A947-70E740481C1C}">
                          <a14:useLocalDpi xmlns:a14="http://schemas.microsoft.com/office/drawing/2010/main" val="0"/>
                        </a:ext>
                      </a:extLst>
                    </a:blip>
                    <a:stretch>
                      <a:fillRect/>
                    </a:stretch>
                  </pic:blipFill>
                  <pic:spPr>
                    <a:xfrm>
                      <a:off x="0" y="0"/>
                      <a:ext cx="5731510" cy="5387340"/>
                    </a:xfrm>
                    <a:prstGeom prst="rect">
                      <a:avLst/>
                    </a:prstGeom>
                  </pic:spPr>
                </pic:pic>
              </a:graphicData>
            </a:graphic>
          </wp:inline>
        </w:drawing>
      </w:r>
    </w:p>
    <w:p w:rsidR="004E3710" w:rsidRPr="009212B7" w:rsidRDefault="004E3710" w:rsidP="004E3710">
      <w:pPr>
        <w:spacing w:line="276" w:lineRule="auto"/>
        <w:rPr>
          <w:i/>
          <w:iCs/>
          <w:sz w:val="20"/>
          <w:szCs w:val="20"/>
        </w:rPr>
      </w:pPr>
      <w:r w:rsidRPr="00D71261">
        <w:rPr>
          <w:b/>
          <w:bCs/>
          <w:i/>
          <w:iCs/>
          <w:sz w:val="20"/>
          <w:szCs w:val="20"/>
        </w:rPr>
        <w:t>Figure S10:</w:t>
      </w:r>
      <w:r w:rsidRPr="009212B7">
        <w:rPr>
          <w:b/>
          <w:bCs/>
          <w:i/>
          <w:iCs/>
          <w:sz w:val="20"/>
          <w:szCs w:val="20"/>
        </w:rPr>
        <w:t xml:space="preserve"> Transcriptomic analysis of a mouse model of traumatic brain injury. </w:t>
      </w:r>
      <w:bookmarkStart w:id="4" w:name="_Hlk195522654"/>
      <w:r w:rsidRPr="009212B7">
        <w:rPr>
          <w:b/>
          <w:bCs/>
          <w:i/>
          <w:iCs/>
          <w:sz w:val="20"/>
          <w:szCs w:val="20"/>
        </w:rPr>
        <w:t xml:space="preserve">A) </w:t>
      </w:r>
      <w:r w:rsidRPr="009212B7">
        <w:rPr>
          <w:i/>
          <w:iCs/>
          <w:sz w:val="20"/>
          <w:szCs w:val="20"/>
        </w:rPr>
        <w:t>Gene Ontology (GO) enrichment analysis of biological processes significantly upregulated in a transcriptomic dataset from a mouse model of TBI</w:t>
      </w:r>
      <w:r w:rsidRPr="009212B7">
        <w:rPr>
          <w:b/>
          <w:bCs/>
          <w:i/>
          <w:iCs/>
          <w:sz w:val="20"/>
          <w:szCs w:val="20"/>
        </w:rPr>
        <w:t xml:space="preserve">. B) </w:t>
      </w:r>
      <w:r w:rsidRPr="009212B7">
        <w:rPr>
          <w:i/>
          <w:iCs/>
          <w:sz w:val="20"/>
          <w:szCs w:val="20"/>
        </w:rPr>
        <w:t>KEGG pathway enrichment analysis from the same dataset. Color intensity represents p-values and bar length indicates the number of genes associated with each term or pathway.</w:t>
      </w:r>
      <w:bookmarkEnd w:id="4"/>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spacing w:line="259" w:lineRule="auto"/>
        <w:jc w:val="left"/>
        <w:rPr>
          <w:i/>
          <w:iCs/>
          <w:color w:val="000000" w:themeColor="text1"/>
          <w:sz w:val="18"/>
          <w:szCs w:val="18"/>
        </w:rPr>
      </w:pPr>
    </w:p>
    <w:p w:rsidR="004E3710" w:rsidRPr="009212B7" w:rsidRDefault="004E3710" w:rsidP="004E3710">
      <w:pPr>
        <w:pStyle w:val="Heading1"/>
        <w:spacing w:after="0"/>
        <w:rPr>
          <w:color w:val="000000" w:themeColor="text1"/>
        </w:rPr>
      </w:pPr>
      <w:r w:rsidRPr="009212B7">
        <w:rPr>
          <w:color w:val="000000" w:themeColor="text1"/>
        </w:rPr>
        <w:t>Additional Information</w:t>
      </w:r>
    </w:p>
    <w:p w:rsidR="004E3710" w:rsidRPr="009212B7" w:rsidRDefault="004E3710" w:rsidP="004E3710">
      <w:pPr>
        <w:spacing w:after="0"/>
        <w:rPr>
          <w:color w:val="000000" w:themeColor="text1"/>
        </w:rPr>
      </w:pPr>
      <w:r w:rsidRPr="009212B7">
        <w:rPr>
          <w:b/>
          <w:bCs/>
          <w:color w:val="000000" w:themeColor="text1"/>
        </w:rPr>
        <w:t xml:space="preserve">Additional Table S1: </w:t>
      </w:r>
      <w:r w:rsidRPr="009212B7">
        <w:rPr>
          <w:color w:val="000000" w:themeColor="text1"/>
        </w:rPr>
        <w:t>List of primers used in the study</w:t>
      </w:r>
    </w:p>
    <w:p w:rsidR="004E3710" w:rsidRPr="009212B7" w:rsidRDefault="004E3710" w:rsidP="004E3710">
      <w:pPr>
        <w:spacing w:after="0"/>
        <w:rPr>
          <w:color w:val="000000" w:themeColor="text1"/>
        </w:rPr>
      </w:pPr>
      <w:r w:rsidRPr="009212B7">
        <w:rPr>
          <w:b/>
          <w:bCs/>
          <w:color w:val="000000" w:themeColor="text1"/>
        </w:rPr>
        <w:t>Additional Figure S1</w:t>
      </w:r>
      <w:r w:rsidRPr="009212B7">
        <w:rPr>
          <w:color w:val="000000" w:themeColor="text1"/>
        </w:rPr>
        <w:t>: Zebrafish brain regeneration upon telencephalic stab-wound injury.</w:t>
      </w:r>
    </w:p>
    <w:p w:rsidR="004E3710" w:rsidRPr="009212B7" w:rsidRDefault="004E3710" w:rsidP="004E3710">
      <w:pPr>
        <w:spacing w:after="0"/>
        <w:rPr>
          <w:color w:val="000000" w:themeColor="text1"/>
        </w:rPr>
      </w:pPr>
      <w:r w:rsidRPr="00D71261">
        <w:rPr>
          <w:b/>
          <w:bCs/>
          <w:color w:val="000000" w:themeColor="text1"/>
        </w:rPr>
        <w:t>Additional Figure S2:</w:t>
      </w:r>
      <w:r w:rsidRPr="00D71261">
        <w:rPr>
          <w:b/>
          <w:bCs/>
          <w:i/>
          <w:iCs/>
          <w:color w:val="000000" w:themeColor="text1"/>
          <w:sz w:val="20"/>
          <w:szCs w:val="20"/>
        </w:rPr>
        <w:t xml:space="preserve"> </w:t>
      </w:r>
      <w:r w:rsidRPr="00D71261">
        <w:rPr>
          <w:color w:val="000000" w:themeColor="text1"/>
        </w:rPr>
        <w:t>PCA plot visualizing the variance in gene expression data across different brain regeneration samples (control, 1 dpl, 4 dpl and 7 dpl).</w:t>
      </w:r>
    </w:p>
    <w:p w:rsidR="004E3710" w:rsidRPr="009212B7" w:rsidRDefault="004E3710" w:rsidP="004E3710">
      <w:pPr>
        <w:spacing w:after="0"/>
        <w:rPr>
          <w:b/>
          <w:bCs/>
          <w:color w:val="000000" w:themeColor="text1"/>
        </w:rPr>
      </w:pPr>
      <w:r w:rsidRPr="009212B7">
        <w:rPr>
          <w:b/>
          <w:bCs/>
          <w:color w:val="000000" w:themeColor="text1"/>
        </w:rPr>
        <w:t xml:space="preserve">Additional Figure S3: </w:t>
      </w:r>
      <w:r w:rsidRPr="009212B7">
        <w:rPr>
          <w:color w:val="000000" w:themeColor="text1"/>
        </w:rPr>
        <w:t>Activation dynamics of inflammation response across different time points</w:t>
      </w:r>
    </w:p>
    <w:p w:rsidR="004E3710" w:rsidRPr="009212B7" w:rsidRDefault="004E3710" w:rsidP="004E3710">
      <w:pPr>
        <w:spacing w:after="0"/>
        <w:rPr>
          <w:b/>
          <w:bCs/>
          <w:color w:val="000000" w:themeColor="text1"/>
        </w:rPr>
      </w:pPr>
      <w:r w:rsidRPr="009212B7">
        <w:rPr>
          <w:b/>
          <w:bCs/>
          <w:color w:val="000000" w:themeColor="text1"/>
        </w:rPr>
        <w:t xml:space="preserve">Additional Figure S4: </w:t>
      </w:r>
      <w:r w:rsidRPr="009212B7">
        <w:rPr>
          <w:color w:val="000000" w:themeColor="text1"/>
        </w:rPr>
        <w:t>Network and module-trait relationships: Topological overlap, module composition, and trait correlations.</w:t>
      </w:r>
    </w:p>
    <w:p w:rsidR="004E3710" w:rsidRPr="009212B7" w:rsidRDefault="004E3710" w:rsidP="004E3710">
      <w:pPr>
        <w:spacing w:after="0"/>
        <w:rPr>
          <w:color w:val="000000" w:themeColor="text1"/>
        </w:rPr>
      </w:pPr>
      <w:r w:rsidRPr="009212B7">
        <w:rPr>
          <w:b/>
          <w:bCs/>
          <w:color w:val="000000" w:themeColor="text1"/>
        </w:rPr>
        <w:t xml:space="preserve">Additional Figure S5: </w:t>
      </w:r>
      <w:r w:rsidRPr="009212B7">
        <w:rPr>
          <w:color w:val="000000" w:themeColor="text1"/>
        </w:rPr>
        <w:t>Identification and functional enrichment of hub genes</w:t>
      </w:r>
    </w:p>
    <w:p w:rsidR="004E3710" w:rsidRPr="009212B7" w:rsidRDefault="004E3710" w:rsidP="004E3710">
      <w:pPr>
        <w:spacing w:after="0"/>
        <w:rPr>
          <w:color w:val="000000" w:themeColor="text1"/>
        </w:rPr>
      </w:pPr>
      <w:r w:rsidRPr="009212B7">
        <w:rPr>
          <w:b/>
          <w:bCs/>
          <w:color w:val="000000" w:themeColor="text1"/>
        </w:rPr>
        <w:t xml:space="preserve">Additional Figure S6: </w:t>
      </w:r>
      <w:r w:rsidRPr="009212B7">
        <w:rPr>
          <w:color w:val="000000" w:themeColor="text1"/>
        </w:rPr>
        <w:t>Network representation of DEG’s combined across all the time points</w:t>
      </w:r>
    </w:p>
    <w:p w:rsidR="004E3710" w:rsidRPr="009212B7" w:rsidRDefault="004E3710" w:rsidP="004E3710">
      <w:pPr>
        <w:spacing w:after="0"/>
        <w:rPr>
          <w:b/>
          <w:bCs/>
          <w:color w:val="000000" w:themeColor="text1"/>
        </w:rPr>
      </w:pPr>
      <w:r w:rsidRPr="009212B7">
        <w:rPr>
          <w:b/>
          <w:bCs/>
          <w:color w:val="000000" w:themeColor="text1"/>
        </w:rPr>
        <w:t xml:space="preserve">Additional Figure S7: </w:t>
      </w:r>
      <w:r w:rsidRPr="009212B7">
        <w:rPr>
          <w:color w:val="000000" w:themeColor="text1"/>
        </w:rPr>
        <w:t xml:space="preserve">Visualization of Identified KEGG Pathway Routes for </w:t>
      </w:r>
      <w:r w:rsidRPr="009212B7">
        <w:rPr>
          <w:b/>
          <w:bCs/>
          <w:color w:val="000000" w:themeColor="text1"/>
        </w:rPr>
        <w:t>A)</w:t>
      </w:r>
      <w:r w:rsidRPr="009212B7">
        <w:rPr>
          <w:color w:val="000000" w:themeColor="text1"/>
        </w:rPr>
        <w:t xml:space="preserve"> MAPK signaling and Cell Cycle, </w:t>
      </w:r>
      <w:r w:rsidRPr="009212B7">
        <w:rPr>
          <w:b/>
          <w:bCs/>
          <w:color w:val="000000" w:themeColor="text1"/>
        </w:rPr>
        <w:t>B)</w:t>
      </w:r>
      <w:r w:rsidRPr="009212B7">
        <w:rPr>
          <w:color w:val="000000" w:themeColor="text1"/>
        </w:rPr>
        <w:t xml:space="preserve"> Calcium Signaling and PPAR signaling.</w:t>
      </w:r>
      <w:r w:rsidRPr="009212B7">
        <w:rPr>
          <w:b/>
          <w:bCs/>
          <w:color w:val="000000" w:themeColor="text1"/>
        </w:rPr>
        <w:t xml:space="preserve"> </w:t>
      </w:r>
    </w:p>
    <w:p w:rsidR="004E3710" w:rsidRPr="009212B7" w:rsidRDefault="004E3710" w:rsidP="004E3710">
      <w:pPr>
        <w:spacing w:after="0"/>
        <w:rPr>
          <w:color w:val="000000" w:themeColor="text1"/>
        </w:rPr>
      </w:pPr>
      <w:r w:rsidRPr="009212B7">
        <w:rPr>
          <w:b/>
          <w:bCs/>
          <w:color w:val="000000" w:themeColor="text1"/>
        </w:rPr>
        <w:t xml:space="preserve">Additional Figure S8: </w:t>
      </w:r>
      <w:r w:rsidRPr="009212B7">
        <w:rPr>
          <w:color w:val="000000" w:themeColor="text1"/>
        </w:rPr>
        <w:t>Inhibition of MAPK14a appears to hinder successful regenerative response post traumatic brain injury</w:t>
      </w:r>
    </w:p>
    <w:p w:rsidR="004E3710" w:rsidRPr="009212B7" w:rsidRDefault="004E3710" w:rsidP="004E3710">
      <w:pPr>
        <w:spacing w:after="0"/>
        <w:rPr>
          <w:color w:val="000000" w:themeColor="text1"/>
        </w:rPr>
      </w:pPr>
      <w:r w:rsidRPr="009212B7">
        <w:rPr>
          <w:b/>
          <w:bCs/>
          <w:color w:val="000000" w:themeColor="text1"/>
        </w:rPr>
        <w:t>Additional Figure S9:</w:t>
      </w:r>
      <w:r w:rsidRPr="009212B7">
        <w:rPr>
          <w:color w:val="000000" w:themeColor="text1"/>
        </w:rPr>
        <w:t xml:space="preserve"> Dynamics of β-catenin and AKT signaling during zebrafish brain regeneration and their modulation by </w:t>
      </w:r>
      <w:r w:rsidRPr="00D71261">
        <w:rPr>
          <w:color w:val="000000" w:themeColor="text1"/>
        </w:rPr>
        <w:t>p38α MAPK</w:t>
      </w:r>
      <w:r w:rsidRPr="009212B7">
        <w:rPr>
          <w:color w:val="000000" w:themeColor="text1"/>
        </w:rPr>
        <w:t xml:space="preserve"> inhibition</w:t>
      </w:r>
    </w:p>
    <w:p w:rsidR="004E3710" w:rsidRPr="009212B7" w:rsidRDefault="004E3710" w:rsidP="004E3710">
      <w:pPr>
        <w:spacing w:after="0"/>
      </w:pPr>
      <w:r w:rsidRPr="009212B7">
        <w:rPr>
          <w:b/>
          <w:bCs/>
          <w:color w:val="000000" w:themeColor="text1"/>
        </w:rPr>
        <w:t xml:space="preserve">Additional Figure S10: </w:t>
      </w:r>
      <w:r w:rsidRPr="009212B7">
        <w:t>Transcriptomic analysis of a mouse model of traumatic brain injury.</w:t>
      </w:r>
    </w:p>
    <w:p w:rsidR="004E3710" w:rsidRPr="009212B7" w:rsidRDefault="004E3710" w:rsidP="004E3710">
      <w:pPr>
        <w:spacing w:after="0"/>
        <w:rPr>
          <w:color w:val="000000" w:themeColor="text1"/>
        </w:rPr>
      </w:pPr>
      <w:r w:rsidRPr="009212B7">
        <w:rPr>
          <w:b/>
          <w:bCs/>
          <w:color w:val="000000" w:themeColor="text1"/>
        </w:rPr>
        <w:t xml:space="preserve">Additional File 1: </w:t>
      </w:r>
      <w:r w:rsidRPr="009212B7">
        <w:rPr>
          <w:color w:val="000000" w:themeColor="text1"/>
        </w:rPr>
        <w:t>List of dysregulated genes at different timepoints across brain regeneration in Zebrafish</w:t>
      </w:r>
    </w:p>
    <w:p w:rsidR="004E3710" w:rsidRPr="009212B7" w:rsidRDefault="004E3710" w:rsidP="004E3710">
      <w:pPr>
        <w:spacing w:after="0"/>
        <w:rPr>
          <w:color w:val="000000" w:themeColor="text1"/>
        </w:rPr>
      </w:pPr>
      <w:r w:rsidRPr="009212B7">
        <w:rPr>
          <w:b/>
          <w:bCs/>
          <w:color w:val="000000" w:themeColor="text1"/>
        </w:rPr>
        <w:t xml:space="preserve">Additional File 2: </w:t>
      </w:r>
      <w:r w:rsidRPr="009212B7">
        <w:rPr>
          <w:color w:val="000000" w:themeColor="text1"/>
        </w:rPr>
        <w:t xml:space="preserve">Gene Set Enrichment Analysis (GSEA): Enriched GO and KEGG terms across different timepoints in brain regeneration in Zebrafish </w:t>
      </w:r>
    </w:p>
    <w:p w:rsidR="004E3710" w:rsidRPr="009212B7" w:rsidRDefault="004E3710" w:rsidP="004E3710">
      <w:pPr>
        <w:spacing w:after="0"/>
        <w:rPr>
          <w:b/>
          <w:bCs/>
        </w:rPr>
      </w:pPr>
      <w:r w:rsidRPr="009212B7">
        <w:rPr>
          <w:b/>
          <w:bCs/>
        </w:rPr>
        <w:t xml:space="preserve">Additional File 3: </w:t>
      </w:r>
      <w:r w:rsidRPr="009212B7">
        <w:t>List of genes in each module obtained from WGCNA</w:t>
      </w:r>
    </w:p>
    <w:p w:rsidR="004E3710" w:rsidRPr="009212B7" w:rsidRDefault="004E3710" w:rsidP="004E3710">
      <w:pPr>
        <w:spacing w:after="0"/>
      </w:pPr>
      <w:r w:rsidRPr="009212B7">
        <w:rPr>
          <w:b/>
          <w:bCs/>
        </w:rPr>
        <w:t xml:space="preserve">Additional File 4: </w:t>
      </w:r>
      <w:r w:rsidRPr="009212B7">
        <w:t>Module-wise gene enrichment</w:t>
      </w:r>
    </w:p>
    <w:p w:rsidR="004E3710" w:rsidRPr="00277B8C" w:rsidRDefault="004E3710" w:rsidP="004E3710">
      <w:pPr>
        <w:spacing w:after="0"/>
        <w:rPr>
          <w:b/>
          <w:bCs/>
        </w:rPr>
      </w:pPr>
      <w:r w:rsidRPr="009212B7">
        <w:rPr>
          <w:b/>
          <w:bCs/>
        </w:rPr>
        <w:t xml:space="preserve">Additional File 5: </w:t>
      </w:r>
      <w:r w:rsidRPr="009212B7">
        <w:t>List of dysregulated genes in mouse traumatic brain injury and their functional enrichment</w:t>
      </w:r>
    </w:p>
    <w:p w:rsidR="007D5B35" w:rsidRDefault="004E3710">
      <w:bookmarkStart w:id="5" w:name="_GoBack"/>
      <w:bookmarkEnd w:id="5"/>
    </w:p>
    <w:sectPr w:rsidR="007D5B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710"/>
    <w:rsid w:val="000B1437"/>
    <w:rsid w:val="00141AF2"/>
    <w:rsid w:val="00182531"/>
    <w:rsid w:val="001A10FF"/>
    <w:rsid w:val="001C04B9"/>
    <w:rsid w:val="00214719"/>
    <w:rsid w:val="00236C83"/>
    <w:rsid w:val="0035143B"/>
    <w:rsid w:val="003A46B7"/>
    <w:rsid w:val="003F2DAF"/>
    <w:rsid w:val="004772C0"/>
    <w:rsid w:val="004E3710"/>
    <w:rsid w:val="004E7769"/>
    <w:rsid w:val="004E779F"/>
    <w:rsid w:val="0050178B"/>
    <w:rsid w:val="0053626B"/>
    <w:rsid w:val="00542D85"/>
    <w:rsid w:val="00567817"/>
    <w:rsid w:val="00590504"/>
    <w:rsid w:val="005A3991"/>
    <w:rsid w:val="005B2DF3"/>
    <w:rsid w:val="005F1ED1"/>
    <w:rsid w:val="00634A8B"/>
    <w:rsid w:val="006A4AE0"/>
    <w:rsid w:val="006C324A"/>
    <w:rsid w:val="006C4A9C"/>
    <w:rsid w:val="006C7AB7"/>
    <w:rsid w:val="006F6A96"/>
    <w:rsid w:val="0077397E"/>
    <w:rsid w:val="00781BAE"/>
    <w:rsid w:val="00AD10C9"/>
    <w:rsid w:val="00B3157D"/>
    <w:rsid w:val="00B5226D"/>
    <w:rsid w:val="00BA4A63"/>
    <w:rsid w:val="00C509E7"/>
    <w:rsid w:val="00CB15DA"/>
    <w:rsid w:val="00D05A70"/>
    <w:rsid w:val="00DD040A"/>
    <w:rsid w:val="00E00CBC"/>
    <w:rsid w:val="00EF774C"/>
    <w:rsid w:val="00FF1D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710"/>
    <w:pPr>
      <w:spacing w:after="160" w:line="360" w:lineRule="auto"/>
      <w:jc w:val="both"/>
    </w:pPr>
    <w:rPr>
      <w:rFonts w:ascii="Times New Roman" w:hAnsi="Times New Roman" w:cs="Times New Roman"/>
      <w:kern w:val="2"/>
      <w:sz w:val="24"/>
      <w:szCs w:val="24"/>
      <w14:ligatures w14:val="standardContextual"/>
    </w:rPr>
  </w:style>
  <w:style w:type="paragraph" w:styleId="Heading1">
    <w:name w:val="heading 1"/>
    <w:basedOn w:val="Normal"/>
    <w:next w:val="Normal"/>
    <w:link w:val="Heading1Char"/>
    <w:uiPriority w:val="9"/>
    <w:qFormat/>
    <w:rsid w:val="004E3710"/>
    <w:pP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710"/>
    <w:rPr>
      <w:rFonts w:ascii="Times New Roman" w:hAnsi="Times New Roman" w:cs="Times New Roman"/>
      <w:b/>
      <w:bCs/>
      <w:kern w:val="2"/>
      <w:sz w:val="28"/>
      <w:szCs w:val="28"/>
      <w14:ligatures w14:val="standardContextual"/>
    </w:rPr>
  </w:style>
  <w:style w:type="paragraph" w:styleId="Caption">
    <w:name w:val="caption"/>
    <w:basedOn w:val="Normal"/>
    <w:next w:val="Normal"/>
    <w:uiPriority w:val="35"/>
    <w:unhideWhenUsed/>
    <w:qFormat/>
    <w:rsid w:val="004E3710"/>
    <w:pPr>
      <w:spacing w:after="200" w:line="240" w:lineRule="auto"/>
    </w:pPr>
    <w:rPr>
      <w:i/>
      <w:iCs/>
      <w:color w:val="1F497D" w:themeColor="text2"/>
      <w:sz w:val="18"/>
      <w:szCs w:val="18"/>
    </w:rPr>
  </w:style>
  <w:style w:type="table" w:customStyle="1" w:styleId="PlainTable2">
    <w:name w:val="Plain Table 2"/>
    <w:basedOn w:val="TableNormal"/>
    <w:uiPriority w:val="42"/>
    <w:rsid w:val="004E3710"/>
    <w:pPr>
      <w:spacing w:after="0" w:line="240" w:lineRule="auto"/>
    </w:pPr>
    <w:rPr>
      <w:kern w:val="2"/>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4E3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710"/>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710"/>
    <w:pPr>
      <w:spacing w:after="160" w:line="360" w:lineRule="auto"/>
      <w:jc w:val="both"/>
    </w:pPr>
    <w:rPr>
      <w:rFonts w:ascii="Times New Roman" w:hAnsi="Times New Roman" w:cs="Times New Roman"/>
      <w:kern w:val="2"/>
      <w:sz w:val="24"/>
      <w:szCs w:val="24"/>
      <w14:ligatures w14:val="standardContextual"/>
    </w:rPr>
  </w:style>
  <w:style w:type="paragraph" w:styleId="Heading1">
    <w:name w:val="heading 1"/>
    <w:basedOn w:val="Normal"/>
    <w:next w:val="Normal"/>
    <w:link w:val="Heading1Char"/>
    <w:uiPriority w:val="9"/>
    <w:qFormat/>
    <w:rsid w:val="004E3710"/>
    <w:pP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710"/>
    <w:rPr>
      <w:rFonts w:ascii="Times New Roman" w:hAnsi="Times New Roman" w:cs="Times New Roman"/>
      <w:b/>
      <w:bCs/>
      <w:kern w:val="2"/>
      <w:sz w:val="28"/>
      <w:szCs w:val="28"/>
      <w14:ligatures w14:val="standardContextual"/>
    </w:rPr>
  </w:style>
  <w:style w:type="paragraph" w:styleId="Caption">
    <w:name w:val="caption"/>
    <w:basedOn w:val="Normal"/>
    <w:next w:val="Normal"/>
    <w:uiPriority w:val="35"/>
    <w:unhideWhenUsed/>
    <w:qFormat/>
    <w:rsid w:val="004E3710"/>
    <w:pPr>
      <w:spacing w:after="200" w:line="240" w:lineRule="auto"/>
    </w:pPr>
    <w:rPr>
      <w:i/>
      <w:iCs/>
      <w:color w:val="1F497D" w:themeColor="text2"/>
      <w:sz w:val="18"/>
      <w:szCs w:val="18"/>
    </w:rPr>
  </w:style>
  <w:style w:type="table" w:customStyle="1" w:styleId="PlainTable2">
    <w:name w:val="Plain Table 2"/>
    <w:basedOn w:val="TableNormal"/>
    <w:uiPriority w:val="42"/>
    <w:rsid w:val="004E3710"/>
    <w:pPr>
      <w:spacing w:after="0" w:line="240" w:lineRule="auto"/>
    </w:pPr>
    <w:rPr>
      <w:kern w:val="2"/>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4E3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710"/>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tiff"/><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1250</Words>
  <Characters>7129</Characters>
  <Application>Microsoft Office Word</Application>
  <DocSecurity>0</DocSecurity>
  <Lines>59</Lines>
  <Paragraphs>16</Paragraphs>
  <ScaleCrop>false</ScaleCrop>
  <Company/>
  <LinksUpToDate>false</LinksUpToDate>
  <CharactersWithSpaces>8363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Editorial Integra</dc:creator>
  <cp:lastModifiedBy>Editorial Integra</cp:lastModifiedBy>
  <cp:revision>1</cp:revision>
  <dcterms:created xsi:type="dcterms:W3CDTF">2025-11-05T12:15:00Z</dcterms:created>
  <dcterms:modified xsi:type="dcterms:W3CDTF">2025-11-05T12:15:00Z</dcterms:modified>
</cp:coreProperties>
</file>