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401DD3" w14:textId="77777777" w:rsidR="00792B14" w:rsidRPr="008916C2" w:rsidRDefault="00792B14" w:rsidP="00792B14">
      <w:pPr>
        <w:bidi w:val="0"/>
        <w:jc w:val="center"/>
        <w:rPr>
          <w:rFonts w:ascii="Times New Roman" w:hAnsi="Times New Roman" w:cs="Times New Roman"/>
          <w:b/>
          <w:bCs/>
          <w:color w:val="1C1C1C"/>
          <w:sz w:val="32"/>
          <w:szCs w:val="32"/>
          <w:shd w:val="clear" w:color="auto" w:fill="FFFFFF"/>
          <w:lang w:bidi="fa-IR"/>
        </w:rPr>
      </w:pPr>
      <w:bookmarkStart w:id="0" w:name="_Hlk186593689"/>
      <w:r w:rsidRPr="008916C2">
        <w:rPr>
          <w:rFonts w:ascii="Times New Roman" w:hAnsi="Times New Roman" w:cs="Times New Roman"/>
          <w:b/>
          <w:bCs/>
          <w:color w:val="1C1C1C"/>
          <w:sz w:val="32"/>
          <w:szCs w:val="32"/>
          <w:shd w:val="clear" w:color="auto" w:fill="FFFFFF"/>
          <w:lang w:bidi="fa-IR"/>
        </w:rPr>
        <w:t>“Online supporting material”</w:t>
      </w:r>
    </w:p>
    <w:p w14:paraId="5BC51D5D" w14:textId="77777777" w:rsidR="00792B14" w:rsidRPr="008916C2" w:rsidRDefault="00792B14">
      <w:pPr>
        <w:bidi w:val="0"/>
      </w:pPr>
      <w:r w:rsidRPr="008916C2">
        <w:br w:type="page"/>
      </w:r>
    </w:p>
    <w:tbl>
      <w:tblPr>
        <w:tblpPr w:leftFromText="180" w:rightFromText="180" w:horzAnchor="margin" w:tblpXSpec="center" w:tblpY="-852"/>
        <w:tblW w:w="15229" w:type="dxa"/>
        <w:tblLook w:val="04A0" w:firstRow="1" w:lastRow="0" w:firstColumn="1" w:lastColumn="0" w:noHBand="0" w:noVBand="1"/>
      </w:tblPr>
      <w:tblGrid>
        <w:gridCol w:w="1803"/>
        <w:gridCol w:w="580"/>
        <w:gridCol w:w="11380"/>
        <w:gridCol w:w="1466"/>
      </w:tblGrid>
      <w:tr w:rsidR="00424D96" w:rsidRPr="008916C2" w14:paraId="26F09E22" w14:textId="77777777" w:rsidTr="00792B14">
        <w:trPr>
          <w:trHeight w:val="663"/>
        </w:trPr>
        <w:tc>
          <w:tcPr>
            <w:tcW w:w="15229" w:type="dxa"/>
            <w:gridSpan w:val="4"/>
            <w:tcBorders>
              <w:top w:val="nil"/>
              <w:left w:val="nil"/>
              <w:bottom w:val="double" w:sz="2" w:space="0" w:color="FFFFCC"/>
              <w:right w:val="nil"/>
            </w:tcBorders>
            <w:shd w:val="clear" w:color="auto" w:fill="FFFFFF" w:themeFill="background1"/>
            <w:vAlign w:val="center"/>
            <w:hideMark/>
          </w:tcPr>
          <w:p w14:paraId="34046056" w14:textId="77777777" w:rsidR="00424D96" w:rsidRPr="008916C2" w:rsidRDefault="00424D96" w:rsidP="00792B14">
            <w:pPr>
              <w:pStyle w:val="Default"/>
              <w:spacing w:line="256" w:lineRule="auto"/>
              <w:jc w:val="center"/>
              <w:rPr>
                <w:rFonts w:asciiTheme="majorBidi" w:hAnsiTheme="majorBidi" w:cstheme="majorBidi"/>
                <w:b/>
                <w:bCs/>
                <w:color w:val="auto"/>
                <w:lang w:bidi="fa-IR"/>
              </w:rPr>
            </w:pPr>
            <w:r w:rsidRPr="008916C2">
              <w:rPr>
                <w:rFonts w:asciiTheme="majorBidi" w:hAnsiTheme="majorBidi" w:cstheme="majorBidi"/>
                <w:b/>
                <w:bCs/>
                <w:color w:val="auto"/>
                <w:lang w:bidi="fa-IR"/>
              </w:rPr>
              <w:lastRenderedPageBreak/>
              <w:t>Supplementary Table 1</w:t>
            </w:r>
            <w:r w:rsidRPr="008916C2">
              <w:rPr>
                <w:rFonts w:asciiTheme="majorBidi" w:hAnsiTheme="majorBidi" w:cstheme="majorBidi"/>
                <w:b/>
                <w:bCs/>
                <w:lang w:bidi="fa-IR"/>
              </w:rPr>
              <w:t xml:space="preserve">: </w:t>
            </w:r>
            <w:r w:rsidRPr="008916C2">
              <w:rPr>
                <w:rFonts w:asciiTheme="majorBidi" w:hAnsiTheme="majorBidi" w:cstheme="majorBidi"/>
                <w:lang w:bidi="fa-IR"/>
              </w:rPr>
              <w:t>Preferred Reporting Items for Systematic Reviews and Meta- Analyses guideline (PRISMA).</w:t>
            </w:r>
          </w:p>
        </w:tc>
      </w:tr>
      <w:tr w:rsidR="00424D96" w:rsidRPr="008916C2" w14:paraId="1A9CE008" w14:textId="77777777" w:rsidTr="00792B14">
        <w:trPr>
          <w:trHeight w:val="663"/>
        </w:trPr>
        <w:tc>
          <w:tcPr>
            <w:tcW w:w="1803" w:type="dxa"/>
            <w:tcBorders>
              <w:top w:val="double" w:sz="6" w:space="0" w:color="000000"/>
              <w:left w:val="single" w:sz="6" w:space="0" w:color="000000"/>
              <w:bottom w:val="double" w:sz="2" w:space="0" w:color="FFFFCC"/>
              <w:right w:val="single" w:sz="6" w:space="0" w:color="000000"/>
            </w:tcBorders>
            <w:shd w:val="clear" w:color="auto" w:fill="63639A"/>
            <w:vAlign w:val="center"/>
            <w:hideMark/>
          </w:tcPr>
          <w:p w14:paraId="77EF3E7D" w14:textId="77777777" w:rsidR="00424D96" w:rsidRPr="008916C2" w:rsidRDefault="00424D96" w:rsidP="00792B14">
            <w:pPr>
              <w:pStyle w:val="Default"/>
              <w:spacing w:line="256" w:lineRule="auto"/>
              <w:rPr>
                <w:rFonts w:ascii="Arial" w:hAnsi="Arial" w:cs="Arial"/>
                <w:color w:val="FFFFFF"/>
                <w:sz w:val="22"/>
                <w:szCs w:val="22"/>
                <w:lang w:val="en-CA"/>
              </w:rPr>
            </w:pPr>
            <w:r w:rsidRPr="008916C2">
              <w:rPr>
                <w:rFonts w:ascii="Arial" w:hAnsi="Arial" w:cs="Arial"/>
                <w:b/>
                <w:bCs/>
                <w:color w:val="FFFFFF"/>
                <w:sz w:val="22"/>
                <w:szCs w:val="22"/>
              </w:rPr>
              <w:t xml:space="preserve">Section/topic </w:t>
            </w:r>
          </w:p>
        </w:tc>
        <w:tc>
          <w:tcPr>
            <w:tcW w:w="580" w:type="dxa"/>
            <w:tcBorders>
              <w:top w:val="double" w:sz="6" w:space="0" w:color="000000"/>
              <w:left w:val="single" w:sz="6" w:space="0" w:color="000000"/>
              <w:bottom w:val="double" w:sz="2" w:space="0" w:color="FFFFCC"/>
              <w:right w:val="single" w:sz="6" w:space="0" w:color="000000"/>
            </w:tcBorders>
            <w:shd w:val="clear" w:color="auto" w:fill="63639A"/>
            <w:vAlign w:val="center"/>
            <w:hideMark/>
          </w:tcPr>
          <w:p w14:paraId="303D2DD5" w14:textId="77777777" w:rsidR="00424D96" w:rsidRPr="008916C2" w:rsidRDefault="00424D96" w:rsidP="00792B14">
            <w:pPr>
              <w:pStyle w:val="Default"/>
              <w:spacing w:line="256" w:lineRule="auto"/>
              <w:jc w:val="right"/>
              <w:rPr>
                <w:rFonts w:ascii="Arial" w:hAnsi="Arial" w:cs="Arial"/>
                <w:b/>
                <w:bCs/>
                <w:color w:val="FFFFFF"/>
                <w:sz w:val="22"/>
                <w:szCs w:val="22"/>
              </w:rPr>
            </w:pPr>
            <w:r w:rsidRPr="008916C2">
              <w:rPr>
                <w:rFonts w:ascii="Arial" w:hAnsi="Arial" w:cs="Arial"/>
                <w:b/>
                <w:bCs/>
                <w:color w:val="FFFFFF"/>
                <w:sz w:val="22"/>
                <w:szCs w:val="22"/>
              </w:rPr>
              <w:t>#</w:t>
            </w:r>
          </w:p>
        </w:tc>
        <w:tc>
          <w:tcPr>
            <w:tcW w:w="11380" w:type="dxa"/>
            <w:tcBorders>
              <w:top w:val="double" w:sz="6" w:space="0" w:color="000000"/>
              <w:left w:val="single" w:sz="6" w:space="0" w:color="000000"/>
              <w:bottom w:val="double" w:sz="6" w:space="0" w:color="000000"/>
              <w:right w:val="single" w:sz="6" w:space="0" w:color="000000"/>
            </w:tcBorders>
            <w:shd w:val="clear" w:color="auto" w:fill="63639A"/>
            <w:vAlign w:val="center"/>
            <w:hideMark/>
          </w:tcPr>
          <w:p w14:paraId="361417ED" w14:textId="77777777" w:rsidR="00424D96" w:rsidRPr="008916C2" w:rsidRDefault="00424D96" w:rsidP="00792B14">
            <w:pPr>
              <w:pStyle w:val="Default"/>
              <w:spacing w:line="256" w:lineRule="auto"/>
              <w:rPr>
                <w:rFonts w:ascii="Arial" w:hAnsi="Arial" w:cs="Arial"/>
                <w:color w:val="FFFFFF"/>
                <w:sz w:val="22"/>
                <w:szCs w:val="22"/>
              </w:rPr>
            </w:pPr>
            <w:r w:rsidRPr="008916C2">
              <w:rPr>
                <w:rFonts w:ascii="Arial" w:hAnsi="Arial" w:cs="Arial"/>
                <w:b/>
                <w:bCs/>
                <w:color w:val="FFFFFF"/>
                <w:sz w:val="22"/>
                <w:szCs w:val="22"/>
              </w:rPr>
              <w:t xml:space="preserve">Checklist item </w:t>
            </w:r>
          </w:p>
        </w:tc>
        <w:tc>
          <w:tcPr>
            <w:tcW w:w="1466" w:type="dxa"/>
            <w:tcBorders>
              <w:top w:val="double" w:sz="6" w:space="0" w:color="000000"/>
              <w:left w:val="single" w:sz="6" w:space="0" w:color="000000"/>
              <w:bottom w:val="double" w:sz="6" w:space="0" w:color="000000"/>
              <w:right w:val="single" w:sz="6" w:space="0" w:color="000000"/>
            </w:tcBorders>
            <w:shd w:val="clear" w:color="auto" w:fill="63639A"/>
            <w:vAlign w:val="center"/>
            <w:hideMark/>
          </w:tcPr>
          <w:p w14:paraId="3BE6A6E1" w14:textId="77777777" w:rsidR="00424D96" w:rsidRPr="008916C2" w:rsidRDefault="00424D96" w:rsidP="00792B14">
            <w:pPr>
              <w:pStyle w:val="Default"/>
              <w:spacing w:line="256" w:lineRule="auto"/>
              <w:rPr>
                <w:rFonts w:ascii="Arial" w:hAnsi="Arial" w:cs="Arial"/>
                <w:color w:val="FFFFFF"/>
                <w:sz w:val="22"/>
                <w:szCs w:val="22"/>
              </w:rPr>
            </w:pPr>
            <w:r w:rsidRPr="008916C2">
              <w:rPr>
                <w:rFonts w:ascii="Arial" w:hAnsi="Arial" w:cs="Arial"/>
                <w:b/>
                <w:bCs/>
                <w:color w:val="FFFFFF"/>
                <w:sz w:val="22"/>
                <w:szCs w:val="22"/>
              </w:rPr>
              <w:t xml:space="preserve">Reported on page # </w:t>
            </w:r>
          </w:p>
        </w:tc>
      </w:tr>
      <w:tr w:rsidR="00424D96" w:rsidRPr="008916C2" w14:paraId="34AF1AB5" w14:textId="77777777" w:rsidTr="00792B14">
        <w:trPr>
          <w:trHeight w:val="335"/>
        </w:trPr>
        <w:tc>
          <w:tcPr>
            <w:tcW w:w="13763" w:type="dxa"/>
            <w:gridSpan w:val="3"/>
            <w:tcBorders>
              <w:top w:val="double" w:sz="6" w:space="0" w:color="000000"/>
              <w:left w:val="single" w:sz="6" w:space="0" w:color="000000"/>
              <w:bottom w:val="single" w:sz="6" w:space="0" w:color="000000"/>
              <w:right w:val="single" w:sz="6" w:space="0" w:color="000000"/>
            </w:tcBorders>
            <w:shd w:val="clear" w:color="auto" w:fill="FFFFCC"/>
            <w:vAlign w:val="center"/>
            <w:hideMark/>
          </w:tcPr>
          <w:p w14:paraId="0F4B41AA" w14:textId="77777777" w:rsidR="00424D96" w:rsidRPr="008916C2" w:rsidRDefault="00424D96" w:rsidP="00792B14">
            <w:pPr>
              <w:pStyle w:val="Default"/>
              <w:spacing w:line="256" w:lineRule="auto"/>
              <w:rPr>
                <w:rFonts w:ascii="Arial" w:hAnsi="Arial" w:cs="Arial"/>
                <w:sz w:val="22"/>
                <w:szCs w:val="22"/>
              </w:rPr>
            </w:pPr>
            <w:r w:rsidRPr="008916C2">
              <w:rPr>
                <w:rFonts w:ascii="Arial" w:hAnsi="Arial" w:cs="Arial"/>
                <w:b/>
                <w:bCs/>
                <w:sz w:val="22"/>
                <w:szCs w:val="22"/>
              </w:rPr>
              <w:t xml:space="preserve">TITLE </w:t>
            </w:r>
          </w:p>
        </w:tc>
        <w:tc>
          <w:tcPr>
            <w:tcW w:w="1466" w:type="dxa"/>
            <w:tcBorders>
              <w:top w:val="double" w:sz="6" w:space="0" w:color="000000"/>
              <w:left w:val="single" w:sz="6" w:space="0" w:color="000000"/>
              <w:bottom w:val="single" w:sz="6" w:space="0" w:color="000000"/>
              <w:right w:val="single" w:sz="6" w:space="0" w:color="000000"/>
            </w:tcBorders>
            <w:shd w:val="clear" w:color="auto" w:fill="FFFFCC"/>
          </w:tcPr>
          <w:p w14:paraId="5522D76C" w14:textId="77777777" w:rsidR="00424D96" w:rsidRPr="008916C2" w:rsidRDefault="00424D96" w:rsidP="00792B14">
            <w:pPr>
              <w:pStyle w:val="Default"/>
              <w:spacing w:line="256" w:lineRule="auto"/>
              <w:jc w:val="right"/>
              <w:rPr>
                <w:rFonts w:ascii="Arial" w:hAnsi="Arial" w:cs="Arial"/>
                <w:color w:val="auto"/>
              </w:rPr>
            </w:pPr>
          </w:p>
        </w:tc>
      </w:tr>
      <w:tr w:rsidR="00424D96" w:rsidRPr="008916C2" w14:paraId="3FFC8329" w14:textId="77777777" w:rsidTr="00792B14">
        <w:trPr>
          <w:trHeight w:val="323"/>
        </w:trPr>
        <w:tc>
          <w:tcPr>
            <w:tcW w:w="1803" w:type="dxa"/>
            <w:tcBorders>
              <w:top w:val="single" w:sz="6" w:space="0" w:color="000000"/>
              <w:left w:val="single" w:sz="6" w:space="0" w:color="000000"/>
              <w:bottom w:val="double" w:sz="2" w:space="0" w:color="FFFFCC"/>
              <w:right w:val="single" w:sz="6" w:space="0" w:color="000000"/>
            </w:tcBorders>
            <w:hideMark/>
          </w:tcPr>
          <w:p w14:paraId="3CA06EBE"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Title </w:t>
            </w:r>
          </w:p>
        </w:tc>
        <w:tc>
          <w:tcPr>
            <w:tcW w:w="580" w:type="dxa"/>
            <w:tcBorders>
              <w:top w:val="single" w:sz="6" w:space="0" w:color="000000"/>
              <w:left w:val="single" w:sz="6" w:space="0" w:color="000000"/>
              <w:bottom w:val="double" w:sz="2" w:space="0" w:color="FFFFCC"/>
              <w:right w:val="single" w:sz="6" w:space="0" w:color="000000"/>
            </w:tcBorders>
            <w:hideMark/>
          </w:tcPr>
          <w:p w14:paraId="71C53275"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1</w:t>
            </w:r>
          </w:p>
        </w:tc>
        <w:tc>
          <w:tcPr>
            <w:tcW w:w="11380" w:type="dxa"/>
            <w:tcBorders>
              <w:top w:val="single" w:sz="6" w:space="0" w:color="000000"/>
              <w:left w:val="single" w:sz="6" w:space="0" w:color="000000"/>
              <w:bottom w:val="double" w:sz="6" w:space="0" w:color="000000"/>
              <w:right w:val="single" w:sz="6" w:space="0" w:color="000000"/>
            </w:tcBorders>
            <w:hideMark/>
          </w:tcPr>
          <w:p w14:paraId="352D9EA0"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Identify the report as a systematic review, meta-analysis, or both. </w:t>
            </w:r>
          </w:p>
        </w:tc>
        <w:tc>
          <w:tcPr>
            <w:tcW w:w="1466" w:type="dxa"/>
            <w:tcBorders>
              <w:top w:val="single" w:sz="6" w:space="0" w:color="000000"/>
              <w:left w:val="single" w:sz="6" w:space="0" w:color="000000"/>
              <w:bottom w:val="double" w:sz="6" w:space="0" w:color="000000"/>
              <w:right w:val="single" w:sz="6" w:space="0" w:color="000000"/>
            </w:tcBorders>
            <w:hideMark/>
          </w:tcPr>
          <w:p w14:paraId="322B3E29" w14:textId="77777777" w:rsidR="00424D96" w:rsidRPr="008916C2" w:rsidRDefault="00424D96" w:rsidP="00792B14">
            <w:pPr>
              <w:pStyle w:val="Default"/>
              <w:spacing w:before="40" w:after="40" w:line="256" w:lineRule="auto"/>
              <w:rPr>
                <w:rFonts w:ascii="Arial" w:hAnsi="Arial" w:cs="Arial"/>
                <w:color w:val="FF0000"/>
              </w:rPr>
            </w:pPr>
            <w:r w:rsidRPr="008916C2">
              <w:rPr>
                <w:rFonts w:ascii="Arial" w:hAnsi="Arial" w:cs="Arial"/>
                <w:color w:val="FF0000"/>
                <w:sz w:val="32"/>
                <w:szCs w:val="32"/>
              </w:rPr>
              <w:t xml:space="preserve">√ </w:t>
            </w:r>
            <w:r w:rsidRPr="008916C2">
              <w:rPr>
                <w:rFonts w:ascii="Arial" w:hAnsi="Arial" w:cs="Arial"/>
                <w:color w:val="FF0000"/>
                <w:sz w:val="26"/>
                <w:szCs w:val="26"/>
              </w:rPr>
              <w:t>Title page</w:t>
            </w:r>
            <w:r w:rsidRPr="008916C2">
              <w:rPr>
                <w:rFonts w:ascii="Arial" w:hAnsi="Arial" w:cs="Arial" w:hint="cs"/>
                <w:color w:val="FF0000"/>
                <w:sz w:val="26"/>
                <w:szCs w:val="26"/>
                <w:rtl/>
              </w:rPr>
              <w:t xml:space="preserve"> </w:t>
            </w:r>
            <w:r w:rsidRPr="008916C2">
              <w:rPr>
                <w:rFonts w:ascii="Arial" w:hAnsi="Arial" w:cs="Arial"/>
                <w:color w:val="FF0000"/>
                <w:sz w:val="26"/>
                <w:szCs w:val="26"/>
              </w:rPr>
              <w:t>1</w:t>
            </w:r>
          </w:p>
        </w:tc>
      </w:tr>
      <w:tr w:rsidR="00424D96" w:rsidRPr="008916C2" w14:paraId="4F801F03" w14:textId="77777777" w:rsidTr="00792B14">
        <w:trPr>
          <w:trHeight w:val="335"/>
        </w:trPr>
        <w:tc>
          <w:tcPr>
            <w:tcW w:w="13763" w:type="dxa"/>
            <w:gridSpan w:val="3"/>
            <w:tcBorders>
              <w:top w:val="double" w:sz="6" w:space="0" w:color="000000"/>
              <w:left w:val="single" w:sz="6" w:space="0" w:color="000000"/>
              <w:bottom w:val="single" w:sz="6" w:space="0" w:color="000000"/>
              <w:right w:val="single" w:sz="6" w:space="0" w:color="000000"/>
            </w:tcBorders>
            <w:shd w:val="clear" w:color="auto" w:fill="FFFFCC"/>
            <w:vAlign w:val="center"/>
            <w:hideMark/>
          </w:tcPr>
          <w:p w14:paraId="554094AF" w14:textId="77777777" w:rsidR="00424D96" w:rsidRPr="008916C2" w:rsidRDefault="00424D96" w:rsidP="00792B14">
            <w:pPr>
              <w:pStyle w:val="Default"/>
              <w:spacing w:line="256" w:lineRule="auto"/>
              <w:rPr>
                <w:rFonts w:ascii="Arial" w:hAnsi="Arial" w:cs="Arial"/>
                <w:sz w:val="22"/>
                <w:szCs w:val="22"/>
              </w:rPr>
            </w:pPr>
            <w:r w:rsidRPr="008916C2">
              <w:rPr>
                <w:rFonts w:ascii="Arial" w:hAnsi="Arial" w:cs="Arial"/>
                <w:b/>
                <w:bCs/>
                <w:sz w:val="22"/>
                <w:szCs w:val="22"/>
              </w:rPr>
              <w:t xml:space="preserve">ABSTRACT </w:t>
            </w:r>
          </w:p>
        </w:tc>
        <w:tc>
          <w:tcPr>
            <w:tcW w:w="1466" w:type="dxa"/>
            <w:tcBorders>
              <w:top w:val="double" w:sz="6" w:space="0" w:color="000000"/>
              <w:left w:val="single" w:sz="6" w:space="0" w:color="000000"/>
              <w:bottom w:val="single" w:sz="6" w:space="0" w:color="000000"/>
              <w:right w:val="single" w:sz="6" w:space="0" w:color="000000"/>
            </w:tcBorders>
            <w:shd w:val="clear" w:color="auto" w:fill="FFFFCC"/>
          </w:tcPr>
          <w:p w14:paraId="2994E0C8" w14:textId="77777777" w:rsidR="00424D96" w:rsidRPr="008916C2" w:rsidRDefault="00424D96" w:rsidP="00792B14">
            <w:pPr>
              <w:pStyle w:val="Default"/>
              <w:spacing w:line="256" w:lineRule="auto"/>
              <w:jc w:val="right"/>
              <w:rPr>
                <w:rFonts w:ascii="Arial" w:hAnsi="Arial" w:cs="Arial"/>
                <w:color w:val="auto"/>
              </w:rPr>
            </w:pPr>
          </w:p>
        </w:tc>
      </w:tr>
      <w:tr w:rsidR="00424D96" w:rsidRPr="008916C2" w14:paraId="274F4118" w14:textId="77777777" w:rsidTr="00792B14">
        <w:trPr>
          <w:trHeight w:val="810"/>
        </w:trPr>
        <w:tc>
          <w:tcPr>
            <w:tcW w:w="1803" w:type="dxa"/>
            <w:tcBorders>
              <w:top w:val="single" w:sz="6" w:space="0" w:color="000000"/>
              <w:left w:val="single" w:sz="6" w:space="0" w:color="000000"/>
              <w:bottom w:val="double" w:sz="2" w:space="0" w:color="FFFFCC"/>
              <w:right w:val="single" w:sz="6" w:space="0" w:color="000000"/>
            </w:tcBorders>
            <w:hideMark/>
          </w:tcPr>
          <w:p w14:paraId="0132A570"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Structured summary </w:t>
            </w:r>
          </w:p>
        </w:tc>
        <w:tc>
          <w:tcPr>
            <w:tcW w:w="580" w:type="dxa"/>
            <w:tcBorders>
              <w:top w:val="single" w:sz="6" w:space="0" w:color="000000"/>
              <w:left w:val="single" w:sz="6" w:space="0" w:color="000000"/>
              <w:bottom w:val="double" w:sz="2" w:space="0" w:color="FFFFCC"/>
              <w:right w:val="single" w:sz="6" w:space="0" w:color="000000"/>
            </w:tcBorders>
            <w:hideMark/>
          </w:tcPr>
          <w:p w14:paraId="0F016A05"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2</w:t>
            </w:r>
          </w:p>
        </w:tc>
        <w:tc>
          <w:tcPr>
            <w:tcW w:w="11380" w:type="dxa"/>
            <w:tcBorders>
              <w:top w:val="single" w:sz="6" w:space="0" w:color="000000"/>
              <w:left w:val="single" w:sz="6" w:space="0" w:color="000000"/>
              <w:bottom w:val="double" w:sz="6" w:space="0" w:color="000000"/>
              <w:right w:val="single" w:sz="6" w:space="0" w:color="000000"/>
            </w:tcBorders>
            <w:hideMark/>
          </w:tcPr>
          <w:p w14:paraId="444CFB5D"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Provide a structured summary including, as applicable: background; objectives; data sources; study eligibility criteria, participants, and interventions; study appraisal and synthesis methods; results; limitations; conclusions and implications of key findings; systematic review registration number. </w:t>
            </w:r>
          </w:p>
        </w:tc>
        <w:tc>
          <w:tcPr>
            <w:tcW w:w="1466" w:type="dxa"/>
            <w:tcBorders>
              <w:top w:val="single" w:sz="6" w:space="0" w:color="000000"/>
              <w:left w:val="single" w:sz="6" w:space="0" w:color="000000"/>
              <w:bottom w:val="double" w:sz="6" w:space="0" w:color="000000"/>
              <w:right w:val="single" w:sz="6" w:space="0" w:color="000000"/>
            </w:tcBorders>
            <w:hideMark/>
          </w:tcPr>
          <w:p w14:paraId="5853F0F1" w14:textId="77777777" w:rsidR="00424D96" w:rsidRPr="008916C2" w:rsidRDefault="00424D96" w:rsidP="00742906">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 xml:space="preserve">Abstract </w:t>
            </w:r>
          </w:p>
        </w:tc>
      </w:tr>
      <w:tr w:rsidR="00424D96" w:rsidRPr="008916C2" w14:paraId="042A961B" w14:textId="77777777" w:rsidTr="00792B14">
        <w:trPr>
          <w:trHeight w:val="335"/>
        </w:trPr>
        <w:tc>
          <w:tcPr>
            <w:tcW w:w="13763" w:type="dxa"/>
            <w:gridSpan w:val="3"/>
            <w:tcBorders>
              <w:top w:val="double" w:sz="6" w:space="0" w:color="000000"/>
              <w:left w:val="single" w:sz="6" w:space="0" w:color="000000"/>
              <w:bottom w:val="single" w:sz="6" w:space="0" w:color="000000"/>
              <w:right w:val="single" w:sz="6" w:space="0" w:color="000000"/>
            </w:tcBorders>
            <w:shd w:val="clear" w:color="auto" w:fill="FFFFCC"/>
            <w:vAlign w:val="center"/>
            <w:hideMark/>
          </w:tcPr>
          <w:p w14:paraId="2680ECA5" w14:textId="77777777" w:rsidR="00424D96" w:rsidRPr="008916C2" w:rsidRDefault="00424D96" w:rsidP="00792B14">
            <w:pPr>
              <w:pStyle w:val="Default"/>
              <w:spacing w:line="256" w:lineRule="auto"/>
              <w:rPr>
                <w:rFonts w:ascii="Arial" w:hAnsi="Arial" w:cs="Arial"/>
                <w:sz w:val="22"/>
                <w:szCs w:val="22"/>
              </w:rPr>
            </w:pPr>
            <w:r w:rsidRPr="008916C2">
              <w:rPr>
                <w:rFonts w:ascii="Arial" w:hAnsi="Arial" w:cs="Arial"/>
                <w:b/>
                <w:bCs/>
                <w:sz w:val="22"/>
                <w:szCs w:val="22"/>
              </w:rPr>
              <w:t xml:space="preserve">INTRODUCTION </w:t>
            </w:r>
          </w:p>
        </w:tc>
        <w:tc>
          <w:tcPr>
            <w:tcW w:w="1466" w:type="dxa"/>
            <w:tcBorders>
              <w:top w:val="double" w:sz="6" w:space="0" w:color="000000"/>
              <w:left w:val="single" w:sz="6" w:space="0" w:color="000000"/>
              <w:bottom w:val="single" w:sz="6" w:space="0" w:color="000000"/>
              <w:right w:val="single" w:sz="6" w:space="0" w:color="000000"/>
            </w:tcBorders>
            <w:shd w:val="clear" w:color="auto" w:fill="FFFFCC"/>
          </w:tcPr>
          <w:p w14:paraId="3B032EE3" w14:textId="77777777" w:rsidR="00424D96" w:rsidRPr="008916C2" w:rsidRDefault="00424D96" w:rsidP="00792B14">
            <w:pPr>
              <w:pStyle w:val="Default"/>
              <w:spacing w:line="256" w:lineRule="auto"/>
              <w:jc w:val="right"/>
              <w:rPr>
                <w:rFonts w:ascii="Arial" w:hAnsi="Arial" w:cs="Arial"/>
                <w:color w:val="auto"/>
              </w:rPr>
            </w:pPr>
          </w:p>
        </w:tc>
      </w:tr>
      <w:tr w:rsidR="00424D96" w:rsidRPr="008916C2" w14:paraId="509138DC" w14:textId="77777777" w:rsidTr="00792B14">
        <w:trPr>
          <w:trHeight w:val="333"/>
        </w:trPr>
        <w:tc>
          <w:tcPr>
            <w:tcW w:w="1803" w:type="dxa"/>
            <w:tcBorders>
              <w:top w:val="single" w:sz="6" w:space="0" w:color="000000"/>
              <w:left w:val="single" w:sz="6" w:space="0" w:color="000000"/>
              <w:bottom w:val="single" w:sz="6" w:space="0" w:color="000000"/>
              <w:right w:val="single" w:sz="6" w:space="0" w:color="000000"/>
            </w:tcBorders>
            <w:hideMark/>
          </w:tcPr>
          <w:p w14:paraId="70CD42E7"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Rationale </w:t>
            </w:r>
          </w:p>
        </w:tc>
        <w:tc>
          <w:tcPr>
            <w:tcW w:w="580" w:type="dxa"/>
            <w:tcBorders>
              <w:top w:val="single" w:sz="6" w:space="0" w:color="000000"/>
              <w:left w:val="single" w:sz="6" w:space="0" w:color="000000"/>
              <w:bottom w:val="single" w:sz="6" w:space="0" w:color="000000"/>
              <w:right w:val="single" w:sz="6" w:space="0" w:color="000000"/>
            </w:tcBorders>
            <w:hideMark/>
          </w:tcPr>
          <w:p w14:paraId="0D8C817F"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3</w:t>
            </w:r>
          </w:p>
        </w:tc>
        <w:tc>
          <w:tcPr>
            <w:tcW w:w="11380" w:type="dxa"/>
            <w:tcBorders>
              <w:top w:val="single" w:sz="6" w:space="0" w:color="000000"/>
              <w:left w:val="single" w:sz="6" w:space="0" w:color="000000"/>
              <w:bottom w:val="single" w:sz="6" w:space="0" w:color="000000"/>
              <w:right w:val="single" w:sz="6" w:space="0" w:color="000000"/>
            </w:tcBorders>
            <w:hideMark/>
          </w:tcPr>
          <w:p w14:paraId="62509610"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Describe the rationale for the review in the context of what is already known. </w:t>
            </w:r>
          </w:p>
        </w:tc>
        <w:tc>
          <w:tcPr>
            <w:tcW w:w="1466" w:type="dxa"/>
            <w:tcBorders>
              <w:top w:val="single" w:sz="6" w:space="0" w:color="000000"/>
              <w:left w:val="single" w:sz="6" w:space="0" w:color="000000"/>
              <w:bottom w:val="single" w:sz="6" w:space="0" w:color="000000"/>
              <w:right w:val="single" w:sz="6" w:space="0" w:color="000000"/>
            </w:tcBorders>
            <w:hideMark/>
          </w:tcPr>
          <w:p w14:paraId="4899D51B"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4 &amp; 5</w:t>
            </w:r>
          </w:p>
        </w:tc>
      </w:tr>
      <w:tr w:rsidR="00424D96" w:rsidRPr="008916C2" w14:paraId="335697CA" w14:textId="77777777" w:rsidTr="00792B14">
        <w:trPr>
          <w:trHeight w:val="568"/>
        </w:trPr>
        <w:tc>
          <w:tcPr>
            <w:tcW w:w="1803" w:type="dxa"/>
            <w:tcBorders>
              <w:top w:val="single" w:sz="6" w:space="0" w:color="000000"/>
              <w:left w:val="single" w:sz="6" w:space="0" w:color="000000"/>
              <w:bottom w:val="double" w:sz="2" w:space="0" w:color="FFFFCC"/>
              <w:right w:val="single" w:sz="6" w:space="0" w:color="000000"/>
            </w:tcBorders>
            <w:hideMark/>
          </w:tcPr>
          <w:p w14:paraId="6E3F37C5"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Objectives </w:t>
            </w:r>
          </w:p>
        </w:tc>
        <w:tc>
          <w:tcPr>
            <w:tcW w:w="580" w:type="dxa"/>
            <w:tcBorders>
              <w:top w:val="single" w:sz="6" w:space="0" w:color="000000"/>
              <w:left w:val="single" w:sz="6" w:space="0" w:color="000000"/>
              <w:bottom w:val="double" w:sz="2" w:space="0" w:color="FFFFCC"/>
              <w:right w:val="single" w:sz="6" w:space="0" w:color="000000"/>
            </w:tcBorders>
            <w:hideMark/>
          </w:tcPr>
          <w:p w14:paraId="0A4B7755"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4</w:t>
            </w:r>
          </w:p>
        </w:tc>
        <w:tc>
          <w:tcPr>
            <w:tcW w:w="11380" w:type="dxa"/>
            <w:tcBorders>
              <w:top w:val="single" w:sz="6" w:space="0" w:color="000000"/>
              <w:left w:val="single" w:sz="6" w:space="0" w:color="000000"/>
              <w:bottom w:val="double" w:sz="6" w:space="0" w:color="000000"/>
              <w:right w:val="single" w:sz="6" w:space="0" w:color="000000"/>
            </w:tcBorders>
            <w:hideMark/>
          </w:tcPr>
          <w:p w14:paraId="0C2DA79D"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Provide an explicit statement of questions being addressed with reference to participants, interventions, comparisons, outcomes, and study design (PICOS). </w:t>
            </w:r>
          </w:p>
        </w:tc>
        <w:tc>
          <w:tcPr>
            <w:tcW w:w="1466" w:type="dxa"/>
            <w:tcBorders>
              <w:top w:val="single" w:sz="6" w:space="0" w:color="000000"/>
              <w:left w:val="single" w:sz="6" w:space="0" w:color="000000"/>
              <w:bottom w:val="double" w:sz="6" w:space="0" w:color="000000"/>
              <w:right w:val="single" w:sz="6" w:space="0" w:color="000000"/>
            </w:tcBorders>
            <w:hideMark/>
          </w:tcPr>
          <w:p w14:paraId="4E83DA32"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5</w:t>
            </w:r>
          </w:p>
        </w:tc>
      </w:tr>
      <w:tr w:rsidR="00424D96" w:rsidRPr="008916C2" w14:paraId="1C5B5AEE" w14:textId="77777777" w:rsidTr="00792B14">
        <w:trPr>
          <w:trHeight w:val="335"/>
        </w:trPr>
        <w:tc>
          <w:tcPr>
            <w:tcW w:w="13763" w:type="dxa"/>
            <w:gridSpan w:val="3"/>
            <w:tcBorders>
              <w:top w:val="double" w:sz="6" w:space="0" w:color="000000"/>
              <w:left w:val="single" w:sz="6" w:space="0" w:color="000000"/>
              <w:bottom w:val="single" w:sz="6" w:space="0" w:color="000000"/>
              <w:right w:val="single" w:sz="6" w:space="0" w:color="000000"/>
            </w:tcBorders>
            <w:shd w:val="clear" w:color="auto" w:fill="FFFFCC"/>
            <w:vAlign w:val="center"/>
            <w:hideMark/>
          </w:tcPr>
          <w:p w14:paraId="1C0A023E" w14:textId="77777777" w:rsidR="00424D96" w:rsidRPr="008916C2" w:rsidRDefault="00424D96" w:rsidP="00792B14">
            <w:pPr>
              <w:pStyle w:val="Default"/>
              <w:spacing w:line="256" w:lineRule="auto"/>
              <w:rPr>
                <w:rFonts w:ascii="Arial" w:hAnsi="Arial" w:cs="Arial"/>
                <w:sz w:val="22"/>
                <w:szCs w:val="22"/>
              </w:rPr>
            </w:pPr>
            <w:r w:rsidRPr="008916C2">
              <w:rPr>
                <w:rFonts w:ascii="Arial" w:hAnsi="Arial" w:cs="Arial"/>
                <w:b/>
                <w:bCs/>
                <w:sz w:val="22"/>
                <w:szCs w:val="22"/>
              </w:rPr>
              <w:t xml:space="preserve">METHODS </w:t>
            </w:r>
          </w:p>
        </w:tc>
        <w:tc>
          <w:tcPr>
            <w:tcW w:w="1466" w:type="dxa"/>
            <w:tcBorders>
              <w:top w:val="double" w:sz="6" w:space="0" w:color="000000"/>
              <w:left w:val="single" w:sz="6" w:space="0" w:color="000000"/>
              <w:bottom w:val="single" w:sz="6" w:space="0" w:color="000000"/>
              <w:right w:val="single" w:sz="6" w:space="0" w:color="000000"/>
            </w:tcBorders>
            <w:shd w:val="clear" w:color="auto" w:fill="FFFFCC"/>
          </w:tcPr>
          <w:p w14:paraId="4704C08A" w14:textId="77777777" w:rsidR="00424D96" w:rsidRPr="008916C2" w:rsidRDefault="00424D96" w:rsidP="00792B14">
            <w:pPr>
              <w:pStyle w:val="Default"/>
              <w:spacing w:line="256" w:lineRule="auto"/>
              <w:jc w:val="right"/>
              <w:rPr>
                <w:rFonts w:ascii="Arial" w:hAnsi="Arial" w:cs="Arial"/>
                <w:color w:val="auto"/>
              </w:rPr>
            </w:pPr>
          </w:p>
        </w:tc>
      </w:tr>
      <w:tr w:rsidR="00424D96" w:rsidRPr="008916C2" w14:paraId="349365C9" w14:textId="77777777" w:rsidTr="00792B14">
        <w:trPr>
          <w:trHeight w:val="578"/>
        </w:trPr>
        <w:tc>
          <w:tcPr>
            <w:tcW w:w="1803" w:type="dxa"/>
            <w:tcBorders>
              <w:top w:val="single" w:sz="6" w:space="0" w:color="000000"/>
              <w:left w:val="single" w:sz="6" w:space="0" w:color="000000"/>
              <w:bottom w:val="single" w:sz="6" w:space="0" w:color="000000"/>
              <w:right w:val="single" w:sz="6" w:space="0" w:color="000000"/>
            </w:tcBorders>
            <w:hideMark/>
          </w:tcPr>
          <w:p w14:paraId="77BC2C68"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Protocol and registration </w:t>
            </w:r>
          </w:p>
        </w:tc>
        <w:tc>
          <w:tcPr>
            <w:tcW w:w="580" w:type="dxa"/>
            <w:tcBorders>
              <w:top w:val="single" w:sz="6" w:space="0" w:color="000000"/>
              <w:left w:val="single" w:sz="6" w:space="0" w:color="000000"/>
              <w:bottom w:val="single" w:sz="6" w:space="0" w:color="000000"/>
              <w:right w:val="single" w:sz="6" w:space="0" w:color="000000"/>
            </w:tcBorders>
            <w:hideMark/>
          </w:tcPr>
          <w:p w14:paraId="09008AB8"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5</w:t>
            </w:r>
          </w:p>
        </w:tc>
        <w:tc>
          <w:tcPr>
            <w:tcW w:w="11380" w:type="dxa"/>
            <w:tcBorders>
              <w:top w:val="single" w:sz="6" w:space="0" w:color="000000"/>
              <w:left w:val="single" w:sz="6" w:space="0" w:color="000000"/>
              <w:bottom w:val="single" w:sz="6" w:space="0" w:color="000000"/>
              <w:right w:val="single" w:sz="6" w:space="0" w:color="000000"/>
            </w:tcBorders>
            <w:hideMark/>
          </w:tcPr>
          <w:p w14:paraId="74D66EE9"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Indicate if a review protocol exists, if and where it can be accessed (e.g., Web address), and, if available, provide registration information including registration number. </w:t>
            </w:r>
          </w:p>
        </w:tc>
        <w:tc>
          <w:tcPr>
            <w:tcW w:w="1466" w:type="dxa"/>
            <w:tcBorders>
              <w:top w:val="single" w:sz="6" w:space="0" w:color="000000"/>
              <w:left w:val="single" w:sz="6" w:space="0" w:color="000000"/>
              <w:bottom w:val="single" w:sz="6" w:space="0" w:color="000000"/>
              <w:right w:val="single" w:sz="6" w:space="0" w:color="000000"/>
            </w:tcBorders>
            <w:hideMark/>
          </w:tcPr>
          <w:p w14:paraId="6169D814"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6</w:t>
            </w:r>
          </w:p>
        </w:tc>
      </w:tr>
      <w:tr w:rsidR="00424D96" w:rsidRPr="008916C2" w14:paraId="59820E83" w14:textId="77777777" w:rsidTr="00792B14">
        <w:trPr>
          <w:trHeight w:val="885"/>
        </w:trPr>
        <w:tc>
          <w:tcPr>
            <w:tcW w:w="1803" w:type="dxa"/>
            <w:tcBorders>
              <w:top w:val="single" w:sz="6" w:space="0" w:color="000000"/>
              <w:left w:val="single" w:sz="6" w:space="0" w:color="000000"/>
              <w:bottom w:val="single" w:sz="6" w:space="0" w:color="000000"/>
              <w:right w:val="single" w:sz="6" w:space="0" w:color="000000"/>
            </w:tcBorders>
            <w:hideMark/>
          </w:tcPr>
          <w:p w14:paraId="15B4A6CA"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Eligibility criteria </w:t>
            </w:r>
          </w:p>
        </w:tc>
        <w:tc>
          <w:tcPr>
            <w:tcW w:w="580" w:type="dxa"/>
            <w:tcBorders>
              <w:top w:val="single" w:sz="6" w:space="0" w:color="000000"/>
              <w:left w:val="single" w:sz="6" w:space="0" w:color="000000"/>
              <w:bottom w:val="single" w:sz="6" w:space="0" w:color="000000"/>
              <w:right w:val="single" w:sz="6" w:space="0" w:color="000000"/>
            </w:tcBorders>
            <w:hideMark/>
          </w:tcPr>
          <w:p w14:paraId="4E6F53E5"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6</w:t>
            </w:r>
          </w:p>
        </w:tc>
        <w:tc>
          <w:tcPr>
            <w:tcW w:w="11380" w:type="dxa"/>
            <w:tcBorders>
              <w:top w:val="single" w:sz="6" w:space="0" w:color="000000"/>
              <w:left w:val="single" w:sz="6" w:space="0" w:color="000000"/>
              <w:bottom w:val="single" w:sz="6" w:space="0" w:color="000000"/>
              <w:right w:val="single" w:sz="6" w:space="0" w:color="000000"/>
            </w:tcBorders>
            <w:hideMark/>
          </w:tcPr>
          <w:p w14:paraId="1FF26118"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Specify study characteristics (e.g., PICOS, length of follow</w:t>
            </w:r>
            <w:r w:rsidRPr="008916C2">
              <w:rPr>
                <w:rFonts w:cs="Arial"/>
                <w:sz w:val="20"/>
                <w:szCs w:val="20"/>
              </w:rPr>
              <w:t>-</w:t>
            </w:r>
            <w:r w:rsidRPr="008916C2">
              <w:rPr>
                <w:rFonts w:ascii="Arial" w:hAnsi="Arial" w:cs="Arial"/>
                <w:sz w:val="20"/>
                <w:szCs w:val="20"/>
              </w:rPr>
              <w:t xml:space="preserve">up) and report characteristics (e.g., years considered, language, publication status) used as criteria for eligibility, giving rationale. </w:t>
            </w:r>
          </w:p>
          <w:p w14:paraId="30839496" w14:textId="77777777" w:rsidR="00424D96" w:rsidRPr="008916C2" w:rsidRDefault="00424D96" w:rsidP="00792B14">
            <w:pPr>
              <w:pStyle w:val="Default"/>
              <w:spacing w:before="40" w:after="40" w:line="256" w:lineRule="auto"/>
              <w:rPr>
                <w:rFonts w:ascii="Arial" w:hAnsi="Arial" w:cs="Arial"/>
                <w:sz w:val="20"/>
                <w:szCs w:val="20"/>
              </w:rPr>
            </w:pPr>
          </w:p>
        </w:tc>
        <w:tc>
          <w:tcPr>
            <w:tcW w:w="1466" w:type="dxa"/>
            <w:tcBorders>
              <w:top w:val="single" w:sz="6" w:space="0" w:color="000000"/>
              <w:left w:val="single" w:sz="6" w:space="0" w:color="000000"/>
              <w:bottom w:val="single" w:sz="6" w:space="0" w:color="000000"/>
              <w:right w:val="single" w:sz="6" w:space="0" w:color="000000"/>
            </w:tcBorders>
            <w:hideMark/>
          </w:tcPr>
          <w:p w14:paraId="42E8012E"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7</w:t>
            </w:r>
          </w:p>
        </w:tc>
      </w:tr>
      <w:tr w:rsidR="00424D96" w:rsidRPr="008916C2" w14:paraId="06A5F2B7" w14:textId="77777777" w:rsidTr="00792B14">
        <w:trPr>
          <w:trHeight w:val="578"/>
        </w:trPr>
        <w:tc>
          <w:tcPr>
            <w:tcW w:w="1803" w:type="dxa"/>
            <w:tcBorders>
              <w:top w:val="single" w:sz="6" w:space="0" w:color="000000"/>
              <w:left w:val="single" w:sz="6" w:space="0" w:color="000000"/>
              <w:bottom w:val="single" w:sz="6" w:space="0" w:color="000000"/>
              <w:right w:val="single" w:sz="6" w:space="0" w:color="000000"/>
            </w:tcBorders>
            <w:hideMark/>
          </w:tcPr>
          <w:p w14:paraId="6D739865"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Information sources </w:t>
            </w:r>
          </w:p>
        </w:tc>
        <w:tc>
          <w:tcPr>
            <w:tcW w:w="580" w:type="dxa"/>
            <w:tcBorders>
              <w:top w:val="single" w:sz="6" w:space="0" w:color="000000"/>
              <w:left w:val="single" w:sz="6" w:space="0" w:color="000000"/>
              <w:bottom w:val="single" w:sz="6" w:space="0" w:color="000000"/>
              <w:right w:val="single" w:sz="6" w:space="0" w:color="000000"/>
            </w:tcBorders>
            <w:hideMark/>
          </w:tcPr>
          <w:p w14:paraId="06AA4E9C"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7</w:t>
            </w:r>
          </w:p>
        </w:tc>
        <w:tc>
          <w:tcPr>
            <w:tcW w:w="11380" w:type="dxa"/>
            <w:tcBorders>
              <w:top w:val="single" w:sz="6" w:space="0" w:color="000000"/>
              <w:left w:val="single" w:sz="6" w:space="0" w:color="000000"/>
              <w:bottom w:val="single" w:sz="6" w:space="0" w:color="000000"/>
              <w:right w:val="single" w:sz="6" w:space="0" w:color="000000"/>
            </w:tcBorders>
            <w:hideMark/>
          </w:tcPr>
          <w:p w14:paraId="4E966A26"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Describe all information sources (e.g., databases with dates of coverage, contact with study authors to identify additional studies) in the search and date last searched. </w:t>
            </w:r>
          </w:p>
        </w:tc>
        <w:tc>
          <w:tcPr>
            <w:tcW w:w="1466" w:type="dxa"/>
            <w:tcBorders>
              <w:top w:val="single" w:sz="6" w:space="0" w:color="000000"/>
              <w:left w:val="single" w:sz="6" w:space="0" w:color="000000"/>
              <w:bottom w:val="single" w:sz="6" w:space="0" w:color="000000"/>
              <w:right w:val="single" w:sz="6" w:space="0" w:color="000000"/>
            </w:tcBorders>
            <w:hideMark/>
          </w:tcPr>
          <w:p w14:paraId="7B730579" w14:textId="77777777" w:rsidR="00424D96" w:rsidRPr="008916C2" w:rsidRDefault="00424D96" w:rsidP="00792B14">
            <w:pPr>
              <w:pStyle w:val="Default"/>
              <w:spacing w:before="40" w:after="40" w:line="360"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6 &amp; 7</w:t>
            </w:r>
          </w:p>
        </w:tc>
      </w:tr>
      <w:tr w:rsidR="00424D96" w:rsidRPr="008916C2" w14:paraId="66A973E4" w14:textId="77777777" w:rsidTr="00792B14">
        <w:trPr>
          <w:trHeight w:val="578"/>
        </w:trPr>
        <w:tc>
          <w:tcPr>
            <w:tcW w:w="1803" w:type="dxa"/>
            <w:tcBorders>
              <w:top w:val="single" w:sz="6" w:space="0" w:color="000000"/>
              <w:left w:val="single" w:sz="6" w:space="0" w:color="000000"/>
              <w:bottom w:val="single" w:sz="6" w:space="0" w:color="000000"/>
              <w:right w:val="single" w:sz="6" w:space="0" w:color="000000"/>
            </w:tcBorders>
            <w:hideMark/>
          </w:tcPr>
          <w:p w14:paraId="275CFE6B"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Search </w:t>
            </w:r>
          </w:p>
        </w:tc>
        <w:tc>
          <w:tcPr>
            <w:tcW w:w="580" w:type="dxa"/>
            <w:tcBorders>
              <w:top w:val="single" w:sz="6" w:space="0" w:color="000000"/>
              <w:left w:val="single" w:sz="6" w:space="0" w:color="000000"/>
              <w:bottom w:val="single" w:sz="6" w:space="0" w:color="000000"/>
              <w:right w:val="single" w:sz="6" w:space="0" w:color="000000"/>
            </w:tcBorders>
            <w:hideMark/>
          </w:tcPr>
          <w:p w14:paraId="35992198"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8</w:t>
            </w:r>
          </w:p>
        </w:tc>
        <w:tc>
          <w:tcPr>
            <w:tcW w:w="11380" w:type="dxa"/>
            <w:tcBorders>
              <w:top w:val="single" w:sz="6" w:space="0" w:color="000000"/>
              <w:left w:val="single" w:sz="6" w:space="0" w:color="000000"/>
              <w:bottom w:val="single" w:sz="6" w:space="0" w:color="000000"/>
              <w:right w:val="single" w:sz="6" w:space="0" w:color="000000"/>
            </w:tcBorders>
            <w:hideMark/>
          </w:tcPr>
          <w:p w14:paraId="4EAA8C13"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Present full electronic search strategy for at least one database, including any limits used, such that it could be repeated. </w:t>
            </w:r>
          </w:p>
        </w:tc>
        <w:tc>
          <w:tcPr>
            <w:tcW w:w="1466" w:type="dxa"/>
            <w:tcBorders>
              <w:top w:val="single" w:sz="6" w:space="0" w:color="000000"/>
              <w:left w:val="single" w:sz="6" w:space="0" w:color="000000"/>
              <w:bottom w:val="single" w:sz="6" w:space="0" w:color="000000"/>
              <w:right w:val="single" w:sz="6" w:space="0" w:color="000000"/>
            </w:tcBorders>
            <w:hideMark/>
          </w:tcPr>
          <w:p w14:paraId="7FCC9628"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6 &amp; 7</w:t>
            </w:r>
          </w:p>
        </w:tc>
      </w:tr>
      <w:tr w:rsidR="00424D96" w:rsidRPr="008916C2" w14:paraId="0B275F56" w14:textId="77777777" w:rsidTr="00792B14">
        <w:trPr>
          <w:trHeight w:val="578"/>
        </w:trPr>
        <w:tc>
          <w:tcPr>
            <w:tcW w:w="1803" w:type="dxa"/>
            <w:tcBorders>
              <w:top w:val="single" w:sz="6" w:space="0" w:color="000000"/>
              <w:left w:val="single" w:sz="6" w:space="0" w:color="000000"/>
              <w:bottom w:val="single" w:sz="6" w:space="0" w:color="000000"/>
              <w:right w:val="single" w:sz="6" w:space="0" w:color="000000"/>
            </w:tcBorders>
            <w:hideMark/>
          </w:tcPr>
          <w:p w14:paraId="0DCFD94F"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Study selection </w:t>
            </w:r>
          </w:p>
        </w:tc>
        <w:tc>
          <w:tcPr>
            <w:tcW w:w="580" w:type="dxa"/>
            <w:tcBorders>
              <w:top w:val="single" w:sz="6" w:space="0" w:color="000000"/>
              <w:left w:val="single" w:sz="6" w:space="0" w:color="000000"/>
              <w:bottom w:val="single" w:sz="6" w:space="0" w:color="000000"/>
              <w:right w:val="single" w:sz="6" w:space="0" w:color="000000"/>
            </w:tcBorders>
            <w:hideMark/>
          </w:tcPr>
          <w:p w14:paraId="79D05941"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9</w:t>
            </w:r>
          </w:p>
        </w:tc>
        <w:tc>
          <w:tcPr>
            <w:tcW w:w="11380" w:type="dxa"/>
            <w:tcBorders>
              <w:top w:val="single" w:sz="6" w:space="0" w:color="000000"/>
              <w:left w:val="single" w:sz="6" w:space="0" w:color="000000"/>
              <w:bottom w:val="single" w:sz="6" w:space="0" w:color="000000"/>
              <w:right w:val="single" w:sz="6" w:space="0" w:color="000000"/>
            </w:tcBorders>
            <w:hideMark/>
          </w:tcPr>
          <w:p w14:paraId="48FCFD3C"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State the process for selecting studies (i.e., screening, eligibility, included in systematic review, and, if applicable, included in the meta</w:t>
            </w:r>
            <w:r w:rsidRPr="008916C2">
              <w:rPr>
                <w:rFonts w:cs="Arial"/>
                <w:sz w:val="20"/>
                <w:szCs w:val="20"/>
              </w:rPr>
              <w:t>-</w:t>
            </w:r>
            <w:r w:rsidRPr="008916C2">
              <w:rPr>
                <w:rFonts w:ascii="Arial" w:hAnsi="Arial" w:cs="Arial"/>
                <w:sz w:val="20"/>
                <w:szCs w:val="20"/>
              </w:rPr>
              <w:t xml:space="preserve">analysis). </w:t>
            </w:r>
          </w:p>
        </w:tc>
        <w:tc>
          <w:tcPr>
            <w:tcW w:w="1466" w:type="dxa"/>
            <w:tcBorders>
              <w:top w:val="single" w:sz="6" w:space="0" w:color="000000"/>
              <w:left w:val="single" w:sz="6" w:space="0" w:color="000000"/>
              <w:bottom w:val="single" w:sz="6" w:space="0" w:color="000000"/>
              <w:right w:val="single" w:sz="6" w:space="0" w:color="000000"/>
            </w:tcBorders>
            <w:hideMark/>
          </w:tcPr>
          <w:p w14:paraId="2C8BD2EB"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7</w:t>
            </w:r>
          </w:p>
        </w:tc>
      </w:tr>
      <w:tr w:rsidR="00424D96" w:rsidRPr="008916C2" w14:paraId="5C30F9CE" w14:textId="77777777" w:rsidTr="00792B14">
        <w:trPr>
          <w:trHeight w:val="578"/>
        </w:trPr>
        <w:tc>
          <w:tcPr>
            <w:tcW w:w="1803" w:type="dxa"/>
            <w:tcBorders>
              <w:top w:val="single" w:sz="6" w:space="0" w:color="000000"/>
              <w:left w:val="single" w:sz="6" w:space="0" w:color="000000"/>
              <w:bottom w:val="single" w:sz="6" w:space="0" w:color="000000"/>
              <w:right w:val="single" w:sz="6" w:space="0" w:color="000000"/>
            </w:tcBorders>
            <w:hideMark/>
          </w:tcPr>
          <w:p w14:paraId="0081112E"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Data collection process </w:t>
            </w:r>
          </w:p>
        </w:tc>
        <w:tc>
          <w:tcPr>
            <w:tcW w:w="580" w:type="dxa"/>
            <w:tcBorders>
              <w:top w:val="single" w:sz="6" w:space="0" w:color="000000"/>
              <w:left w:val="single" w:sz="6" w:space="0" w:color="000000"/>
              <w:bottom w:val="single" w:sz="6" w:space="0" w:color="000000"/>
              <w:right w:val="single" w:sz="6" w:space="0" w:color="000000"/>
            </w:tcBorders>
            <w:hideMark/>
          </w:tcPr>
          <w:p w14:paraId="727CC842"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10</w:t>
            </w:r>
          </w:p>
        </w:tc>
        <w:tc>
          <w:tcPr>
            <w:tcW w:w="11380" w:type="dxa"/>
            <w:tcBorders>
              <w:top w:val="single" w:sz="6" w:space="0" w:color="000000"/>
              <w:left w:val="single" w:sz="6" w:space="0" w:color="000000"/>
              <w:bottom w:val="single" w:sz="6" w:space="0" w:color="000000"/>
              <w:right w:val="single" w:sz="6" w:space="0" w:color="000000"/>
            </w:tcBorders>
            <w:hideMark/>
          </w:tcPr>
          <w:p w14:paraId="381B6ECF"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Describe method of data extraction from reports (e.g., piloted forms, independently, in duplicate) and any processes for obtaining and confirming data from investigators. </w:t>
            </w:r>
          </w:p>
        </w:tc>
        <w:tc>
          <w:tcPr>
            <w:tcW w:w="1466" w:type="dxa"/>
            <w:tcBorders>
              <w:top w:val="single" w:sz="6" w:space="0" w:color="000000"/>
              <w:left w:val="single" w:sz="6" w:space="0" w:color="000000"/>
              <w:bottom w:val="single" w:sz="6" w:space="0" w:color="000000"/>
              <w:right w:val="single" w:sz="6" w:space="0" w:color="000000"/>
            </w:tcBorders>
            <w:hideMark/>
          </w:tcPr>
          <w:p w14:paraId="0F76D0B2"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7 &amp; 8</w:t>
            </w:r>
          </w:p>
        </w:tc>
      </w:tr>
      <w:tr w:rsidR="00424D96" w:rsidRPr="008916C2" w14:paraId="7F046D43" w14:textId="77777777" w:rsidTr="00792B14">
        <w:trPr>
          <w:trHeight w:val="578"/>
        </w:trPr>
        <w:tc>
          <w:tcPr>
            <w:tcW w:w="1803" w:type="dxa"/>
            <w:tcBorders>
              <w:top w:val="single" w:sz="6" w:space="0" w:color="000000"/>
              <w:left w:val="single" w:sz="6" w:space="0" w:color="000000"/>
              <w:bottom w:val="single" w:sz="6" w:space="0" w:color="000000"/>
              <w:right w:val="single" w:sz="6" w:space="0" w:color="000000"/>
            </w:tcBorders>
            <w:hideMark/>
          </w:tcPr>
          <w:p w14:paraId="5DEC3611"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Data items </w:t>
            </w:r>
          </w:p>
        </w:tc>
        <w:tc>
          <w:tcPr>
            <w:tcW w:w="580" w:type="dxa"/>
            <w:tcBorders>
              <w:top w:val="single" w:sz="6" w:space="0" w:color="000000"/>
              <w:left w:val="single" w:sz="6" w:space="0" w:color="000000"/>
              <w:bottom w:val="single" w:sz="6" w:space="0" w:color="000000"/>
              <w:right w:val="single" w:sz="6" w:space="0" w:color="000000"/>
            </w:tcBorders>
            <w:hideMark/>
          </w:tcPr>
          <w:p w14:paraId="49E30909"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11</w:t>
            </w:r>
          </w:p>
        </w:tc>
        <w:tc>
          <w:tcPr>
            <w:tcW w:w="11380" w:type="dxa"/>
            <w:tcBorders>
              <w:top w:val="single" w:sz="6" w:space="0" w:color="000000"/>
              <w:left w:val="single" w:sz="6" w:space="0" w:color="000000"/>
              <w:bottom w:val="single" w:sz="6" w:space="0" w:color="000000"/>
              <w:right w:val="single" w:sz="6" w:space="0" w:color="000000"/>
            </w:tcBorders>
            <w:hideMark/>
          </w:tcPr>
          <w:p w14:paraId="25DE7676"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List and define all variables for which data were sought (e.g., PICOS, funding sources) and any assumptions and simplifications made. </w:t>
            </w:r>
          </w:p>
        </w:tc>
        <w:tc>
          <w:tcPr>
            <w:tcW w:w="1466" w:type="dxa"/>
            <w:tcBorders>
              <w:top w:val="single" w:sz="6" w:space="0" w:color="000000"/>
              <w:left w:val="single" w:sz="6" w:space="0" w:color="000000"/>
              <w:bottom w:val="single" w:sz="6" w:space="0" w:color="000000"/>
              <w:right w:val="single" w:sz="6" w:space="0" w:color="000000"/>
            </w:tcBorders>
            <w:hideMark/>
          </w:tcPr>
          <w:p w14:paraId="62735EB0"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8</w:t>
            </w:r>
          </w:p>
        </w:tc>
      </w:tr>
      <w:tr w:rsidR="00424D96" w:rsidRPr="008916C2" w14:paraId="39806FCD" w14:textId="77777777" w:rsidTr="00792B14">
        <w:trPr>
          <w:trHeight w:val="578"/>
        </w:trPr>
        <w:tc>
          <w:tcPr>
            <w:tcW w:w="1803" w:type="dxa"/>
            <w:tcBorders>
              <w:top w:val="single" w:sz="6" w:space="0" w:color="000000"/>
              <w:left w:val="single" w:sz="6" w:space="0" w:color="000000"/>
              <w:bottom w:val="single" w:sz="6" w:space="0" w:color="000000"/>
              <w:right w:val="single" w:sz="6" w:space="0" w:color="000000"/>
            </w:tcBorders>
            <w:hideMark/>
          </w:tcPr>
          <w:p w14:paraId="67E08FAF"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Risk of bias in individual studies </w:t>
            </w:r>
          </w:p>
        </w:tc>
        <w:tc>
          <w:tcPr>
            <w:tcW w:w="580" w:type="dxa"/>
            <w:tcBorders>
              <w:top w:val="single" w:sz="6" w:space="0" w:color="000000"/>
              <w:left w:val="single" w:sz="6" w:space="0" w:color="000000"/>
              <w:bottom w:val="single" w:sz="6" w:space="0" w:color="000000"/>
              <w:right w:val="single" w:sz="6" w:space="0" w:color="000000"/>
            </w:tcBorders>
            <w:hideMark/>
          </w:tcPr>
          <w:p w14:paraId="2CF51F97"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12</w:t>
            </w:r>
          </w:p>
        </w:tc>
        <w:tc>
          <w:tcPr>
            <w:tcW w:w="11380" w:type="dxa"/>
            <w:tcBorders>
              <w:top w:val="single" w:sz="6" w:space="0" w:color="000000"/>
              <w:left w:val="single" w:sz="6" w:space="0" w:color="000000"/>
              <w:bottom w:val="single" w:sz="6" w:space="0" w:color="000000"/>
              <w:right w:val="single" w:sz="6" w:space="0" w:color="000000"/>
            </w:tcBorders>
            <w:hideMark/>
          </w:tcPr>
          <w:p w14:paraId="52C9B6BA"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Describe methods used for assessing risk of bias of individual studies (including specification of whether this was done at the study or outcome level), and how this information is to be used in any data synthesis. </w:t>
            </w:r>
          </w:p>
        </w:tc>
        <w:tc>
          <w:tcPr>
            <w:tcW w:w="1466" w:type="dxa"/>
            <w:tcBorders>
              <w:top w:val="single" w:sz="6" w:space="0" w:color="000000"/>
              <w:left w:val="single" w:sz="6" w:space="0" w:color="000000"/>
              <w:bottom w:val="single" w:sz="6" w:space="0" w:color="000000"/>
              <w:right w:val="single" w:sz="6" w:space="0" w:color="000000"/>
            </w:tcBorders>
            <w:hideMark/>
          </w:tcPr>
          <w:p w14:paraId="1F73D35E"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8</w:t>
            </w:r>
          </w:p>
        </w:tc>
      </w:tr>
      <w:tr w:rsidR="00424D96" w:rsidRPr="008916C2" w14:paraId="7C54D928" w14:textId="77777777" w:rsidTr="00792B14">
        <w:trPr>
          <w:trHeight w:val="333"/>
        </w:trPr>
        <w:tc>
          <w:tcPr>
            <w:tcW w:w="1803" w:type="dxa"/>
            <w:tcBorders>
              <w:top w:val="single" w:sz="6" w:space="0" w:color="000000"/>
              <w:left w:val="single" w:sz="6" w:space="0" w:color="000000"/>
              <w:bottom w:val="single" w:sz="6" w:space="0" w:color="000000"/>
              <w:right w:val="single" w:sz="6" w:space="0" w:color="000000"/>
            </w:tcBorders>
            <w:hideMark/>
          </w:tcPr>
          <w:p w14:paraId="0F4DDD39"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Summary measures </w:t>
            </w:r>
          </w:p>
        </w:tc>
        <w:tc>
          <w:tcPr>
            <w:tcW w:w="580" w:type="dxa"/>
            <w:tcBorders>
              <w:top w:val="single" w:sz="6" w:space="0" w:color="000000"/>
              <w:left w:val="single" w:sz="6" w:space="0" w:color="000000"/>
              <w:bottom w:val="single" w:sz="6" w:space="0" w:color="000000"/>
              <w:right w:val="single" w:sz="6" w:space="0" w:color="000000"/>
            </w:tcBorders>
            <w:hideMark/>
          </w:tcPr>
          <w:p w14:paraId="392C8DB4"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13</w:t>
            </w:r>
          </w:p>
        </w:tc>
        <w:tc>
          <w:tcPr>
            <w:tcW w:w="11380" w:type="dxa"/>
            <w:tcBorders>
              <w:top w:val="single" w:sz="6" w:space="0" w:color="000000"/>
              <w:left w:val="single" w:sz="6" w:space="0" w:color="000000"/>
              <w:bottom w:val="single" w:sz="6" w:space="0" w:color="000000"/>
              <w:right w:val="single" w:sz="6" w:space="0" w:color="000000"/>
            </w:tcBorders>
            <w:hideMark/>
          </w:tcPr>
          <w:p w14:paraId="7D44FC7E"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State the principal summary measures (e.g., risk ratio, difference in means). </w:t>
            </w:r>
          </w:p>
        </w:tc>
        <w:tc>
          <w:tcPr>
            <w:tcW w:w="1466" w:type="dxa"/>
            <w:tcBorders>
              <w:top w:val="single" w:sz="6" w:space="0" w:color="000000"/>
              <w:left w:val="single" w:sz="6" w:space="0" w:color="000000"/>
              <w:bottom w:val="single" w:sz="6" w:space="0" w:color="000000"/>
              <w:right w:val="single" w:sz="6" w:space="0" w:color="000000"/>
            </w:tcBorders>
            <w:hideMark/>
          </w:tcPr>
          <w:p w14:paraId="5A976043"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8</w:t>
            </w:r>
          </w:p>
        </w:tc>
      </w:tr>
      <w:tr w:rsidR="00424D96" w:rsidRPr="008916C2" w14:paraId="739D29DF" w14:textId="77777777" w:rsidTr="00792B14">
        <w:trPr>
          <w:trHeight w:val="580"/>
        </w:trPr>
        <w:tc>
          <w:tcPr>
            <w:tcW w:w="1803" w:type="dxa"/>
            <w:tcBorders>
              <w:top w:val="single" w:sz="6" w:space="0" w:color="000000"/>
              <w:left w:val="single" w:sz="6" w:space="0" w:color="000000"/>
              <w:bottom w:val="single" w:sz="6" w:space="0" w:color="000000"/>
              <w:right w:val="single" w:sz="6" w:space="0" w:color="000000"/>
            </w:tcBorders>
            <w:hideMark/>
          </w:tcPr>
          <w:p w14:paraId="5E1BC62C"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Synthesis of results </w:t>
            </w:r>
          </w:p>
        </w:tc>
        <w:tc>
          <w:tcPr>
            <w:tcW w:w="580" w:type="dxa"/>
            <w:tcBorders>
              <w:top w:val="single" w:sz="6" w:space="0" w:color="000000"/>
              <w:left w:val="single" w:sz="6" w:space="0" w:color="000000"/>
              <w:bottom w:val="single" w:sz="6" w:space="0" w:color="000000"/>
              <w:right w:val="single" w:sz="6" w:space="0" w:color="000000"/>
            </w:tcBorders>
            <w:hideMark/>
          </w:tcPr>
          <w:p w14:paraId="6A8E5C86"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14</w:t>
            </w:r>
          </w:p>
        </w:tc>
        <w:tc>
          <w:tcPr>
            <w:tcW w:w="11380" w:type="dxa"/>
            <w:tcBorders>
              <w:top w:val="single" w:sz="6" w:space="0" w:color="000000"/>
              <w:left w:val="single" w:sz="6" w:space="0" w:color="000000"/>
              <w:bottom w:val="single" w:sz="6" w:space="0" w:color="000000"/>
              <w:right w:val="single" w:sz="6" w:space="0" w:color="000000"/>
            </w:tcBorders>
            <w:hideMark/>
          </w:tcPr>
          <w:p w14:paraId="72807903"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Describe the methods of handling data and combining results of studies, if done, including measures of consistency (e.g., I</w:t>
            </w:r>
            <w:r w:rsidRPr="008916C2">
              <w:rPr>
                <w:rFonts w:ascii="Arial" w:hAnsi="Arial" w:cs="Arial"/>
                <w:sz w:val="20"/>
                <w:szCs w:val="20"/>
                <w:vertAlign w:val="superscript"/>
              </w:rPr>
              <w:t>2</w:t>
            </w:r>
            <w:r w:rsidRPr="008916C2">
              <w:rPr>
                <w:rFonts w:ascii="Arial" w:hAnsi="Arial" w:cs="Arial"/>
                <w:sz w:val="13"/>
                <w:szCs w:val="13"/>
              </w:rPr>
              <w:t xml:space="preserve">) </w:t>
            </w:r>
            <w:r w:rsidRPr="008916C2">
              <w:rPr>
                <w:rFonts w:ascii="Arial" w:hAnsi="Arial" w:cs="Arial"/>
                <w:sz w:val="20"/>
                <w:szCs w:val="20"/>
              </w:rPr>
              <w:t>for each meta</w:t>
            </w:r>
            <w:r w:rsidRPr="008916C2">
              <w:rPr>
                <w:rFonts w:cs="Arial"/>
                <w:sz w:val="20"/>
                <w:szCs w:val="20"/>
              </w:rPr>
              <w:t>-</w:t>
            </w:r>
            <w:r w:rsidRPr="008916C2">
              <w:rPr>
                <w:rFonts w:ascii="Arial" w:hAnsi="Arial" w:cs="Arial"/>
                <w:sz w:val="20"/>
                <w:szCs w:val="20"/>
              </w:rPr>
              <w:t xml:space="preserve">analysis. </w:t>
            </w:r>
          </w:p>
        </w:tc>
        <w:tc>
          <w:tcPr>
            <w:tcW w:w="1466" w:type="dxa"/>
            <w:tcBorders>
              <w:top w:val="single" w:sz="6" w:space="0" w:color="000000"/>
              <w:left w:val="single" w:sz="6" w:space="0" w:color="000000"/>
              <w:bottom w:val="single" w:sz="6" w:space="0" w:color="000000"/>
              <w:right w:val="single" w:sz="6" w:space="0" w:color="000000"/>
            </w:tcBorders>
            <w:hideMark/>
          </w:tcPr>
          <w:p w14:paraId="45AF5D5A"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9</w:t>
            </w:r>
          </w:p>
        </w:tc>
      </w:tr>
      <w:tr w:rsidR="00424D96" w:rsidRPr="008916C2" w14:paraId="767F3DD0" w14:textId="77777777" w:rsidTr="00792B14">
        <w:trPr>
          <w:trHeight w:val="580"/>
        </w:trPr>
        <w:tc>
          <w:tcPr>
            <w:tcW w:w="1803" w:type="dxa"/>
            <w:tcBorders>
              <w:top w:val="single" w:sz="6" w:space="0" w:color="000000"/>
              <w:left w:val="single" w:sz="6" w:space="0" w:color="000000"/>
              <w:bottom w:val="single" w:sz="6" w:space="0" w:color="000000"/>
              <w:right w:val="single" w:sz="6" w:space="0" w:color="000000"/>
            </w:tcBorders>
            <w:hideMark/>
          </w:tcPr>
          <w:p w14:paraId="6F5C4A98"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Risk of bias across studies </w:t>
            </w:r>
          </w:p>
        </w:tc>
        <w:tc>
          <w:tcPr>
            <w:tcW w:w="580" w:type="dxa"/>
            <w:tcBorders>
              <w:top w:val="single" w:sz="6" w:space="0" w:color="000000"/>
              <w:left w:val="single" w:sz="6" w:space="0" w:color="000000"/>
              <w:bottom w:val="single" w:sz="6" w:space="0" w:color="000000"/>
              <w:right w:val="single" w:sz="6" w:space="0" w:color="000000"/>
            </w:tcBorders>
            <w:hideMark/>
          </w:tcPr>
          <w:p w14:paraId="42A6895A"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15</w:t>
            </w:r>
          </w:p>
        </w:tc>
        <w:tc>
          <w:tcPr>
            <w:tcW w:w="11380" w:type="dxa"/>
            <w:tcBorders>
              <w:top w:val="single" w:sz="6" w:space="0" w:color="000000"/>
              <w:left w:val="single" w:sz="6" w:space="0" w:color="000000"/>
              <w:bottom w:val="single" w:sz="6" w:space="0" w:color="000000"/>
              <w:right w:val="single" w:sz="6" w:space="0" w:color="000000"/>
            </w:tcBorders>
            <w:hideMark/>
          </w:tcPr>
          <w:p w14:paraId="09F01D56"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Specify any assessment of risk of bias that may affect the cumulative evidence (e.g., publication bias, selective reporting within studies). </w:t>
            </w:r>
          </w:p>
        </w:tc>
        <w:tc>
          <w:tcPr>
            <w:tcW w:w="1466" w:type="dxa"/>
            <w:tcBorders>
              <w:top w:val="single" w:sz="6" w:space="0" w:color="000000"/>
              <w:left w:val="single" w:sz="6" w:space="0" w:color="000000"/>
              <w:bottom w:val="single" w:sz="6" w:space="0" w:color="000000"/>
              <w:right w:val="single" w:sz="6" w:space="0" w:color="000000"/>
            </w:tcBorders>
            <w:hideMark/>
          </w:tcPr>
          <w:p w14:paraId="5BA22556"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8 &amp; 9</w:t>
            </w:r>
          </w:p>
        </w:tc>
      </w:tr>
      <w:tr w:rsidR="00424D96" w:rsidRPr="008916C2" w14:paraId="0219ECCD" w14:textId="77777777" w:rsidTr="00792B14">
        <w:trPr>
          <w:trHeight w:val="580"/>
        </w:trPr>
        <w:tc>
          <w:tcPr>
            <w:tcW w:w="1803" w:type="dxa"/>
            <w:tcBorders>
              <w:top w:val="single" w:sz="6" w:space="0" w:color="000000"/>
              <w:left w:val="single" w:sz="6" w:space="0" w:color="000000"/>
              <w:bottom w:val="single" w:sz="6" w:space="0" w:color="000000"/>
              <w:right w:val="single" w:sz="6" w:space="0" w:color="000000"/>
            </w:tcBorders>
            <w:hideMark/>
          </w:tcPr>
          <w:p w14:paraId="0A735225"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Additional analyses </w:t>
            </w:r>
          </w:p>
        </w:tc>
        <w:tc>
          <w:tcPr>
            <w:tcW w:w="580" w:type="dxa"/>
            <w:tcBorders>
              <w:top w:val="single" w:sz="6" w:space="0" w:color="000000"/>
              <w:left w:val="single" w:sz="6" w:space="0" w:color="000000"/>
              <w:bottom w:val="single" w:sz="6" w:space="0" w:color="000000"/>
              <w:right w:val="single" w:sz="6" w:space="0" w:color="000000"/>
            </w:tcBorders>
            <w:hideMark/>
          </w:tcPr>
          <w:p w14:paraId="05231968"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16</w:t>
            </w:r>
          </w:p>
        </w:tc>
        <w:tc>
          <w:tcPr>
            <w:tcW w:w="11380" w:type="dxa"/>
            <w:tcBorders>
              <w:top w:val="single" w:sz="6" w:space="0" w:color="000000"/>
              <w:left w:val="single" w:sz="6" w:space="0" w:color="000000"/>
              <w:bottom w:val="single" w:sz="6" w:space="0" w:color="000000"/>
              <w:right w:val="single" w:sz="6" w:space="0" w:color="000000"/>
            </w:tcBorders>
            <w:hideMark/>
          </w:tcPr>
          <w:p w14:paraId="2E925498"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Describe methods of additional analyses (e.g., sensitivity or subgroup analyses, meta-regression), if done, indicating which were pre</w:t>
            </w:r>
            <w:r w:rsidRPr="008916C2">
              <w:rPr>
                <w:rFonts w:cs="Arial"/>
                <w:sz w:val="20"/>
                <w:szCs w:val="20"/>
              </w:rPr>
              <w:t>-</w:t>
            </w:r>
            <w:r w:rsidRPr="008916C2">
              <w:rPr>
                <w:rFonts w:ascii="Arial" w:hAnsi="Arial" w:cs="Arial"/>
                <w:sz w:val="20"/>
                <w:szCs w:val="20"/>
              </w:rPr>
              <w:t xml:space="preserve">specified. </w:t>
            </w:r>
          </w:p>
        </w:tc>
        <w:tc>
          <w:tcPr>
            <w:tcW w:w="1466" w:type="dxa"/>
            <w:tcBorders>
              <w:top w:val="single" w:sz="6" w:space="0" w:color="000000"/>
              <w:left w:val="single" w:sz="6" w:space="0" w:color="000000"/>
              <w:bottom w:val="single" w:sz="6" w:space="0" w:color="000000"/>
              <w:right w:val="single" w:sz="6" w:space="0" w:color="000000"/>
            </w:tcBorders>
            <w:hideMark/>
          </w:tcPr>
          <w:p w14:paraId="3EC40C55"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8 &amp; 9</w:t>
            </w:r>
          </w:p>
        </w:tc>
      </w:tr>
      <w:tr w:rsidR="00424D96" w:rsidRPr="008916C2" w14:paraId="7593202C" w14:textId="77777777" w:rsidTr="00792B14">
        <w:trPr>
          <w:trHeight w:val="242"/>
        </w:trPr>
        <w:tc>
          <w:tcPr>
            <w:tcW w:w="1803" w:type="dxa"/>
            <w:tcBorders>
              <w:top w:val="single" w:sz="6" w:space="0" w:color="000000"/>
              <w:left w:val="single" w:sz="6" w:space="0" w:color="000000"/>
              <w:bottom w:val="single" w:sz="6" w:space="0" w:color="000000"/>
              <w:right w:val="nil"/>
            </w:tcBorders>
            <w:shd w:val="clear" w:color="auto" w:fill="FFFFCC"/>
            <w:vAlign w:val="center"/>
            <w:hideMark/>
          </w:tcPr>
          <w:p w14:paraId="379E38BC" w14:textId="77777777" w:rsidR="00424D96" w:rsidRPr="008916C2" w:rsidRDefault="00424D96" w:rsidP="00792B14">
            <w:pPr>
              <w:pStyle w:val="Default"/>
              <w:spacing w:line="256" w:lineRule="auto"/>
              <w:rPr>
                <w:rFonts w:ascii="Arial" w:hAnsi="Arial" w:cs="Arial"/>
                <w:sz w:val="22"/>
                <w:szCs w:val="22"/>
              </w:rPr>
            </w:pPr>
            <w:r w:rsidRPr="008916C2">
              <w:rPr>
                <w:rFonts w:ascii="Arial" w:hAnsi="Arial" w:cs="Arial"/>
                <w:b/>
                <w:bCs/>
                <w:sz w:val="22"/>
                <w:szCs w:val="22"/>
              </w:rPr>
              <w:t xml:space="preserve">RESULTS </w:t>
            </w:r>
          </w:p>
        </w:tc>
        <w:tc>
          <w:tcPr>
            <w:tcW w:w="580" w:type="dxa"/>
            <w:tcBorders>
              <w:top w:val="single" w:sz="6" w:space="0" w:color="000000"/>
              <w:left w:val="nil"/>
              <w:bottom w:val="single" w:sz="6" w:space="0" w:color="000000"/>
              <w:right w:val="nil"/>
            </w:tcBorders>
            <w:shd w:val="clear" w:color="auto" w:fill="FFFFCC"/>
          </w:tcPr>
          <w:p w14:paraId="4BF349FB" w14:textId="77777777" w:rsidR="00424D96" w:rsidRPr="008916C2" w:rsidRDefault="00424D96" w:rsidP="00792B14">
            <w:pPr>
              <w:pStyle w:val="Default"/>
              <w:spacing w:line="256" w:lineRule="auto"/>
              <w:jc w:val="center"/>
              <w:rPr>
                <w:rFonts w:ascii="Arial" w:hAnsi="Arial" w:cs="Arial"/>
                <w:color w:val="auto"/>
              </w:rPr>
            </w:pPr>
          </w:p>
        </w:tc>
        <w:tc>
          <w:tcPr>
            <w:tcW w:w="11380" w:type="dxa"/>
            <w:tcBorders>
              <w:top w:val="single" w:sz="6" w:space="0" w:color="000000"/>
              <w:left w:val="nil"/>
              <w:bottom w:val="single" w:sz="6" w:space="0" w:color="000000"/>
              <w:right w:val="single" w:sz="6" w:space="0" w:color="000000"/>
            </w:tcBorders>
            <w:shd w:val="clear" w:color="auto" w:fill="FFFFCC"/>
          </w:tcPr>
          <w:p w14:paraId="4F6A102D" w14:textId="77777777" w:rsidR="00424D96" w:rsidRPr="008916C2" w:rsidRDefault="00424D96" w:rsidP="00792B14">
            <w:pPr>
              <w:pStyle w:val="a"/>
              <w:spacing w:before="40" w:after="40"/>
              <w:rPr>
                <w:rFonts w:ascii="Arial" w:hAnsi="Arial" w:cs="Arial"/>
                <w:sz w:val="20"/>
                <w:szCs w:val="20"/>
              </w:rPr>
            </w:pPr>
          </w:p>
        </w:tc>
        <w:tc>
          <w:tcPr>
            <w:tcW w:w="1466" w:type="dxa"/>
            <w:tcBorders>
              <w:top w:val="single" w:sz="6" w:space="0" w:color="000000"/>
              <w:left w:val="single" w:sz="6" w:space="0" w:color="000000"/>
              <w:bottom w:val="single" w:sz="6" w:space="0" w:color="000000"/>
              <w:right w:val="single" w:sz="6" w:space="0" w:color="000000"/>
            </w:tcBorders>
          </w:tcPr>
          <w:p w14:paraId="32FB8110" w14:textId="77777777" w:rsidR="00424D96" w:rsidRPr="008916C2" w:rsidRDefault="00424D96" w:rsidP="00792B14">
            <w:pPr>
              <w:pStyle w:val="a"/>
              <w:spacing w:before="40" w:after="40"/>
              <w:rPr>
                <w:rFonts w:ascii="Arial" w:hAnsi="Arial" w:cs="Arial"/>
                <w:color w:val="FF0000"/>
                <w:sz w:val="32"/>
                <w:szCs w:val="32"/>
              </w:rPr>
            </w:pPr>
          </w:p>
        </w:tc>
      </w:tr>
      <w:tr w:rsidR="00424D96" w:rsidRPr="008916C2" w14:paraId="6E2CB86A" w14:textId="77777777" w:rsidTr="00792B14">
        <w:trPr>
          <w:trHeight w:val="580"/>
        </w:trPr>
        <w:tc>
          <w:tcPr>
            <w:tcW w:w="1803" w:type="dxa"/>
            <w:tcBorders>
              <w:top w:val="single" w:sz="6" w:space="0" w:color="000000"/>
              <w:left w:val="single" w:sz="6" w:space="0" w:color="000000"/>
              <w:bottom w:val="single" w:sz="6" w:space="0" w:color="000000"/>
              <w:right w:val="single" w:sz="6" w:space="0" w:color="000000"/>
            </w:tcBorders>
            <w:hideMark/>
          </w:tcPr>
          <w:p w14:paraId="28461E43"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Study selection </w:t>
            </w:r>
          </w:p>
        </w:tc>
        <w:tc>
          <w:tcPr>
            <w:tcW w:w="580" w:type="dxa"/>
            <w:tcBorders>
              <w:top w:val="single" w:sz="6" w:space="0" w:color="000000"/>
              <w:left w:val="single" w:sz="6" w:space="0" w:color="000000"/>
              <w:bottom w:val="single" w:sz="6" w:space="0" w:color="000000"/>
              <w:right w:val="single" w:sz="6" w:space="0" w:color="000000"/>
            </w:tcBorders>
            <w:hideMark/>
          </w:tcPr>
          <w:p w14:paraId="2503C7EF"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17</w:t>
            </w:r>
          </w:p>
        </w:tc>
        <w:tc>
          <w:tcPr>
            <w:tcW w:w="11380" w:type="dxa"/>
            <w:tcBorders>
              <w:top w:val="single" w:sz="6" w:space="0" w:color="000000"/>
              <w:left w:val="single" w:sz="6" w:space="0" w:color="000000"/>
              <w:bottom w:val="single" w:sz="6" w:space="0" w:color="000000"/>
              <w:right w:val="single" w:sz="6" w:space="0" w:color="000000"/>
            </w:tcBorders>
            <w:hideMark/>
          </w:tcPr>
          <w:p w14:paraId="1D19DC44"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Give numbers of studies screened, assessed for eligibility, and included in the review, with reasons for exclusions at each stage, ideally with a flow diagram. </w:t>
            </w:r>
          </w:p>
        </w:tc>
        <w:tc>
          <w:tcPr>
            <w:tcW w:w="1466" w:type="dxa"/>
            <w:tcBorders>
              <w:top w:val="single" w:sz="6" w:space="0" w:color="000000"/>
              <w:left w:val="single" w:sz="6" w:space="0" w:color="000000"/>
              <w:bottom w:val="single" w:sz="6" w:space="0" w:color="000000"/>
              <w:right w:val="single" w:sz="6" w:space="0" w:color="000000"/>
            </w:tcBorders>
            <w:hideMark/>
          </w:tcPr>
          <w:p w14:paraId="0423D846"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10</w:t>
            </w:r>
          </w:p>
        </w:tc>
      </w:tr>
      <w:tr w:rsidR="00424D96" w:rsidRPr="008916C2" w14:paraId="6C6B1D9F" w14:textId="77777777" w:rsidTr="00792B14">
        <w:trPr>
          <w:trHeight w:val="580"/>
        </w:trPr>
        <w:tc>
          <w:tcPr>
            <w:tcW w:w="1803" w:type="dxa"/>
            <w:tcBorders>
              <w:top w:val="single" w:sz="6" w:space="0" w:color="000000"/>
              <w:left w:val="single" w:sz="6" w:space="0" w:color="000000"/>
              <w:bottom w:val="single" w:sz="6" w:space="0" w:color="000000"/>
              <w:right w:val="single" w:sz="6" w:space="0" w:color="000000"/>
            </w:tcBorders>
            <w:hideMark/>
          </w:tcPr>
          <w:p w14:paraId="44ABA32F"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Study characteristics </w:t>
            </w:r>
          </w:p>
        </w:tc>
        <w:tc>
          <w:tcPr>
            <w:tcW w:w="580" w:type="dxa"/>
            <w:tcBorders>
              <w:top w:val="single" w:sz="6" w:space="0" w:color="000000"/>
              <w:left w:val="single" w:sz="6" w:space="0" w:color="000000"/>
              <w:bottom w:val="single" w:sz="6" w:space="0" w:color="000000"/>
              <w:right w:val="single" w:sz="6" w:space="0" w:color="000000"/>
            </w:tcBorders>
            <w:hideMark/>
          </w:tcPr>
          <w:p w14:paraId="07A0127A"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18</w:t>
            </w:r>
          </w:p>
        </w:tc>
        <w:tc>
          <w:tcPr>
            <w:tcW w:w="11380" w:type="dxa"/>
            <w:tcBorders>
              <w:top w:val="single" w:sz="6" w:space="0" w:color="000000"/>
              <w:left w:val="single" w:sz="6" w:space="0" w:color="000000"/>
              <w:bottom w:val="single" w:sz="6" w:space="0" w:color="000000"/>
              <w:right w:val="single" w:sz="6" w:space="0" w:color="000000"/>
            </w:tcBorders>
            <w:hideMark/>
          </w:tcPr>
          <w:p w14:paraId="22F181FA"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For each study, present characteristics for which data were extracted (e.g., study size, PICOS, follow-up period) and provide the citations. </w:t>
            </w:r>
          </w:p>
        </w:tc>
        <w:tc>
          <w:tcPr>
            <w:tcW w:w="1466" w:type="dxa"/>
            <w:tcBorders>
              <w:top w:val="single" w:sz="6" w:space="0" w:color="000000"/>
              <w:left w:val="single" w:sz="6" w:space="0" w:color="000000"/>
              <w:bottom w:val="single" w:sz="6" w:space="0" w:color="000000"/>
              <w:right w:val="single" w:sz="6" w:space="0" w:color="000000"/>
            </w:tcBorders>
            <w:hideMark/>
          </w:tcPr>
          <w:p w14:paraId="26141B61"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10- 12</w:t>
            </w:r>
          </w:p>
        </w:tc>
      </w:tr>
      <w:tr w:rsidR="00424D96" w:rsidRPr="008916C2" w14:paraId="6136F843" w14:textId="77777777" w:rsidTr="00792B14">
        <w:trPr>
          <w:trHeight w:val="580"/>
        </w:trPr>
        <w:tc>
          <w:tcPr>
            <w:tcW w:w="1803" w:type="dxa"/>
            <w:tcBorders>
              <w:top w:val="single" w:sz="6" w:space="0" w:color="000000"/>
              <w:left w:val="single" w:sz="6" w:space="0" w:color="000000"/>
              <w:bottom w:val="single" w:sz="6" w:space="0" w:color="000000"/>
              <w:right w:val="single" w:sz="6" w:space="0" w:color="000000"/>
            </w:tcBorders>
            <w:hideMark/>
          </w:tcPr>
          <w:p w14:paraId="645C3E3E"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Risk of bias within studies </w:t>
            </w:r>
          </w:p>
        </w:tc>
        <w:tc>
          <w:tcPr>
            <w:tcW w:w="580" w:type="dxa"/>
            <w:tcBorders>
              <w:top w:val="single" w:sz="6" w:space="0" w:color="000000"/>
              <w:left w:val="single" w:sz="6" w:space="0" w:color="000000"/>
              <w:bottom w:val="single" w:sz="6" w:space="0" w:color="000000"/>
              <w:right w:val="single" w:sz="6" w:space="0" w:color="000000"/>
            </w:tcBorders>
            <w:hideMark/>
          </w:tcPr>
          <w:p w14:paraId="41CCB680"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19</w:t>
            </w:r>
          </w:p>
        </w:tc>
        <w:tc>
          <w:tcPr>
            <w:tcW w:w="11380" w:type="dxa"/>
            <w:tcBorders>
              <w:top w:val="single" w:sz="6" w:space="0" w:color="000000"/>
              <w:left w:val="single" w:sz="6" w:space="0" w:color="000000"/>
              <w:bottom w:val="single" w:sz="6" w:space="0" w:color="000000"/>
              <w:right w:val="single" w:sz="6" w:space="0" w:color="000000"/>
            </w:tcBorders>
            <w:hideMark/>
          </w:tcPr>
          <w:p w14:paraId="65822E81"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Present data on risk of bias of each study and, if available, any outcome level assessment (see item 12). </w:t>
            </w:r>
          </w:p>
        </w:tc>
        <w:tc>
          <w:tcPr>
            <w:tcW w:w="1466" w:type="dxa"/>
            <w:tcBorders>
              <w:top w:val="single" w:sz="6" w:space="0" w:color="000000"/>
              <w:left w:val="single" w:sz="6" w:space="0" w:color="000000"/>
              <w:bottom w:val="single" w:sz="6" w:space="0" w:color="000000"/>
              <w:right w:val="single" w:sz="6" w:space="0" w:color="000000"/>
            </w:tcBorders>
            <w:hideMark/>
          </w:tcPr>
          <w:p w14:paraId="4E3EFB2E"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11 &amp; 12</w:t>
            </w:r>
          </w:p>
        </w:tc>
      </w:tr>
      <w:tr w:rsidR="00424D96" w:rsidRPr="008916C2" w14:paraId="679ECC29" w14:textId="77777777" w:rsidTr="00792B14">
        <w:trPr>
          <w:trHeight w:val="580"/>
        </w:trPr>
        <w:tc>
          <w:tcPr>
            <w:tcW w:w="1803" w:type="dxa"/>
            <w:tcBorders>
              <w:top w:val="single" w:sz="6" w:space="0" w:color="000000"/>
              <w:left w:val="single" w:sz="6" w:space="0" w:color="000000"/>
              <w:bottom w:val="single" w:sz="6" w:space="0" w:color="000000"/>
              <w:right w:val="single" w:sz="6" w:space="0" w:color="000000"/>
            </w:tcBorders>
            <w:hideMark/>
          </w:tcPr>
          <w:p w14:paraId="14DF1967"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Results of individual studies </w:t>
            </w:r>
          </w:p>
        </w:tc>
        <w:tc>
          <w:tcPr>
            <w:tcW w:w="580" w:type="dxa"/>
            <w:tcBorders>
              <w:top w:val="single" w:sz="6" w:space="0" w:color="000000"/>
              <w:left w:val="single" w:sz="6" w:space="0" w:color="000000"/>
              <w:bottom w:val="single" w:sz="6" w:space="0" w:color="000000"/>
              <w:right w:val="single" w:sz="6" w:space="0" w:color="000000"/>
            </w:tcBorders>
            <w:hideMark/>
          </w:tcPr>
          <w:p w14:paraId="4DDE4FF2"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20</w:t>
            </w:r>
          </w:p>
        </w:tc>
        <w:tc>
          <w:tcPr>
            <w:tcW w:w="11380" w:type="dxa"/>
            <w:tcBorders>
              <w:top w:val="single" w:sz="6" w:space="0" w:color="000000"/>
              <w:left w:val="single" w:sz="6" w:space="0" w:color="000000"/>
              <w:bottom w:val="single" w:sz="6" w:space="0" w:color="000000"/>
              <w:right w:val="single" w:sz="6" w:space="0" w:color="000000"/>
            </w:tcBorders>
            <w:hideMark/>
          </w:tcPr>
          <w:p w14:paraId="64ADD459"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For all outcomes considered (benefits or harms), present, for each study: (a) simple summary data for each intervention group (b) effect estimates and confidence intervals, ideally with a forest plot. </w:t>
            </w:r>
          </w:p>
        </w:tc>
        <w:tc>
          <w:tcPr>
            <w:tcW w:w="1466" w:type="dxa"/>
            <w:tcBorders>
              <w:top w:val="single" w:sz="6" w:space="0" w:color="000000"/>
              <w:left w:val="single" w:sz="6" w:space="0" w:color="000000"/>
              <w:bottom w:val="single" w:sz="6" w:space="0" w:color="000000"/>
              <w:right w:val="single" w:sz="6" w:space="0" w:color="000000"/>
            </w:tcBorders>
            <w:hideMark/>
          </w:tcPr>
          <w:p w14:paraId="7BB84793"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10-12</w:t>
            </w:r>
          </w:p>
        </w:tc>
      </w:tr>
      <w:tr w:rsidR="00424D96" w:rsidRPr="008916C2" w14:paraId="22AF1FEB" w14:textId="77777777" w:rsidTr="00792B14">
        <w:trPr>
          <w:trHeight w:val="580"/>
        </w:trPr>
        <w:tc>
          <w:tcPr>
            <w:tcW w:w="1803" w:type="dxa"/>
            <w:tcBorders>
              <w:top w:val="single" w:sz="6" w:space="0" w:color="000000"/>
              <w:left w:val="single" w:sz="6" w:space="0" w:color="000000"/>
              <w:bottom w:val="single" w:sz="6" w:space="0" w:color="000000"/>
              <w:right w:val="single" w:sz="6" w:space="0" w:color="000000"/>
            </w:tcBorders>
            <w:hideMark/>
          </w:tcPr>
          <w:p w14:paraId="520B212D"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Synthesis of results </w:t>
            </w:r>
          </w:p>
        </w:tc>
        <w:tc>
          <w:tcPr>
            <w:tcW w:w="580" w:type="dxa"/>
            <w:tcBorders>
              <w:top w:val="single" w:sz="6" w:space="0" w:color="000000"/>
              <w:left w:val="single" w:sz="6" w:space="0" w:color="000000"/>
              <w:bottom w:val="single" w:sz="6" w:space="0" w:color="000000"/>
              <w:right w:val="single" w:sz="6" w:space="0" w:color="000000"/>
            </w:tcBorders>
            <w:hideMark/>
          </w:tcPr>
          <w:p w14:paraId="1004A4DA"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21</w:t>
            </w:r>
          </w:p>
        </w:tc>
        <w:tc>
          <w:tcPr>
            <w:tcW w:w="11380" w:type="dxa"/>
            <w:tcBorders>
              <w:top w:val="single" w:sz="6" w:space="0" w:color="000000"/>
              <w:left w:val="single" w:sz="6" w:space="0" w:color="000000"/>
              <w:bottom w:val="single" w:sz="6" w:space="0" w:color="000000"/>
              <w:right w:val="single" w:sz="6" w:space="0" w:color="000000"/>
            </w:tcBorders>
            <w:hideMark/>
          </w:tcPr>
          <w:p w14:paraId="1D34E915"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Present results of each meta-analysis done, including confidence intervals and measures of consistency. </w:t>
            </w:r>
          </w:p>
        </w:tc>
        <w:tc>
          <w:tcPr>
            <w:tcW w:w="1466" w:type="dxa"/>
            <w:tcBorders>
              <w:top w:val="single" w:sz="6" w:space="0" w:color="000000"/>
              <w:left w:val="single" w:sz="6" w:space="0" w:color="000000"/>
              <w:bottom w:val="single" w:sz="6" w:space="0" w:color="000000"/>
              <w:right w:val="single" w:sz="6" w:space="0" w:color="000000"/>
            </w:tcBorders>
            <w:hideMark/>
          </w:tcPr>
          <w:p w14:paraId="11DE92B7"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12-14</w:t>
            </w:r>
          </w:p>
        </w:tc>
      </w:tr>
      <w:tr w:rsidR="00424D96" w:rsidRPr="008916C2" w14:paraId="7054B35B" w14:textId="77777777" w:rsidTr="00792B14">
        <w:trPr>
          <w:trHeight w:val="580"/>
        </w:trPr>
        <w:tc>
          <w:tcPr>
            <w:tcW w:w="1803" w:type="dxa"/>
            <w:tcBorders>
              <w:top w:val="single" w:sz="6" w:space="0" w:color="000000"/>
              <w:left w:val="single" w:sz="6" w:space="0" w:color="000000"/>
              <w:bottom w:val="single" w:sz="6" w:space="0" w:color="000000"/>
              <w:right w:val="single" w:sz="6" w:space="0" w:color="000000"/>
            </w:tcBorders>
            <w:hideMark/>
          </w:tcPr>
          <w:p w14:paraId="33683F02"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Risk of bias across studies </w:t>
            </w:r>
          </w:p>
        </w:tc>
        <w:tc>
          <w:tcPr>
            <w:tcW w:w="580" w:type="dxa"/>
            <w:tcBorders>
              <w:top w:val="single" w:sz="6" w:space="0" w:color="000000"/>
              <w:left w:val="single" w:sz="6" w:space="0" w:color="000000"/>
              <w:bottom w:val="single" w:sz="6" w:space="0" w:color="000000"/>
              <w:right w:val="single" w:sz="6" w:space="0" w:color="000000"/>
            </w:tcBorders>
            <w:hideMark/>
          </w:tcPr>
          <w:p w14:paraId="4145F1E3"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22</w:t>
            </w:r>
          </w:p>
        </w:tc>
        <w:tc>
          <w:tcPr>
            <w:tcW w:w="11380" w:type="dxa"/>
            <w:tcBorders>
              <w:top w:val="single" w:sz="6" w:space="0" w:color="000000"/>
              <w:left w:val="single" w:sz="6" w:space="0" w:color="000000"/>
              <w:bottom w:val="single" w:sz="6" w:space="0" w:color="000000"/>
              <w:right w:val="single" w:sz="6" w:space="0" w:color="000000"/>
            </w:tcBorders>
            <w:hideMark/>
          </w:tcPr>
          <w:p w14:paraId="335D7A37"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Present results of any assessment of risk of bias across studies (see Item 15). </w:t>
            </w:r>
          </w:p>
        </w:tc>
        <w:tc>
          <w:tcPr>
            <w:tcW w:w="1466" w:type="dxa"/>
            <w:tcBorders>
              <w:top w:val="single" w:sz="6" w:space="0" w:color="000000"/>
              <w:left w:val="single" w:sz="6" w:space="0" w:color="000000"/>
              <w:bottom w:val="single" w:sz="6" w:space="0" w:color="000000"/>
              <w:right w:val="single" w:sz="6" w:space="0" w:color="000000"/>
            </w:tcBorders>
            <w:hideMark/>
          </w:tcPr>
          <w:p w14:paraId="24266746"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12-14</w:t>
            </w:r>
          </w:p>
        </w:tc>
      </w:tr>
      <w:tr w:rsidR="00424D96" w:rsidRPr="008916C2" w14:paraId="54793298" w14:textId="77777777" w:rsidTr="00792B14">
        <w:trPr>
          <w:trHeight w:val="580"/>
        </w:trPr>
        <w:tc>
          <w:tcPr>
            <w:tcW w:w="1803" w:type="dxa"/>
            <w:tcBorders>
              <w:top w:val="single" w:sz="6" w:space="0" w:color="000000"/>
              <w:left w:val="single" w:sz="6" w:space="0" w:color="000000"/>
              <w:bottom w:val="single" w:sz="6" w:space="0" w:color="000000"/>
              <w:right w:val="single" w:sz="6" w:space="0" w:color="000000"/>
            </w:tcBorders>
            <w:hideMark/>
          </w:tcPr>
          <w:p w14:paraId="7C719C79"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Additional analysis </w:t>
            </w:r>
          </w:p>
        </w:tc>
        <w:tc>
          <w:tcPr>
            <w:tcW w:w="580" w:type="dxa"/>
            <w:tcBorders>
              <w:top w:val="single" w:sz="6" w:space="0" w:color="000000"/>
              <w:left w:val="single" w:sz="6" w:space="0" w:color="000000"/>
              <w:bottom w:val="single" w:sz="6" w:space="0" w:color="000000"/>
              <w:right w:val="single" w:sz="6" w:space="0" w:color="000000"/>
            </w:tcBorders>
            <w:hideMark/>
          </w:tcPr>
          <w:p w14:paraId="2D8CB5E2"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23</w:t>
            </w:r>
          </w:p>
        </w:tc>
        <w:tc>
          <w:tcPr>
            <w:tcW w:w="11380" w:type="dxa"/>
            <w:tcBorders>
              <w:top w:val="single" w:sz="6" w:space="0" w:color="000000"/>
              <w:left w:val="single" w:sz="6" w:space="0" w:color="000000"/>
              <w:bottom w:val="single" w:sz="6" w:space="0" w:color="000000"/>
              <w:right w:val="single" w:sz="6" w:space="0" w:color="000000"/>
            </w:tcBorders>
            <w:hideMark/>
          </w:tcPr>
          <w:p w14:paraId="0A2A768C"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Give results of additional analyses, if done (e.g., sensitivity or subgroup analyses, meta-regression [see Item 16]). </w:t>
            </w:r>
          </w:p>
        </w:tc>
        <w:tc>
          <w:tcPr>
            <w:tcW w:w="1466" w:type="dxa"/>
            <w:tcBorders>
              <w:top w:val="single" w:sz="6" w:space="0" w:color="000000"/>
              <w:left w:val="single" w:sz="6" w:space="0" w:color="000000"/>
              <w:bottom w:val="single" w:sz="6" w:space="0" w:color="000000"/>
              <w:right w:val="single" w:sz="6" w:space="0" w:color="000000"/>
            </w:tcBorders>
            <w:hideMark/>
          </w:tcPr>
          <w:p w14:paraId="1A128B5D"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11 &amp;12</w:t>
            </w:r>
          </w:p>
        </w:tc>
      </w:tr>
      <w:tr w:rsidR="00424D96" w:rsidRPr="008916C2" w14:paraId="7A48DAA2" w14:textId="77777777" w:rsidTr="00792B14">
        <w:trPr>
          <w:trHeight w:val="209"/>
        </w:trPr>
        <w:tc>
          <w:tcPr>
            <w:tcW w:w="1803" w:type="dxa"/>
            <w:tcBorders>
              <w:top w:val="single" w:sz="6" w:space="0" w:color="000000"/>
              <w:left w:val="single" w:sz="4" w:space="0" w:color="auto"/>
              <w:bottom w:val="single" w:sz="6" w:space="0" w:color="000000"/>
              <w:right w:val="nil"/>
            </w:tcBorders>
            <w:shd w:val="clear" w:color="auto" w:fill="FFFFCC"/>
            <w:vAlign w:val="center"/>
            <w:hideMark/>
          </w:tcPr>
          <w:p w14:paraId="4896D9D2" w14:textId="77777777" w:rsidR="00424D96" w:rsidRPr="008916C2" w:rsidRDefault="00424D96" w:rsidP="00792B14">
            <w:pPr>
              <w:pStyle w:val="Default"/>
              <w:spacing w:line="256" w:lineRule="auto"/>
              <w:rPr>
                <w:rFonts w:ascii="Arial" w:hAnsi="Arial" w:cs="Arial"/>
                <w:sz w:val="22"/>
                <w:szCs w:val="22"/>
              </w:rPr>
            </w:pPr>
            <w:r w:rsidRPr="008916C2">
              <w:rPr>
                <w:rFonts w:ascii="Arial" w:hAnsi="Arial" w:cs="Arial"/>
                <w:b/>
                <w:bCs/>
                <w:sz w:val="22"/>
                <w:szCs w:val="22"/>
              </w:rPr>
              <w:t xml:space="preserve">DISCUSSION </w:t>
            </w:r>
          </w:p>
        </w:tc>
        <w:tc>
          <w:tcPr>
            <w:tcW w:w="580" w:type="dxa"/>
            <w:tcBorders>
              <w:top w:val="single" w:sz="6" w:space="0" w:color="000000"/>
              <w:left w:val="nil"/>
              <w:bottom w:val="single" w:sz="6" w:space="0" w:color="000000"/>
              <w:right w:val="nil"/>
            </w:tcBorders>
            <w:shd w:val="clear" w:color="auto" w:fill="FFFFCC"/>
          </w:tcPr>
          <w:p w14:paraId="5E2F16A4" w14:textId="77777777" w:rsidR="00424D96" w:rsidRPr="008916C2" w:rsidRDefault="00424D96" w:rsidP="00792B14">
            <w:pPr>
              <w:pStyle w:val="Default"/>
              <w:spacing w:line="256" w:lineRule="auto"/>
              <w:jc w:val="center"/>
              <w:rPr>
                <w:rFonts w:ascii="Arial" w:hAnsi="Arial" w:cs="Arial"/>
                <w:color w:val="auto"/>
              </w:rPr>
            </w:pPr>
          </w:p>
        </w:tc>
        <w:tc>
          <w:tcPr>
            <w:tcW w:w="11380" w:type="dxa"/>
            <w:tcBorders>
              <w:top w:val="single" w:sz="6" w:space="0" w:color="000000"/>
              <w:left w:val="nil"/>
              <w:bottom w:val="single" w:sz="6" w:space="0" w:color="000000"/>
              <w:right w:val="single" w:sz="4" w:space="0" w:color="auto"/>
            </w:tcBorders>
            <w:shd w:val="clear" w:color="auto" w:fill="FFFFCC"/>
          </w:tcPr>
          <w:p w14:paraId="4F848B1C" w14:textId="77777777" w:rsidR="00424D96" w:rsidRPr="008916C2" w:rsidRDefault="00424D96" w:rsidP="00792B14">
            <w:pPr>
              <w:pStyle w:val="a"/>
              <w:spacing w:before="40" w:after="40"/>
              <w:rPr>
                <w:rFonts w:ascii="Arial" w:hAnsi="Arial" w:cs="Arial"/>
                <w:sz w:val="20"/>
                <w:szCs w:val="20"/>
              </w:rPr>
            </w:pPr>
          </w:p>
        </w:tc>
        <w:tc>
          <w:tcPr>
            <w:tcW w:w="1466" w:type="dxa"/>
            <w:tcBorders>
              <w:top w:val="single" w:sz="6" w:space="0" w:color="000000"/>
              <w:left w:val="single" w:sz="4" w:space="0" w:color="auto"/>
              <w:bottom w:val="single" w:sz="6" w:space="0" w:color="000000"/>
              <w:right w:val="single" w:sz="6" w:space="0" w:color="000000"/>
            </w:tcBorders>
            <w:shd w:val="clear" w:color="auto" w:fill="FFFFCC"/>
          </w:tcPr>
          <w:p w14:paraId="2AD9A2D7" w14:textId="77777777" w:rsidR="00424D96" w:rsidRPr="008916C2" w:rsidRDefault="00424D96" w:rsidP="00792B14">
            <w:pPr>
              <w:pStyle w:val="a"/>
              <w:spacing w:before="40" w:after="40"/>
              <w:rPr>
                <w:rFonts w:ascii="Arial" w:hAnsi="Arial" w:cs="Arial"/>
                <w:color w:val="FF0000"/>
                <w:sz w:val="32"/>
                <w:szCs w:val="32"/>
              </w:rPr>
            </w:pPr>
          </w:p>
        </w:tc>
      </w:tr>
      <w:tr w:rsidR="00424D96" w:rsidRPr="008916C2" w14:paraId="1FABCC9A" w14:textId="77777777" w:rsidTr="00792B14">
        <w:trPr>
          <w:trHeight w:val="580"/>
        </w:trPr>
        <w:tc>
          <w:tcPr>
            <w:tcW w:w="1803" w:type="dxa"/>
            <w:tcBorders>
              <w:top w:val="single" w:sz="6" w:space="0" w:color="000000"/>
              <w:left w:val="single" w:sz="6" w:space="0" w:color="000000"/>
              <w:bottom w:val="single" w:sz="6" w:space="0" w:color="000000"/>
              <w:right w:val="single" w:sz="6" w:space="0" w:color="000000"/>
            </w:tcBorders>
            <w:hideMark/>
          </w:tcPr>
          <w:p w14:paraId="57F87276"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Summary of evidence </w:t>
            </w:r>
          </w:p>
        </w:tc>
        <w:tc>
          <w:tcPr>
            <w:tcW w:w="580" w:type="dxa"/>
            <w:tcBorders>
              <w:top w:val="single" w:sz="6" w:space="0" w:color="000000"/>
              <w:left w:val="single" w:sz="6" w:space="0" w:color="000000"/>
              <w:bottom w:val="single" w:sz="6" w:space="0" w:color="000000"/>
              <w:right w:val="single" w:sz="6" w:space="0" w:color="000000"/>
            </w:tcBorders>
            <w:hideMark/>
          </w:tcPr>
          <w:p w14:paraId="714BEB36"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24</w:t>
            </w:r>
          </w:p>
        </w:tc>
        <w:tc>
          <w:tcPr>
            <w:tcW w:w="11380" w:type="dxa"/>
            <w:tcBorders>
              <w:top w:val="single" w:sz="6" w:space="0" w:color="000000"/>
              <w:left w:val="single" w:sz="6" w:space="0" w:color="000000"/>
              <w:bottom w:val="single" w:sz="6" w:space="0" w:color="000000"/>
              <w:right w:val="single" w:sz="6" w:space="0" w:color="000000"/>
            </w:tcBorders>
            <w:hideMark/>
          </w:tcPr>
          <w:p w14:paraId="088B685D"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Summarize the main findings including the strength of evidence for each main outcome; consider their relevance to key groups (e.g., healthcare providers, users, and policy makers). </w:t>
            </w:r>
          </w:p>
        </w:tc>
        <w:tc>
          <w:tcPr>
            <w:tcW w:w="1466" w:type="dxa"/>
            <w:tcBorders>
              <w:top w:val="single" w:sz="6" w:space="0" w:color="000000"/>
              <w:left w:val="single" w:sz="6" w:space="0" w:color="000000"/>
              <w:bottom w:val="single" w:sz="6" w:space="0" w:color="000000"/>
              <w:right w:val="single" w:sz="6" w:space="0" w:color="000000"/>
            </w:tcBorders>
            <w:hideMark/>
          </w:tcPr>
          <w:p w14:paraId="672F6112"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w:t>
            </w:r>
            <w:r w:rsidRPr="008916C2">
              <w:rPr>
                <w:rFonts w:ascii="Arial" w:hAnsi="Arial" w:cs="Arial"/>
                <w:color w:val="FF0000"/>
                <w:sz w:val="26"/>
                <w:szCs w:val="26"/>
              </w:rPr>
              <w:t>Page 15</w:t>
            </w:r>
          </w:p>
        </w:tc>
      </w:tr>
      <w:tr w:rsidR="00424D96" w:rsidRPr="008916C2" w14:paraId="0163DCC9" w14:textId="77777777" w:rsidTr="00792B14">
        <w:trPr>
          <w:trHeight w:val="580"/>
        </w:trPr>
        <w:tc>
          <w:tcPr>
            <w:tcW w:w="1803" w:type="dxa"/>
            <w:tcBorders>
              <w:top w:val="single" w:sz="6" w:space="0" w:color="000000"/>
              <w:left w:val="single" w:sz="6" w:space="0" w:color="000000"/>
              <w:bottom w:val="single" w:sz="6" w:space="0" w:color="000000"/>
              <w:right w:val="single" w:sz="6" w:space="0" w:color="000000"/>
            </w:tcBorders>
            <w:hideMark/>
          </w:tcPr>
          <w:p w14:paraId="1CD4FA5A"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Limitations </w:t>
            </w:r>
          </w:p>
        </w:tc>
        <w:tc>
          <w:tcPr>
            <w:tcW w:w="580" w:type="dxa"/>
            <w:tcBorders>
              <w:top w:val="single" w:sz="6" w:space="0" w:color="000000"/>
              <w:left w:val="single" w:sz="6" w:space="0" w:color="000000"/>
              <w:bottom w:val="single" w:sz="6" w:space="0" w:color="000000"/>
              <w:right w:val="single" w:sz="6" w:space="0" w:color="000000"/>
            </w:tcBorders>
            <w:hideMark/>
          </w:tcPr>
          <w:p w14:paraId="31951055"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25</w:t>
            </w:r>
          </w:p>
        </w:tc>
        <w:tc>
          <w:tcPr>
            <w:tcW w:w="11380" w:type="dxa"/>
            <w:tcBorders>
              <w:top w:val="single" w:sz="6" w:space="0" w:color="000000"/>
              <w:left w:val="single" w:sz="6" w:space="0" w:color="000000"/>
              <w:bottom w:val="single" w:sz="6" w:space="0" w:color="000000"/>
              <w:right w:val="single" w:sz="6" w:space="0" w:color="000000"/>
            </w:tcBorders>
            <w:hideMark/>
          </w:tcPr>
          <w:p w14:paraId="3EA06B37"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Discuss limitations at study and outcome level (e.g., risk of bias), and at review-level (e.g., incomplete retrieval of identified research, reporting bias). </w:t>
            </w:r>
          </w:p>
        </w:tc>
        <w:tc>
          <w:tcPr>
            <w:tcW w:w="1466" w:type="dxa"/>
            <w:tcBorders>
              <w:top w:val="single" w:sz="6" w:space="0" w:color="000000"/>
              <w:left w:val="single" w:sz="6" w:space="0" w:color="000000"/>
              <w:bottom w:val="single" w:sz="6" w:space="0" w:color="000000"/>
              <w:right w:val="single" w:sz="6" w:space="0" w:color="000000"/>
            </w:tcBorders>
            <w:hideMark/>
          </w:tcPr>
          <w:p w14:paraId="2B3DEAC2"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Page17</w:t>
            </w:r>
          </w:p>
        </w:tc>
      </w:tr>
      <w:tr w:rsidR="00424D96" w:rsidRPr="008916C2" w14:paraId="2D1A06F1" w14:textId="77777777" w:rsidTr="00792B14">
        <w:trPr>
          <w:trHeight w:val="580"/>
        </w:trPr>
        <w:tc>
          <w:tcPr>
            <w:tcW w:w="1803" w:type="dxa"/>
            <w:tcBorders>
              <w:top w:val="single" w:sz="6" w:space="0" w:color="000000"/>
              <w:left w:val="single" w:sz="6" w:space="0" w:color="000000"/>
              <w:bottom w:val="single" w:sz="6" w:space="0" w:color="000000"/>
              <w:right w:val="single" w:sz="6" w:space="0" w:color="000000"/>
            </w:tcBorders>
            <w:hideMark/>
          </w:tcPr>
          <w:p w14:paraId="6F19C95B"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Conclusions </w:t>
            </w:r>
          </w:p>
        </w:tc>
        <w:tc>
          <w:tcPr>
            <w:tcW w:w="580" w:type="dxa"/>
            <w:tcBorders>
              <w:top w:val="single" w:sz="6" w:space="0" w:color="000000"/>
              <w:left w:val="single" w:sz="6" w:space="0" w:color="000000"/>
              <w:bottom w:val="single" w:sz="6" w:space="0" w:color="000000"/>
              <w:right w:val="single" w:sz="6" w:space="0" w:color="000000"/>
            </w:tcBorders>
            <w:hideMark/>
          </w:tcPr>
          <w:p w14:paraId="4B4EAD0F"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26</w:t>
            </w:r>
          </w:p>
        </w:tc>
        <w:tc>
          <w:tcPr>
            <w:tcW w:w="11380" w:type="dxa"/>
            <w:tcBorders>
              <w:top w:val="single" w:sz="6" w:space="0" w:color="000000"/>
              <w:left w:val="single" w:sz="6" w:space="0" w:color="000000"/>
              <w:bottom w:val="single" w:sz="6" w:space="0" w:color="000000"/>
              <w:right w:val="single" w:sz="6" w:space="0" w:color="000000"/>
            </w:tcBorders>
            <w:hideMark/>
          </w:tcPr>
          <w:p w14:paraId="2451E75A"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Provide a general interpretation of the results in the context of other evidence, and implications for future research. </w:t>
            </w:r>
          </w:p>
        </w:tc>
        <w:tc>
          <w:tcPr>
            <w:tcW w:w="1466" w:type="dxa"/>
            <w:tcBorders>
              <w:top w:val="single" w:sz="6" w:space="0" w:color="000000"/>
              <w:left w:val="single" w:sz="6" w:space="0" w:color="000000"/>
              <w:bottom w:val="single" w:sz="6" w:space="0" w:color="000000"/>
              <w:right w:val="single" w:sz="6" w:space="0" w:color="000000"/>
            </w:tcBorders>
            <w:hideMark/>
          </w:tcPr>
          <w:p w14:paraId="7525256F"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16 &amp; 17</w:t>
            </w:r>
          </w:p>
        </w:tc>
      </w:tr>
      <w:tr w:rsidR="00424D96" w:rsidRPr="008916C2" w14:paraId="551E1C12" w14:textId="77777777" w:rsidTr="00792B14">
        <w:trPr>
          <w:trHeight w:val="293"/>
        </w:trPr>
        <w:tc>
          <w:tcPr>
            <w:tcW w:w="1803" w:type="dxa"/>
            <w:tcBorders>
              <w:top w:val="single" w:sz="6" w:space="0" w:color="000000"/>
              <w:left w:val="single" w:sz="6" w:space="0" w:color="000000"/>
              <w:bottom w:val="single" w:sz="6" w:space="0" w:color="000000"/>
              <w:right w:val="nil"/>
            </w:tcBorders>
            <w:shd w:val="clear" w:color="auto" w:fill="FFFFCC"/>
            <w:vAlign w:val="center"/>
            <w:hideMark/>
          </w:tcPr>
          <w:p w14:paraId="5A890984" w14:textId="77777777" w:rsidR="00424D96" w:rsidRPr="008916C2" w:rsidRDefault="00424D96" w:rsidP="00792B14">
            <w:pPr>
              <w:pStyle w:val="Default"/>
              <w:spacing w:line="256" w:lineRule="auto"/>
              <w:rPr>
                <w:rFonts w:ascii="Arial" w:hAnsi="Arial" w:cs="Arial"/>
                <w:sz w:val="22"/>
                <w:szCs w:val="22"/>
              </w:rPr>
            </w:pPr>
            <w:r w:rsidRPr="008916C2">
              <w:rPr>
                <w:rFonts w:ascii="Arial" w:hAnsi="Arial" w:cs="Arial"/>
                <w:b/>
                <w:bCs/>
                <w:sz w:val="22"/>
                <w:szCs w:val="22"/>
              </w:rPr>
              <w:t xml:space="preserve">FUNDING </w:t>
            </w:r>
          </w:p>
        </w:tc>
        <w:tc>
          <w:tcPr>
            <w:tcW w:w="580" w:type="dxa"/>
            <w:tcBorders>
              <w:top w:val="single" w:sz="6" w:space="0" w:color="000000"/>
              <w:left w:val="nil"/>
              <w:bottom w:val="single" w:sz="6" w:space="0" w:color="000000"/>
              <w:right w:val="nil"/>
            </w:tcBorders>
            <w:shd w:val="clear" w:color="auto" w:fill="FFFFCC"/>
          </w:tcPr>
          <w:p w14:paraId="563EEF1C" w14:textId="77777777" w:rsidR="00424D96" w:rsidRPr="008916C2" w:rsidRDefault="00424D96" w:rsidP="00792B14">
            <w:pPr>
              <w:pStyle w:val="Default"/>
              <w:spacing w:line="256" w:lineRule="auto"/>
              <w:jc w:val="center"/>
              <w:rPr>
                <w:rFonts w:ascii="Arial" w:hAnsi="Arial" w:cs="Arial"/>
                <w:color w:val="auto"/>
              </w:rPr>
            </w:pPr>
          </w:p>
        </w:tc>
        <w:tc>
          <w:tcPr>
            <w:tcW w:w="11380" w:type="dxa"/>
            <w:tcBorders>
              <w:top w:val="single" w:sz="6" w:space="0" w:color="000000"/>
              <w:left w:val="nil"/>
              <w:bottom w:val="single" w:sz="6" w:space="0" w:color="000000"/>
              <w:right w:val="single" w:sz="6" w:space="0" w:color="000000"/>
            </w:tcBorders>
            <w:shd w:val="clear" w:color="auto" w:fill="FFFFCC"/>
          </w:tcPr>
          <w:p w14:paraId="4767DD10" w14:textId="77777777" w:rsidR="00424D96" w:rsidRPr="008916C2" w:rsidRDefault="00424D96" w:rsidP="00792B14">
            <w:pPr>
              <w:pStyle w:val="a"/>
              <w:spacing w:before="40" w:after="40"/>
              <w:rPr>
                <w:rFonts w:ascii="Arial" w:hAnsi="Arial" w:cs="Arial"/>
                <w:sz w:val="20"/>
                <w:szCs w:val="20"/>
              </w:rPr>
            </w:pPr>
          </w:p>
        </w:tc>
        <w:tc>
          <w:tcPr>
            <w:tcW w:w="1466" w:type="dxa"/>
            <w:tcBorders>
              <w:top w:val="single" w:sz="6" w:space="0" w:color="000000"/>
              <w:left w:val="single" w:sz="6" w:space="0" w:color="000000"/>
              <w:bottom w:val="single" w:sz="6" w:space="0" w:color="000000"/>
              <w:right w:val="single" w:sz="6" w:space="0" w:color="000000"/>
            </w:tcBorders>
            <w:shd w:val="clear" w:color="auto" w:fill="FFFFCC"/>
          </w:tcPr>
          <w:p w14:paraId="76988B1F" w14:textId="77777777" w:rsidR="00424D96" w:rsidRPr="008916C2" w:rsidRDefault="00424D96" w:rsidP="00792B14">
            <w:pPr>
              <w:pStyle w:val="a"/>
              <w:spacing w:before="40" w:after="40"/>
              <w:rPr>
                <w:rFonts w:ascii="Arial" w:hAnsi="Arial" w:cs="Arial"/>
                <w:color w:val="FF0000"/>
                <w:sz w:val="32"/>
                <w:szCs w:val="32"/>
              </w:rPr>
            </w:pPr>
          </w:p>
        </w:tc>
      </w:tr>
      <w:tr w:rsidR="00424D96" w:rsidRPr="008916C2" w14:paraId="035D80CE" w14:textId="77777777" w:rsidTr="00792B14">
        <w:trPr>
          <w:trHeight w:val="580"/>
        </w:trPr>
        <w:tc>
          <w:tcPr>
            <w:tcW w:w="1803" w:type="dxa"/>
            <w:tcBorders>
              <w:top w:val="single" w:sz="6" w:space="0" w:color="000000"/>
              <w:left w:val="single" w:sz="6" w:space="0" w:color="000000"/>
              <w:bottom w:val="single" w:sz="6" w:space="0" w:color="000000"/>
              <w:right w:val="single" w:sz="6" w:space="0" w:color="000000"/>
            </w:tcBorders>
            <w:hideMark/>
          </w:tcPr>
          <w:p w14:paraId="7F27C975"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Funding </w:t>
            </w:r>
          </w:p>
        </w:tc>
        <w:tc>
          <w:tcPr>
            <w:tcW w:w="580" w:type="dxa"/>
            <w:tcBorders>
              <w:top w:val="single" w:sz="6" w:space="0" w:color="000000"/>
              <w:left w:val="single" w:sz="6" w:space="0" w:color="000000"/>
              <w:bottom w:val="single" w:sz="6" w:space="0" w:color="000000"/>
              <w:right w:val="single" w:sz="6" w:space="0" w:color="000000"/>
            </w:tcBorders>
            <w:hideMark/>
          </w:tcPr>
          <w:p w14:paraId="3468956D" w14:textId="77777777" w:rsidR="00424D96" w:rsidRPr="008916C2" w:rsidRDefault="00424D96" w:rsidP="00792B14">
            <w:pPr>
              <w:pStyle w:val="Default"/>
              <w:spacing w:before="40" w:after="40" w:line="256" w:lineRule="auto"/>
              <w:jc w:val="right"/>
              <w:rPr>
                <w:rFonts w:ascii="Arial" w:hAnsi="Arial" w:cs="Arial"/>
                <w:sz w:val="20"/>
                <w:szCs w:val="20"/>
              </w:rPr>
            </w:pPr>
            <w:r w:rsidRPr="008916C2">
              <w:rPr>
                <w:rFonts w:ascii="Arial" w:hAnsi="Arial" w:cs="Arial"/>
                <w:sz w:val="20"/>
                <w:szCs w:val="20"/>
              </w:rPr>
              <w:t>27</w:t>
            </w:r>
          </w:p>
        </w:tc>
        <w:tc>
          <w:tcPr>
            <w:tcW w:w="11380" w:type="dxa"/>
            <w:tcBorders>
              <w:top w:val="single" w:sz="6" w:space="0" w:color="000000"/>
              <w:left w:val="single" w:sz="6" w:space="0" w:color="000000"/>
              <w:bottom w:val="single" w:sz="6" w:space="0" w:color="000000"/>
              <w:right w:val="single" w:sz="6" w:space="0" w:color="000000"/>
            </w:tcBorders>
            <w:hideMark/>
          </w:tcPr>
          <w:p w14:paraId="2B393D42" w14:textId="77777777" w:rsidR="00424D96" w:rsidRPr="008916C2" w:rsidRDefault="00424D96" w:rsidP="00792B14">
            <w:pPr>
              <w:pStyle w:val="Default"/>
              <w:spacing w:before="40" w:after="40" w:line="256" w:lineRule="auto"/>
              <w:rPr>
                <w:rFonts w:ascii="Arial" w:hAnsi="Arial" w:cs="Arial"/>
                <w:sz w:val="20"/>
                <w:szCs w:val="20"/>
              </w:rPr>
            </w:pPr>
            <w:r w:rsidRPr="008916C2">
              <w:rPr>
                <w:rFonts w:ascii="Arial" w:hAnsi="Arial" w:cs="Arial"/>
                <w:sz w:val="20"/>
                <w:szCs w:val="20"/>
              </w:rPr>
              <w:t xml:space="preserve">Describe sources of funding for the systematic review and other support (e.g., supply of data); role of funders for the systematic review. </w:t>
            </w:r>
          </w:p>
        </w:tc>
        <w:tc>
          <w:tcPr>
            <w:tcW w:w="1466" w:type="dxa"/>
            <w:tcBorders>
              <w:top w:val="single" w:sz="6" w:space="0" w:color="000000"/>
              <w:left w:val="single" w:sz="6" w:space="0" w:color="000000"/>
              <w:bottom w:val="single" w:sz="6" w:space="0" w:color="000000"/>
              <w:right w:val="single" w:sz="6" w:space="0" w:color="000000"/>
            </w:tcBorders>
            <w:hideMark/>
          </w:tcPr>
          <w:p w14:paraId="4DEFCB77" w14:textId="77777777" w:rsidR="00424D96" w:rsidRPr="008916C2" w:rsidRDefault="00424D96" w:rsidP="00792B14">
            <w:pPr>
              <w:pStyle w:val="Default"/>
              <w:spacing w:before="40" w:after="40" w:line="256" w:lineRule="auto"/>
              <w:rPr>
                <w:rFonts w:ascii="Arial" w:hAnsi="Arial" w:cs="Arial"/>
                <w:color w:val="auto"/>
              </w:rPr>
            </w:pPr>
            <w:r w:rsidRPr="008916C2">
              <w:rPr>
                <w:rFonts w:ascii="Arial" w:hAnsi="Arial" w:cs="Arial"/>
                <w:color w:val="FF0000"/>
                <w:sz w:val="32"/>
                <w:szCs w:val="32"/>
              </w:rPr>
              <w:t xml:space="preserve">√ </w:t>
            </w:r>
            <w:r w:rsidRPr="008916C2">
              <w:rPr>
                <w:rFonts w:ascii="Arial" w:hAnsi="Arial" w:cs="Arial"/>
                <w:color w:val="FF0000"/>
                <w:sz w:val="26"/>
                <w:szCs w:val="26"/>
              </w:rPr>
              <w:t>Page 17 &amp; 18</w:t>
            </w:r>
          </w:p>
        </w:tc>
      </w:tr>
      <w:bookmarkEnd w:id="0"/>
    </w:tbl>
    <w:p w14:paraId="352319E1" w14:textId="77777777" w:rsidR="00424D96" w:rsidRPr="008916C2" w:rsidRDefault="00424D96" w:rsidP="00424D96">
      <w:pPr>
        <w:bidi w:val="0"/>
      </w:pPr>
    </w:p>
    <w:p w14:paraId="1EA4ABAD" w14:textId="77777777" w:rsidR="00424D96" w:rsidRPr="008916C2" w:rsidRDefault="00424D96">
      <w:pPr>
        <w:bidi w:val="0"/>
      </w:pPr>
      <w:r w:rsidRPr="008916C2">
        <w:br w:type="page"/>
      </w:r>
    </w:p>
    <w:tbl>
      <w:tblPr>
        <w:tblStyle w:val="TableGrid"/>
        <w:tblpPr w:leftFromText="180" w:rightFromText="180" w:vertAnchor="text" w:horzAnchor="margin" w:tblpXSpec="center" w:tblpY="265"/>
        <w:tblW w:w="5000" w:type="pct"/>
        <w:shd w:val="clear" w:color="auto" w:fill="FFFFFF" w:themeFill="background1"/>
        <w:tblLook w:val="04A0" w:firstRow="1" w:lastRow="0" w:firstColumn="1" w:lastColumn="0" w:noHBand="0" w:noVBand="1"/>
      </w:tblPr>
      <w:tblGrid>
        <w:gridCol w:w="1692"/>
        <w:gridCol w:w="11229"/>
        <w:gridCol w:w="1253"/>
      </w:tblGrid>
      <w:tr w:rsidR="00424D96" w:rsidRPr="008916C2" w14:paraId="6B36BBA4" w14:textId="77777777" w:rsidTr="00792B14">
        <w:trPr>
          <w:trHeight w:val="458"/>
        </w:trPr>
        <w:tc>
          <w:tcPr>
            <w:tcW w:w="5000" w:type="pct"/>
            <w:gridSpan w:val="3"/>
            <w:tcBorders>
              <w:top w:val="nil"/>
              <w:left w:val="nil"/>
              <w:right w:val="nil"/>
            </w:tcBorders>
            <w:shd w:val="clear" w:color="auto" w:fill="FFFFFF" w:themeFill="background1"/>
          </w:tcPr>
          <w:p w14:paraId="2E5AC4A5" w14:textId="77777777" w:rsidR="00424D96" w:rsidRPr="008916C2" w:rsidRDefault="00424D96" w:rsidP="00792B14">
            <w:pPr>
              <w:jc w:val="center"/>
              <w:rPr>
                <w:rFonts w:asciiTheme="majorBidi" w:hAnsiTheme="majorBidi" w:cstheme="majorBidi"/>
                <w:color w:val="000000" w:themeColor="text1"/>
                <w:sz w:val="26"/>
                <w:szCs w:val="26"/>
              </w:rPr>
            </w:pPr>
            <w:bookmarkStart w:id="1" w:name="_Hlk186593705"/>
            <w:r w:rsidRPr="008916C2">
              <w:rPr>
                <w:rFonts w:asciiTheme="majorBidi" w:hAnsiTheme="majorBidi" w:cstheme="majorBidi"/>
                <w:b/>
                <w:bCs/>
                <w:color w:val="000000" w:themeColor="text1"/>
                <w:sz w:val="26"/>
                <w:szCs w:val="26"/>
              </w:rPr>
              <w:t>Supplementary Table 2:</w:t>
            </w:r>
            <w:r w:rsidRPr="008916C2">
              <w:rPr>
                <w:rFonts w:asciiTheme="majorBidi" w:hAnsiTheme="majorBidi" w:cstheme="majorBidi"/>
                <w:color w:val="000000" w:themeColor="text1"/>
                <w:sz w:val="26"/>
                <w:szCs w:val="26"/>
              </w:rPr>
              <w:t xml:space="preserve"> MeSH and non-MeSH terms that were used in the systematic search</w:t>
            </w:r>
          </w:p>
        </w:tc>
      </w:tr>
      <w:tr w:rsidR="00424D96" w:rsidRPr="008916C2" w14:paraId="1DA69734" w14:textId="77777777" w:rsidTr="00792B14">
        <w:trPr>
          <w:trHeight w:val="293"/>
        </w:trPr>
        <w:tc>
          <w:tcPr>
            <w:tcW w:w="597" w:type="pct"/>
            <w:shd w:val="clear" w:color="auto" w:fill="FFFFFF" w:themeFill="background1"/>
          </w:tcPr>
          <w:p w14:paraId="2DC96A48" w14:textId="77777777" w:rsidR="00424D96" w:rsidRPr="008916C2" w:rsidRDefault="00424D96" w:rsidP="00792B14">
            <w:pPr>
              <w:jc w:val="center"/>
              <w:rPr>
                <w:rFonts w:asciiTheme="majorBidi" w:hAnsiTheme="majorBidi" w:cstheme="majorBidi"/>
                <w:color w:val="000000" w:themeColor="text1"/>
                <w:sz w:val="26"/>
                <w:szCs w:val="26"/>
              </w:rPr>
            </w:pPr>
            <w:r w:rsidRPr="008916C2">
              <w:rPr>
                <w:rFonts w:asciiTheme="majorBidi" w:hAnsiTheme="majorBidi" w:cstheme="majorBidi"/>
                <w:color w:val="000000" w:themeColor="text1"/>
                <w:sz w:val="26"/>
                <w:szCs w:val="26"/>
              </w:rPr>
              <w:br w:type="page"/>
              <w:t>Database</w:t>
            </w:r>
          </w:p>
        </w:tc>
        <w:tc>
          <w:tcPr>
            <w:tcW w:w="3961" w:type="pct"/>
            <w:shd w:val="clear" w:color="auto" w:fill="FFFFFF" w:themeFill="background1"/>
            <w:vAlign w:val="center"/>
          </w:tcPr>
          <w:p w14:paraId="22FF0E9F" w14:textId="77777777" w:rsidR="00424D96" w:rsidRPr="008916C2" w:rsidRDefault="00424D96" w:rsidP="00792B14">
            <w:pPr>
              <w:jc w:val="center"/>
              <w:rPr>
                <w:rFonts w:asciiTheme="majorBidi" w:hAnsiTheme="majorBidi" w:cstheme="majorBidi"/>
                <w:color w:val="000000" w:themeColor="text1"/>
                <w:sz w:val="26"/>
                <w:szCs w:val="26"/>
              </w:rPr>
            </w:pPr>
            <w:r w:rsidRPr="008916C2">
              <w:rPr>
                <w:rFonts w:asciiTheme="majorBidi" w:hAnsiTheme="majorBidi" w:cstheme="majorBidi"/>
                <w:color w:val="000000" w:themeColor="text1"/>
                <w:sz w:val="26"/>
                <w:szCs w:val="26"/>
              </w:rPr>
              <w:t>Syntax</w:t>
            </w:r>
          </w:p>
        </w:tc>
        <w:tc>
          <w:tcPr>
            <w:tcW w:w="442" w:type="pct"/>
            <w:shd w:val="clear" w:color="auto" w:fill="FFFFFF" w:themeFill="background1"/>
          </w:tcPr>
          <w:p w14:paraId="2DE0A1A9" w14:textId="77777777" w:rsidR="00424D96" w:rsidRPr="008916C2" w:rsidRDefault="00424D96" w:rsidP="00792B14">
            <w:pPr>
              <w:jc w:val="center"/>
              <w:rPr>
                <w:rFonts w:asciiTheme="majorBidi" w:hAnsiTheme="majorBidi" w:cstheme="majorBidi"/>
                <w:color w:val="000000" w:themeColor="text1"/>
                <w:sz w:val="26"/>
                <w:szCs w:val="26"/>
              </w:rPr>
            </w:pPr>
            <w:r w:rsidRPr="008916C2">
              <w:rPr>
                <w:rFonts w:asciiTheme="majorBidi" w:hAnsiTheme="majorBidi" w:cstheme="majorBidi"/>
                <w:color w:val="000000" w:themeColor="text1"/>
                <w:sz w:val="26"/>
                <w:szCs w:val="26"/>
              </w:rPr>
              <w:t>Results</w:t>
            </w:r>
          </w:p>
        </w:tc>
      </w:tr>
      <w:tr w:rsidR="00424D96" w:rsidRPr="008916C2" w14:paraId="5102FC22" w14:textId="77777777" w:rsidTr="00792B14">
        <w:trPr>
          <w:trHeight w:val="1073"/>
        </w:trPr>
        <w:tc>
          <w:tcPr>
            <w:tcW w:w="597" w:type="pct"/>
            <w:shd w:val="clear" w:color="auto" w:fill="FFFFFF" w:themeFill="background1"/>
          </w:tcPr>
          <w:p w14:paraId="1B037252" w14:textId="77777777" w:rsidR="00424D96" w:rsidRPr="008916C2" w:rsidRDefault="00424D96" w:rsidP="00792B14">
            <w:pPr>
              <w:jc w:val="center"/>
              <w:rPr>
                <w:rFonts w:asciiTheme="majorBidi" w:hAnsiTheme="majorBidi" w:cstheme="majorBidi"/>
                <w:color w:val="000000" w:themeColor="text1"/>
                <w:sz w:val="26"/>
                <w:szCs w:val="26"/>
              </w:rPr>
            </w:pPr>
            <w:r w:rsidRPr="008916C2">
              <w:rPr>
                <w:rFonts w:asciiTheme="majorBidi" w:hAnsiTheme="majorBidi" w:cstheme="majorBidi"/>
                <w:color w:val="000000" w:themeColor="text1"/>
                <w:sz w:val="26"/>
                <w:szCs w:val="26"/>
              </w:rPr>
              <w:t>Pubmed</w:t>
            </w:r>
          </w:p>
        </w:tc>
        <w:tc>
          <w:tcPr>
            <w:tcW w:w="3961" w:type="pct"/>
            <w:shd w:val="clear" w:color="auto" w:fill="FFFFFF" w:themeFill="background1"/>
          </w:tcPr>
          <w:p w14:paraId="6E4571C1" w14:textId="77777777" w:rsidR="00424D96" w:rsidRPr="008916C2" w:rsidRDefault="00424D96" w:rsidP="00792B14">
            <w:pPr>
              <w:rPr>
                <w:rFonts w:asciiTheme="majorBidi" w:eastAsia="Times New Roman" w:hAnsiTheme="majorBidi" w:cstheme="majorBidi"/>
                <w:color w:val="000000" w:themeColor="text1"/>
                <w:sz w:val="26"/>
                <w:szCs w:val="26"/>
                <w:lang w:val="en-US" w:eastAsia="en-US" w:bidi="ar-SA"/>
              </w:rPr>
            </w:pPr>
            <w:r w:rsidRPr="008916C2">
              <w:rPr>
                <w:rFonts w:asciiTheme="majorBidi" w:eastAsia="Times New Roman" w:hAnsiTheme="majorBidi" w:cstheme="majorBidi"/>
                <w:color w:val="000000" w:themeColor="text1"/>
                <w:sz w:val="26"/>
                <w:szCs w:val="26"/>
                <w:lang w:val="en-US" w:eastAsia="en-US" w:bidi="ar-SA"/>
              </w:rPr>
              <w:t>((("Vitamin D"[MeSH Terms] OR "vitamin D deficiency"[MeSH Terms] OR "cholecalciferol"[MeSH Terms]) OR "Vitamin D"[Title/Abstract]) OR "vitamin D deficiency"[Title/Abstract] OR "cholecalciferol"[Title/Abstract] OR "25 oh d"[Title/Abstract] OR "25-hydroxyvitamin d"[Title/Abstract]) AND ("frail elderly"[MeSH Terms] OR "frailty"[Title/Abstract] OR "frailty"[MeSH Terms] OR "frail*"[Title/Abstract])</w:t>
            </w:r>
          </w:p>
        </w:tc>
        <w:tc>
          <w:tcPr>
            <w:tcW w:w="442" w:type="pct"/>
            <w:shd w:val="clear" w:color="auto" w:fill="FFFFFF" w:themeFill="background1"/>
          </w:tcPr>
          <w:p w14:paraId="7929DB44" w14:textId="77777777" w:rsidR="00424D96" w:rsidRPr="008916C2" w:rsidRDefault="00424D96" w:rsidP="00792B14">
            <w:pPr>
              <w:jc w:val="center"/>
              <w:rPr>
                <w:rFonts w:asciiTheme="majorBidi" w:hAnsiTheme="majorBidi" w:cstheme="majorBidi"/>
                <w:color w:val="000000" w:themeColor="text1"/>
                <w:sz w:val="26"/>
                <w:szCs w:val="26"/>
              </w:rPr>
            </w:pPr>
            <w:r w:rsidRPr="008916C2">
              <w:rPr>
                <w:rFonts w:asciiTheme="majorBidi" w:hAnsiTheme="majorBidi" w:cstheme="majorBidi"/>
                <w:color w:val="000000" w:themeColor="text1"/>
                <w:sz w:val="26"/>
                <w:szCs w:val="26"/>
              </w:rPr>
              <w:t>653</w:t>
            </w:r>
          </w:p>
          <w:p w14:paraId="55CDBE1B" w14:textId="77777777" w:rsidR="00424D96" w:rsidRPr="008916C2" w:rsidRDefault="00424D96" w:rsidP="00792B14">
            <w:pPr>
              <w:jc w:val="center"/>
              <w:rPr>
                <w:rFonts w:asciiTheme="majorBidi" w:hAnsiTheme="majorBidi" w:cstheme="majorBidi"/>
                <w:color w:val="000000" w:themeColor="text1"/>
                <w:sz w:val="26"/>
                <w:szCs w:val="26"/>
                <w:lang w:bidi="fa-IR"/>
              </w:rPr>
            </w:pPr>
          </w:p>
        </w:tc>
      </w:tr>
      <w:tr w:rsidR="00424D96" w:rsidRPr="008916C2" w14:paraId="791CCEDC" w14:textId="77777777" w:rsidTr="00792B14">
        <w:trPr>
          <w:trHeight w:val="743"/>
        </w:trPr>
        <w:tc>
          <w:tcPr>
            <w:tcW w:w="597" w:type="pct"/>
            <w:shd w:val="clear" w:color="auto" w:fill="FFFFFF" w:themeFill="background1"/>
          </w:tcPr>
          <w:p w14:paraId="7A8F7486" w14:textId="77777777" w:rsidR="00424D96" w:rsidRPr="008916C2" w:rsidRDefault="00424D96" w:rsidP="00792B14">
            <w:pPr>
              <w:jc w:val="center"/>
              <w:rPr>
                <w:rFonts w:asciiTheme="majorBidi" w:hAnsiTheme="majorBidi" w:cstheme="majorBidi"/>
                <w:color w:val="000000" w:themeColor="text1"/>
                <w:sz w:val="26"/>
                <w:szCs w:val="26"/>
              </w:rPr>
            </w:pPr>
            <w:r w:rsidRPr="008916C2">
              <w:rPr>
                <w:rFonts w:asciiTheme="majorBidi" w:hAnsiTheme="majorBidi" w:cstheme="majorBidi"/>
                <w:color w:val="000000" w:themeColor="text1"/>
                <w:sz w:val="26"/>
                <w:szCs w:val="26"/>
              </w:rPr>
              <w:t>Web Of Sciences</w:t>
            </w:r>
          </w:p>
        </w:tc>
        <w:tc>
          <w:tcPr>
            <w:tcW w:w="3961" w:type="pct"/>
            <w:shd w:val="clear" w:color="auto" w:fill="FFFFFF" w:themeFill="background1"/>
          </w:tcPr>
          <w:p w14:paraId="6C762027" w14:textId="77777777" w:rsidR="00424D96" w:rsidRPr="008916C2" w:rsidRDefault="00424D96" w:rsidP="00792B14">
            <w:pPr>
              <w:rPr>
                <w:rFonts w:asciiTheme="majorBidi" w:eastAsia="Times New Roman" w:hAnsiTheme="majorBidi" w:cstheme="majorBidi"/>
                <w:color w:val="000000" w:themeColor="text1"/>
                <w:sz w:val="26"/>
                <w:szCs w:val="26"/>
                <w:lang w:val="en-US" w:eastAsia="en-US" w:bidi="ar-SA"/>
              </w:rPr>
            </w:pPr>
            <w:r w:rsidRPr="008916C2">
              <w:rPr>
                <w:rFonts w:asciiTheme="majorBidi" w:eastAsia="Times New Roman" w:hAnsiTheme="majorBidi" w:cstheme="majorBidi"/>
                <w:color w:val="000000" w:themeColor="text1"/>
                <w:sz w:val="26"/>
                <w:szCs w:val="26"/>
                <w:lang w:val="en-US" w:eastAsia="en-US" w:bidi="ar-SA"/>
              </w:rPr>
              <w:t>“Vitamin D” (Topic) OR “vitamin D deficiency” (Topic) OR “cholecalciferol” (Topic) OR “25(OH)D” (Topic) OR “25-hydroxyvitamin d” (Topic) AND “Frail elderly” (Topic) OR frailty (Topic) OR frail* (Topic)</w:t>
            </w:r>
          </w:p>
        </w:tc>
        <w:tc>
          <w:tcPr>
            <w:tcW w:w="442" w:type="pct"/>
            <w:shd w:val="clear" w:color="auto" w:fill="FFFFFF" w:themeFill="background1"/>
          </w:tcPr>
          <w:p w14:paraId="0ABC7288" w14:textId="77777777" w:rsidR="00424D96" w:rsidRPr="008916C2" w:rsidRDefault="00424D96" w:rsidP="00792B14">
            <w:pPr>
              <w:jc w:val="center"/>
              <w:rPr>
                <w:rFonts w:asciiTheme="majorBidi" w:hAnsiTheme="majorBidi" w:cstheme="majorBidi"/>
                <w:color w:val="000000" w:themeColor="text1"/>
                <w:sz w:val="26"/>
                <w:szCs w:val="26"/>
              </w:rPr>
            </w:pPr>
            <w:r w:rsidRPr="008916C2">
              <w:rPr>
                <w:rFonts w:asciiTheme="majorBidi" w:hAnsiTheme="majorBidi" w:cstheme="majorBidi"/>
                <w:color w:val="000000" w:themeColor="text1"/>
                <w:sz w:val="26"/>
                <w:szCs w:val="26"/>
              </w:rPr>
              <w:t>971</w:t>
            </w:r>
          </w:p>
          <w:p w14:paraId="7A827058" w14:textId="77777777" w:rsidR="00424D96" w:rsidRPr="008916C2" w:rsidRDefault="00424D96" w:rsidP="00792B14">
            <w:pPr>
              <w:jc w:val="center"/>
              <w:rPr>
                <w:rFonts w:asciiTheme="majorBidi" w:hAnsiTheme="majorBidi" w:cstheme="majorBidi"/>
                <w:color w:val="000000" w:themeColor="text1"/>
                <w:sz w:val="26"/>
                <w:szCs w:val="26"/>
              </w:rPr>
            </w:pPr>
          </w:p>
        </w:tc>
      </w:tr>
      <w:tr w:rsidR="00424D96" w:rsidRPr="008916C2" w14:paraId="6AA5BE8D" w14:textId="77777777" w:rsidTr="00792B14">
        <w:trPr>
          <w:trHeight w:val="628"/>
        </w:trPr>
        <w:tc>
          <w:tcPr>
            <w:tcW w:w="597" w:type="pct"/>
            <w:shd w:val="clear" w:color="auto" w:fill="FFFFFF" w:themeFill="background1"/>
          </w:tcPr>
          <w:p w14:paraId="6138C787" w14:textId="77777777" w:rsidR="00424D96" w:rsidRPr="008916C2" w:rsidRDefault="00424D96" w:rsidP="00792B14">
            <w:pPr>
              <w:jc w:val="center"/>
              <w:rPr>
                <w:rFonts w:asciiTheme="majorBidi" w:hAnsiTheme="majorBidi" w:cstheme="majorBidi"/>
                <w:color w:val="000000" w:themeColor="text1"/>
                <w:sz w:val="26"/>
                <w:szCs w:val="26"/>
              </w:rPr>
            </w:pPr>
            <w:r w:rsidRPr="008916C2">
              <w:rPr>
                <w:rFonts w:asciiTheme="majorBidi" w:hAnsiTheme="majorBidi" w:cstheme="majorBidi"/>
                <w:color w:val="000000" w:themeColor="text1"/>
                <w:sz w:val="26"/>
                <w:szCs w:val="26"/>
              </w:rPr>
              <w:t>Scopus</w:t>
            </w:r>
          </w:p>
        </w:tc>
        <w:tc>
          <w:tcPr>
            <w:tcW w:w="3961" w:type="pct"/>
            <w:shd w:val="clear" w:color="auto" w:fill="FFFFFF" w:themeFill="background1"/>
          </w:tcPr>
          <w:p w14:paraId="5A4B7EC0" w14:textId="77777777" w:rsidR="00424D96" w:rsidRPr="008916C2" w:rsidRDefault="00424D96" w:rsidP="00792B14">
            <w:pPr>
              <w:jc w:val="both"/>
              <w:textAlignment w:val="baseline"/>
              <w:rPr>
                <w:rFonts w:asciiTheme="majorBidi" w:eastAsia="Times New Roman" w:hAnsiTheme="majorBidi" w:cstheme="majorBidi"/>
                <w:color w:val="000000" w:themeColor="text1"/>
                <w:sz w:val="26"/>
                <w:szCs w:val="26"/>
                <w:lang w:val="en-US" w:eastAsia="en-US" w:bidi="ar-SA"/>
              </w:rPr>
            </w:pPr>
            <w:r w:rsidRPr="008916C2">
              <w:rPr>
                <w:rFonts w:asciiTheme="majorBidi" w:eastAsia="Times New Roman" w:hAnsiTheme="majorBidi" w:cstheme="majorBidi"/>
                <w:color w:val="000000" w:themeColor="text1"/>
                <w:sz w:val="26"/>
                <w:szCs w:val="26"/>
                <w:lang w:val="en-US" w:eastAsia="en-US" w:bidi="ar-SA"/>
              </w:rPr>
              <w:t>( ( TITLE-ABS-KEY ( "Vitamin D" ) OR TITLE-ABS-KEY ( "vitamin D deficiency" ) OR TITLE-ABS-KEY ( "cholecalciferol" ) OR TITLE-ABS-KEY ( "25(OH)D" ) OR TITLE-ABS-KEY ( "25-hydroxyvitamin d" ) ) ) AND ( ( TITLE-ABS-KEY ( "Frail elderly" ) OR TITLE-ABS-KEY ( frailty ) OR TITLE-ABS-KEY ( frail* ) ) )</w:t>
            </w:r>
          </w:p>
        </w:tc>
        <w:tc>
          <w:tcPr>
            <w:tcW w:w="442" w:type="pct"/>
            <w:shd w:val="clear" w:color="auto" w:fill="FFFFFF" w:themeFill="background1"/>
          </w:tcPr>
          <w:p w14:paraId="1D4A7D7E" w14:textId="77777777" w:rsidR="00424D96" w:rsidRPr="008916C2" w:rsidRDefault="00424D96" w:rsidP="00792B14">
            <w:pPr>
              <w:jc w:val="center"/>
              <w:rPr>
                <w:rFonts w:asciiTheme="majorBidi" w:hAnsiTheme="majorBidi" w:cstheme="majorBidi"/>
                <w:color w:val="000000" w:themeColor="text1"/>
                <w:sz w:val="26"/>
                <w:szCs w:val="26"/>
              </w:rPr>
            </w:pPr>
            <w:r w:rsidRPr="008916C2">
              <w:rPr>
                <w:rFonts w:asciiTheme="majorBidi" w:hAnsiTheme="majorBidi" w:cstheme="majorBidi"/>
                <w:color w:val="000000" w:themeColor="text1"/>
                <w:sz w:val="26"/>
                <w:szCs w:val="26"/>
              </w:rPr>
              <w:t>1278</w:t>
            </w:r>
          </w:p>
          <w:p w14:paraId="4DBD1A46" w14:textId="77777777" w:rsidR="00424D96" w:rsidRPr="008916C2" w:rsidRDefault="00424D96" w:rsidP="00792B14">
            <w:pPr>
              <w:jc w:val="center"/>
              <w:rPr>
                <w:rFonts w:asciiTheme="majorBidi" w:hAnsiTheme="majorBidi" w:cstheme="majorBidi"/>
                <w:color w:val="000000" w:themeColor="text1"/>
                <w:sz w:val="26"/>
                <w:szCs w:val="26"/>
              </w:rPr>
            </w:pPr>
          </w:p>
        </w:tc>
      </w:tr>
      <w:tr w:rsidR="00424D96" w:rsidRPr="008916C2" w14:paraId="74F5D500" w14:textId="77777777" w:rsidTr="00792B14">
        <w:trPr>
          <w:trHeight w:val="391"/>
        </w:trPr>
        <w:tc>
          <w:tcPr>
            <w:tcW w:w="597" w:type="pct"/>
            <w:shd w:val="clear" w:color="auto" w:fill="FFFFFF" w:themeFill="background1"/>
          </w:tcPr>
          <w:p w14:paraId="738C203B" w14:textId="77777777" w:rsidR="00424D96" w:rsidRPr="008916C2" w:rsidRDefault="00424D96" w:rsidP="00792B14">
            <w:pPr>
              <w:jc w:val="center"/>
              <w:rPr>
                <w:rFonts w:asciiTheme="majorBidi" w:hAnsiTheme="majorBidi" w:cstheme="majorBidi"/>
                <w:color w:val="000000" w:themeColor="text1"/>
                <w:sz w:val="26"/>
                <w:szCs w:val="26"/>
              </w:rPr>
            </w:pPr>
            <w:r w:rsidRPr="008916C2">
              <w:rPr>
                <w:rFonts w:asciiTheme="majorBidi" w:hAnsiTheme="majorBidi" w:cstheme="majorBidi"/>
                <w:sz w:val="26"/>
                <w:szCs w:val="26"/>
              </w:rPr>
              <w:t>Total</w:t>
            </w:r>
          </w:p>
        </w:tc>
        <w:tc>
          <w:tcPr>
            <w:tcW w:w="3961" w:type="pct"/>
            <w:shd w:val="clear" w:color="auto" w:fill="FFFFFF" w:themeFill="background1"/>
          </w:tcPr>
          <w:p w14:paraId="61BD5EAF" w14:textId="77777777" w:rsidR="00424D96" w:rsidRPr="008916C2" w:rsidRDefault="00424D96" w:rsidP="00792B14">
            <w:pPr>
              <w:jc w:val="both"/>
              <w:textAlignment w:val="baseline"/>
              <w:rPr>
                <w:rFonts w:asciiTheme="majorBidi" w:eastAsia="Times New Roman" w:hAnsiTheme="majorBidi" w:cstheme="majorBidi"/>
                <w:color w:val="000000" w:themeColor="text1"/>
                <w:sz w:val="26"/>
                <w:szCs w:val="26"/>
                <w:lang w:val="en-US" w:eastAsia="en-US" w:bidi="ar-SA"/>
              </w:rPr>
            </w:pPr>
          </w:p>
        </w:tc>
        <w:tc>
          <w:tcPr>
            <w:tcW w:w="442" w:type="pct"/>
            <w:shd w:val="clear" w:color="auto" w:fill="FFFFFF" w:themeFill="background1"/>
          </w:tcPr>
          <w:p w14:paraId="38E6451A" w14:textId="77777777" w:rsidR="00424D96" w:rsidRPr="008916C2" w:rsidRDefault="00424D96" w:rsidP="00792B14">
            <w:pPr>
              <w:jc w:val="center"/>
              <w:rPr>
                <w:rFonts w:asciiTheme="majorBidi" w:hAnsiTheme="majorBidi" w:cstheme="majorBidi"/>
                <w:color w:val="000000" w:themeColor="text1"/>
                <w:sz w:val="26"/>
                <w:szCs w:val="26"/>
              </w:rPr>
            </w:pPr>
            <w:r w:rsidRPr="008916C2">
              <w:rPr>
                <w:rFonts w:asciiTheme="majorBidi" w:hAnsiTheme="majorBidi" w:cstheme="majorBidi"/>
                <w:color w:val="000000" w:themeColor="text1"/>
                <w:sz w:val="26"/>
                <w:szCs w:val="26"/>
              </w:rPr>
              <w:t>2902</w:t>
            </w:r>
          </w:p>
        </w:tc>
      </w:tr>
      <w:tr w:rsidR="00424D96" w:rsidRPr="008916C2" w14:paraId="194C2370" w14:textId="77777777" w:rsidTr="00792B14">
        <w:trPr>
          <w:trHeight w:val="234"/>
        </w:trPr>
        <w:tc>
          <w:tcPr>
            <w:tcW w:w="597" w:type="pct"/>
            <w:shd w:val="clear" w:color="auto" w:fill="FFFFFF" w:themeFill="background1"/>
          </w:tcPr>
          <w:p w14:paraId="15F96A0C" w14:textId="77777777" w:rsidR="00424D96" w:rsidRPr="008916C2" w:rsidRDefault="00424D96" w:rsidP="00792B14">
            <w:pPr>
              <w:jc w:val="center"/>
              <w:rPr>
                <w:rFonts w:asciiTheme="majorBidi" w:hAnsiTheme="majorBidi" w:cstheme="majorBidi"/>
                <w:color w:val="000000" w:themeColor="text1"/>
                <w:sz w:val="26"/>
                <w:szCs w:val="26"/>
              </w:rPr>
            </w:pPr>
            <w:r w:rsidRPr="008916C2">
              <w:rPr>
                <w:rFonts w:asciiTheme="majorBidi" w:hAnsiTheme="majorBidi" w:cstheme="majorBidi"/>
                <w:sz w:val="26"/>
                <w:szCs w:val="26"/>
              </w:rPr>
              <w:t>Duplicate</w:t>
            </w:r>
          </w:p>
        </w:tc>
        <w:tc>
          <w:tcPr>
            <w:tcW w:w="3961" w:type="pct"/>
            <w:shd w:val="clear" w:color="auto" w:fill="FFFFFF" w:themeFill="background1"/>
          </w:tcPr>
          <w:p w14:paraId="1C660A61" w14:textId="77777777" w:rsidR="00424D96" w:rsidRPr="008916C2" w:rsidRDefault="00424D96" w:rsidP="00792B14">
            <w:pPr>
              <w:jc w:val="both"/>
              <w:textAlignment w:val="baseline"/>
              <w:rPr>
                <w:rFonts w:asciiTheme="majorBidi" w:eastAsia="Times New Roman" w:hAnsiTheme="majorBidi" w:cstheme="majorBidi"/>
                <w:color w:val="000000" w:themeColor="text1"/>
                <w:sz w:val="26"/>
                <w:szCs w:val="26"/>
                <w:lang w:val="en-US" w:eastAsia="en-US" w:bidi="ar-SA"/>
              </w:rPr>
            </w:pPr>
          </w:p>
        </w:tc>
        <w:tc>
          <w:tcPr>
            <w:tcW w:w="442" w:type="pct"/>
            <w:shd w:val="clear" w:color="auto" w:fill="FFFFFF" w:themeFill="background1"/>
          </w:tcPr>
          <w:p w14:paraId="11A8F1AD" w14:textId="77777777" w:rsidR="00424D96" w:rsidRPr="008916C2" w:rsidRDefault="00424D96" w:rsidP="00792B14">
            <w:pPr>
              <w:jc w:val="center"/>
              <w:rPr>
                <w:rFonts w:asciiTheme="majorBidi" w:hAnsiTheme="majorBidi" w:cstheme="majorBidi"/>
                <w:color w:val="000000" w:themeColor="text1"/>
                <w:sz w:val="26"/>
                <w:szCs w:val="26"/>
              </w:rPr>
            </w:pPr>
            <w:r w:rsidRPr="008916C2">
              <w:rPr>
                <w:rFonts w:asciiTheme="majorBidi" w:hAnsiTheme="majorBidi" w:cstheme="majorBidi"/>
                <w:color w:val="000000" w:themeColor="text1"/>
                <w:sz w:val="26"/>
                <w:szCs w:val="26"/>
              </w:rPr>
              <w:t>1146</w:t>
            </w:r>
          </w:p>
        </w:tc>
      </w:tr>
      <w:tr w:rsidR="00424D96" w:rsidRPr="008916C2" w14:paraId="1EB2A7C1" w14:textId="77777777" w:rsidTr="00792B14">
        <w:trPr>
          <w:trHeight w:val="117"/>
        </w:trPr>
        <w:tc>
          <w:tcPr>
            <w:tcW w:w="597" w:type="pct"/>
            <w:shd w:val="clear" w:color="auto" w:fill="FFFFFF" w:themeFill="background1"/>
          </w:tcPr>
          <w:p w14:paraId="18F82BE6" w14:textId="77777777" w:rsidR="00424D96" w:rsidRPr="008916C2" w:rsidRDefault="00424D96" w:rsidP="00792B14">
            <w:pPr>
              <w:jc w:val="center"/>
              <w:rPr>
                <w:rFonts w:asciiTheme="majorBidi" w:hAnsiTheme="majorBidi" w:cstheme="majorBidi"/>
                <w:color w:val="000000" w:themeColor="text1"/>
                <w:sz w:val="26"/>
                <w:szCs w:val="26"/>
              </w:rPr>
            </w:pPr>
            <w:r w:rsidRPr="008916C2">
              <w:rPr>
                <w:rFonts w:asciiTheme="majorBidi" w:hAnsiTheme="majorBidi" w:cstheme="majorBidi"/>
                <w:sz w:val="26"/>
                <w:szCs w:val="26"/>
              </w:rPr>
              <w:t xml:space="preserve">Final </w:t>
            </w:r>
          </w:p>
        </w:tc>
        <w:tc>
          <w:tcPr>
            <w:tcW w:w="3961" w:type="pct"/>
            <w:shd w:val="clear" w:color="auto" w:fill="FFFFFF" w:themeFill="background1"/>
          </w:tcPr>
          <w:p w14:paraId="03B8D07A" w14:textId="77777777" w:rsidR="00424D96" w:rsidRPr="008916C2" w:rsidRDefault="00424D96" w:rsidP="00792B14">
            <w:pPr>
              <w:jc w:val="both"/>
              <w:textAlignment w:val="baseline"/>
              <w:rPr>
                <w:rFonts w:asciiTheme="majorBidi" w:eastAsia="Times New Roman" w:hAnsiTheme="majorBidi" w:cstheme="majorBidi"/>
                <w:color w:val="000000" w:themeColor="text1"/>
                <w:sz w:val="26"/>
                <w:szCs w:val="26"/>
                <w:lang w:val="en-US" w:eastAsia="en-US" w:bidi="ar-SA"/>
              </w:rPr>
            </w:pPr>
          </w:p>
        </w:tc>
        <w:tc>
          <w:tcPr>
            <w:tcW w:w="442" w:type="pct"/>
            <w:shd w:val="clear" w:color="auto" w:fill="FFFFFF" w:themeFill="background1"/>
          </w:tcPr>
          <w:p w14:paraId="64229B74" w14:textId="77777777" w:rsidR="00424D96" w:rsidRPr="008916C2" w:rsidRDefault="00424D96" w:rsidP="00792B14">
            <w:pPr>
              <w:jc w:val="center"/>
              <w:rPr>
                <w:rFonts w:asciiTheme="majorBidi" w:hAnsiTheme="majorBidi" w:cstheme="majorBidi"/>
                <w:color w:val="000000" w:themeColor="text1"/>
                <w:sz w:val="26"/>
                <w:szCs w:val="26"/>
              </w:rPr>
            </w:pPr>
            <w:r w:rsidRPr="008916C2">
              <w:rPr>
                <w:rFonts w:asciiTheme="majorBidi" w:hAnsiTheme="majorBidi" w:cstheme="majorBidi"/>
                <w:color w:val="000000" w:themeColor="text1"/>
                <w:sz w:val="26"/>
                <w:szCs w:val="26"/>
              </w:rPr>
              <w:t>1756</w:t>
            </w:r>
          </w:p>
        </w:tc>
      </w:tr>
      <w:bookmarkEnd w:id="1"/>
    </w:tbl>
    <w:p w14:paraId="46DA5F32" w14:textId="77777777" w:rsidR="00424D96" w:rsidRPr="008916C2" w:rsidRDefault="00424D96" w:rsidP="00424D96">
      <w:pPr>
        <w:bidi w:val="0"/>
      </w:pPr>
    </w:p>
    <w:p w14:paraId="4282D0F6" w14:textId="77777777" w:rsidR="00424D96" w:rsidRPr="008916C2" w:rsidRDefault="00424D96">
      <w:pPr>
        <w:bidi w:val="0"/>
      </w:pPr>
      <w:r w:rsidRPr="008916C2">
        <w:br w:type="page"/>
      </w:r>
    </w:p>
    <w:tbl>
      <w:tblPr>
        <w:tblStyle w:val="TableGrid"/>
        <w:tblW w:w="15451" w:type="dxa"/>
        <w:tblInd w:w="-714" w:type="dxa"/>
        <w:tblLook w:val="04A0" w:firstRow="1" w:lastRow="0" w:firstColumn="1" w:lastColumn="0" w:noHBand="0" w:noVBand="1"/>
      </w:tblPr>
      <w:tblGrid>
        <w:gridCol w:w="567"/>
        <w:gridCol w:w="2269"/>
        <w:gridCol w:w="7796"/>
        <w:gridCol w:w="4819"/>
      </w:tblGrid>
      <w:tr w:rsidR="00297194" w:rsidRPr="008916C2" w14:paraId="5C25D04F" w14:textId="77777777" w:rsidTr="00297194">
        <w:tc>
          <w:tcPr>
            <w:tcW w:w="15451" w:type="dxa"/>
            <w:gridSpan w:val="4"/>
          </w:tcPr>
          <w:p w14:paraId="2F97585E" w14:textId="77777777" w:rsidR="00297194" w:rsidRPr="005E217C" w:rsidRDefault="00297194" w:rsidP="00297194">
            <w:pPr>
              <w:bidi w:val="0"/>
              <w:jc w:val="center"/>
              <w:rPr>
                <w:rFonts w:asciiTheme="majorBidi" w:hAnsiTheme="majorBidi" w:cstheme="majorBidi"/>
                <w:lang w:val="en-US"/>
              </w:rPr>
            </w:pPr>
            <w:r w:rsidRPr="008916C2">
              <w:rPr>
                <w:rFonts w:asciiTheme="majorBidi" w:eastAsia="Calibri" w:hAnsiTheme="majorBidi" w:cstheme="majorBidi"/>
                <w:b/>
                <w:bCs/>
              </w:rPr>
              <w:t xml:space="preserve">Supplementary Table 3. </w:t>
            </w:r>
            <w:r w:rsidRPr="008916C2">
              <w:rPr>
                <w:rFonts w:asciiTheme="majorBidi" w:eastAsia="Calibri" w:hAnsiTheme="majorBidi" w:cstheme="majorBidi"/>
              </w:rPr>
              <w:t xml:space="preserve"> Details of some studies that were excluded</w:t>
            </w:r>
          </w:p>
        </w:tc>
      </w:tr>
      <w:tr w:rsidR="00297194" w:rsidRPr="008916C2" w14:paraId="0F8CEFCC" w14:textId="77777777" w:rsidTr="00C179C1">
        <w:tc>
          <w:tcPr>
            <w:tcW w:w="567" w:type="dxa"/>
          </w:tcPr>
          <w:p w14:paraId="31B54F73" w14:textId="77777777" w:rsidR="00297194" w:rsidRPr="008916C2" w:rsidRDefault="00297194" w:rsidP="00297194">
            <w:pPr>
              <w:bidi w:val="0"/>
              <w:rPr>
                <w:rFonts w:asciiTheme="majorBidi" w:hAnsiTheme="majorBidi" w:cstheme="majorBidi"/>
              </w:rPr>
            </w:pPr>
          </w:p>
        </w:tc>
        <w:tc>
          <w:tcPr>
            <w:tcW w:w="2269" w:type="dxa"/>
          </w:tcPr>
          <w:p w14:paraId="13B5C612"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b/>
                <w:bCs/>
              </w:rPr>
              <w:t>First Author (Year) (Ref)</w:t>
            </w:r>
            <w:r w:rsidRPr="008916C2">
              <w:rPr>
                <w:rFonts w:asciiTheme="majorBidi" w:hAnsiTheme="majorBidi" w:cstheme="majorBidi"/>
              </w:rPr>
              <w:t xml:space="preserve"> </w:t>
            </w:r>
          </w:p>
        </w:tc>
        <w:tc>
          <w:tcPr>
            <w:tcW w:w="7796" w:type="dxa"/>
          </w:tcPr>
          <w:p w14:paraId="3F7C6B78"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b/>
                <w:bCs/>
              </w:rPr>
              <w:t>Title of paper</w:t>
            </w:r>
          </w:p>
        </w:tc>
        <w:tc>
          <w:tcPr>
            <w:tcW w:w="4819" w:type="dxa"/>
          </w:tcPr>
          <w:p w14:paraId="2333A6A6"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b/>
                <w:bCs/>
              </w:rPr>
              <w:t>Reason of exclusion from current systematic review and meta-analysis</w:t>
            </w:r>
          </w:p>
        </w:tc>
      </w:tr>
      <w:tr w:rsidR="00297194" w:rsidRPr="008916C2" w14:paraId="593D9A89" w14:textId="77777777" w:rsidTr="00C179C1">
        <w:tc>
          <w:tcPr>
            <w:tcW w:w="567" w:type="dxa"/>
          </w:tcPr>
          <w:p w14:paraId="2CD80F25"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1</w:t>
            </w:r>
          </w:p>
        </w:tc>
        <w:tc>
          <w:tcPr>
            <w:tcW w:w="2269" w:type="dxa"/>
          </w:tcPr>
          <w:p w14:paraId="77C9D475" w14:textId="77777777" w:rsidR="00297194" w:rsidRPr="008916C2" w:rsidRDefault="00297194" w:rsidP="00297194">
            <w:pPr>
              <w:bidi w:val="0"/>
              <w:rPr>
                <w:rFonts w:asciiTheme="majorBidi" w:hAnsiTheme="majorBidi" w:cstheme="majorBidi"/>
              </w:rPr>
            </w:pPr>
            <w:r w:rsidRPr="008916C2">
              <w:rPr>
                <w:rFonts w:asciiTheme="majorBidi" w:hAnsiTheme="majorBidi" w:cstheme="majorBidi"/>
              </w:rPr>
              <w:t>Pilleron (2019) (1)</w:t>
            </w:r>
          </w:p>
        </w:tc>
        <w:tc>
          <w:tcPr>
            <w:tcW w:w="7796" w:type="dxa"/>
          </w:tcPr>
          <w:p w14:paraId="14E87A6D"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Patterns of circulating fat-soluble vitamins and carotenoids and risk of frailty in four European cohorts of older adults</w:t>
            </w:r>
          </w:p>
        </w:tc>
        <w:tc>
          <w:tcPr>
            <w:tcW w:w="4819" w:type="dxa"/>
          </w:tcPr>
          <w:p w14:paraId="35AD6D0F" w14:textId="77777777" w:rsidR="00297194" w:rsidRPr="008916C2" w:rsidRDefault="00297194" w:rsidP="00297194">
            <w:pPr>
              <w:bidi w:val="0"/>
              <w:rPr>
                <w:rFonts w:asciiTheme="majorBidi" w:eastAsia="Calibri" w:hAnsiTheme="majorBidi" w:cstheme="majorBidi"/>
              </w:rPr>
            </w:pPr>
            <w:r w:rsidRPr="008916C2">
              <w:rPr>
                <w:rFonts w:asciiTheme="majorBidi" w:eastAsia="Calibri" w:hAnsiTheme="majorBidi" w:cstheme="majorBidi"/>
              </w:rPr>
              <w:t>Prospective associations between patterns of fat-soluble micronutrients considered as quartiles and frailty in older adults</w:t>
            </w:r>
          </w:p>
        </w:tc>
      </w:tr>
      <w:tr w:rsidR="00297194" w:rsidRPr="008916C2" w14:paraId="1C13822C" w14:textId="77777777" w:rsidTr="00C179C1">
        <w:tc>
          <w:tcPr>
            <w:tcW w:w="567" w:type="dxa"/>
          </w:tcPr>
          <w:p w14:paraId="2B5E5B8D"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2</w:t>
            </w:r>
          </w:p>
        </w:tc>
        <w:tc>
          <w:tcPr>
            <w:tcW w:w="2269" w:type="dxa"/>
          </w:tcPr>
          <w:p w14:paraId="5DEB0BA2" w14:textId="77777777" w:rsidR="00297194" w:rsidRPr="008916C2" w:rsidRDefault="00297194" w:rsidP="00297194">
            <w:pPr>
              <w:bidi w:val="0"/>
              <w:rPr>
                <w:rFonts w:asciiTheme="majorBidi" w:hAnsiTheme="majorBidi" w:cstheme="majorBidi"/>
              </w:rPr>
            </w:pPr>
            <w:r w:rsidRPr="008916C2">
              <w:rPr>
                <w:rFonts w:asciiTheme="majorBidi" w:hAnsiTheme="majorBidi" w:cstheme="majorBidi"/>
              </w:rPr>
              <w:t>Swiecicka (2017) (2)</w:t>
            </w:r>
          </w:p>
        </w:tc>
        <w:tc>
          <w:tcPr>
            <w:tcW w:w="7796" w:type="dxa"/>
          </w:tcPr>
          <w:p w14:paraId="1D2A36C5"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Non-androgenic Anabolic Hormones Predict Risk Of Frailty: European Male Ageing Study Prospective Data</w:t>
            </w:r>
          </w:p>
        </w:tc>
        <w:tc>
          <w:tcPr>
            <w:tcW w:w="4819" w:type="dxa"/>
          </w:tcPr>
          <w:p w14:paraId="7783F323" w14:textId="77777777" w:rsidR="00297194" w:rsidRPr="008916C2" w:rsidRDefault="00297194" w:rsidP="00297194">
            <w:pPr>
              <w:bidi w:val="0"/>
              <w:rPr>
                <w:rFonts w:asciiTheme="majorBidi" w:eastAsia="Calibri" w:hAnsiTheme="majorBidi" w:cstheme="majorBidi"/>
              </w:rPr>
            </w:pPr>
            <w:r w:rsidRPr="008916C2">
              <w:rPr>
                <w:rFonts w:asciiTheme="majorBidi" w:eastAsia="Calibri" w:hAnsiTheme="majorBidi" w:cstheme="majorBidi"/>
              </w:rPr>
              <w:t>Frailty not outcome. They used transitions in frailty states as an outcome</w:t>
            </w:r>
          </w:p>
        </w:tc>
      </w:tr>
      <w:tr w:rsidR="00297194" w:rsidRPr="008916C2" w14:paraId="5BF9C761" w14:textId="77777777" w:rsidTr="00C179C1">
        <w:tc>
          <w:tcPr>
            <w:tcW w:w="567" w:type="dxa"/>
          </w:tcPr>
          <w:p w14:paraId="3375A096"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3</w:t>
            </w:r>
          </w:p>
        </w:tc>
        <w:tc>
          <w:tcPr>
            <w:tcW w:w="2269" w:type="dxa"/>
          </w:tcPr>
          <w:p w14:paraId="429E62B9" w14:textId="77777777" w:rsidR="00297194" w:rsidRPr="008916C2" w:rsidRDefault="00297194" w:rsidP="00297194">
            <w:pPr>
              <w:bidi w:val="0"/>
              <w:rPr>
                <w:rFonts w:asciiTheme="majorBidi" w:hAnsiTheme="majorBidi" w:cstheme="majorBidi"/>
              </w:rPr>
            </w:pPr>
            <w:r w:rsidRPr="008916C2">
              <w:rPr>
                <w:rFonts w:asciiTheme="majorBidi" w:hAnsiTheme="majorBidi" w:cstheme="majorBidi"/>
              </w:rPr>
              <w:t>Sanchis (2015) (3)</w:t>
            </w:r>
          </w:p>
          <w:p w14:paraId="513E30F1" w14:textId="77777777" w:rsidR="00297194" w:rsidRPr="008916C2" w:rsidRDefault="00297194" w:rsidP="00297194">
            <w:pPr>
              <w:bidi w:val="0"/>
              <w:rPr>
                <w:rFonts w:asciiTheme="majorBidi" w:hAnsiTheme="majorBidi" w:cstheme="majorBidi"/>
              </w:rPr>
            </w:pPr>
          </w:p>
        </w:tc>
        <w:tc>
          <w:tcPr>
            <w:tcW w:w="7796" w:type="dxa"/>
          </w:tcPr>
          <w:p w14:paraId="59E8704E"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Usefulness of Clinical Data and Biomarkers for the Identification of Frailty After Acute Coronary Syndromes</w:t>
            </w:r>
          </w:p>
        </w:tc>
        <w:tc>
          <w:tcPr>
            <w:tcW w:w="4819" w:type="dxa"/>
          </w:tcPr>
          <w:p w14:paraId="4529499C" w14:textId="77777777" w:rsidR="00297194" w:rsidRPr="008916C2" w:rsidRDefault="00297194" w:rsidP="00297194">
            <w:pPr>
              <w:bidi w:val="0"/>
              <w:rPr>
                <w:rFonts w:asciiTheme="majorBidi" w:eastAsia="Calibri" w:hAnsiTheme="majorBidi" w:cstheme="majorBidi"/>
              </w:rPr>
            </w:pPr>
            <w:r w:rsidRPr="008916C2">
              <w:rPr>
                <w:rFonts w:asciiTheme="majorBidi" w:eastAsia="Calibri" w:hAnsiTheme="majorBidi" w:cstheme="majorBidi"/>
              </w:rPr>
              <w:t>Predicting frailty</w:t>
            </w:r>
          </w:p>
        </w:tc>
      </w:tr>
      <w:tr w:rsidR="00297194" w:rsidRPr="008916C2" w14:paraId="0C31E676" w14:textId="77777777" w:rsidTr="00C179C1">
        <w:tc>
          <w:tcPr>
            <w:tcW w:w="567" w:type="dxa"/>
          </w:tcPr>
          <w:p w14:paraId="1862A8AF"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4</w:t>
            </w:r>
          </w:p>
        </w:tc>
        <w:tc>
          <w:tcPr>
            <w:tcW w:w="2269" w:type="dxa"/>
          </w:tcPr>
          <w:p w14:paraId="1BEE1040" w14:textId="77777777" w:rsidR="00297194" w:rsidRPr="008916C2" w:rsidRDefault="00297194" w:rsidP="00297194">
            <w:pPr>
              <w:bidi w:val="0"/>
              <w:rPr>
                <w:rFonts w:asciiTheme="majorBidi" w:hAnsiTheme="majorBidi" w:cstheme="majorBidi"/>
              </w:rPr>
            </w:pPr>
            <w:r w:rsidRPr="008916C2">
              <w:rPr>
                <w:rFonts w:asciiTheme="majorBidi" w:hAnsiTheme="majorBidi" w:cstheme="majorBidi"/>
              </w:rPr>
              <w:t>Smit (2012) (4)</w:t>
            </w:r>
          </w:p>
        </w:tc>
        <w:tc>
          <w:tcPr>
            <w:tcW w:w="7796" w:type="dxa"/>
          </w:tcPr>
          <w:p w14:paraId="16F23674"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The effect of vitamin D and frailty on mortality among non-institutionalized US older adults</w:t>
            </w:r>
          </w:p>
        </w:tc>
        <w:tc>
          <w:tcPr>
            <w:tcW w:w="4819" w:type="dxa"/>
          </w:tcPr>
          <w:p w14:paraId="651FB364" w14:textId="77777777" w:rsidR="00297194" w:rsidRPr="008916C2" w:rsidRDefault="00297194" w:rsidP="00297194">
            <w:pPr>
              <w:bidi w:val="0"/>
              <w:rPr>
                <w:rFonts w:asciiTheme="majorBidi" w:eastAsia="Calibri" w:hAnsiTheme="majorBidi" w:cstheme="majorBidi"/>
              </w:rPr>
            </w:pPr>
            <w:r w:rsidRPr="008916C2">
              <w:rPr>
                <w:rFonts w:asciiTheme="majorBidi" w:eastAsia="Calibri" w:hAnsiTheme="majorBidi" w:cstheme="majorBidi"/>
              </w:rPr>
              <w:t xml:space="preserve">Mortality as the outcome </w:t>
            </w:r>
          </w:p>
        </w:tc>
      </w:tr>
      <w:tr w:rsidR="00297194" w:rsidRPr="008916C2" w14:paraId="03FCFC0D" w14:textId="77777777" w:rsidTr="00C179C1">
        <w:tc>
          <w:tcPr>
            <w:tcW w:w="567" w:type="dxa"/>
          </w:tcPr>
          <w:p w14:paraId="7162FC41"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5</w:t>
            </w:r>
          </w:p>
        </w:tc>
        <w:tc>
          <w:tcPr>
            <w:tcW w:w="2269" w:type="dxa"/>
          </w:tcPr>
          <w:p w14:paraId="7D743D13" w14:textId="77777777" w:rsidR="00297194" w:rsidRPr="008916C2" w:rsidRDefault="00297194" w:rsidP="00297194">
            <w:pPr>
              <w:bidi w:val="0"/>
              <w:rPr>
                <w:rFonts w:asciiTheme="majorBidi" w:hAnsiTheme="majorBidi" w:cstheme="majorBidi"/>
              </w:rPr>
            </w:pPr>
            <w:r w:rsidRPr="008916C2">
              <w:rPr>
                <w:rFonts w:asciiTheme="majorBidi" w:hAnsiTheme="majorBidi" w:cstheme="majorBidi"/>
              </w:rPr>
              <w:t>Semba (2006) (5)</w:t>
            </w:r>
          </w:p>
        </w:tc>
        <w:tc>
          <w:tcPr>
            <w:tcW w:w="7796" w:type="dxa"/>
          </w:tcPr>
          <w:p w14:paraId="6F57FEA8"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Low Serum Micronutrient Concentrations Predict Frailty Among Older Women Living in the Community</w:t>
            </w:r>
          </w:p>
        </w:tc>
        <w:tc>
          <w:tcPr>
            <w:tcW w:w="4819" w:type="dxa"/>
          </w:tcPr>
          <w:p w14:paraId="1DD15D82" w14:textId="77777777" w:rsidR="00297194" w:rsidRPr="008916C2" w:rsidRDefault="00297194" w:rsidP="00297194">
            <w:pPr>
              <w:bidi w:val="0"/>
              <w:rPr>
                <w:rFonts w:asciiTheme="majorBidi" w:eastAsia="Calibri" w:hAnsiTheme="majorBidi" w:cstheme="majorBidi"/>
              </w:rPr>
            </w:pPr>
            <w:r w:rsidRPr="008916C2">
              <w:rPr>
                <w:rFonts w:asciiTheme="majorBidi" w:eastAsia="Calibri" w:hAnsiTheme="majorBidi" w:cstheme="majorBidi"/>
              </w:rPr>
              <w:t>Participants were frail at baseline</w:t>
            </w:r>
          </w:p>
        </w:tc>
      </w:tr>
      <w:tr w:rsidR="00297194" w:rsidRPr="008916C2" w14:paraId="4BF89F38" w14:textId="77777777" w:rsidTr="00C179C1">
        <w:tc>
          <w:tcPr>
            <w:tcW w:w="567" w:type="dxa"/>
          </w:tcPr>
          <w:p w14:paraId="1B5E3E90"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6</w:t>
            </w:r>
          </w:p>
        </w:tc>
        <w:tc>
          <w:tcPr>
            <w:tcW w:w="2269" w:type="dxa"/>
          </w:tcPr>
          <w:p w14:paraId="0992EADD" w14:textId="77777777" w:rsidR="00297194" w:rsidRPr="008916C2" w:rsidRDefault="00297194" w:rsidP="00297194">
            <w:pPr>
              <w:bidi w:val="0"/>
              <w:rPr>
                <w:rFonts w:asciiTheme="majorBidi" w:hAnsiTheme="majorBidi" w:cstheme="majorBidi"/>
              </w:rPr>
            </w:pPr>
            <w:r w:rsidRPr="008916C2">
              <w:rPr>
                <w:rFonts w:asciiTheme="majorBidi" w:hAnsiTheme="majorBidi" w:cstheme="majorBidi"/>
              </w:rPr>
              <w:t>Shi (2022) (6)</w:t>
            </w:r>
          </w:p>
        </w:tc>
        <w:tc>
          <w:tcPr>
            <w:tcW w:w="7796" w:type="dxa"/>
          </w:tcPr>
          <w:p w14:paraId="6448DDE0"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Mediating Effect of Physical Activity in the Association between Low 25-Hydroxyvitamin D and Frailty Trajectories: The English Longitudinal Study of Ageing</w:t>
            </w:r>
          </w:p>
        </w:tc>
        <w:tc>
          <w:tcPr>
            <w:tcW w:w="4819" w:type="dxa"/>
          </w:tcPr>
          <w:p w14:paraId="5A74C00D" w14:textId="77777777" w:rsidR="00297194" w:rsidRPr="008916C2" w:rsidRDefault="00297194" w:rsidP="00297194">
            <w:pPr>
              <w:bidi w:val="0"/>
              <w:rPr>
                <w:rFonts w:asciiTheme="majorBidi" w:eastAsia="Calibri" w:hAnsiTheme="majorBidi" w:cstheme="majorBidi"/>
              </w:rPr>
            </w:pPr>
            <w:r w:rsidRPr="008916C2">
              <w:rPr>
                <w:rFonts w:asciiTheme="majorBidi" w:hAnsiTheme="majorBidi" w:cstheme="majorBidi"/>
                <w:lang w:bidi="fa-IR"/>
              </w:rPr>
              <w:t>Group-based trajectory modelling (GBTM) was used to identify distinct frailty trajectories with age</w:t>
            </w:r>
            <w:r w:rsidRPr="008916C2">
              <w:rPr>
                <w:rFonts w:asciiTheme="majorBidi" w:hAnsiTheme="majorBidi" w:cstheme="majorBidi"/>
              </w:rPr>
              <w:t>.</w:t>
            </w:r>
          </w:p>
        </w:tc>
      </w:tr>
      <w:tr w:rsidR="00297194" w:rsidRPr="008916C2" w14:paraId="759312A8" w14:textId="77777777" w:rsidTr="00C179C1">
        <w:tc>
          <w:tcPr>
            <w:tcW w:w="567" w:type="dxa"/>
          </w:tcPr>
          <w:p w14:paraId="1C0101C9"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7</w:t>
            </w:r>
          </w:p>
        </w:tc>
        <w:tc>
          <w:tcPr>
            <w:tcW w:w="2269" w:type="dxa"/>
          </w:tcPr>
          <w:p w14:paraId="6DAE38B6" w14:textId="77777777" w:rsidR="00297194" w:rsidRPr="008916C2" w:rsidRDefault="00297194" w:rsidP="00297194">
            <w:pPr>
              <w:bidi w:val="0"/>
              <w:rPr>
                <w:rFonts w:asciiTheme="majorBidi" w:hAnsiTheme="majorBidi" w:cstheme="majorBidi"/>
              </w:rPr>
            </w:pPr>
            <w:r w:rsidRPr="008916C2">
              <w:rPr>
                <w:rFonts w:asciiTheme="majorBidi" w:hAnsiTheme="majorBidi" w:cstheme="majorBidi"/>
              </w:rPr>
              <w:t>Angioni (2022) (7)</w:t>
            </w:r>
          </w:p>
        </w:tc>
        <w:tc>
          <w:tcPr>
            <w:tcW w:w="7796" w:type="dxa"/>
          </w:tcPr>
          <w:p w14:paraId="4FC27CE7"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Biomarkers of Age-Related Frailty and Frailty Related to Diseases: An Exploratory, Cross-Sectional Analysis from the MAPT Study</w:t>
            </w:r>
          </w:p>
        </w:tc>
        <w:tc>
          <w:tcPr>
            <w:tcW w:w="4819" w:type="dxa"/>
          </w:tcPr>
          <w:p w14:paraId="733E7B36" w14:textId="77777777" w:rsidR="00297194" w:rsidRPr="008916C2" w:rsidRDefault="00297194" w:rsidP="00297194">
            <w:pPr>
              <w:bidi w:val="0"/>
              <w:rPr>
                <w:rFonts w:asciiTheme="majorBidi" w:hAnsiTheme="majorBidi" w:cstheme="majorBidi"/>
                <w:lang w:bidi="fa-IR"/>
              </w:rPr>
            </w:pPr>
            <w:r w:rsidRPr="008916C2">
              <w:rPr>
                <w:rFonts w:asciiTheme="majorBidi" w:hAnsiTheme="majorBidi" w:cstheme="majorBidi"/>
                <w:lang w:bidi="fa-IR"/>
              </w:rPr>
              <w:t>Considered age-related vs. disease-related frailty and did not report uncertain frailty.</w:t>
            </w:r>
          </w:p>
          <w:p w14:paraId="3F09C9E4" w14:textId="77777777" w:rsidR="00297194" w:rsidRPr="008916C2" w:rsidRDefault="00297194" w:rsidP="00297194">
            <w:pPr>
              <w:bidi w:val="0"/>
              <w:rPr>
                <w:rFonts w:asciiTheme="majorBidi" w:eastAsia="Calibri" w:hAnsiTheme="majorBidi" w:cstheme="majorBidi"/>
              </w:rPr>
            </w:pPr>
          </w:p>
        </w:tc>
      </w:tr>
      <w:tr w:rsidR="00297194" w:rsidRPr="008916C2" w14:paraId="255D393C" w14:textId="77777777" w:rsidTr="00C179C1">
        <w:tc>
          <w:tcPr>
            <w:tcW w:w="567" w:type="dxa"/>
          </w:tcPr>
          <w:p w14:paraId="263FA747"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8</w:t>
            </w:r>
          </w:p>
        </w:tc>
        <w:tc>
          <w:tcPr>
            <w:tcW w:w="2269" w:type="dxa"/>
          </w:tcPr>
          <w:p w14:paraId="7301062A" w14:textId="77777777" w:rsidR="00297194" w:rsidRPr="008916C2" w:rsidRDefault="00297194" w:rsidP="00C179C1">
            <w:pPr>
              <w:bidi w:val="0"/>
              <w:rPr>
                <w:rFonts w:asciiTheme="majorBidi" w:hAnsiTheme="majorBidi" w:cstheme="majorBidi"/>
              </w:rPr>
            </w:pPr>
            <w:r w:rsidRPr="008916C2">
              <w:rPr>
                <w:rFonts w:asciiTheme="majorBidi" w:hAnsiTheme="majorBidi" w:cstheme="majorBidi"/>
              </w:rPr>
              <w:t>Gomez-Cabrero (2021) (8)</w:t>
            </w:r>
          </w:p>
        </w:tc>
        <w:tc>
          <w:tcPr>
            <w:tcW w:w="7796" w:type="dxa"/>
          </w:tcPr>
          <w:p w14:paraId="09565C04"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A robust machine learning framework to identify signatures for frailty: a nested case-control study in four aging European cohorts</w:t>
            </w:r>
          </w:p>
        </w:tc>
        <w:tc>
          <w:tcPr>
            <w:tcW w:w="4819" w:type="dxa"/>
          </w:tcPr>
          <w:p w14:paraId="5114C883" w14:textId="77777777" w:rsidR="00297194" w:rsidRPr="008916C2" w:rsidRDefault="00297194" w:rsidP="00297194">
            <w:pPr>
              <w:bidi w:val="0"/>
              <w:rPr>
                <w:rFonts w:asciiTheme="majorBidi" w:eastAsia="Calibri" w:hAnsiTheme="majorBidi" w:cstheme="majorBidi"/>
              </w:rPr>
            </w:pPr>
            <w:r w:rsidRPr="008916C2">
              <w:rPr>
                <w:rFonts w:asciiTheme="majorBidi" w:eastAsia="Calibri" w:hAnsiTheme="majorBidi" w:cstheme="majorBidi"/>
              </w:rPr>
              <w:t>Not reported favourable effect size</w:t>
            </w:r>
          </w:p>
        </w:tc>
      </w:tr>
      <w:tr w:rsidR="00297194" w:rsidRPr="008916C2" w14:paraId="77770AAC" w14:textId="77777777" w:rsidTr="00C179C1">
        <w:tc>
          <w:tcPr>
            <w:tcW w:w="567" w:type="dxa"/>
          </w:tcPr>
          <w:p w14:paraId="04697F01"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9</w:t>
            </w:r>
          </w:p>
        </w:tc>
        <w:tc>
          <w:tcPr>
            <w:tcW w:w="2269" w:type="dxa"/>
          </w:tcPr>
          <w:p w14:paraId="5E39F26C" w14:textId="77777777" w:rsidR="00297194" w:rsidRPr="008916C2" w:rsidRDefault="00297194" w:rsidP="00297194">
            <w:pPr>
              <w:bidi w:val="0"/>
              <w:rPr>
                <w:rFonts w:asciiTheme="majorBidi" w:hAnsiTheme="majorBidi" w:cstheme="majorBidi"/>
              </w:rPr>
            </w:pPr>
            <w:r w:rsidRPr="008916C2">
              <w:rPr>
                <w:rFonts w:asciiTheme="majorBidi" w:hAnsiTheme="majorBidi" w:cstheme="majorBidi"/>
              </w:rPr>
              <w:t xml:space="preserve">Vigoré </w:t>
            </w:r>
            <w:r w:rsidR="00C179C1" w:rsidRPr="008916C2">
              <w:rPr>
                <w:rFonts w:asciiTheme="majorBidi" w:hAnsiTheme="majorBidi" w:cstheme="majorBidi"/>
              </w:rPr>
              <w:t xml:space="preserve"> (2024) </w:t>
            </w:r>
            <w:r w:rsidRPr="008916C2">
              <w:rPr>
                <w:rFonts w:asciiTheme="majorBidi" w:hAnsiTheme="majorBidi" w:cstheme="majorBidi"/>
              </w:rPr>
              <w:t>(9)</w:t>
            </w:r>
          </w:p>
          <w:p w14:paraId="701607C0" w14:textId="77777777" w:rsidR="00297194" w:rsidRPr="008916C2" w:rsidRDefault="00297194" w:rsidP="00297194">
            <w:pPr>
              <w:bidi w:val="0"/>
              <w:rPr>
                <w:rFonts w:asciiTheme="majorBidi" w:hAnsiTheme="majorBidi" w:cstheme="majorBidi"/>
              </w:rPr>
            </w:pPr>
          </w:p>
        </w:tc>
        <w:tc>
          <w:tcPr>
            <w:tcW w:w="7796" w:type="dxa"/>
          </w:tcPr>
          <w:p w14:paraId="18344DE2"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Frailty in older patients with chronic obstructive pulmonary disease (COPD) undergoing a multidisciplinary rehabilitation</w:t>
            </w:r>
          </w:p>
        </w:tc>
        <w:tc>
          <w:tcPr>
            <w:tcW w:w="4819" w:type="dxa"/>
          </w:tcPr>
          <w:p w14:paraId="299C97C4" w14:textId="77777777" w:rsidR="00297194" w:rsidRPr="008916C2" w:rsidRDefault="00297194" w:rsidP="00297194">
            <w:pPr>
              <w:bidi w:val="0"/>
              <w:rPr>
                <w:rFonts w:asciiTheme="majorBidi" w:eastAsia="Calibri" w:hAnsiTheme="majorBidi" w:cstheme="majorBidi"/>
              </w:rPr>
            </w:pPr>
            <w:r w:rsidRPr="008916C2">
              <w:rPr>
                <w:rFonts w:asciiTheme="majorBidi" w:eastAsia="Calibri" w:hAnsiTheme="majorBidi" w:cstheme="majorBidi"/>
              </w:rPr>
              <w:t xml:space="preserve">Vitamin D was not as exposure </w:t>
            </w:r>
          </w:p>
        </w:tc>
      </w:tr>
      <w:tr w:rsidR="00297194" w:rsidRPr="008916C2" w14:paraId="31F2F162" w14:textId="77777777" w:rsidTr="00C179C1">
        <w:tc>
          <w:tcPr>
            <w:tcW w:w="567" w:type="dxa"/>
          </w:tcPr>
          <w:p w14:paraId="2CE16BD6" w14:textId="77777777" w:rsidR="00297194" w:rsidRPr="008916C2" w:rsidRDefault="00297194" w:rsidP="00297194">
            <w:pPr>
              <w:bidi w:val="0"/>
              <w:rPr>
                <w:rFonts w:asciiTheme="majorBidi" w:hAnsiTheme="majorBidi" w:cstheme="majorBidi"/>
              </w:rPr>
            </w:pPr>
            <w:r w:rsidRPr="008916C2">
              <w:rPr>
                <w:rFonts w:asciiTheme="majorBidi" w:eastAsia="Calibri" w:hAnsiTheme="majorBidi" w:cstheme="majorBidi"/>
              </w:rPr>
              <w:t>10</w:t>
            </w:r>
          </w:p>
        </w:tc>
        <w:tc>
          <w:tcPr>
            <w:tcW w:w="2269" w:type="dxa"/>
          </w:tcPr>
          <w:p w14:paraId="5EF2B440" w14:textId="77777777" w:rsidR="00297194" w:rsidRPr="008916C2" w:rsidRDefault="00C024D3" w:rsidP="00297194">
            <w:pPr>
              <w:bidi w:val="0"/>
              <w:rPr>
                <w:rFonts w:asciiTheme="majorBidi" w:hAnsiTheme="majorBidi" w:cstheme="majorBidi"/>
              </w:rPr>
            </w:pPr>
            <w:r w:rsidRPr="008916C2">
              <w:rPr>
                <w:rFonts w:asciiTheme="majorBidi" w:hAnsiTheme="majorBidi" w:cstheme="majorBidi"/>
              </w:rPr>
              <w:t>Wen</w:t>
            </w:r>
            <w:r w:rsidR="00297194" w:rsidRPr="008916C2">
              <w:rPr>
                <w:rFonts w:asciiTheme="majorBidi" w:hAnsiTheme="majorBidi" w:cstheme="majorBidi"/>
              </w:rPr>
              <w:t xml:space="preserve"> </w:t>
            </w:r>
            <w:r w:rsidR="00C179C1" w:rsidRPr="008916C2">
              <w:rPr>
                <w:rFonts w:asciiTheme="majorBidi" w:hAnsiTheme="majorBidi" w:cstheme="majorBidi"/>
              </w:rPr>
              <w:t xml:space="preserve">(2024) </w:t>
            </w:r>
            <w:r w:rsidR="00297194" w:rsidRPr="008916C2">
              <w:rPr>
                <w:rFonts w:asciiTheme="majorBidi" w:hAnsiTheme="majorBidi" w:cstheme="majorBidi"/>
              </w:rPr>
              <w:t>(10)</w:t>
            </w:r>
          </w:p>
          <w:p w14:paraId="1FF9EE58" w14:textId="77777777" w:rsidR="00297194" w:rsidRPr="008916C2" w:rsidRDefault="00297194" w:rsidP="00297194">
            <w:pPr>
              <w:bidi w:val="0"/>
              <w:rPr>
                <w:rFonts w:asciiTheme="majorBidi" w:hAnsiTheme="majorBidi" w:cstheme="majorBidi"/>
              </w:rPr>
            </w:pPr>
          </w:p>
        </w:tc>
        <w:tc>
          <w:tcPr>
            <w:tcW w:w="7796" w:type="dxa"/>
          </w:tcPr>
          <w:p w14:paraId="52395972" w14:textId="77777777" w:rsidR="00297194" w:rsidRPr="008916C2" w:rsidRDefault="00C024D3" w:rsidP="00297194">
            <w:pPr>
              <w:bidi w:val="0"/>
              <w:rPr>
                <w:rFonts w:asciiTheme="majorBidi" w:hAnsiTheme="majorBidi" w:cstheme="majorBidi"/>
              </w:rPr>
            </w:pPr>
            <w:r w:rsidRPr="008916C2">
              <w:rPr>
                <w:rFonts w:asciiTheme="majorBidi" w:eastAsia="Calibri" w:hAnsiTheme="majorBidi" w:cstheme="majorBidi"/>
              </w:rPr>
              <w:t>Genetic prediction of serum micronutrient levels and the risk of frailty Evidence from a Mendelian randomization study</w:t>
            </w:r>
          </w:p>
        </w:tc>
        <w:tc>
          <w:tcPr>
            <w:tcW w:w="4819" w:type="dxa"/>
          </w:tcPr>
          <w:p w14:paraId="7D293C15" w14:textId="77777777" w:rsidR="00297194" w:rsidRPr="008916C2" w:rsidRDefault="001B125E" w:rsidP="00297194">
            <w:pPr>
              <w:bidi w:val="0"/>
              <w:rPr>
                <w:rFonts w:asciiTheme="majorBidi" w:eastAsia="Calibri" w:hAnsiTheme="majorBidi" w:cstheme="majorBidi"/>
                <w:lang w:val="en-US" w:bidi="fa-IR"/>
              </w:rPr>
            </w:pPr>
            <w:r w:rsidRPr="008916C2">
              <w:rPr>
                <w:rFonts w:asciiTheme="majorBidi" w:eastAsia="Calibri" w:hAnsiTheme="majorBidi" w:cstheme="majorBidi"/>
              </w:rPr>
              <w:t xml:space="preserve">Mendelian randomization study </w:t>
            </w:r>
            <w:r w:rsidRPr="008916C2">
              <w:rPr>
                <w:rFonts w:asciiTheme="majorBidi" w:eastAsia="Calibri" w:hAnsiTheme="majorBidi" w:cstheme="majorBidi"/>
                <w:lang w:val="en-US"/>
              </w:rPr>
              <w:t>(examined single nucleotide polymorphism (SNP) effect on vitamin D)</w:t>
            </w:r>
          </w:p>
        </w:tc>
      </w:tr>
      <w:tr w:rsidR="00BC4096" w:rsidRPr="008916C2" w14:paraId="4CE268FF" w14:textId="77777777" w:rsidTr="00C179C1">
        <w:tc>
          <w:tcPr>
            <w:tcW w:w="567" w:type="dxa"/>
          </w:tcPr>
          <w:p w14:paraId="50230AE7"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11</w:t>
            </w:r>
          </w:p>
        </w:tc>
        <w:tc>
          <w:tcPr>
            <w:tcW w:w="2269" w:type="dxa"/>
          </w:tcPr>
          <w:p w14:paraId="6B6612A3"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Fried (2009) (11)</w:t>
            </w:r>
          </w:p>
        </w:tc>
        <w:tc>
          <w:tcPr>
            <w:tcW w:w="7796" w:type="dxa"/>
          </w:tcPr>
          <w:p w14:paraId="45E5E56F" w14:textId="77777777" w:rsidR="00BC4096" w:rsidRPr="008916C2" w:rsidRDefault="00BC4096" w:rsidP="00792B14">
            <w:pPr>
              <w:bidi w:val="0"/>
              <w:rPr>
                <w:rFonts w:asciiTheme="majorBidi" w:hAnsiTheme="majorBidi" w:cstheme="majorBidi"/>
              </w:rPr>
            </w:pPr>
            <w:r w:rsidRPr="008916C2">
              <w:rPr>
                <w:rFonts w:asciiTheme="majorBidi" w:hAnsiTheme="majorBidi" w:cstheme="majorBidi"/>
              </w:rPr>
              <w:t xml:space="preserve">Nonlinear Multisystem Physiological Dysregulation Associated With Frailty in Older Women: Implications for Etiology and Treatment. </w:t>
            </w:r>
          </w:p>
        </w:tc>
        <w:tc>
          <w:tcPr>
            <w:tcW w:w="4819" w:type="dxa"/>
          </w:tcPr>
          <w:p w14:paraId="1F9FB4A9" w14:textId="77777777" w:rsidR="00BC4096" w:rsidRPr="008916C2" w:rsidRDefault="00792B14" w:rsidP="00BC4096">
            <w:pPr>
              <w:bidi w:val="0"/>
              <w:rPr>
                <w:rFonts w:asciiTheme="majorBidi" w:eastAsia="Calibri" w:hAnsiTheme="majorBidi" w:cstheme="majorBidi"/>
              </w:rPr>
            </w:pPr>
            <w:r w:rsidRPr="008916C2">
              <w:rPr>
                <w:rFonts w:asciiTheme="majorBidi" w:eastAsia="Calibri" w:hAnsiTheme="majorBidi" w:cstheme="majorBidi"/>
              </w:rPr>
              <w:t>O</w:t>
            </w:r>
            <w:r w:rsidR="00BC4096" w:rsidRPr="008916C2">
              <w:rPr>
                <w:rFonts w:asciiTheme="majorBidi" w:eastAsia="Calibri" w:hAnsiTheme="majorBidi" w:cstheme="majorBidi"/>
              </w:rPr>
              <w:t>verlap</w:t>
            </w:r>
            <w:r w:rsidRPr="008916C2">
              <w:rPr>
                <w:rFonts w:asciiTheme="majorBidi" w:eastAsia="Calibri" w:hAnsiTheme="majorBidi" w:cstheme="majorBidi"/>
              </w:rPr>
              <w:t>ping</w:t>
            </w:r>
            <w:r w:rsidR="00BC4096" w:rsidRPr="008916C2">
              <w:rPr>
                <w:rFonts w:asciiTheme="majorBidi" w:eastAsia="Calibri" w:hAnsiTheme="majorBidi" w:cstheme="majorBidi"/>
              </w:rPr>
              <w:t xml:space="preserve"> of population</w:t>
            </w:r>
            <w:r w:rsidRPr="008916C2">
              <w:rPr>
                <w:rFonts w:asciiTheme="majorBidi" w:eastAsia="Calibri" w:hAnsiTheme="majorBidi" w:cstheme="majorBidi"/>
              </w:rPr>
              <w:t xml:space="preserve"> with another study</w:t>
            </w:r>
            <w:r w:rsidR="00BC4096" w:rsidRPr="008916C2">
              <w:rPr>
                <w:rFonts w:asciiTheme="majorBidi" w:eastAsia="Calibri" w:hAnsiTheme="majorBidi" w:cstheme="majorBidi"/>
              </w:rPr>
              <w:t xml:space="preserve"> </w:t>
            </w:r>
          </w:p>
        </w:tc>
      </w:tr>
      <w:tr w:rsidR="00BC4096" w:rsidRPr="008916C2" w14:paraId="599EA3E7" w14:textId="77777777" w:rsidTr="00C179C1">
        <w:tc>
          <w:tcPr>
            <w:tcW w:w="567" w:type="dxa"/>
          </w:tcPr>
          <w:p w14:paraId="24E2E1EB"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12</w:t>
            </w:r>
          </w:p>
        </w:tc>
        <w:tc>
          <w:tcPr>
            <w:tcW w:w="2269" w:type="dxa"/>
          </w:tcPr>
          <w:p w14:paraId="2F01C1B3"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Blodgett (2024) (12)</w:t>
            </w:r>
          </w:p>
          <w:p w14:paraId="7170B4E2" w14:textId="77777777" w:rsidR="00BC4096" w:rsidRPr="008916C2" w:rsidRDefault="00BC4096" w:rsidP="00BC4096">
            <w:pPr>
              <w:bidi w:val="0"/>
              <w:rPr>
                <w:rFonts w:asciiTheme="majorBidi" w:hAnsiTheme="majorBidi" w:cstheme="majorBidi"/>
              </w:rPr>
            </w:pPr>
          </w:p>
        </w:tc>
        <w:tc>
          <w:tcPr>
            <w:tcW w:w="7796" w:type="dxa"/>
          </w:tcPr>
          <w:p w14:paraId="0BD83F89"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Prognostic accuracy of 70 individual frailty biomarkers in predicting mortality in the Canadian Longitudinal Study on Aging</w:t>
            </w:r>
          </w:p>
        </w:tc>
        <w:tc>
          <w:tcPr>
            <w:tcW w:w="4819" w:type="dxa"/>
          </w:tcPr>
          <w:p w14:paraId="020A20F2"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Vitamin D was not as exposure</w:t>
            </w:r>
          </w:p>
        </w:tc>
      </w:tr>
      <w:tr w:rsidR="00BC4096" w:rsidRPr="008916C2" w14:paraId="5BB0B116" w14:textId="77777777" w:rsidTr="00C179C1">
        <w:tc>
          <w:tcPr>
            <w:tcW w:w="567" w:type="dxa"/>
          </w:tcPr>
          <w:p w14:paraId="3602B368"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13</w:t>
            </w:r>
          </w:p>
        </w:tc>
        <w:tc>
          <w:tcPr>
            <w:tcW w:w="2269" w:type="dxa"/>
          </w:tcPr>
          <w:p w14:paraId="20A96923"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Balboa-Castillo (2024) (13)</w:t>
            </w:r>
          </w:p>
          <w:p w14:paraId="1E331AB7" w14:textId="77777777" w:rsidR="00BC4096" w:rsidRPr="008916C2" w:rsidRDefault="00BC4096" w:rsidP="00BC4096">
            <w:pPr>
              <w:bidi w:val="0"/>
              <w:rPr>
                <w:rFonts w:asciiTheme="majorBidi" w:hAnsiTheme="majorBidi" w:cstheme="majorBidi"/>
              </w:rPr>
            </w:pPr>
          </w:p>
        </w:tc>
        <w:tc>
          <w:tcPr>
            <w:tcW w:w="7796" w:type="dxa"/>
          </w:tcPr>
          <w:p w14:paraId="29949E65"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Low vitamin intake is associated with risk of frailty in older adults</w:t>
            </w:r>
          </w:p>
        </w:tc>
        <w:tc>
          <w:tcPr>
            <w:tcW w:w="4819" w:type="dxa"/>
          </w:tcPr>
          <w:p w14:paraId="458D6035"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Serum vitamin D was not assessed.</w:t>
            </w:r>
          </w:p>
        </w:tc>
      </w:tr>
      <w:tr w:rsidR="00BC4096" w:rsidRPr="008916C2" w14:paraId="250B49F3" w14:textId="77777777" w:rsidTr="00C179C1">
        <w:tc>
          <w:tcPr>
            <w:tcW w:w="567" w:type="dxa"/>
          </w:tcPr>
          <w:p w14:paraId="24867F0C"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14</w:t>
            </w:r>
          </w:p>
        </w:tc>
        <w:tc>
          <w:tcPr>
            <w:tcW w:w="2269" w:type="dxa"/>
          </w:tcPr>
          <w:p w14:paraId="56C4B1F8"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Bolzetta (2018) (14)</w:t>
            </w:r>
          </w:p>
          <w:p w14:paraId="52EC634A" w14:textId="77777777" w:rsidR="00BC4096" w:rsidRPr="008916C2" w:rsidRDefault="00BC4096" w:rsidP="00BC4096">
            <w:pPr>
              <w:bidi w:val="0"/>
              <w:rPr>
                <w:rFonts w:asciiTheme="majorBidi" w:hAnsiTheme="majorBidi" w:cstheme="majorBidi"/>
              </w:rPr>
            </w:pPr>
          </w:p>
        </w:tc>
        <w:tc>
          <w:tcPr>
            <w:tcW w:w="7796" w:type="dxa"/>
          </w:tcPr>
          <w:p w14:paraId="51A9F2CF"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Low-dose vitamin D supplementation and incident frailty in older people: An eight year longitudinal study</w:t>
            </w:r>
          </w:p>
        </w:tc>
        <w:tc>
          <w:tcPr>
            <w:tcW w:w="4819" w:type="dxa"/>
          </w:tcPr>
          <w:p w14:paraId="7FD4E2BC"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vitamin D supplementation was assessed in this study</w:t>
            </w:r>
          </w:p>
        </w:tc>
      </w:tr>
      <w:tr w:rsidR="00BC4096" w:rsidRPr="008916C2" w14:paraId="649316B8" w14:textId="77777777" w:rsidTr="00C179C1">
        <w:tc>
          <w:tcPr>
            <w:tcW w:w="567" w:type="dxa"/>
          </w:tcPr>
          <w:p w14:paraId="3D20A84C"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15</w:t>
            </w:r>
          </w:p>
        </w:tc>
        <w:tc>
          <w:tcPr>
            <w:tcW w:w="2269" w:type="dxa"/>
          </w:tcPr>
          <w:p w14:paraId="28E54E37"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 xml:space="preserve">Buchebner (2019) (15) </w:t>
            </w:r>
          </w:p>
        </w:tc>
        <w:tc>
          <w:tcPr>
            <w:tcW w:w="7796" w:type="dxa"/>
          </w:tcPr>
          <w:p w14:paraId="7FF66F51"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Association Between Vitamin D, Frailty, and Progression of Frailty in Community-Dwelling Older Women</w:t>
            </w:r>
          </w:p>
        </w:tc>
        <w:tc>
          <w:tcPr>
            <w:tcW w:w="4819" w:type="dxa"/>
          </w:tcPr>
          <w:p w14:paraId="2C196060"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Reported mean±SD</w:t>
            </w:r>
          </w:p>
        </w:tc>
      </w:tr>
      <w:tr w:rsidR="00BC4096" w:rsidRPr="008916C2" w14:paraId="4C5A4FBE" w14:textId="77777777" w:rsidTr="00C179C1">
        <w:tc>
          <w:tcPr>
            <w:tcW w:w="567" w:type="dxa"/>
          </w:tcPr>
          <w:p w14:paraId="79DB747F"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16</w:t>
            </w:r>
          </w:p>
        </w:tc>
        <w:tc>
          <w:tcPr>
            <w:tcW w:w="2269" w:type="dxa"/>
          </w:tcPr>
          <w:p w14:paraId="73111C4D"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Ruggiero (2019)  (16)</w:t>
            </w:r>
          </w:p>
        </w:tc>
        <w:tc>
          <w:tcPr>
            <w:tcW w:w="7796" w:type="dxa"/>
          </w:tcPr>
          <w:p w14:paraId="7277B306"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Effects of weekly supplementation of cholecalciferol and calcifediol among the oldest-old people: Findings from a randomized pragmatic clinical trial</w:t>
            </w:r>
          </w:p>
        </w:tc>
        <w:tc>
          <w:tcPr>
            <w:tcW w:w="4819" w:type="dxa"/>
          </w:tcPr>
          <w:p w14:paraId="751BF386"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Participants were intervened by dietary supplements</w:t>
            </w:r>
          </w:p>
        </w:tc>
      </w:tr>
      <w:tr w:rsidR="00BC4096" w:rsidRPr="008916C2" w14:paraId="74037DC1" w14:textId="77777777" w:rsidTr="00C179C1">
        <w:tc>
          <w:tcPr>
            <w:tcW w:w="567" w:type="dxa"/>
          </w:tcPr>
          <w:p w14:paraId="3FB213CD"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17</w:t>
            </w:r>
          </w:p>
        </w:tc>
        <w:tc>
          <w:tcPr>
            <w:tcW w:w="2269" w:type="dxa"/>
          </w:tcPr>
          <w:p w14:paraId="2DAE68E7"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Aparicio-Ugarriza  (2019) (17)</w:t>
            </w:r>
          </w:p>
        </w:tc>
        <w:tc>
          <w:tcPr>
            <w:tcW w:w="7796" w:type="dxa"/>
          </w:tcPr>
          <w:p w14:paraId="16FB400F"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Is vitamin D deficiency related to a higher risk of hospitalization and mortality in veterans with heart failure?</w:t>
            </w:r>
          </w:p>
        </w:tc>
        <w:tc>
          <w:tcPr>
            <w:tcW w:w="4819" w:type="dxa"/>
          </w:tcPr>
          <w:p w14:paraId="3FD546A2"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Mortality was outcome</w:t>
            </w:r>
          </w:p>
        </w:tc>
      </w:tr>
      <w:tr w:rsidR="00BC4096" w:rsidRPr="008916C2" w14:paraId="69BF249F" w14:textId="77777777" w:rsidTr="00C179C1">
        <w:tc>
          <w:tcPr>
            <w:tcW w:w="567" w:type="dxa"/>
          </w:tcPr>
          <w:p w14:paraId="44FC4B33"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18</w:t>
            </w:r>
          </w:p>
        </w:tc>
        <w:tc>
          <w:tcPr>
            <w:tcW w:w="2269" w:type="dxa"/>
          </w:tcPr>
          <w:p w14:paraId="1DDDC78F"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Cai  (2022) (18)</w:t>
            </w:r>
          </w:p>
          <w:p w14:paraId="603D7F3B" w14:textId="77777777" w:rsidR="00BC4096" w:rsidRPr="008916C2" w:rsidRDefault="00BC4096" w:rsidP="00BC4096">
            <w:pPr>
              <w:bidi w:val="0"/>
              <w:rPr>
                <w:rFonts w:asciiTheme="majorBidi" w:hAnsiTheme="majorBidi" w:cstheme="majorBidi"/>
              </w:rPr>
            </w:pPr>
          </w:p>
        </w:tc>
        <w:tc>
          <w:tcPr>
            <w:tcW w:w="7796" w:type="dxa"/>
          </w:tcPr>
          <w:p w14:paraId="3246E2CF"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The effects of vitamin D supplementation on frailty in older adults at risk for falls</w:t>
            </w:r>
          </w:p>
        </w:tc>
        <w:tc>
          <w:tcPr>
            <w:tcW w:w="4819" w:type="dxa"/>
          </w:tcPr>
          <w:p w14:paraId="6477FA03"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Randomized controlled trial</w:t>
            </w:r>
          </w:p>
        </w:tc>
      </w:tr>
      <w:tr w:rsidR="00BC4096" w:rsidRPr="008916C2" w14:paraId="10223C3C" w14:textId="77777777" w:rsidTr="00C179C1">
        <w:tc>
          <w:tcPr>
            <w:tcW w:w="567" w:type="dxa"/>
          </w:tcPr>
          <w:p w14:paraId="64ECD84D"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19</w:t>
            </w:r>
          </w:p>
        </w:tc>
        <w:tc>
          <w:tcPr>
            <w:tcW w:w="2269" w:type="dxa"/>
          </w:tcPr>
          <w:p w14:paraId="6D32FB6E"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Carrazco-Peña (2022) (19)</w:t>
            </w:r>
          </w:p>
        </w:tc>
        <w:tc>
          <w:tcPr>
            <w:tcW w:w="7796" w:type="dxa"/>
          </w:tcPr>
          <w:p w14:paraId="57E495A8"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Components of frailty, sarcopenia and their association with vitamin D deficiency. Cross-sectional, analytical study</w:t>
            </w:r>
          </w:p>
        </w:tc>
        <w:tc>
          <w:tcPr>
            <w:tcW w:w="4819" w:type="dxa"/>
          </w:tcPr>
          <w:p w14:paraId="774E410B"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Reported beta coefficient for the relationship</w:t>
            </w:r>
          </w:p>
        </w:tc>
      </w:tr>
      <w:tr w:rsidR="00BC4096" w:rsidRPr="008916C2" w14:paraId="7D86BFBF" w14:textId="77777777" w:rsidTr="00C179C1">
        <w:tc>
          <w:tcPr>
            <w:tcW w:w="567" w:type="dxa"/>
          </w:tcPr>
          <w:p w14:paraId="0C6D7961"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20</w:t>
            </w:r>
          </w:p>
        </w:tc>
        <w:tc>
          <w:tcPr>
            <w:tcW w:w="2269" w:type="dxa"/>
          </w:tcPr>
          <w:p w14:paraId="5ED63ED3"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Orkaby (2022) (20)</w:t>
            </w:r>
          </w:p>
          <w:p w14:paraId="5C351485" w14:textId="77777777" w:rsidR="00BC4096" w:rsidRPr="008916C2" w:rsidRDefault="00BC4096" w:rsidP="00BC4096">
            <w:pPr>
              <w:bidi w:val="0"/>
              <w:rPr>
                <w:rFonts w:asciiTheme="majorBidi" w:hAnsiTheme="majorBidi" w:cstheme="majorBidi"/>
              </w:rPr>
            </w:pPr>
          </w:p>
        </w:tc>
        <w:tc>
          <w:tcPr>
            <w:tcW w:w="7796" w:type="dxa"/>
          </w:tcPr>
          <w:p w14:paraId="7B61136C"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Effect of Vitamin D3and Omega-3 Fatty Acid Supplementation on Risk of Frailty: An Ancillary Study of a Randomized Clinical Trial</w:t>
            </w:r>
          </w:p>
        </w:tc>
        <w:tc>
          <w:tcPr>
            <w:tcW w:w="4819" w:type="dxa"/>
          </w:tcPr>
          <w:p w14:paraId="5632FFA8"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Participants were intervened by dietary supplements</w:t>
            </w:r>
          </w:p>
        </w:tc>
      </w:tr>
      <w:tr w:rsidR="00BC4096" w:rsidRPr="008916C2" w14:paraId="2795ED8B" w14:textId="77777777" w:rsidTr="00C179C1">
        <w:tc>
          <w:tcPr>
            <w:tcW w:w="567" w:type="dxa"/>
          </w:tcPr>
          <w:p w14:paraId="3576FBEC"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21</w:t>
            </w:r>
          </w:p>
        </w:tc>
        <w:tc>
          <w:tcPr>
            <w:tcW w:w="2269" w:type="dxa"/>
          </w:tcPr>
          <w:p w14:paraId="30AB5830"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Xiong (2022) (21)</w:t>
            </w:r>
          </w:p>
        </w:tc>
        <w:tc>
          <w:tcPr>
            <w:tcW w:w="7796" w:type="dxa"/>
          </w:tcPr>
          <w:p w14:paraId="3862FFE8"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The role of vitamin D in the link between physical frailty and cognitive function: A mediation analysis in community-dwelling Chinese older adults</w:t>
            </w:r>
          </w:p>
        </w:tc>
        <w:tc>
          <w:tcPr>
            <w:tcW w:w="4819" w:type="dxa"/>
          </w:tcPr>
          <w:p w14:paraId="49003249"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Reported beta coefficient for the relationship</w:t>
            </w:r>
          </w:p>
        </w:tc>
      </w:tr>
      <w:tr w:rsidR="00BC4096" w:rsidRPr="008916C2" w14:paraId="636E572C" w14:textId="77777777" w:rsidTr="00C179C1">
        <w:tc>
          <w:tcPr>
            <w:tcW w:w="567" w:type="dxa"/>
          </w:tcPr>
          <w:p w14:paraId="3DC6AADD"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22</w:t>
            </w:r>
          </w:p>
        </w:tc>
        <w:tc>
          <w:tcPr>
            <w:tcW w:w="2269" w:type="dxa"/>
          </w:tcPr>
          <w:p w14:paraId="0995B110"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 xml:space="preserve">Murthy (2018) (22) </w:t>
            </w:r>
          </w:p>
          <w:p w14:paraId="4EB65EF2" w14:textId="77777777" w:rsidR="00BC4096" w:rsidRPr="008916C2" w:rsidRDefault="00BC4096" w:rsidP="00BC4096">
            <w:pPr>
              <w:bidi w:val="0"/>
              <w:rPr>
                <w:rFonts w:asciiTheme="majorBidi" w:hAnsiTheme="majorBidi" w:cstheme="majorBidi"/>
              </w:rPr>
            </w:pPr>
          </w:p>
        </w:tc>
        <w:tc>
          <w:tcPr>
            <w:tcW w:w="7796" w:type="dxa"/>
          </w:tcPr>
          <w:p w14:paraId="4565433B"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Association between High Levels of Parathyroid Hormone and Frailty: The Nepean Osteoporosis and Frailty (NOF) Study</w:t>
            </w:r>
          </w:p>
        </w:tc>
        <w:tc>
          <w:tcPr>
            <w:tcW w:w="4819" w:type="dxa"/>
          </w:tcPr>
          <w:p w14:paraId="58D0F5B0"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No access to the article.</w:t>
            </w:r>
          </w:p>
        </w:tc>
      </w:tr>
      <w:tr w:rsidR="00BC4096" w:rsidRPr="008916C2" w14:paraId="073990C8" w14:textId="77777777" w:rsidTr="00C179C1">
        <w:tc>
          <w:tcPr>
            <w:tcW w:w="567" w:type="dxa"/>
          </w:tcPr>
          <w:p w14:paraId="1B1324F4"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23</w:t>
            </w:r>
          </w:p>
        </w:tc>
        <w:tc>
          <w:tcPr>
            <w:tcW w:w="2269" w:type="dxa"/>
          </w:tcPr>
          <w:p w14:paraId="487D62AE"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Smit (2012) (23)</w:t>
            </w:r>
          </w:p>
        </w:tc>
        <w:tc>
          <w:tcPr>
            <w:tcW w:w="7796" w:type="dxa"/>
          </w:tcPr>
          <w:p w14:paraId="0D3F9657"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 xml:space="preserve">The effect of vitamin D and frailty on mortality among non-institutionalized US older adults. </w:t>
            </w:r>
          </w:p>
        </w:tc>
        <w:tc>
          <w:tcPr>
            <w:tcW w:w="4819" w:type="dxa"/>
          </w:tcPr>
          <w:p w14:paraId="5B773503" w14:textId="77777777" w:rsidR="00BC4096" w:rsidRPr="008916C2" w:rsidRDefault="00792B14" w:rsidP="00BC4096">
            <w:pPr>
              <w:bidi w:val="0"/>
              <w:rPr>
                <w:rFonts w:asciiTheme="majorBidi" w:eastAsia="Calibri" w:hAnsiTheme="majorBidi" w:cstheme="majorBidi"/>
              </w:rPr>
            </w:pPr>
            <w:r w:rsidRPr="008916C2">
              <w:rPr>
                <w:rFonts w:asciiTheme="majorBidi" w:eastAsia="Calibri" w:hAnsiTheme="majorBidi" w:cstheme="majorBidi"/>
              </w:rPr>
              <w:t>Overlapping of population with another study</w:t>
            </w:r>
          </w:p>
        </w:tc>
      </w:tr>
      <w:tr w:rsidR="00BC4096" w:rsidRPr="008916C2" w14:paraId="76D110C8" w14:textId="77777777" w:rsidTr="00C179C1">
        <w:tc>
          <w:tcPr>
            <w:tcW w:w="567" w:type="dxa"/>
          </w:tcPr>
          <w:p w14:paraId="4673F038"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24</w:t>
            </w:r>
          </w:p>
        </w:tc>
        <w:tc>
          <w:tcPr>
            <w:tcW w:w="2269" w:type="dxa"/>
          </w:tcPr>
          <w:p w14:paraId="68D36A96"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Pabst (2015) (24)</w:t>
            </w:r>
          </w:p>
        </w:tc>
        <w:tc>
          <w:tcPr>
            <w:tcW w:w="7796" w:type="dxa"/>
          </w:tcPr>
          <w:p w14:paraId="11ACD8F5"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 xml:space="preserve">Association of low 25-hydroxyvitamin D levels with the frailty syndrome in an aged population: results from the KORA-age Augsburg study. </w:t>
            </w:r>
          </w:p>
        </w:tc>
        <w:tc>
          <w:tcPr>
            <w:tcW w:w="4819" w:type="dxa"/>
          </w:tcPr>
          <w:p w14:paraId="2F0BE807" w14:textId="77777777" w:rsidR="00BC4096" w:rsidRPr="008916C2" w:rsidRDefault="00792B14" w:rsidP="00BC4096">
            <w:pPr>
              <w:bidi w:val="0"/>
              <w:rPr>
                <w:rFonts w:asciiTheme="majorBidi" w:eastAsia="Calibri" w:hAnsiTheme="majorBidi" w:cstheme="majorBidi"/>
              </w:rPr>
            </w:pPr>
            <w:r w:rsidRPr="008916C2">
              <w:rPr>
                <w:rFonts w:asciiTheme="majorBidi" w:eastAsia="Calibri" w:hAnsiTheme="majorBidi" w:cstheme="majorBidi"/>
              </w:rPr>
              <w:t>Overlapping of population with another study</w:t>
            </w:r>
          </w:p>
        </w:tc>
      </w:tr>
      <w:tr w:rsidR="00BC4096" w:rsidRPr="008916C2" w14:paraId="3138B1A2" w14:textId="77777777" w:rsidTr="00C179C1">
        <w:tc>
          <w:tcPr>
            <w:tcW w:w="567" w:type="dxa"/>
          </w:tcPr>
          <w:p w14:paraId="4D7DCA5B"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25</w:t>
            </w:r>
          </w:p>
        </w:tc>
        <w:tc>
          <w:tcPr>
            <w:tcW w:w="2269" w:type="dxa"/>
          </w:tcPr>
          <w:p w14:paraId="6DC8EF14"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Sambrook (2002) (25)</w:t>
            </w:r>
          </w:p>
        </w:tc>
        <w:tc>
          <w:tcPr>
            <w:tcW w:w="7796" w:type="dxa"/>
          </w:tcPr>
          <w:p w14:paraId="5088D34B"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Vitamin D deficiency is common in frail institutionalised older people in northern Sydney</w:t>
            </w:r>
          </w:p>
        </w:tc>
        <w:tc>
          <w:tcPr>
            <w:tcW w:w="4819" w:type="dxa"/>
          </w:tcPr>
          <w:p w14:paraId="2C1EB5FF"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Letter to editor</w:t>
            </w:r>
          </w:p>
        </w:tc>
      </w:tr>
      <w:tr w:rsidR="00BC4096" w:rsidRPr="008916C2" w14:paraId="51F267B6" w14:textId="77777777" w:rsidTr="00C179C1">
        <w:tc>
          <w:tcPr>
            <w:tcW w:w="567" w:type="dxa"/>
          </w:tcPr>
          <w:p w14:paraId="67035DF4"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26</w:t>
            </w:r>
          </w:p>
        </w:tc>
        <w:tc>
          <w:tcPr>
            <w:tcW w:w="2269" w:type="dxa"/>
          </w:tcPr>
          <w:p w14:paraId="07384C23"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Lippi (2015) (26)</w:t>
            </w:r>
          </w:p>
        </w:tc>
        <w:tc>
          <w:tcPr>
            <w:tcW w:w="7796" w:type="dxa"/>
          </w:tcPr>
          <w:p w14:paraId="15CD7CCF"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Laboratory biomarkers and frailty: Presentation of the FRAILOMIC initiative</w:t>
            </w:r>
          </w:p>
        </w:tc>
        <w:tc>
          <w:tcPr>
            <w:tcW w:w="4819" w:type="dxa"/>
          </w:tcPr>
          <w:p w14:paraId="0739DD7B"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Letter to editor</w:t>
            </w:r>
          </w:p>
        </w:tc>
      </w:tr>
      <w:tr w:rsidR="00BC4096" w:rsidRPr="008916C2" w14:paraId="7DF94056" w14:textId="77777777" w:rsidTr="00C179C1">
        <w:tc>
          <w:tcPr>
            <w:tcW w:w="567" w:type="dxa"/>
          </w:tcPr>
          <w:p w14:paraId="5B819B84"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27</w:t>
            </w:r>
          </w:p>
        </w:tc>
        <w:tc>
          <w:tcPr>
            <w:tcW w:w="2269" w:type="dxa"/>
          </w:tcPr>
          <w:p w14:paraId="1637EE19"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Bertsch (2008) (27)</w:t>
            </w:r>
          </w:p>
        </w:tc>
        <w:tc>
          <w:tcPr>
            <w:tcW w:w="7796" w:type="dxa"/>
          </w:tcPr>
          <w:p w14:paraId="7AB5F212"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Laboratory tests in the elderly and their relationship with frailty</w:t>
            </w:r>
          </w:p>
        </w:tc>
        <w:tc>
          <w:tcPr>
            <w:tcW w:w="4819" w:type="dxa"/>
          </w:tcPr>
          <w:p w14:paraId="31149733"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A review study.</w:t>
            </w:r>
          </w:p>
        </w:tc>
      </w:tr>
      <w:tr w:rsidR="00BC4096" w:rsidRPr="008916C2" w14:paraId="41532E05" w14:textId="77777777" w:rsidTr="00C179C1">
        <w:tc>
          <w:tcPr>
            <w:tcW w:w="567" w:type="dxa"/>
          </w:tcPr>
          <w:p w14:paraId="5E262803"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28</w:t>
            </w:r>
          </w:p>
        </w:tc>
        <w:tc>
          <w:tcPr>
            <w:tcW w:w="2269" w:type="dxa"/>
          </w:tcPr>
          <w:p w14:paraId="78D9F632"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Artaza-Artabe (2016) (28)</w:t>
            </w:r>
          </w:p>
        </w:tc>
        <w:tc>
          <w:tcPr>
            <w:tcW w:w="7796" w:type="dxa"/>
          </w:tcPr>
          <w:p w14:paraId="5CC6C6B6"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 xml:space="preserve">The relationship between nutrition and frailty: Effects of protein intake, nutritional supplementation, vitamin D and exercise on muscle metabolism in the elderly. A systematic review </w:t>
            </w:r>
          </w:p>
        </w:tc>
        <w:tc>
          <w:tcPr>
            <w:tcW w:w="4819" w:type="dxa"/>
          </w:tcPr>
          <w:p w14:paraId="50C21958"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A systematic review study.</w:t>
            </w:r>
          </w:p>
        </w:tc>
      </w:tr>
      <w:tr w:rsidR="00BC4096" w:rsidRPr="008916C2" w14:paraId="4ABB6C85" w14:textId="77777777" w:rsidTr="008629A1">
        <w:trPr>
          <w:trHeight w:val="87"/>
        </w:trPr>
        <w:tc>
          <w:tcPr>
            <w:tcW w:w="567" w:type="dxa"/>
          </w:tcPr>
          <w:p w14:paraId="2F19429F"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29</w:t>
            </w:r>
          </w:p>
        </w:tc>
        <w:tc>
          <w:tcPr>
            <w:tcW w:w="2269" w:type="dxa"/>
          </w:tcPr>
          <w:p w14:paraId="771D8834"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Demircioglu (2018) (29)</w:t>
            </w:r>
          </w:p>
        </w:tc>
        <w:tc>
          <w:tcPr>
            <w:tcW w:w="7796" w:type="dxa"/>
          </w:tcPr>
          <w:p w14:paraId="42FF26CE"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The Association of Vitamin D Levels and the Frailty Phenotype Among Non-geriatric Dialysis Patients: A Cross-sectional Study</w:t>
            </w:r>
          </w:p>
        </w:tc>
        <w:tc>
          <w:tcPr>
            <w:tcW w:w="4819" w:type="dxa"/>
          </w:tcPr>
          <w:p w14:paraId="518086AD"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Reported mean±SD</w:t>
            </w:r>
          </w:p>
        </w:tc>
      </w:tr>
      <w:tr w:rsidR="00BC4096" w:rsidRPr="008916C2" w14:paraId="2CD1067D" w14:textId="77777777" w:rsidTr="00C179C1">
        <w:tc>
          <w:tcPr>
            <w:tcW w:w="567" w:type="dxa"/>
          </w:tcPr>
          <w:p w14:paraId="133F03B5"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30</w:t>
            </w:r>
          </w:p>
        </w:tc>
        <w:tc>
          <w:tcPr>
            <w:tcW w:w="2269" w:type="dxa"/>
          </w:tcPr>
          <w:p w14:paraId="737E04FA"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Van den Berg (2021) (30)</w:t>
            </w:r>
          </w:p>
          <w:p w14:paraId="4491DCF0" w14:textId="77777777" w:rsidR="00BC4096" w:rsidRPr="008916C2" w:rsidRDefault="00BC4096" w:rsidP="00BC4096">
            <w:pPr>
              <w:bidi w:val="0"/>
              <w:rPr>
                <w:rFonts w:asciiTheme="majorBidi" w:hAnsiTheme="majorBidi" w:cstheme="majorBidi"/>
              </w:rPr>
            </w:pPr>
          </w:p>
        </w:tc>
        <w:tc>
          <w:tcPr>
            <w:tcW w:w="7796" w:type="dxa"/>
          </w:tcPr>
          <w:p w14:paraId="2AD5AF3E"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A prospective study into change of vitamin D levels, depression and frailty among depressed older persons</w:t>
            </w:r>
          </w:p>
        </w:tc>
        <w:tc>
          <w:tcPr>
            <w:tcW w:w="4819" w:type="dxa"/>
          </w:tcPr>
          <w:p w14:paraId="62B09F02"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Random coefficient mixed-effect models were used to study the associations between change in vitamin D levels and course of frailty</w:t>
            </w:r>
          </w:p>
        </w:tc>
      </w:tr>
      <w:tr w:rsidR="00BC4096" w:rsidRPr="008916C2" w14:paraId="02098E22" w14:textId="77777777" w:rsidTr="00C179C1">
        <w:tc>
          <w:tcPr>
            <w:tcW w:w="567" w:type="dxa"/>
          </w:tcPr>
          <w:p w14:paraId="69F2BF6D"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31</w:t>
            </w:r>
          </w:p>
        </w:tc>
        <w:tc>
          <w:tcPr>
            <w:tcW w:w="2269" w:type="dxa"/>
          </w:tcPr>
          <w:p w14:paraId="20A6A685"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Badrasawi (2019) (31)</w:t>
            </w:r>
          </w:p>
        </w:tc>
        <w:tc>
          <w:tcPr>
            <w:tcW w:w="7796" w:type="dxa"/>
          </w:tcPr>
          <w:p w14:paraId="344F01B3"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Blood Inflammatory Markers, Anabolic Hormone, Vitamin D and L-Carnitine Status According to Frailty Status among Older Adults</w:t>
            </w:r>
          </w:p>
        </w:tc>
        <w:tc>
          <w:tcPr>
            <w:tcW w:w="4819" w:type="dxa"/>
          </w:tcPr>
          <w:p w14:paraId="56011182"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Reported mean±SD</w:t>
            </w:r>
          </w:p>
        </w:tc>
      </w:tr>
      <w:tr w:rsidR="00BC4096" w:rsidRPr="008916C2" w14:paraId="3AFCEB1D" w14:textId="77777777" w:rsidTr="00C179C1">
        <w:tc>
          <w:tcPr>
            <w:tcW w:w="567" w:type="dxa"/>
          </w:tcPr>
          <w:p w14:paraId="439E6307"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32</w:t>
            </w:r>
          </w:p>
        </w:tc>
        <w:tc>
          <w:tcPr>
            <w:tcW w:w="2269" w:type="dxa"/>
          </w:tcPr>
          <w:p w14:paraId="2E49D19F" w14:textId="77777777" w:rsidR="00BC4096" w:rsidRPr="008916C2" w:rsidRDefault="00BC4096" w:rsidP="00BC4096">
            <w:pPr>
              <w:bidi w:val="0"/>
              <w:rPr>
                <w:rFonts w:asciiTheme="majorBidi" w:hAnsiTheme="majorBidi" w:cstheme="majorBidi"/>
              </w:rPr>
            </w:pPr>
            <w:r w:rsidRPr="008916C2">
              <w:rPr>
                <w:rFonts w:asciiTheme="majorBidi" w:hAnsiTheme="majorBidi" w:cstheme="majorBidi"/>
              </w:rPr>
              <w:t>Navarro-Martínez (2016) (32)</w:t>
            </w:r>
          </w:p>
        </w:tc>
        <w:tc>
          <w:tcPr>
            <w:tcW w:w="7796" w:type="dxa"/>
          </w:tcPr>
          <w:p w14:paraId="60FB9594" w14:textId="77777777" w:rsidR="00BC4096" w:rsidRPr="008916C2" w:rsidRDefault="00BC4096" w:rsidP="00BC4096">
            <w:pPr>
              <w:bidi w:val="0"/>
              <w:rPr>
                <w:rFonts w:asciiTheme="majorBidi" w:hAnsiTheme="majorBidi" w:cstheme="majorBidi"/>
              </w:rPr>
            </w:pPr>
            <w:r w:rsidRPr="008916C2">
              <w:rPr>
                <w:rFonts w:asciiTheme="majorBidi" w:eastAsia="Calibri" w:hAnsiTheme="majorBidi" w:cstheme="majorBidi"/>
              </w:rPr>
              <w:t>Serum vitamin D and functional impairment in octogenarian women</w:t>
            </w:r>
          </w:p>
        </w:tc>
        <w:tc>
          <w:tcPr>
            <w:tcW w:w="4819" w:type="dxa"/>
          </w:tcPr>
          <w:p w14:paraId="2EA64049" w14:textId="77777777" w:rsidR="00BC4096" w:rsidRPr="008916C2" w:rsidRDefault="00BC4096" w:rsidP="00BC4096">
            <w:pPr>
              <w:bidi w:val="0"/>
              <w:rPr>
                <w:rFonts w:asciiTheme="majorBidi" w:eastAsia="Calibri" w:hAnsiTheme="majorBidi" w:cstheme="majorBidi"/>
              </w:rPr>
            </w:pPr>
            <w:r w:rsidRPr="008916C2">
              <w:rPr>
                <w:rFonts w:asciiTheme="majorBidi" w:eastAsia="Calibri" w:hAnsiTheme="majorBidi" w:cstheme="majorBidi"/>
              </w:rPr>
              <w:t>Reported mean±SD</w:t>
            </w:r>
          </w:p>
        </w:tc>
      </w:tr>
    </w:tbl>
    <w:p w14:paraId="13D49307" w14:textId="77777777" w:rsidR="00736F2E" w:rsidRPr="008916C2" w:rsidRDefault="00736F2E" w:rsidP="00424D96">
      <w:pPr>
        <w:bidi w:val="0"/>
      </w:pPr>
    </w:p>
    <w:p w14:paraId="5D191EB3" w14:textId="77777777" w:rsidR="00792B14" w:rsidRPr="008916C2" w:rsidRDefault="00792B14" w:rsidP="00792B14">
      <w:pPr>
        <w:bidi w:val="0"/>
        <w:rPr>
          <w:rFonts w:asciiTheme="majorBidi" w:hAnsiTheme="majorBidi" w:cstheme="majorBidi"/>
          <w:b/>
          <w:bCs/>
        </w:rPr>
      </w:pPr>
      <w:r w:rsidRPr="008916C2">
        <w:rPr>
          <w:rFonts w:asciiTheme="majorBidi" w:hAnsiTheme="majorBidi" w:cstheme="majorBidi"/>
          <w:b/>
          <w:bCs/>
        </w:rPr>
        <w:t>REFERENCES</w:t>
      </w:r>
    </w:p>
    <w:p w14:paraId="27BBAAD8" w14:textId="77777777" w:rsidR="00792B14" w:rsidRPr="008916C2" w:rsidRDefault="00792B14" w:rsidP="00792B14">
      <w:pPr>
        <w:bidi w:val="0"/>
      </w:pPr>
      <w:r w:rsidRPr="008916C2">
        <w:t>1.</w:t>
      </w:r>
      <w:r w:rsidRPr="008916C2">
        <w:tab/>
        <w:t>Pilleron S, Weber D, Pérès K, Colpo M, Gomez-Cabrero D, Stuetz W, et al. Patterns of circulating fat-soluble vitamins and carotenoids and risk of frailty in four European cohorts of older adults. Eur J Nutr. 2019;58(1):379-89.</w:t>
      </w:r>
    </w:p>
    <w:p w14:paraId="6595F6EF" w14:textId="77777777" w:rsidR="00792B14" w:rsidRPr="008916C2" w:rsidRDefault="00792B14" w:rsidP="00792B14">
      <w:pPr>
        <w:bidi w:val="0"/>
      </w:pPr>
      <w:r w:rsidRPr="008916C2">
        <w:t>2.</w:t>
      </w:r>
      <w:r w:rsidRPr="008916C2">
        <w:tab/>
        <w:t>Swiecicka A, Lunt M, Ahern T, O'Neill TW, Bartfai G, Casanueva FF, et al. Nonandrogenic Anabolic Hormones Predict Risk of Frailty: European Male Ageing Study Prospective Data. J Clin Endocrinol Metab. 2017;102(8):2798-806.</w:t>
      </w:r>
    </w:p>
    <w:p w14:paraId="452F2031" w14:textId="77777777" w:rsidR="00792B14" w:rsidRPr="008916C2" w:rsidRDefault="00792B14" w:rsidP="00792B14">
      <w:pPr>
        <w:bidi w:val="0"/>
      </w:pPr>
      <w:r w:rsidRPr="008916C2">
        <w:t>3.</w:t>
      </w:r>
      <w:r w:rsidRPr="008916C2">
        <w:tab/>
        <w:t>Sanchis J, Núñez E, Ruiz V, Bonanad C, Fernández J, Cauli O, et al. Usefulness of Clinical Data and Biomarkers for the Identification of Frailty After Acute Coronary Syndromes. Can J Cardiol. 2015;31(12):1462-8.</w:t>
      </w:r>
    </w:p>
    <w:p w14:paraId="3BF2CAD2" w14:textId="77777777" w:rsidR="00792B14" w:rsidRPr="008916C2" w:rsidRDefault="00792B14" w:rsidP="00792B14">
      <w:pPr>
        <w:bidi w:val="0"/>
      </w:pPr>
      <w:r w:rsidRPr="008916C2">
        <w:t>4.</w:t>
      </w:r>
      <w:r w:rsidRPr="008916C2">
        <w:tab/>
        <w:t>Smit E, Crespo CJ, Michael Y, Ramirez-Marrero FA, Brodowicz GR, Bartlett S, et al. The effect of vitamin D and frailty on mortality among non-institutionalized US older adults. Eur J Clin Nutr. 2012;66(9):1024-8.</w:t>
      </w:r>
    </w:p>
    <w:p w14:paraId="6C5BBE04" w14:textId="77777777" w:rsidR="00792B14" w:rsidRPr="008916C2" w:rsidRDefault="00792B14" w:rsidP="00792B14">
      <w:pPr>
        <w:bidi w:val="0"/>
      </w:pPr>
      <w:r w:rsidRPr="008916C2">
        <w:t>5.</w:t>
      </w:r>
      <w:r w:rsidRPr="008916C2">
        <w:tab/>
        <w:t>Semba RD, Bartali B, Zhou J, Blaum C, Ko CW, Fried LP. Low serum micronutrient concentrations predict frailty among older women living in the community. J Gerontol A Biol Sci Med Sci. 2006;61(6):594-9.</w:t>
      </w:r>
    </w:p>
    <w:p w14:paraId="16959698" w14:textId="77777777" w:rsidR="00792B14" w:rsidRPr="008916C2" w:rsidRDefault="00792B14" w:rsidP="00792B14">
      <w:pPr>
        <w:bidi w:val="0"/>
      </w:pPr>
      <w:r w:rsidRPr="008916C2">
        <w:t>6.</w:t>
      </w:r>
      <w:r w:rsidRPr="008916C2">
        <w:tab/>
        <w:t>Shi Z, Shi K, Zhang Z, Lin J, Fang Y. Mediating Effect of Physical Activity in the Association between Low 25-Hydroxyvitamin D and Frailty Trajectories: The English Longitudinal Study of Ageing. Nutrients. 2022;14(11).</w:t>
      </w:r>
    </w:p>
    <w:p w14:paraId="03BEF181" w14:textId="77777777" w:rsidR="00792B14" w:rsidRPr="008916C2" w:rsidRDefault="00792B14" w:rsidP="00792B14">
      <w:pPr>
        <w:bidi w:val="0"/>
      </w:pPr>
      <w:r w:rsidRPr="008916C2">
        <w:t>7.</w:t>
      </w:r>
      <w:r w:rsidRPr="008916C2">
        <w:tab/>
        <w:t>Angioni D, Lu WH, Sourdet S, Macaron T, Takeda C, Guyonnet S, et al. Biomarkers of Age-Related Frailty and Frailty Related to Diseases: An Exploratory, Cross-Sectional Analysis from the MAPT Study. J Nutr Health Aging. 2022;26(6):545-51.</w:t>
      </w:r>
    </w:p>
    <w:p w14:paraId="4F43A2C0" w14:textId="77777777" w:rsidR="00792B14" w:rsidRPr="008916C2" w:rsidRDefault="00792B14" w:rsidP="00792B14">
      <w:pPr>
        <w:bidi w:val="0"/>
        <w:rPr>
          <w:rtl/>
        </w:rPr>
      </w:pPr>
      <w:r w:rsidRPr="008916C2">
        <w:t>8.</w:t>
      </w:r>
      <w:r w:rsidRPr="008916C2">
        <w:tab/>
        <w:t>Gomez-Cabrero D, Walter S, Abugessaisa I, Miñambres-Herraiz R, Palomares LB, Butcher L, et al. A robust machine learning framework to identify signatures for frailty: a nested case-control study in four aging European cohorts. Geroscience. 2021;43(3):1317-29.</w:t>
      </w:r>
    </w:p>
    <w:p w14:paraId="70C78520" w14:textId="77777777" w:rsidR="00792B14" w:rsidRPr="008916C2" w:rsidRDefault="00792B14" w:rsidP="00792B14">
      <w:pPr>
        <w:bidi w:val="0"/>
      </w:pPr>
      <w:r w:rsidRPr="008916C2">
        <w:t>9.</w:t>
      </w:r>
      <w:r w:rsidRPr="008916C2">
        <w:tab/>
        <w:t>Vigoré M GN, Vaninetti R, Borri R, Maestri R, Conti S, et al. . Frailty in older patients with chronic obstructive pulmonary disease (COPD) undergoing a multidisciplinary rehabilitation. Minerva Respir Med 2024;63:101-9. 2024.</w:t>
      </w:r>
    </w:p>
    <w:p w14:paraId="314B139D" w14:textId="77777777" w:rsidR="00792B14" w:rsidRPr="008916C2" w:rsidRDefault="00792B14" w:rsidP="00792B14">
      <w:pPr>
        <w:bidi w:val="0"/>
      </w:pPr>
      <w:r w:rsidRPr="008916C2">
        <w:t>10.</w:t>
      </w:r>
      <w:r w:rsidRPr="008916C2">
        <w:tab/>
        <w:t>Wen B, Wei S, Huang D, Zhang C, Liu S, Wu X. Genetic prediction of serum micronutrient levels and the risk of frailty: Evidence from a Mendelian randomization study. Medicine (Baltimore). 2024;103(51):e40874.</w:t>
      </w:r>
    </w:p>
    <w:p w14:paraId="283C3299" w14:textId="77777777" w:rsidR="00792B14" w:rsidRPr="008916C2" w:rsidRDefault="00792B14" w:rsidP="00792B14">
      <w:pPr>
        <w:bidi w:val="0"/>
      </w:pPr>
      <w:r w:rsidRPr="008916C2">
        <w:t>11.</w:t>
      </w:r>
      <w:r w:rsidRPr="008916C2">
        <w:tab/>
        <w:t>Fried LP, Xue Q-L, Cappola AR, Ferrucci L, Chaves P, Varadhan R, et al. Nonlinear Multisystem Physiological Dysregulation Associated With Frailty in Older Women: Implications for Etiology and Treatment. The Journals of Gerontology: Series A. 2009;64A(10):1049-57.</w:t>
      </w:r>
    </w:p>
    <w:p w14:paraId="286DD2C7" w14:textId="77777777" w:rsidR="00792B14" w:rsidRPr="008916C2" w:rsidRDefault="00792B14" w:rsidP="00792B14">
      <w:pPr>
        <w:bidi w:val="0"/>
      </w:pPr>
      <w:r w:rsidRPr="008916C2">
        <w:t>12.</w:t>
      </w:r>
      <w:r w:rsidRPr="008916C2">
        <w:tab/>
        <w:t>Blodgett JM, Pérez-Zepeda MU, Godin J, Kehler DS, Andrew MK, Kirkland S, et al. Prognostic accuracy of 70 individual frailty biomarkers in predicting mortality in the Canadian Longitudinal Study on Aging. Geroscience. 2024;46(3):3061-9.</w:t>
      </w:r>
    </w:p>
    <w:p w14:paraId="183BE2CE" w14:textId="77777777" w:rsidR="00792B14" w:rsidRPr="008916C2" w:rsidRDefault="00792B14" w:rsidP="00792B14">
      <w:pPr>
        <w:bidi w:val="0"/>
      </w:pPr>
      <w:r w:rsidRPr="008916C2">
        <w:t>13.</w:t>
      </w:r>
      <w:r w:rsidRPr="008916C2">
        <w:tab/>
        <w:t>Balboa-Castillo T, Struijk EA, Lopez-Garcia E, Banegas JR, Rodríguez-Artalejo F, Guallar-Castillon P. Low vitamin intake is associated with risk of frailty in older adults. Age Ageing. 2018;47(6):872-9.</w:t>
      </w:r>
    </w:p>
    <w:p w14:paraId="4C78A964" w14:textId="77777777" w:rsidR="00792B14" w:rsidRPr="008916C2" w:rsidRDefault="00792B14" w:rsidP="00792B14">
      <w:pPr>
        <w:bidi w:val="0"/>
      </w:pPr>
      <w:r w:rsidRPr="008916C2">
        <w:t>14.</w:t>
      </w:r>
      <w:r w:rsidRPr="008916C2">
        <w:tab/>
        <w:t>Bolzetta F, Stubbs B, Noale M, Vaona A, Demurtas J, Celotto S, et al. Low-dose vitamin D supplementation and incident frailty in older people: An eight year longitudinal study. Exp Gerontol. 2018;101:1-6.</w:t>
      </w:r>
    </w:p>
    <w:p w14:paraId="4C072FC7" w14:textId="77777777" w:rsidR="00792B14" w:rsidRPr="008916C2" w:rsidRDefault="00792B14" w:rsidP="00792B14">
      <w:pPr>
        <w:bidi w:val="0"/>
      </w:pPr>
      <w:r w:rsidRPr="008916C2">
        <w:t>15.</w:t>
      </w:r>
      <w:r w:rsidRPr="008916C2">
        <w:tab/>
        <w:t>Buchebner D, Bartosch P, Malmgren L, McGuigan FE, Gerdhem P, Akesson KE. Association Between Vitamin D, Frailty, and Progression of Frailty in Community-Dwelling Older Women. J Clin Endocrinol Metab. 2019;104(12):6139-47.</w:t>
      </w:r>
    </w:p>
    <w:p w14:paraId="4AC0C5F3" w14:textId="77777777" w:rsidR="00792B14" w:rsidRPr="008916C2" w:rsidRDefault="00792B14" w:rsidP="00792B14">
      <w:pPr>
        <w:bidi w:val="0"/>
      </w:pPr>
      <w:r w:rsidRPr="008916C2">
        <w:t>16.</w:t>
      </w:r>
      <w:r w:rsidRPr="008916C2">
        <w:tab/>
        <w:t>Ruggiero C, Baroni M, Bini V, Brozzetti A, Parretti L, Zengarini E, et al. Effects of Weekly Supplementation of Cholecalciferol and Calcifediol Among the Oldest-Old People: Findings From a Randomized Pragmatic Clinical Trial. Nutrients. 2019;11(11).</w:t>
      </w:r>
    </w:p>
    <w:p w14:paraId="6076E141" w14:textId="77777777" w:rsidR="00792B14" w:rsidRPr="008916C2" w:rsidRDefault="00792B14" w:rsidP="00792B14">
      <w:pPr>
        <w:bidi w:val="0"/>
      </w:pPr>
      <w:r w:rsidRPr="008916C2">
        <w:t>17.</w:t>
      </w:r>
      <w:r w:rsidRPr="008916C2">
        <w:tab/>
        <w:t>Aparicio-Ugarriza R, Salguero D, Mohammed YN, Ferri-Guerra J, Baskaran DJ, Mirabbasi SA, et al. Is vitamin D deficiency related to a higher risk of hospitalization and mortality in veterans with heart failure? Maturitas. 2020;132:30-4.</w:t>
      </w:r>
    </w:p>
    <w:p w14:paraId="4BAC5C9E" w14:textId="77777777" w:rsidR="00792B14" w:rsidRPr="008916C2" w:rsidRDefault="00792B14" w:rsidP="00792B14">
      <w:pPr>
        <w:bidi w:val="0"/>
      </w:pPr>
      <w:r w:rsidRPr="008916C2">
        <w:t>18.</w:t>
      </w:r>
      <w:r w:rsidRPr="008916C2">
        <w:tab/>
        <w:t>Cai Y, Wanigatunga AA, Mitchell CM, Urbanek JK, Miller ER, Juraschek SP, et al. The effects of vitamin D supplementation on frailty in older adults at risk for falls. BMC Geriatrics. 2022;22(1):312.</w:t>
      </w:r>
    </w:p>
    <w:p w14:paraId="2E6A09B8" w14:textId="77777777" w:rsidR="00792B14" w:rsidRPr="008916C2" w:rsidRDefault="00792B14" w:rsidP="00792B14">
      <w:pPr>
        <w:bidi w:val="0"/>
      </w:pPr>
      <w:r w:rsidRPr="008916C2">
        <w:t>19.</w:t>
      </w:r>
      <w:r w:rsidRPr="008916C2">
        <w:tab/>
        <w:t>Carrazco-Peña KB, Farías-Moreno K, Toro-Equihua MD, Aguilar-Mancilla ZC, Trujillo-Magallón M, Solórzano-Rodríguez MA, et al. Components of frailty, sarcopenia and their association with vitamin D deficiency. Cross-sectional, analytical study. Gac Med Mex. 2022;158(6):343-8.</w:t>
      </w:r>
    </w:p>
    <w:p w14:paraId="35039609" w14:textId="77777777" w:rsidR="00792B14" w:rsidRPr="008916C2" w:rsidRDefault="00792B14" w:rsidP="00792B14">
      <w:pPr>
        <w:bidi w:val="0"/>
      </w:pPr>
      <w:r w:rsidRPr="008916C2">
        <w:t>20.</w:t>
      </w:r>
      <w:r w:rsidRPr="008916C2">
        <w:tab/>
        <w:t>Orkaby AR, Dushkes R, Ward R, Djousse L, Buring JE, Lee IM, et al. Effect of Vitamin D3 and Omega-3 Fatty Acid Supplementation on Risk of Frailty: An Ancillary Study of a Randomized Clinical Trial. JAMA Netw Open. 2022;5(9):e2231206.</w:t>
      </w:r>
    </w:p>
    <w:p w14:paraId="659FA7F7" w14:textId="77777777" w:rsidR="00792B14" w:rsidRPr="008916C2" w:rsidRDefault="00792B14" w:rsidP="00792B14">
      <w:pPr>
        <w:bidi w:val="0"/>
      </w:pPr>
      <w:r w:rsidRPr="008916C2">
        <w:t>21.</w:t>
      </w:r>
      <w:r w:rsidRPr="008916C2">
        <w:tab/>
        <w:t>Xiong J, Xue WX. The role of vitamin D in the link between physical frailty and cognitive function: A mediation analysis in community-dwelling Chinese older adults. Front Nutr. 2022;9:922673.</w:t>
      </w:r>
    </w:p>
    <w:p w14:paraId="38FBA09F" w14:textId="77777777" w:rsidR="00792B14" w:rsidRPr="008916C2" w:rsidRDefault="00792B14" w:rsidP="00792B14">
      <w:pPr>
        <w:bidi w:val="0"/>
      </w:pPr>
      <w:r w:rsidRPr="008916C2">
        <w:t>22.</w:t>
      </w:r>
      <w:r w:rsidRPr="008916C2">
        <w:tab/>
        <w:t>Murthy L, Dreyer P, Suriyaarachchi P, Gomez F, Curcio CL, Boersma D, et al. Association between High Levels of Parathyroid Hormone and Frailty: The Nepean Osteoporosis and Frailty (NOF) Study. J Frailty Aging. 2018;7(4):253-7.</w:t>
      </w:r>
    </w:p>
    <w:p w14:paraId="284DD133" w14:textId="77777777" w:rsidR="00792B14" w:rsidRPr="008916C2" w:rsidRDefault="00792B14" w:rsidP="00792B14">
      <w:pPr>
        <w:bidi w:val="0"/>
      </w:pPr>
      <w:r w:rsidRPr="008916C2">
        <w:t>23.</w:t>
      </w:r>
      <w:r w:rsidRPr="008916C2">
        <w:tab/>
        <w:t>Smit E, Crespo CJ, Michael Y, Ramirez-Marrero FA, Brodowicz GR, Bartlett S, et al. The effect of vitamin D and frailty on mortality among non-institutionalized US older adults. Eur J Clin Nutr. 2012;66(9):1024-8.</w:t>
      </w:r>
    </w:p>
    <w:p w14:paraId="4C5F5869" w14:textId="77777777" w:rsidR="00792B14" w:rsidRPr="008916C2" w:rsidRDefault="00792B14" w:rsidP="00792B14">
      <w:pPr>
        <w:bidi w:val="0"/>
      </w:pPr>
      <w:r w:rsidRPr="008916C2">
        <w:t>24.</w:t>
      </w:r>
      <w:r w:rsidRPr="008916C2">
        <w:tab/>
        <w:t>Pabst G, Zimmermann AK, Huth C, Koenig W, Ludwig T, Zierer A, et al. Association of low 25-hydroxyvitamin D levels with the frailty syndrome in an aged population: results from the KORA-age Augsburg study. J Nutr Health Aging. 2015;19(3):258-64.</w:t>
      </w:r>
    </w:p>
    <w:p w14:paraId="00CF878B" w14:textId="77777777" w:rsidR="00792B14" w:rsidRPr="008916C2" w:rsidRDefault="00792B14" w:rsidP="00792B14">
      <w:pPr>
        <w:bidi w:val="0"/>
      </w:pPr>
      <w:r w:rsidRPr="008916C2">
        <w:t>25.</w:t>
      </w:r>
      <w:r w:rsidRPr="008916C2">
        <w:tab/>
        <w:t>Sambrook PN, Cameron ID, Cumming RG, Lord SR, Schwarz JM, Trube A, et al. Vitamin D deficiency is common in frail institutionalised older people in northern Sydney. Med J Aust. 2002;176(11):560.</w:t>
      </w:r>
    </w:p>
    <w:p w14:paraId="348F9957" w14:textId="77777777" w:rsidR="00792B14" w:rsidRPr="008916C2" w:rsidRDefault="00792B14" w:rsidP="00792B14">
      <w:pPr>
        <w:bidi w:val="0"/>
      </w:pPr>
      <w:r w:rsidRPr="008916C2">
        <w:t>26.</w:t>
      </w:r>
      <w:r w:rsidRPr="008916C2">
        <w:tab/>
        <w:t>Lippi G, Jansen-Duerr P, Viña J, Durrance-Bagale A, Abugessaisa I, Gomez-Cabrero D, et al. Laboratory biomarkers and frailty: presentation of the FRAILOMIC initiative. Clinical Chemistry and Laboratory Medicine (CCLM). 2015;53(10):e253-e5.</w:t>
      </w:r>
    </w:p>
    <w:p w14:paraId="03FA8124" w14:textId="77777777" w:rsidR="00792B14" w:rsidRPr="008916C2" w:rsidRDefault="00792B14" w:rsidP="00792B14">
      <w:pPr>
        <w:bidi w:val="0"/>
      </w:pPr>
      <w:r w:rsidRPr="008916C2">
        <w:t>27.</w:t>
      </w:r>
      <w:r w:rsidRPr="008916C2">
        <w:tab/>
        <w:t>Bertsch T, Alber B, Bauer JM. [Laboratory tests in the elderly and their relationship with frailty]. Ther Umsch. 2008;65(8):431-5.</w:t>
      </w:r>
    </w:p>
    <w:p w14:paraId="3C38FB96" w14:textId="77777777" w:rsidR="00792B14" w:rsidRPr="008916C2" w:rsidRDefault="00792B14" w:rsidP="00792B14">
      <w:pPr>
        <w:bidi w:val="0"/>
      </w:pPr>
      <w:r w:rsidRPr="008916C2">
        <w:t>28.</w:t>
      </w:r>
      <w:r w:rsidRPr="008916C2">
        <w:tab/>
        <w:t>Artaza-Artabe I, Sáez-López P, Sánchez-Hernández N, Fernández-Gutierrez N, Malafarina V. The relationship between nutrition and frailty: Effects of protein intake, nutritional supplementation, vitamin D and exercise on muscle metabolism in the elderly. A systematic review. Maturitas. 2016;93:89-99.</w:t>
      </w:r>
    </w:p>
    <w:p w14:paraId="71187FD8" w14:textId="77777777" w:rsidR="00792B14" w:rsidRPr="008916C2" w:rsidRDefault="00792B14" w:rsidP="00792B14">
      <w:pPr>
        <w:bidi w:val="0"/>
      </w:pPr>
      <w:r w:rsidRPr="008916C2">
        <w:t>29.</w:t>
      </w:r>
      <w:r w:rsidRPr="008916C2">
        <w:tab/>
        <w:t>Demircioglu DT. The association of vitamin D levels and the frailty phenotype among non-geriatric dialysis patients: a cross-sectional study. Clinics. 2018;73:e116.</w:t>
      </w:r>
    </w:p>
    <w:p w14:paraId="53ED7B9A" w14:textId="77777777" w:rsidR="00792B14" w:rsidRPr="008916C2" w:rsidRDefault="00792B14" w:rsidP="00792B14">
      <w:pPr>
        <w:bidi w:val="0"/>
        <w:rPr>
          <w:rtl/>
        </w:rPr>
      </w:pPr>
      <w:r w:rsidRPr="008916C2">
        <w:t>30.</w:t>
      </w:r>
      <w:r w:rsidRPr="008916C2">
        <w:tab/>
        <w:t>van den Berg KS, Hegeman JM, van den Brink RHS, Rhebergen D, Oude Voshaar RC, Marijnissen RM. A prospective study into change of vitamin D levels, depression and frailty among depressed older persons. International Journal of Geriatric Psychiatry. 2021;36(7):1029-36.</w:t>
      </w:r>
    </w:p>
    <w:p w14:paraId="58AB9FC8" w14:textId="77777777" w:rsidR="00792B14" w:rsidRPr="008916C2" w:rsidRDefault="00792B14" w:rsidP="00792B14">
      <w:pPr>
        <w:bidi w:val="0"/>
      </w:pPr>
      <w:r w:rsidRPr="008916C2">
        <w:t>31.</w:t>
      </w:r>
      <w:r w:rsidRPr="008916C2">
        <w:tab/>
        <w:t>Badrasawi M, Shahar S, Rajab NF, Singh DKA. Blood Inflammatory Markers, Anabolic Hormone, Vitamin D and L-Carnitine Status According to Frailty Status among Older Adults. Sains Malays. 2019;48:613-9.</w:t>
      </w:r>
    </w:p>
    <w:p w14:paraId="4B1D9785" w14:textId="77777777" w:rsidR="00792B14" w:rsidRPr="008916C2" w:rsidRDefault="00792B14" w:rsidP="00792B14">
      <w:pPr>
        <w:bidi w:val="0"/>
      </w:pPr>
      <w:r w:rsidRPr="008916C2">
        <w:t>32.</w:t>
      </w:r>
      <w:r w:rsidRPr="008916C2">
        <w:tab/>
        <w:t>Navarro-Martínez R, Fernández-Garrido J, Buigues C, Martinez-Martinez M, Cantero-Díaz L, Santamaría-Carrillo Y, et al. Serum vitamin D and functional impairment in octogenarian women. Appl Nurs Res. 2016;30:e10-4.</w:t>
      </w:r>
    </w:p>
    <w:p w14:paraId="494A9751" w14:textId="77777777" w:rsidR="00736F2E" w:rsidRPr="008916C2" w:rsidRDefault="00792B14" w:rsidP="00792B14">
      <w:pPr>
        <w:bidi w:val="0"/>
      </w:pPr>
      <w:r w:rsidRPr="008916C2">
        <w:br w:type="page"/>
      </w:r>
    </w:p>
    <w:tbl>
      <w:tblPr>
        <w:tblStyle w:val="TableGrid"/>
        <w:tblpPr w:leftFromText="180" w:rightFromText="180" w:vertAnchor="text" w:horzAnchor="margin" w:tblpY="40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2"/>
        <w:gridCol w:w="1430"/>
        <w:gridCol w:w="1474"/>
        <w:gridCol w:w="1400"/>
        <w:gridCol w:w="1987"/>
        <w:gridCol w:w="1191"/>
        <w:gridCol w:w="1658"/>
        <w:gridCol w:w="1372"/>
        <w:gridCol w:w="1230"/>
      </w:tblGrid>
      <w:tr w:rsidR="007D3937" w:rsidRPr="008916C2" w14:paraId="6F45D48E" w14:textId="77777777" w:rsidTr="00792B14">
        <w:tc>
          <w:tcPr>
            <w:tcW w:w="5000" w:type="pct"/>
            <w:gridSpan w:val="9"/>
            <w:tcBorders>
              <w:bottom w:val="single" w:sz="4" w:space="0" w:color="auto"/>
            </w:tcBorders>
          </w:tcPr>
          <w:p w14:paraId="4D9BDBA3" w14:textId="77777777" w:rsidR="007D3937" w:rsidRPr="008916C2" w:rsidRDefault="007D3937" w:rsidP="007A7F6F">
            <w:pPr>
              <w:bidi w:val="0"/>
              <w:spacing w:before="60"/>
              <w:jc w:val="center"/>
              <w:rPr>
                <w:rFonts w:asciiTheme="majorBidi" w:hAnsiTheme="majorBidi" w:cstheme="majorBidi"/>
                <w:bCs/>
                <w:lang w:val="en-US"/>
              </w:rPr>
            </w:pPr>
            <w:r w:rsidRPr="008916C2">
              <w:rPr>
                <w:rFonts w:asciiTheme="majorBidi" w:eastAsia="Times New Roman" w:hAnsiTheme="majorBidi" w:cstheme="majorBidi"/>
                <w:b/>
                <w:bCs/>
                <w:lang w:bidi="ar-SA"/>
              </w:rPr>
              <w:t>Supplementary Table 4:</w:t>
            </w:r>
            <w:r w:rsidRPr="008916C2">
              <w:rPr>
                <w:rFonts w:asciiTheme="majorBidi" w:eastAsia="Times New Roman" w:hAnsiTheme="majorBidi" w:cstheme="majorBidi"/>
                <w:lang w:bidi="ar-SA"/>
              </w:rPr>
              <w:t xml:space="preserve"> </w:t>
            </w:r>
            <w:r w:rsidRPr="008916C2">
              <w:rPr>
                <w:rFonts w:asciiTheme="majorBidi" w:hAnsiTheme="majorBidi" w:cstheme="majorBidi"/>
              </w:rPr>
              <w:t xml:space="preserve"> Details of quality assessment of included studies</w:t>
            </w:r>
            <w:r w:rsidRPr="008916C2">
              <w:rPr>
                <w:rFonts w:asciiTheme="majorBidi" w:eastAsia="Times New Roman" w:hAnsiTheme="majorBidi" w:cstheme="majorBidi"/>
                <w:b/>
                <w:bCs/>
              </w:rPr>
              <w:t xml:space="preserve"> </w:t>
            </w:r>
            <w:r w:rsidRPr="008916C2">
              <w:rPr>
                <w:rFonts w:asciiTheme="majorBidi" w:eastAsia="Times New Roman" w:hAnsiTheme="majorBidi" w:cstheme="majorBidi"/>
              </w:rPr>
              <w:t>in the systematic review and met-analysis based ROBINS-1</w:t>
            </w:r>
          </w:p>
        </w:tc>
      </w:tr>
      <w:tr w:rsidR="007D3937" w:rsidRPr="008916C2" w14:paraId="7A0274AB" w14:textId="77777777" w:rsidTr="00792B14">
        <w:tc>
          <w:tcPr>
            <w:tcW w:w="864" w:type="pct"/>
            <w:tcBorders>
              <w:top w:val="single" w:sz="4" w:space="0" w:color="auto"/>
              <w:bottom w:val="single" w:sz="4" w:space="0" w:color="auto"/>
            </w:tcBorders>
          </w:tcPr>
          <w:p w14:paraId="64F82B58" w14:textId="77777777" w:rsidR="007D3937" w:rsidRPr="008916C2" w:rsidRDefault="007D3937" w:rsidP="007A7F6F">
            <w:pPr>
              <w:bidi w:val="0"/>
              <w:spacing w:before="60"/>
              <w:rPr>
                <w:rFonts w:asciiTheme="majorBidi" w:hAnsiTheme="majorBidi" w:cstheme="majorBidi"/>
                <w:bCs/>
                <w:lang w:val="en-US"/>
              </w:rPr>
            </w:pPr>
            <w:r w:rsidRPr="008916C2">
              <w:rPr>
                <w:rFonts w:asciiTheme="majorBidi" w:hAnsiTheme="majorBidi" w:cstheme="majorBidi"/>
                <w:bCs/>
                <w:lang w:val="en-US"/>
              </w:rPr>
              <w:t>Study</w:t>
            </w:r>
          </w:p>
        </w:tc>
        <w:tc>
          <w:tcPr>
            <w:tcW w:w="465" w:type="pct"/>
            <w:tcBorders>
              <w:top w:val="single" w:sz="4" w:space="0" w:color="auto"/>
              <w:bottom w:val="single" w:sz="4" w:space="0" w:color="auto"/>
            </w:tcBorders>
          </w:tcPr>
          <w:p w14:paraId="1FA3AE34" w14:textId="77777777" w:rsidR="007D3937" w:rsidRPr="008916C2" w:rsidRDefault="007D3937" w:rsidP="007A7F6F">
            <w:pPr>
              <w:bidi w:val="0"/>
              <w:spacing w:before="60"/>
              <w:rPr>
                <w:rFonts w:asciiTheme="majorBidi" w:hAnsiTheme="majorBidi" w:cstheme="majorBidi"/>
                <w:bCs/>
                <w:lang w:val="en-US"/>
              </w:rPr>
            </w:pPr>
            <w:r w:rsidRPr="008916C2">
              <w:rPr>
                <w:rFonts w:asciiTheme="majorBidi" w:hAnsiTheme="majorBidi" w:cstheme="majorBidi"/>
                <w:bCs/>
                <w:lang w:val="en-US"/>
              </w:rPr>
              <w:t>Bias due to confounding</w:t>
            </w:r>
          </w:p>
        </w:tc>
        <w:tc>
          <w:tcPr>
            <w:tcW w:w="526" w:type="pct"/>
            <w:tcBorders>
              <w:top w:val="single" w:sz="4" w:space="0" w:color="auto"/>
              <w:bottom w:val="single" w:sz="4" w:space="0" w:color="auto"/>
            </w:tcBorders>
          </w:tcPr>
          <w:p w14:paraId="655ED58F" w14:textId="77777777" w:rsidR="007D3937" w:rsidRPr="008916C2" w:rsidRDefault="007D3937" w:rsidP="007A7F6F">
            <w:pPr>
              <w:bidi w:val="0"/>
              <w:spacing w:before="60"/>
              <w:rPr>
                <w:rFonts w:asciiTheme="majorBidi" w:hAnsiTheme="majorBidi" w:cstheme="majorBidi"/>
                <w:bCs/>
                <w:lang w:val="en-US"/>
              </w:rPr>
            </w:pPr>
            <w:r w:rsidRPr="008916C2">
              <w:rPr>
                <w:rFonts w:asciiTheme="majorBidi" w:hAnsiTheme="majorBidi" w:cstheme="majorBidi"/>
                <w:bCs/>
                <w:lang w:val="en-US"/>
              </w:rPr>
              <w:t>Bias due to selection of participants</w:t>
            </w:r>
          </w:p>
        </w:tc>
        <w:tc>
          <w:tcPr>
            <w:tcW w:w="500" w:type="pct"/>
            <w:tcBorders>
              <w:top w:val="single" w:sz="4" w:space="0" w:color="auto"/>
              <w:bottom w:val="single" w:sz="4" w:space="0" w:color="auto"/>
            </w:tcBorders>
          </w:tcPr>
          <w:p w14:paraId="0233B288" w14:textId="77777777" w:rsidR="007D3937" w:rsidRPr="008916C2" w:rsidRDefault="007D3937" w:rsidP="007A7F6F">
            <w:pPr>
              <w:bidi w:val="0"/>
              <w:spacing w:before="60"/>
              <w:rPr>
                <w:rFonts w:asciiTheme="majorBidi" w:hAnsiTheme="majorBidi" w:cstheme="majorBidi"/>
                <w:bCs/>
                <w:lang w:val="en-US"/>
              </w:rPr>
            </w:pPr>
            <w:r w:rsidRPr="008916C2">
              <w:rPr>
                <w:rFonts w:asciiTheme="majorBidi" w:hAnsiTheme="majorBidi" w:cstheme="majorBidi"/>
                <w:bCs/>
                <w:lang w:val="en-US"/>
              </w:rPr>
              <w:t>Bias due to exposure assessment</w:t>
            </w:r>
          </w:p>
        </w:tc>
        <w:tc>
          <w:tcPr>
            <w:tcW w:w="707" w:type="pct"/>
            <w:tcBorders>
              <w:top w:val="single" w:sz="4" w:space="0" w:color="auto"/>
              <w:bottom w:val="single" w:sz="4" w:space="0" w:color="auto"/>
            </w:tcBorders>
          </w:tcPr>
          <w:p w14:paraId="1454CE3F" w14:textId="77777777" w:rsidR="007D3937" w:rsidRPr="008916C2" w:rsidRDefault="007D3937" w:rsidP="007A7F6F">
            <w:pPr>
              <w:bidi w:val="0"/>
              <w:spacing w:before="60"/>
              <w:rPr>
                <w:rFonts w:asciiTheme="majorBidi" w:hAnsiTheme="majorBidi" w:cstheme="majorBidi"/>
                <w:bCs/>
                <w:lang w:val="en-US"/>
              </w:rPr>
            </w:pPr>
            <w:r w:rsidRPr="008916C2">
              <w:rPr>
                <w:rFonts w:asciiTheme="majorBidi" w:hAnsiTheme="majorBidi" w:cstheme="majorBidi"/>
                <w:bCs/>
                <w:lang w:val="en-US"/>
              </w:rPr>
              <w:t>Bias due to misclassification during follow-up</w:t>
            </w:r>
          </w:p>
        </w:tc>
        <w:tc>
          <w:tcPr>
            <w:tcW w:w="426" w:type="pct"/>
            <w:tcBorders>
              <w:top w:val="single" w:sz="4" w:space="0" w:color="auto"/>
              <w:bottom w:val="single" w:sz="4" w:space="0" w:color="auto"/>
            </w:tcBorders>
          </w:tcPr>
          <w:p w14:paraId="1478FB44" w14:textId="77777777" w:rsidR="007D3937" w:rsidRPr="008916C2" w:rsidRDefault="007D3937" w:rsidP="007A7F6F">
            <w:pPr>
              <w:bidi w:val="0"/>
              <w:spacing w:before="60"/>
              <w:rPr>
                <w:rFonts w:asciiTheme="majorBidi" w:hAnsiTheme="majorBidi" w:cstheme="majorBidi"/>
                <w:bCs/>
                <w:lang w:val="en-US"/>
              </w:rPr>
            </w:pPr>
            <w:r w:rsidRPr="008916C2">
              <w:rPr>
                <w:rFonts w:asciiTheme="majorBidi" w:hAnsiTheme="majorBidi" w:cstheme="majorBidi"/>
                <w:bCs/>
                <w:lang w:val="en-US"/>
              </w:rPr>
              <w:t>Bias due to missing data</w:t>
            </w:r>
          </w:p>
        </w:tc>
        <w:tc>
          <w:tcPr>
            <w:tcW w:w="591" w:type="pct"/>
            <w:tcBorders>
              <w:top w:val="single" w:sz="4" w:space="0" w:color="auto"/>
              <w:bottom w:val="single" w:sz="4" w:space="0" w:color="auto"/>
            </w:tcBorders>
          </w:tcPr>
          <w:p w14:paraId="004C28EA" w14:textId="77777777" w:rsidR="007D3937" w:rsidRPr="008916C2" w:rsidRDefault="007D3937" w:rsidP="007A7F6F">
            <w:pPr>
              <w:bidi w:val="0"/>
              <w:spacing w:before="60"/>
              <w:rPr>
                <w:rFonts w:asciiTheme="majorBidi" w:hAnsiTheme="majorBidi" w:cstheme="majorBidi"/>
                <w:bCs/>
                <w:lang w:val="en-US"/>
              </w:rPr>
            </w:pPr>
            <w:r w:rsidRPr="008916C2">
              <w:rPr>
                <w:rFonts w:asciiTheme="majorBidi" w:hAnsiTheme="majorBidi" w:cstheme="majorBidi"/>
                <w:bCs/>
                <w:lang w:val="en-US"/>
              </w:rPr>
              <w:t>Bias due to measurement of the outcome</w:t>
            </w:r>
          </w:p>
        </w:tc>
        <w:tc>
          <w:tcPr>
            <w:tcW w:w="490" w:type="pct"/>
            <w:tcBorders>
              <w:top w:val="single" w:sz="4" w:space="0" w:color="auto"/>
              <w:bottom w:val="single" w:sz="4" w:space="0" w:color="auto"/>
            </w:tcBorders>
          </w:tcPr>
          <w:p w14:paraId="04CA37E2" w14:textId="77777777" w:rsidR="007D3937" w:rsidRPr="008916C2" w:rsidRDefault="007D3937" w:rsidP="007A7F6F">
            <w:pPr>
              <w:bidi w:val="0"/>
              <w:spacing w:before="60"/>
              <w:rPr>
                <w:rFonts w:asciiTheme="majorBidi" w:hAnsiTheme="majorBidi" w:cstheme="majorBidi"/>
                <w:bCs/>
                <w:lang w:val="en-US"/>
              </w:rPr>
            </w:pPr>
            <w:r w:rsidRPr="008916C2">
              <w:rPr>
                <w:rFonts w:asciiTheme="majorBidi" w:hAnsiTheme="majorBidi" w:cstheme="majorBidi"/>
                <w:bCs/>
                <w:lang w:val="en-US"/>
              </w:rPr>
              <w:t>Bias due to selective reporting of the results</w:t>
            </w:r>
          </w:p>
        </w:tc>
        <w:tc>
          <w:tcPr>
            <w:tcW w:w="431" w:type="pct"/>
            <w:tcBorders>
              <w:top w:val="single" w:sz="4" w:space="0" w:color="auto"/>
              <w:bottom w:val="single" w:sz="4" w:space="0" w:color="auto"/>
            </w:tcBorders>
          </w:tcPr>
          <w:p w14:paraId="5CCE8649" w14:textId="77777777" w:rsidR="007D3937" w:rsidRPr="008916C2" w:rsidRDefault="007D3937" w:rsidP="007A7F6F">
            <w:pPr>
              <w:bidi w:val="0"/>
              <w:spacing w:before="60"/>
              <w:rPr>
                <w:rFonts w:asciiTheme="majorBidi" w:hAnsiTheme="majorBidi" w:cstheme="majorBidi"/>
                <w:bCs/>
                <w:lang w:val="en-US"/>
              </w:rPr>
            </w:pPr>
            <w:r w:rsidRPr="008916C2">
              <w:rPr>
                <w:rFonts w:asciiTheme="majorBidi" w:hAnsiTheme="majorBidi" w:cstheme="majorBidi"/>
                <w:bCs/>
                <w:lang w:val="en-US"/>
              </w:rPr>
              <w:t>Overall judgement</w:t>
            </w:r>
          </w:p>
        </w:tc>
      </w:tr>
      <w:tr w:rsidR="007D3937" w:rsidRPr="008916C2" w14:paraId="71D4E118" w14:textId="77777777" w:rsidTr="00792B14">
        <w:tc>
          <w:tcPr>
            <w:tcW w:w="864" w:type="pct"/>
            <w:tcBorders>
              <w:top w:val="single" w:sz="4" w:space="0" w:color="auto"/>
            </w:tcBorders>
          </w:tcPr>
          <w:p w14:paraId="4B42CF7D"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Dai (2022)</w:t>
            </w:r>
          </w:p>
        </w:tc>
        <w:tc>
          <w:tcPr>
            <w:tcW w:w="465" w:type="pct"/>
            <w:tcBorders>
              <w:top w:val="single" w:sz="4" w:space="0" w:color="auto"/>
            </w:tcBorders>
          </w:tcPr>
          <w:p w14:paraId="5D1EC28E"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c>
          <w:tcPr>
            <w:tcW w:w="526" w:type="pct"/>
            <w:tcBorders>
              <w:top w:val="single" w:sz="4" w:space="0" w:color="auto"/>
            </w:tcBorders>
          </w:tcPr>
          <w:p w14:paraId="001A9AC1"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500" w:type="pct"/>
            <w:tcBorders>
              <w:top w:val="single" w:sz="4" w:space="0" w:color="auto"/>
            </w:tcBorders>
          </w:tcPr>
          <w:p w14:paraId="17AF9770"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707" w:type="pct"/>
            <w:tcBorders>
              <w:top w:val="single" w:sz="4" w:space="0" w:color="auto"/>
            </w:tcBorders>
          </w:tcPr>
          <w:p w14:paraId="46515571" w14:textId="77777777" w:rsidR="007D3937" w:rsidRPr="008916C2" w:rsidRDefault="007D3937" w:rsidP="007A7F6F">
            <w:pPr>
              <w:bidi w:val="0"/>
              <w:spacing w:line="480" w:lineRule="auto"/>
              <w:rPr>
                <w:rFonts w:asciiTheme="majorBidi" w:hAnsiTheme="majorBidi" w:cstheme="majorBidi"/>
                <w:bCs/>
                <w:rtl/>
                <w:lang w:val="en-US" w:bidi="fa-IR"/>
              </w:rPr>
            </w:pPr>
            <w:r w:rsidRPr="008916C2">
              <w:rPr>
                <w:rFonts w:asciiTheme="majorBidi" w:hAnsiTheme="majorBidi" w:cstheme="majorBidi"/>
                <w:bCs/>
                <w:lang w:val="en-US"/>
              </w:rPr>
              <w:t>Moderate</w:t>
            </w:r>
          </w:p>
        </w:tc>
        <w:tc>
          <w:tcPr>
            <w:tcW w:w="426" w:type="pct"/>
            <w:tcBorders>
              <w:top w:val="single" w:sz="4" w:space="0" w:color="auto"/>
            </w:tcBorders>
          </w:tcPr>
          <w:p w14:paraId="3947A946"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 xml:space="preserve">Low </w:t>
            </w:r>
          </w:p>
        </w:tc>
        <w:tc>
          <w:tcPr>
            <w:tcW w:w="591" w:type="pct"/>
            <w:tcBorders>
              <w:top w:val="single" w:sz="4" w:space="0" w:color="auto"/>
            </w:tcBorders>
          </w:tcPr>
          <w:p w14:paraId="0D35AA97"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 xml:space="preserve">Low </w:t>
            </w:r>
          </w:p>
        </w:tc>
        <w:tc>
          <w:tcPr>
            <w:tcW w:w="490" w:type="pct"/>
            <w:tcBorders>
              <w:top w:val="single" w:sz="4" w:space="0" w:color="auto"/>
            </w:tcBorders>
          </w:tcPr>
          <w:p w14:paraId="5EDE1342"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31" w:type="pct"/>
            <w:tcBorders>
              <w:top w:val="single" w:sz="4" w:space="0" w:color="auto"/>
            </w:tcBorders>
          </w:tcPr>
          <w:p w14:paraId="0895B1DB"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r>
      <w:tr w:rsidR="007D3937" w:rsidRPr="008916C2" w14:paraId="66A52E09" w14:textId="77777777" w:rsidTr="00792B14">
        <w:tc>
          <w:tcPr>
            <w:tcW w:w="864" w:type="pct"/>
          </w:tcPr>
          <w:p w14:paraId="0ECC3AF3"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Lu (2021)</w:t>
            </w:r>
          </w:p>
        </w:tc>
        <w:tc>
          <w:tcPr>
            <w:tcW w:w="465" w:type="pct"/>
          </w:tcPr>
          <w:p w14:paraId="4BFE3F0A"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Serious</w:t>
            </w:r>
          </w:p>
        </w:tc>
        <w:tc>
          <w:tcPr>
            <w:tcW w:w="526" w:type="pct"/>
          </w:tcPr>
          <w:p w14:paraId="73C53666"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c>
          <w:tcPr>
            <w:tcW w:w="500" w:type="pct"/>
          </w:tcPr>
          <w:p w14:paraId="6FC4EA1A"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707" w:type="pct"/>
          </w:tcPr>
          <w:p w14:paraId="7055DBCE"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c>
          <w:tcPr>
            <w:tcW w:w="426" w:type="pct"/>
          </w:tcPr>
          <w:p w14:paraId="28DE717D"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591" w:type="pct"/>
          </w:tcPr>
          <w:p w14:paraId="78B4816D"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90" w:type="pct"/>
          </w:tcPr>
          <w:p w14:paraId="3FD63B91"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31" w:type="pct"/>
          </w:tcPr>
          <w:p w14:paraId="18B80504"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Serious</w:t>
            </w:r>
          </w:p>
        </w:tc>
      </w:tr>
      <w:tr w:rsidR="007D3937" w:rsidRPr="008916C2" w14:paraId="4F511634" w14:textId="77777777" w:rsidTr="00792B14">
        <w:tc>
          <w:tcPr>
            <w:tcW w:w="864" w:type="pct"/>
          </w:tcPr>
          <w:p w14:paraId="69E40953"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Van den Berg (2018)</w:t>
            </w:r>
          </w:p>
        </w:tc>
        <w:tc>
          <w:tcPr>
            <w:tcW w:w="465" w:type="pct"/>
          </w:tcPr>
          <w:p w14:paraId="6C46B13B"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Serious</w:t>
            </w:r>
          </w:p>
        </w:tc>
        <w:tc>
          <w:tcPr>
            <w:tcW w:w="526" w:type="pct"/>
          </w:tcPr>
          <w:p w14:paraId="6F0A1CD7"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c>
          <w:tcPr>
            <w:tcW w:w="500" w:type="pct"/>
          </w:tcPr>
          <w:p w14:paraId="72016069"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707" w:type="pct"/>
          </w:tcPr>
          <w:p w14:paraId="39DC832C"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c>
          <w:tcPr>
            <w:tcW w:w="426" w:type="pct"/>
          </w:tcPr>
          <w:p w14:paraId="5BA0FF88"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 xml:space="preserve">Low </w:t>
            </w:r>
          </w:p>
        </w:tc>
        <w:tc>
          <w:tcPr>
            <w:tcW w:w="591" w:type="pct"/>
          </w:tcPr>
          <w:p w14:paraId="4A77E85C"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90" w:type="pct"/>
          </w:tcPr>
          <w:p w14:paraId="7519F719"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31" w:type="pct"/>
          </w:tcPr>
          <w:p w14:paraId="00296695"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Serious</w:t>
            </w:r>
          </w:p>
        </w:tc>
      </w:tr>
      <w:tr w:rsidR="007D3937" w:rsidRPr="008916C2" w14:paraId="4E66EDEF" w14:textId="77777777" w:rsidTr="00792B14">
        <w:tc>
          <w:tcPr>
            <w:tcW w:w="864" w:type="pct"/>
          </w:tcPr>
          <w:p w14:paraId="74CDABF2"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Buta (2017)</w:t>
            </w:r>
          </w:p>
        </w:tc>
        <w:tc>
          <w:tcPr>
            <w:tcW w:w="465" w:type="pct"/>
          </w:tcPr>
          <w:p w14:paraId="114A5016"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c>
          <w:tcPr>
            <w:tcW w:w="526" w:type="pct"/>
          </w:tcPr>
          <w:p w14:paraId="6AEF287E"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500" w:type="pct"/>
          </w:tcPr>
          <w:p w14:paraId="73F15511"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707" w:type="pct"/>
            <w:shd w:val="clear" w:color="auto" w:fill="auto"/>
          </w:tcPr>
          <w:p w14:paraId="0C597194"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c>
          <w:tcPr>
            <w:tcW w:w="426" w:type="pct"/>
            <w:shd w:val="clear" w:color="auto" w:fill="auto"/>
          </w:tcPr>
          <w:p w14:paraId="5E66ECBE"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 xml:space="preserve">Low </w:t>
            </w:r>
          </w:p>
        </w:tc>
        <w:tc>
          <w:tcPr>
            <w:tcW w:w="591" w:type="pct"/>
            <w:shd w:val="clear" w:color="auto" w:fill="auto"/>
          </w:tcPr>
          <w:p w14:paraId="2D9514C9"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90" w:type="pct"/>
          </w:tcPr>
          <w:p w14:paraId="4B4B1BBD"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31" w:type="pct"/>
          </w:tcPr>
          <w:p w14:paraId="1B740EC2"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r>
      <w:tr w:rsidR="007D3937" w:rsidRPr="008916C2" w14:paraId="6CA26F42" w14:textId="77777777" w:rsidTr="00792B14">
        <w:tc>
          <w:tcPr>
            <w:tcW w:w="864" w:type="pct"/>
          </w:tcPr>
          <w:p w14:paraId="5DC2D246"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Vogt (2015)</w:t>
            </w:r>
          </w:p>
        </w:tc>
        <w:tc>
          <w:tcPr>
            <w:tcW w:w="465" w:type="pct"/>
          </w:tcPr>
          <w:p w14:paraId="1609A937"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 xml:space="preserve">Moderate </w:t>
            </w:r>
          </w:p>
        </w:tc>
        <w:tc>
          <w:tcPr>
            <w:tcW w:w="526" w:type="pct"/>
          </w:tcPr>
          <w:p w14:paraId="0BAD5809"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500" w:type="pct"/>
          </w:tcPr>
          <w:p w14:paraId="1416F577"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707" w:type="pct"/>
            <w:shd w:val="clear" w:color="auto" w:fill="auto"/>
          </w:tcPr>
          <w:p w14:paraId="4FD37F71"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c>
          <w:tcPr>
            <w:tcW w:w="426" w:type="pct"/>
            <w:shd w:val="clear" w:color="auto" w:fill="auto"/>
          </w:tcPr>
          <w:p w14:paraId="7FCCE824"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c>
          <w:tcPr>
            <w:tcW w:w="591" w:type="pct"/>
            <w:shd w:val="clear" w:color="auto" w:fill="auto"/>
          </w:tcPr>
          <w:p w14:paraId="72F2A1F7"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90" w:type="pct"/>
          </w:tcPr>
          <w:p w14:paraId="613C685B"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31" w:type="pct"/>
          </w:tcPr>
          <w:p w14:paraId="657C4CFD"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 xml:space="preserve">Moderate </w:t>
            </w:r>
          </w:p>
        </w:tc>
      </w:tr>
      <w:tr w:rsidR="007D3937" w:rsidRPr="008916C2" w14:paraId="72BF3AAF" w14:textId="77777777" w:rsidTr="00792B14">
        <w:tc>
          <w:tcPr>
            <w:tcW w:w="864" w:type="pct"/>
          </w:tcPr>
          <w:p w14:paraId="2E931FA7" w14:textId="77777777" w:rsidR="007D3937" w:rsidRPr="008916C2" w:rsidRDefault="00FC5494"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Schöttker</w:t>
            </w:r>
            <w:r w:rsidR="007D3937" w:rsidRPr="008916C2">
              <w:rPr>
                <w:rFonts w:asciiTheme="majorBidi" w:hAnsiTheme="majorBidi" w:cstheme="majorBidi"/>
                <w:bCs/>
                <w:lang w:val="en-US"/>
              </w:rPr>
              <w:t xml:space="preserve"> (2014)</w:t>
            </w:r>
          </w:p>
        </w:tc>
        <w:tc>
          <w:tcPr>
            <w:tcW w:w="465" w:type="pct"/>
          </w:tcPr>
          <w:p w14:paraId="5D321A11"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c>
          <w:tcPr>
            <w:tcW w:w="526" w:type="pct"/>
          </w:tcPr>
          <w:p w14:paraId="661ED431"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500" w:type="pct"/>
          </w:tcPr>
          <w:p w14:paraId="47BF49B8"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707" w:type="pct"/>
            <w:shd w:val="clear" w:color="auto" w:fill="auto"/>
          </w:tcPr>
          <w:p w14:paraId="107C0398"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26" w:type="pct"/>
            <w:shd w:val="clear" w:color="auto" w:fill="auto"/>
          </w:tcPr>
          <w:p w14:paraId="00A29957"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 xml:space="preserve">Low </w:t>
            </w:r>
          </w:p>
        </w:tc>
        <w:tc>
          <w:tcPr>
            <w:tcW w:w="591" w:type="pct"/>
            <w:shd w:val="clear" w:color="auto" w:fill="auto"/>
          </w:tcPr>
          <w:p w14:paraId="78E15E24"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90" w:type="pct"/>
          </w:tcPr>
          <w:p w14:paraId="78E58C7A"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31" w:type="pct"/>
          </w:tcPr>
          <w:p w14:paraId="194B2460"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 xml:space="preserve">Moderate </w:t>
            </w:r>
          </w:p>
        </w:tc>
      </w:tr>
      <w:tr w:rsidR="007D3937" w:rsidRPr="008916C2" w14:paraId="3F68E317" w14:textId="77777777" w:rsidTr="00792B14">
        <w:tc>
          <w:tcPr>
            <w:tcW w:w="864" w:type="pct"/>
          </w:tcPr>
          <w:p w14:paraId="2D3B342D"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Wong (2013)</w:t>
            </w:r>
          </w:p>
        </w:tc>
        <w:tc>
          <w:tcPr>
            <w:tcW w:w="465" w:type="pct"/>
          </w:tcPr>
          <w:p w14:paraId="534D6BB4"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Serious</w:t>
            </w:r>
          </w:p>
        </w:tc>
        <w:tc>
          <w:tcPr>
            <w:tcW w:w="526" w:type="pct"/>
          </w:tcPr>
          <w:p w14:paraId="5C29AB8F"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500" w:type="pct"/>
          </w:tcPr>
          <w:p w14:paraId="45A77E9E"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707" w:type="pct"/>
            <w:shd w:val="clear" w:color="auto" w:fill="auto"/>
          </w:tcPr>
          <w:p w14:paraId="45B13BEE"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c>
          <w:tcPr>
            <w:tcW w:w="426" w:type="pct"/>
            <w:shd w:val="clear" w:color="auto" w:fill="auto"/>
          </w:tcPr>
          <w:p w14:paraId="3B54ECB5"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591" w:type="pct"/>
            <w:shd w:val="clear" w:color="auto" w:fill="auto"/>
          </w:tcPr>
          <w:p w14:paraId="4409AE06"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90" w:type="pct"/>
          </w:tcPr>
          <w:p w14:paraId="426606F4"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31" w:type="pct"/>
          </w:tcPr>
          <w:p w14:paraId="5F259242"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Serious</w:t>
            </w:r>
          </w:p>
        </w:tc>
      </w:tr>
      <w:tr w:rsidR="007D3937" w:rsidRPr="008916C2" w14:paraId="29A7BF7B" w14:textId="77777777" w:rsidTr="00792B14">
        <w:tc>
          <w:tcPr>
            <w:tcW w:w="864" w:type="pct"/>
          </w:tcPr>
          <w:p w14:paraId="35DCBF86"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Shardell (2012)</w:t>
            </w:r>
          </w:p>
        </w:tc>
        <w:tc>
          <w:tcPr>
            <w:tcW w:w="465" w:type="pct"/>
          </w:tcPr>
          <w:p w14:paraId="70AC4D2C"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c>
          <w:tcPr>
            <w:tcW w:w="526" w:type="pct"/>
          </w:tcPr>
          <w:p w14:paraId="1D19747E"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500" w:type="pct"/>
          </w:tcPr>
          <w:p w14:paraId="7496C1A3"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707" w:type="pct"/>
            <w:shd w:val="clear" w:color="auto" w:fill="auto"/>
          </w:tcPr>
          <w:p w14:paraId="568F8F70"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c>
          <w:tcPr>
            <w:tcW w:w="426" w:type="pct"/>
            <w:shd w:val="clear" w:color="auto" w:fill="auto"/>
          </w:tcPr>
          <w:p w14:paraId="5C7E9407"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c>
          <w:tcPr>
            <w:tcW w:w="591" w:type="pct"/>
            <w:shd w:val="clear" w:color="auto" w:fill="auto"/>
          </w:tcPr>
          <w:p w14:paraId="7F01B04C"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90" w:type="pct"/>
          </w:tcPr>
          <w:p w14:paraId="7ED5590E"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31" w:type="pct"/>
          </w:tcPr>
          <w:p w14:paraId="59C65B41"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r>
      <w:tr w:rsidR="007D3937" w:rsidRPr="008916C2" w14:paraId="57D1A03F" w14:textId="77777777" w:rsidTr="00792B14">
        <w:tc>
          <w:tcPr>
            <w:tcW w:w="864" w:type="pct"/>
          </w:tcPr>
          <w:p w14:paraId="2369969F"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Ensrud (2011)</w:t>
            </w:r>
          </w:p>
        </w:tc>
        <w:tc>
          <w:tcPr>
            <w:tcW w:w="465" w:type="pct"/>
          </w:tcPr>
          <w:p w14:paraId="24C4096F"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 xml:space="preserve">Moderate </w:t>
            </w:r>
          </w:p>
        </w:tc>
        <w:tc>
          <w:tcPr>
            <w:tcW w:w="526" w:type="pct"/>
          </w:tcPr>
          <w:p w14:paraId="0FAABF98"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500" w:type="pct"/>
          </w:tcPr>
          <w:p w14:paraId="2484DCA6"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707" w:type="pct"/>
            <w:shd w:val="clear" w:color="auto" w:fill="auto"/>
          </w:tcPr>
          <w:p w14:paraId="18118926"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c>
          <w:tcPr>
            <w:tcW w:w="426" w:type="pct"/>
            <w:shd w:val="clear" w:color="auto" w:fill="auto"/>
          </w:tcPr>
          <w:p w14:paraId="73C73D29"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591" w:type="pct"/>
            <w:shd w:val="clear" w:color="auto" w:fill="auto"/>
          </w:tcPr>
          <w:p w14:paraId="3D823D3D"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90" w:type="pct"/>
          </w:tcPr>
          <w:p w14:paraId="48742400"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31" w:type="pct"/>
          </w:tcPr>
          <w:p w14:paraId="2A9601D9"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 xml:space="preserve">Moderate </w:t>
            </w:r>
          </w:p>
        </w:tc>
      </w:tr>
      <w:tr w:rsidR="007D3937" w:rsidRPr="008916C2" w14:paraId="15EA8B0B" w14:textId="77777777" w:rsidTr="00792B14">
        <w:tc>
          <w:tcPr>
            <w:tcW w:w="864" w:type="pct"/>
            <w:tcBorders>
              <w:bottom w:val="single" w:sz="4" w:space="0" w:color="auto"/>
            </w:tcBorders>
          </w:tcPr>
          <w:p w14:paraId="1FFD767E"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Puts (2005)</w:t>
            </w:r>
          </w:p>
        </w:tc>
        <w:tc>
          <w:tcPr>
            <w:tcW w:w="465" w:type="pct"/>
            <w:tcBorders>
              <w:bottom w:val="single" w:sz="4" w:space="0" w:color="auto"/>
            </w:tcBorders>
          </w:tcPr>
          <w:p w14:paraId="59B77EF0"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Serious</w:t>
            </w:r>
          </w:p>
        </w:tc>
        <w:tc>
          <w:tcPr>
            <w:tcW w:w="526" w:type="pct"/>
            <w:tcBorders>
              <w:bottom w:val="single" w:sz="4" w:space="0" w:color="auto"/>
            </w:tcBorders>
          </w:tcPr>
          <w:p w14:paraId="6F8D9BBF"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500" w:type="pct"/>
            <w:tcBorders>
              <w:bottom w:val="single" w:sz="4" w:space="0" w:color="auto"/>
            </w:tcBorders>
          </w:tcPr>
          <w:p w14:paraId="269CD112"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707" w:type="pct"/>
            <w:tcBorders>
              <w:bottom w:val="single" w:sz="4" w:space="0" w:color="auto"/>
            </w:tcBorders>
            <w:shd w:val="clear" w:color="auto" w:fill="auto"/>
          </w:tcPr>
          <w:p w14:paraId="690D5B8E"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Moderate</w:t>
            </w:r>
          </w:p>
        </w:tc>
        <w:tc>
          <w:tcPr>
            <w:tcW w:w="426" w:type="pct"/>
            <w:tcBorders>
              <w:bottom w:val="single" w:sz="4" w:space="0" w:color="auto"/>
            </w:tcBorders>
            <w:shd w:val="clear" w:color="auto" w:fill="auto"/>
          </w:tcPr>
          <w:p w14:paraId="407E4362"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 xml:space="preserve">Low </w:t>
            </w:r>
          </w:p>
        </w:tc>
        <w:tc>
          <w:tcPr>
            <w:tcW w:w="591" w:type="pct"/>
            <w:tcBorders>
              <w:bottom w:val="single" w:sz="4" w:space="0" w:color="auto"/>
            </w:tcBorders>
            <w:shd w:val="clear" w:color="auto" w:fill="auto"/>
          </w:tcPr>
          <w:p w14:paraId="46EBD68D"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90" w:type="pct"/>
            <w:tcBorders>
              <w:bottom w:val="single" w:sz="4" w:space="0" w:color="auto"/>
            </w:tcBorders>
          </w:tcPr>
          <w:p w14:paraId="6092B1CB"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Low</w:t>
            </w:r>
          </w:p>
        </w:tc>
        <w:tc>
          <w:tcPr>
            <w:tcW w:w="431" w:type="pct"/>
            <w:tcBorders>
              <w:bottom w:val="single" w:sz="4" w:space="0" w:color="auto"/>
            </w:tcBorders>
          </w:tcPr>
          <w:p w14:paraId="76BB9907" w14:textId="77777777" w:rsidR="007D3937" w:rsidRPr="008916C2" w:rsidRDefault="007D3937" w:rsidP="007A7F6F">
            <w:pPr>
              <w:bidi w:val="0"/>
              <w:spacing w:line="480" w:lineRule="auto"/>
              <w:rPr>
                <w:rFonts w:asciiTheme="majorBidi" w:hAnsiTheme="majorBidi" w:cstheme="majorBidi"/>
                <w:bCs/>
                <w:lang w:val="en-US"/>
              </w:rPr>
            </w:pPr>
            <w:r w:rsidRPr="008916C2">
              <w:rPr>
                <w:rFonts w:asciiTheme="majorBidi" w:hAnsiTheme="majorBidi" w:cstheme="majorBidi"/>
                <w:bCs/>
                <w:lang w:val="en-US"/>
              </w:rPr>
              <w:t>Serious</w:t>
            </w:r>
          </w:p>
        </w:tc>
      </w:tr>
      <w:tr w:rsidR="007D3937" w:rsidRPr="008916C2" w14:paraId="27A139F8" w14:textId="77777777" w:rsidTr="00792B14">
        <w:tc>
          <w:tcPr>
            <w:tcW w:w="5000" w:type="pct"/>
            <w:gridSpan w:val="9"/>
            <w:tcBorders>
              <w:top w:val="single" w:sz="4" w:space="0" w:color="auto"/>
            </w:tcBorders>
          </w:tcPr>
          <w:p w14:paraId="61E4F53E" w14:textId="77777777" w:rsidR="007D3937" w:rsidRPr="008916C2" w:rsidRDefault="007D3937" w:rsidP="007A7F6F">
            <w:pPr>
              <w:bidi w:val="0"/>
              <w:spacing w:before="60" w:after="60"/>
              <w:rPr>
                <w:rFonts w:asciiTheme="majorBidi" w:hAnsiTheme="majorBidi" w:cstheme="majorBidi"/>
                <w:bCs/>
                <w:lang w:val="en-US"/>
              </w:rPr>
            </w:pPr>
            <w:r w:rsidRPr="008916C2">
              <w:rPr>
                <w:rFonts w:asciiTheme="majorBidi" w:hAnsiTheme="majorBidi" w:cstheme="majorBidi"/>
                <w:bCs/>
                <w:lang w:val="en-US"/>
              </w:rPr>
              <w:t>Abbreviations: ROBINS- I, Risk of Bias In Non-randomized Studies of Interventions.</w:t>
            </w:r>
          </w:p>
        </w:tc>
      </w:tr>
    </w:tbl>
    <w:p w14:paraId="6F39AEE4" w14:textId="77777777" w:rsidR="007D3937" w:rsidRPr="008916C2" w:rsidRDefault="007D3937" w:rsidP="007A7F6F">
      <w:pPr>
        <w:bidi w:val="0"/>
      </w:pPr>
    </w:p>
    <w:p w14:paraId="12F74BD4" w14:textId="77777777" w:rsidR="007D3937" w:rsidRPr="008916C2" w:rsidRDefault="007D3937" w:rsidP="007A7F6F">
      <w:pPr>
        <w:bidi w:val="0"/>
      </w:pPr>
    </w:p>
    <w:p w14:paraId="3424C62E" w14:textId="77777777" w:rsidR="007D3937" w:rsidRPr="008916C2" w:rsidRDefault="007D3937" w:rsidP="007A7F6F">
      <w:pPr>
        <w:bidi w:val="0"/>
      </w:pPr>
      <w:r w:rsidRPr="008916C2">
        <w:br w:type="page"/>
      </w:r>
    </w:p>
    <w:tbl>
      <w:tblPr>
        <w:tblStyle w:val="TableGrid"/>
        <w:tblW w:w="147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1795"/>
        <w:gridCol w:w="1313"/>
        <w:gridCol w:w="1899"/>
        <w:gridCol w:w="1621"/>
        <w:gridCol w:w="1254"/>
        <w:gridCol w:w="1541"/>
        <w:gridCol w:w="1465"/>
        <w:gridCol w:w="1272"/>
      </w:tblGrid>
      <w:tr w:rsidR="007D3937" w:rsidRPr="008916C2" w14:paraId="2D0BB760" w14:textId="77777777" w:rsidTr="005360D3">
        <w:trPr>
          <w:trHeight w:val="618"/>
        </w:trPr>
        <w:tc>
          <w:tcPr>
            <w:tcW w:w="14712" w:type="dxa"/>
            <w:gridSpan w:val="9"/>
            <w:tcBorders>
              <w:bottom w:val="single" w:sz="4" w:space="0" w:color="auto"/>
            </w:tcBorders>
          </w:tcPr>
          <w:p w14:paraId="01D3951A" w14:textId="77777777" w:rsidR="007D3937" w:rsidRPr="008916C2" w:rsidRDefault="007D3937" w:rsidP="007A7F6F">
            <w:pPr>
              <w:bidi w:val="0"/>
              <w:spacing w:before="60"/>
              <w:jc w:val="center"/>
              <w:rPr>
                <w:rFonts w:ascii="Times New Roman" w:hAnsi="Times New Roman" w:cs="Times New Roman"/>
                <w:bCs/>
                <w:lang w:val="en-US"/>
              </w:rPr>
            </w:pPr>
            <w:r w:rsidRPr="008916C2">
              <w:rPr>
                <w:rFonts w:asciiTheme="majorBidi" w:eastAsia="Times New Roman" w:hAnsiTheme="majorBidi" w:cstheme="majorBidi"/>
                <w:b/>
                <w:bCs/>
                <w:color w:val="000000"/>
              </w:rPr>
              <w:br w:type="page"/>
            </w:r>
            <w:r w:rsidRPr="008916C2">
              <w:rPr>
                <w:rFonts w:ascii="Times New Roman" w:eastAsia="Times New Roman" w:hAnsi="Times New Roman" w:cs="Times New Roman"/>
                <w:b/>
                <w:bCs/>
                <w:lang w:bidi="ar-SA"/>
              </w:rPr>
              <w:t>Supplementary Table 5:</w:t>
            </w:r>
            <w:r w:rsidRPr="008916C2">
              <w:rPr>
                <w:rFonts w:ascii="Times New Roman" w:eastAsia="Times New Roman" w:hAnsi="Times New Roman" w:cs="Times New Roman"/>
                <w:lang w:bidi="ar-SA"/>
              </w:rPr>
              <w:t xml:space="preserve"> </w:t>
            </w:r>
            <w:r w:rsidRPr="008916C2">
              <w:rPr>
                <w:rFonts w:ascii="Times New Roman" w:hAnsi="Times New Roman" w:cs="Times New Roman"/>
              </w:rPr>
              <w:t xml:space="preserve"> Details of quality assessment of </w:t>
            </w:r>
            <w:r w:rsidRPr="008916C2">
              <w:rPr>
                <w:rFonts w:ascii="Times New Roman" w:hAnsi="Times New Roman" w:cs="Times New Roman"/>
                <w:lang w:val="en-US"/>
              </w:rPr>
              <w:t xml:space="preserve">cross-sectional and case-control </w:t>
            </w:r>
            <w:r w:rsidRPr="008916C2">
              <w:rPr>
                <w:rFonts w:ascii="Times New Roman" w:hAnsi="Times New Roman" w:cs="Times New Roman"/>
              </w:rPr>
              <w:t>studies</w:t>
            </w:r>
            <w:r w:rsidRPr="008916C2">
              <w:rPr>
                <w:rFonts w:ascii="Times New Roman" w:eastAsia="Times New Roman" w:hAnsi="Times New Roman" w:cs="Times New Roman"/>
                <w:b/>
                <w:bCs/>
              </w:rPr>
              <w:t xml:space="preserve"> </w:t>
            </w:r>
            <w:r w:rsidRPr="008916C2">
              <w:rPr>
                <w:rFonts w:ascii="Times New Roman" w:hAnsi="Times New Roman" w:cs="Times New Roman"/>
              </w:rPr>
              <w:t xml:space="preserve">included </w:t>
            </w:r>
            <w:r w:rsidRPr="008916C2">
              <w:rPr>
                <w:rFonts w:ascii="Times New Roman" w:eastAsia="Times New Roman" w:hAnsi="Times New Roman" w:cs="Times New Roman"/>
              </w:rPr>
              <w:t>in the systematic review and meta-analysis based ROBINS-1</w:t>
            </w:r>
          </w:p>
        </w:tc>
      </w:tr>
      <w:tr w:rsidR="007D3937" w:rsidRPr="008916C2" w14:paraId="12A3525C" w14:textId="77777777" w:rsidTr="00792B14">
        <w:trPr>
          <w:trHeight w:val="1720"/>
        </w:trPr>
        <w:tc>
          <w:tcPr>
            <w:tcW w:w="2552" w:type="dxa"/>
            <w:tcBorders>
              <w:top w:val="single" w:sz="4" w:space="0" w:color="auto"/>
              <w:bottom w:val="single" w:sz="4" w:space="0" w:color="auto"/>
            </w:tcBorders>
          </w:tcPr>
          <w:p w14:paraId="3586A8CE" w14:textId="77777777" w:rsidR="007D3937" w:rsidRPr="008916C2" w:rsidRDefault="007D3937" w:rsidP="007A7F6F">
            <w:pPr>
              <w:bidi w:val="0"/>
              <w:spacing w:before="60"/>
              <w:rPr>
                <w:rFonts w:ascii="Times New Roman" w:hAnsi="Times New Roman" w:cs="Times New Roman"/>
                <w:bCs/>
                <w:lang w:val="en-US"/>
              </w:rPr>
            </w:pPr>
            <w:r w:rsidRPr="008916C2">
              <w:rPr>
                <w:rFonts w:ascii="Times New Roman" w:hAnsi="Times New Roman" w:cs="Times New Roman"/>
                <w:bCs/>
                <w:lang w:val="en-US"/>
              </w:rPr>
              <w:t>Study</w:t>
            </w:r>
          </w:p>
        </w:tc>
        <w:tc>
          <w:tcPr>
            <w:tcW w:w="1795" w:type="dxa"/>
            <w:tcBorders>
              <w:top w:val="single" w:sz="4" w:space="0" w:color="auto"/>
              <w:bottom w:val="single" w:sz="4" w:space="0" w:color="auto"/>
            </w:tcBorders>
          </w:tcPr>
          <w:p w14:paraId="0A06C9E5" w14:textId="77777777" w:rsidR="007D3937" w:rsidRPr="008916C2" w:rsidRDefault="007D3937" w:rsidP="007A7F6F">
            <w:pPr>
              <w:bidi w:val="0"/>
              <w:spacing w:before="60"/>
              <w:rPr>
                <w:rFonts w:ascii="Times New Roman" w:hAnsi="Times New Roman" w:cs="Times New Roman"/>
                <w:bCs/>
                <w:lang w:val="en-US"/>
              </w:rPr>
            </w:pPr>
            <w:r w:rsidRPr="008916C2">
              <w:rPr>
                <w:rFonts w:ascii="Times New Roman" w:hAnsi="Times New Roman" w:cs="Times New Roman"/>
                <w:bCs/>
                <w:lang w:val="en-US"/>
              </w:rPr>
              <w:t>Bias due to confounding</w:t>
            </w:r>
          </w:p>
        </w:tc>
        <w:tc>
          <w:tcPr>
            <w:tcW w:w="1313" w:type="dxa"/>
            <w:tcBorders>
              <w:top w:val="single" w:sz="4" w:space="0" w:color="auto"/>
              <w:bottom w:val="single" w:sz="4" w:space="0" w:color="auto"/>
            </w:tcBorders>
          </w:tcPr>
          <w:p w14:paraId="417C0E9D" w14:textId="77777777" w:rsidR="007D3937" w:rsidRPr="008916C2" w:rsidRDefault="007D3937" w:rsidP="007A7F6F">
            <w:pPr>
              <w:bidi w:val="0"/>
              <w:spacing w:before="60"/>
              <w:rPr>
                <w:rFonts w:ascii="Times New Roman" w:hAnsi="Times New Roman" w:cs="Times New Roman"/>
                <w:bCs/>
                <w:lang w:val="en-US"/>
              </w:rPr>
            </w:pPr>
            <w:r w:rsidRPr="008916C2">
              <w:rPr>
                <w:rFonts w:ascii="Times New Roman" w:hAnsi="Times New Roman" w:cs="Times New Roman"/>
                <w:bCs/>
                <w:lang w:val="en-US"/>
              </w:rPr>
              <w:t>Bias due to selection of participants</w:t>
            </w:r>
          </w:p>
        </w:tc>
        <w:tc>
          <w:tcPr>
            <w:tcW w:w="1899" w:type="dxa"/>
            <w:tcBorders>
              <w:top w:val="single" w:sz="4" w:space="0" w:color="auto"/>
              <w:bottom w:val="single" w:sz="4" w:space="0" w:color="auto"/>
            </w:tcBorders>
          </w:tcPr>
          <w:p w14:paraId="4F496E42" w14:textId="77777777" w:rsidR="007D3937" w:rsidRPr="008916C2" w:rsidRDefault="007D3937" w:rsidP="007A7F6F">
            <w:pPr>
              <w:bidi w:val="0"/>
              <w:spacing w:before="60"/>
              <w:rPr>
                <w:rFonts w:ascii="Times New Roman" w:hAnsi="Times New Roman" w:cs="Times New Roman"/>
                <w:bCs/>
                <w:lang w:val="en-US"/>
              </w:rPr>
            </w:pPr>
            <w:r w:rsidRPr="008916C2">
              <w:rPr>
                <w:rFonts w:ascii="Times New Roman" w:hAnsi="Times New Roman" w:cs="Times New Roman"/>
                <w:bCs/>
                <w:lang w:val="en-US"/>
              </w:rPr>
              <w:t>Bias due to exposure assessment</w:t>
            </w:r>
          </w:p>
        </w:tc>
        <w:tc>
          <w:tcPr>
            <w:tcW w:w="1621" w:type="dxa"/>
            <w:tcBorders>
              <w:top w:val="single" w:sz="4" w:space="0" w:color="auto"/>
              <w:bottom w:val="single" w:sz="4" w:space="0" w:color="auto"/>
            </w:tcBorders>
          </w:tcPr>
          <w:p w14:paraId="4F17AFEB" w14:textId="77777777" w:rsidR="007D3937" w:rsidRPr="008916C2" w:rsidRDefault="007D3937" w:rsidP="007A7F6F">
            <w:pPr>
              <w:bidi w:val="0"/>
              <w:spacing w:before="60"/>
              <w:rPr>
                <w:rFonts w:ascii="Times New Roman" w:hAnsi="Times New Roman" w:cs="Times New Roman"/>
                <w:bCs/>
                <w:lang w:val="en-US"/>
              </w:rPr>
            </w:pPr>
            <w:r w:rsidRPr="008916C2">
              <w:rPr>
                <w:rFonts w:ascii="Times New Roman" w:hAnsi="Times New Roman" w:cs="Times New Roman"/>
                <w:bCs/>
                <w:lang w:val="en-US"/>
              </w:rPr>
              <w:t>Bias due to misclassification during follow-up</w:t>
            </w:r>
            <w:r w:rsidRPr="008916C2">
              <w:rPr>
                <w:rFonts w:ascii="Times New Roman" w:hAnsi="Times New Roman" w:cs="Times New Roman" w:hint="cs"/>
                <w:bCs/>
                <w:vertAlign w:val="superscript"/>
                <w:rtl/>
                <w:lang w:val="en-US" w:bidi="fa-IR"/>
              </w:rPr>
              <w:t xml:space="preserve"> </w:t>
            </w:r>
            <w:r w:rsidR="0057276A" w:rsidRPr="008916C2">
              <w:rPr>
                <w:rFonts w:ascii="Times New Roman" w:hAnsi="Times New Roman" w:cs="Times New Roman"/>
                <w:bCs/>
                <w:vertAlign w:val="superscript"/>
                <w:lang w:val="en-US" w:bidi="fa-IR"/>
              </w:rPr>
              <w:t>1</w:t>
            </w:r>
          </w:p>
        </w:tc>
        <w:tc>
          <w:tcPr>
            <w:tcW w:w="1254" w:type="dxa"/>
            <w:tcBorders>
              <w:top w:val="single" w:sz="4" w:space="0" w:color="auto"/>
              <w:bottom w:val="single" w:sz="4" w:space="0" w:color="auto"/>
            </w:tcBorders>
          </w:tcPr>
          <w:p w14:paraId="5AC4B152" w14:textId="77777777" w:rsidR="007D3937" w:rsidRPr="008916C2" w:rsidRDefault="007D3937" w:rsidP="007A7F6F">
            <w:pPr>
              <w:bidi w:val="0"/>
              <w:spacing w:before="60"/>
              <w:rPr>
                <w:rFonts w:ascii="Times New Roman" w:hAnsi="Times New Roman" w:cs="Times New Roman"/>
                <w:bCs/>
                <w:lang w:val="en-US" w:bidi="fa-IR"/>
              </w:rPr>
            </w:pPr>
            <w:r w:rsidRPr="008916C2">
              <w:rPr>
                <w:rFonts w:ascii="Times New Roman" w:hAnsi="Times New Roman" w:cs="Times New Roman"/>
                <w:bCs/>
                <w:lang w:val="en-US"/>
              </w:rPr>
              <w:t>Bias due to missing data</w:t>
            </w:r>
            <w:r w:rsidRPr="008916C2">
              <w:rPr>
                <w:rFonts w:ascii="Times New Roman" w:hAnsi="Times New Roman" w:cs="Times New Roman" w:hint="cs"/>
                <w:bCs/>
                <w:rtl/>
                <w:lang w:val="en-US" w:bidi="fa-IR"/>
              </w:rPr>
              <w:t xml:space="preserve"> </w:t>
            </w:r>
          </w:p>
        </w:tc>
        <w:tc>
          <w:tcPr>
            <w:tcW w:w="1541" w:type="dxa"/>
            <w:tcBorders>
              <w:top w:val="single" w:sz="4" w:space="0" w:color="auto"/>
              <w:bottom w:val="single" w:sz="4" w:space="0" w:color="auto"/>
            </w:tcBorders>
          </w:tcPr>
          <w:p w14:paraId="46D386A8" w14:textId="77777777" w:rsidR="007D3937" w:rsidRPr="008916C2" w:rsidRDefault="007D3937" w:rsidP="007A7F6F">
            <w:pPr>
              <w:bidi w:val="0"/>
              <w:spacing w:before="60"/>
              <w:rPr>
                <w:rFonts w:ascii="Times New Roman" w:hAnsi="Times New Roman" w:cs="Times New Roman"/>
                <w:bCs/>
                <w:lang w:val="en-US"/>
              </w:rPr>
            </w:pPr>
            <w:r w:rsidRPr="008916C2">
              <w:rPr>
                <w:rFonts w:ascii="Times New Roman" w:hAnsi="Times New Roman" w:cs="Times New Roman"/>
                <w:bCs/>
                <w:lang w:val="en-US"/>
              </w:rPr>
              <w:t>Bias due to measurement of the outcome</w:t>
            </w:r>
          </w:p>
        </w:tc>
        <w:tc>
          <w:tcPr>
            <w:tcW w:w="1465" w:type="dxa"/>
            <w:tcBorders>
              <w:top w:val="single" w:sz="4" w:space="0" w:color="auto"/>
              <w:bottom w:val="single" w:sz="4" w:space="0" w:color="auto"/>
            </w:tcBorders>
          </w:tcPr>
          <w:p w14:paraId="3BE1BC24" w14:textId="77777777" w:rsidR="007D3937" w:rsidRPr="008916C2" w:rsidRDefault="007D3937" w:rsidP="007A7F6F">
            <w:pPr>
              <w:bidi w:val="0"/>
              <w:spacing w:before="60"/>
              <w:rPr>
                <w:rFonts w:ascii="Times New Roman" w:hAnsi="Times New Roman" w:cs="Times New Roman"/>
                <w:bCs/>
                <w:lang w:val="en-US"/>
              </w:rPr>
            </w:pPr>
            <w:r w:rsidRPr="008916C2">
              <w:rPr>
                <w:rFonts w:ascii="Times New Roman" w:hAnsi="Times New Roman" w:cs="Times New Roman"/>
                <w:bCs/>
                <w:lang w:val="en-US"/>
              </w:rPr>
              <w:t>Bias due to selective reporting of the results</w:t>
            </w:r>
          </w:p>
        </w:tc>
        <w:tc>
          <w:tcPr>
            <w:tcW w:w="1272" w:type="dxa"/>
            <w:tcBorders>
              <w:top w:val="single" w:sz="4" w:space="0" w:color="auto"/>
              <w:bottom w:val="single" w:sz="4" w:space="0" w:color="auto"/>
            </w:tcBorders>
          </w:tcPr>
          <w:p w14:paraId="5DFB7423" w14:textId="77777777" w:rsidR="007D3937" w:rsidRPr="008916C2" w:rsidRDefault="007D3937" w:rsidP="007A7F6F">
            <w:pPr>
              <w:bidi w:val="0"/>
              <w:spacing w:before="60"/>
              <w:rPr>
                <w:rFonts w:ascii="Times New Roman" w:hAnsi="Times New Roman" w:cs="Times New Roman"/>
                <w:bCs/>
                <w:lang w:val="en-US"/>
              </w:rPr>
            </w:pPr>
            <w:r w:rsidRPr="008916C2">
              <w:rPr>
                <w:rFonts w:ascii="Times New Roman" w:hAnsi="Times New Roman" w:cs="Times New Roman"/>
                <w:bCs/>
                <w:lang w:val="en-US"/>
              </w:rPr>
              <w:t>Overall judgement</w:t>
            </w:r>
          </w:p>
        </w:tc>
      </w:tr>
      <w:tr w:rsidR="007D3937" w:rsidRPr="008916C2" w14:paraId="3831144D" w14:textId="77777777" w:rsidTr="00792B14">
        <w:trPr>
          <w:trHeight w:val="392"/>
        </w:trPr>
        <w:tc>
          <w:tcPr>
            <w:tcW w:w="2552" w:type="dxa"/>
            <w:tcBorders>
              <w:top w:val="single" w:sz="4" w:space="0" w:color="auto"/>
            </w:tcBorders>
          </w:tcPr>
          <w:p w14:paraId="1E9B5FA0" w14:textId="77777777" w:rsidR="007D3937" w:rsidRPr="008916C2" w:rsidRDefault="007D3937" w:rsidP="007A7F6F">
            <w:pPr>
              <w:bidi w:val="0"/>
              <w:spacing w:before="60" w:after="60"/>
              <w:rPr>
                <w:rFonts w:asciiTheme="majorBidi" w:hAnsiTheme="majorBidi" w:cstheme="majorBidi"/>
              </w:rPr>
            </w:pPr>
            <w:r w:rsidRPr="008916C2">
              <w:rPr>
                <w:rFonts w:asciiTheme="majorBidi" w:hAnsiTheme="majorBidi" w:cstheme="majorBidi"/>
              </w:rPr>
              <w:t>Zhang (2024)</w:t>
            </w:r>
          </w:p>
        </w:tc>
        <w:tc>
          <w:tcPr>
            <w:tcW w:w="1795" w:type="dxa"/>
            <w:tcBorders>
              <w:top w:val="single" w:sz="4" w:space="0" w:color="auto"/>
            </w:tcBorders>
          </w:tcPr>
          <w:p w14:paraId="49B04C8C"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Borders>
              <w:top w:val="single" w:sz="4" w:space="0" w:color="auto"/>
            </w:tcBorders>
          </w:tcPr>
          <w:p w14:paraId="0B758562"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Borders>
              <w:top w:val="single" w:sz="4" w:space="0" w:color="auto"/>
            </w:tcBorders>
          </w:tcPr>
          <w:p w14:paraId="368AB102"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tcBorders>
              <w:top w:val="single" w:sz="4" w:space="0" w:color="auto"/>
            </w:tcBorders>
          </w:tcPr>
          <w:p w14:paraId="01B55A3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tcBorders>
              <w:top w:val="single" w:sz="4" w:space="0" w:color="auto"/>
            </w:tcBorders>
          </w:tcPr>
          <w:p w14:paraId="2553BF1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tcBorders>
              <w:top w:val="single" w:sz="4" w:space="0" w:color="auto"/>
            </w:tcBorders>
          </w:tcPr>
          <w:p w14:paraId="18D587A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Borders>
              <w:top w:val="single" w:sz="4" w:space="0" w:color="auto"/>
            </w:tcBorders>
          </w:tcPr>
          <w:p w14:paraId="52C2F7E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Borders>
              <w:top w:val="single" w:sz="4" w:space="0" w:color="auto"/>
            </w:tcBorders>
          </w:tcPr>
          <w:p w14:paraId="1CAD1CA8"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7D3937" w:rsidRPr="008916C2" w14:paraId="0EB41513" w14:textId="77777777" w:rsidTr="00792B14">
        <w:trPr>
          <w:trHeight w:val="392"/>
        </w:trPr>
        <w:tc>
          <w:tcPr>
            <w:tcW w:w="2552" w:type="dxa"/>
          </w:tcPr>
          <w:p w14:paraId="4DE49B7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heme="majorBidi" w:hAnsiTheme="majorBidi" w:cstheme="majorBidi"/>
              </w:rPr>
              <w:t>Dai</w:t>
            </w:r>
            <w:r w:rsidRPr="008916C2">
              <w:rPr>
                <w:rFonts w:asciiTheme="majorBidi" w:hAnsiTheme="majorBidi" w:cstheme="majorBidi"/>
                <w:color w:val="0D0D0D" w:themeColor="text1" w:themeTint="F2"/>
              </w:rPr>
              <w:t xml:space="preserve"> (</w:t>
            </w:r>
            <w:r w:rsidRPr="008916C2">
              <w:rPr>
                <w:rFonts w:asciiTheme="majorBidi" w:hAnsiTheme="majorBidi" w:cstheme="majorBidi"/>
              </w:rPr>
              <w:t>2022)</w:t>
            </w:r>
          </w:p>
        </w:tc>
        <w:tc>
          <w:tcPr>
            <w:tcW w:w="1795" w:type="dxa"/>
          </w:tcPr>
          <w:p w14:paraId="562C5D92"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Pr>
          <w:p w14:paraId="7F0E9F3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899" w:type="dxa"/>
          </w:tcPr>
          <w:p w14:paraId="6EFF513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621" w:type="dxa"/>
          </w:tcPr>
          <w:p w14:paraId="53DB2FB3" w14:textId="77777777" w:rsidR="007D3937" w:rsidRPr="008916C2" w:rsidRDefault="007D3937" w:rsidP="007A7F6F">
            <w:pPr>
              <w:bidi w:val="0"/>
              <w:spacing w:before="60" w:after="60"/>
              <w:rPr>
                <w:rFonts w:ascii="Times New Roman" w:hAnsi="Times New Roman" w:cs="Times New Roman"/>
                <w:bCs/>
                <w:rtl/>
                <w:lang w:val="en-US" w:bidi="fa-IR"/>
              </w:rPr>
            </w:pPr>
            <w:r w:rsidRPr="008916C2">
              <w:rPr>
                <w:rFonts w:ascii="Times New Roman" w:hAnsi="Times New Roman" w:cs="Times New Roman"/>
                <w:bCs/>
                <w:lang w:val="en-US"/>
              </w:rPr>
              <w:t>Moderate</w:t>
            </w:r>
          </w:p>
        </w:tc>
        <w:tc>
          <w:tcPr>
            <w:tcW w:w="1254" w:type="dxa"/>
          </w:tcPr>
          <w:p w14:paraId="1AC1D0F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tcPr>
          <w:p w14:paraId="1879DBD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465" w:type="dxa"/>
          </w:tcPr>
          <w:p w14:paraId="15F3674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35CCD92B" w14:textId="77777777" w:rsidR="007D3937" w:rsidRPr="008916C2" w:rsidRDefault="007D3937" w:rsidP="007A7F6F">
            <w:pPr>
              <w:bidi w:val="0"/>
              <w:spacing w:before="60" w:after="60"/>
              <w:rPr>
                <w:rFonts w:ascii="Times New Roman" w:hAnsi="Times New Roman" w:cs="Times New Roman"/>
                <w:bCs/>
                <w:lang w:val="en-US" w:bidi="fa-IR"/>
              </w:rPr>
            </w:pPr>
            <w:r w:rsidRPr="008916C2">
              <w:rPr>
                <w:rFonts w:ascii="Times New Roman" w:hAnsi="Times New Roman" w:cs="Times New Roman"/>
                <w:bCs/>
                <w:lang w:val="en-US"/>
              </w:rPr>
              <w:t>Serious</w:t>
            </w:r>
          </w:p>
        </w:tc>
      </w:tr>
      <w:tr w:rsidR="007D3937" w:rsidRPr="008916C2" w14:paraId="38E7C44D" w14:textId="77777777" w:rsidTr="00792B14">
        <w:trPr>
          <w:trHeight w:val="407"/>
        </w:trPr>
        <w:tc>
          <w:tcPr>
            <w:tcW w:w="2552" w:type="dxa"/>
          </w:tcPr>
          <w:p w14:paraId="2D99343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heme="majorBidi" w:hAnsiTheme="majorBidi" w:cstheme="majorBidi"/>
              </w:rPr>
              <w:t>Lv</w:t>
            </w:r>
            <w:r w:rsidRPr="008916C2">
              <w:rPr>
                <w:rFonts w:asciiTheme="majorBidi" w:hAnsiTheme="majorBidi" w:cstheme="majorBidi"/>
                <w:color w:val="0D0D0D" w:themeColor="text1" w:themeTint="F2"/>
              </w:rPr>
              <w:t xml:space="preserve"> (</w:t>
            </w:r>
            <w:r w:rsidRPr="008916C2">
              <w:rPr>
                <w:rFonts w:asciiTheme="majorBidi" w:hAnsiTheme="majorBidi" w:cstheme="majorBidi"/>
              </w:rPr>
              <w:t>2022)</w:t>
            </w:r>
          </w:p>
        </w:tc>
        <w:tc>
          <w:tcPr>
            <w:tcW w:w="1795" w:type="dxa"/>
          </w:tcPr>
          <w:p w14:paraId="6974482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Pr>
          <w:p w14:paraId="2D006F1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04B268F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No information</w:t>
            </w:r>
          </w:p>
        </w:tc>
        <w:tc>
          <w:tcPr>
            <w:tcW w:w="1621" w:type="dxa"/>
          </w:tcPr>
          <w:p w14:paraId="4B70F078"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tcPr>
          <w:p w14:paraId="46C5FC4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tcPr>
          <w:p w14:paraId="346C94C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44944D5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0868D60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7D3937" w:rsidRPr="008916C2" w14:paraId="40B71C8E" w14:textId="77777777" w:rsidTr="00792B14">
        <w:trPr>
          <w:trHeight w:val="392"/>
        </w:trPr>
        <w:tc>
          <w:tcPr>
            <w:tcW w:w="2552" w:type="dxa"/>
          </w:tcPr>
          <w:p w14:paraId="2E629E2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heme="majorBidi" w:hAnsiTheme="majorBidi" w:cstheme="majorBidi"/>
                <w:color w:val="0D0D0D" w:themeColor="text1" w:themeTint="F2"/>
              </w:rPr>
              <w:t>Zheng (2022)</w:t>
            </w:r>
          </w:p>
        </w:tc>
        <w:tc>
          <w:tcPr>
            <w:tcW w:w="1795" w:type="dxa"/>
          </w:tcPr>
          <w:p w14:paraId="185B2D3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Pr>
          <w:p w14:paraId="7CE377E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3D7B53E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tcPr>
          <w:p w14:paraId="3F4E71F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tcPr>
          <w:p w14:paraId="3F76577C"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tcPr>
          <w:p w14:paraId="3A07129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3C608C2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5EECE26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7D3937" w:rsidRPr="008916C2" w14:paraId="53E07718" w14:textId="77777777" w:rsidTr="00792B14">
        <w:trPr>
          <w:trHeight w:val="407"/>
        </w:trPr>
        <w:tc>
          <w:tcPr>
            <w:tcW w:w="2552" w:type="dxa"/>
          </w:tcPr>
          <w:p w14:paraId="4BCF4CD3" w14:textId="77777777" w:rsidR="007D3937" w:rsidRPr="008916C2" w:rsidRDefault="007D3937" w:rsidP="007A7F6F">
            <w:pPr>
              <w:bidi w:val="0"/>
              <w:spacing w:before="60" w:after="60"/>
              <w:rPr>
                <w:rFonts w:asciiTheme="majorBidi" w:hAnsiTheme="majorBidi" w:cstheme="majorBidi"/>
                <w:color w:val="0D0D0D" w:themeColor="text1" w:themeTint="F2"/>
              </w:rPr>
            </w:pPr>
            <w:r w:rsidRPr="008916C2">
              <w:rPr>
                <w:rFonts w:asciiTheme="majorBidi" w:hAnsiTheme="majorBidi" w:cstheme="majorBidi"/>
              </w:rPr>
              <w:t>Liu (2021)</w:t>
            </w:r>
          </w:p>
        </w:tc>
        <w:tc>
          <w:tcPr>
            <w:tcW w:w="1795" w:type="dxa"/>
          </w:tcPr>
          <w:p w14:paraId="6AC3214D"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313" w:type="dxa"/>
          </w:tcPr>
          <w:p w14:paraId="5AE1815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182B651C"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tcPr>
          <w:p w14:paraId="53D2A4BC"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tcPr>
          <w:p w14:paraId="530697AA"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tcPr>
          <w:p w14:paraId="3EF526A8"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5DD8C2F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5FBC3F97"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7D3937" w:rsidRPr="008916C2" w14:paraId="05488BEE" w14:textId="77777777" w:rsidTr="00792B14">
        <w:trPr>
          <w:trHeight w:val="392"/>
        </w:trPr>
        <w:tc>
          <w:tcPr>
            <w:tcW w:w="2552" w:type="dxa"/>
          </w:tcPr>
          <w:p w14:paraId="6545BB7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heme="majorBidi" w:hAnsiTheme="majorBidi" w:cstheme="majorBidi"/>
                <w:color w:val="0D0D0D" w:themeColor="text1" w:themeTint="F2"/>
              </w:rPr>
              <w:t>Xiao</w:t>
            </w:r>
            <w:r w:rsidRPr="008916C2">
              <w:rPr>
                <w:rFonts w:asciiTheme="majorBidi" w:hAnsiTheme="majorBidi" w:cstheme="majorBidi"/>
              </w:rPr>
              <w:t xml:space="preserve"> (</w:t>
            </w:r>
            <w:r w:rsidRPr="008916C2">
              <w:rPr>
                <w:rFonts w:asciiTheme="majorBidi" w:hAnsiTheme="majorBidi" w:cstheme="majorBidi"/>
                <w:color w:val="0D0D0D" w:themeColor="text1" w:themeTint="F2"/>
              </w:rPr>
              <w:t>2020)</w:t>
            </w:r>
          </w:p>
        </w:tc>
        <w:tc>
          <w:tcPr>
            <w:tcW w:w="1795" w:type="dxa"/>
          </w:tcPr>
          <w:p w14:paraId="3F36C09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Pr>
          <w:p w14:paraId="328654D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66709D1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0948041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2AD142F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3903C7F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611A2ED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448389C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7D3937" w:rsidRPr="008916C2" w14:paraId="4F7EA624" w14:textId="77777777" w:rsidTr="00792B14">
        <w:trPr>
          <w:trHeight w:val="392"/>
        </w:trPr>
        <w:tc>
          <w:tcPr>
            <w:tcW w:w="2552" w:type="dxa"/>
          </w:tcPr>
          <w:p w14:paraId="4B2CE2A2" w14:textId="77777777" w:rsidR="007D3937" w:rsidRPr="008916C2" w:rsidRDefault="007D3937" w:rsidP="007A7F6F">
            <w:pPr>
              <w:bidi w:val="0"/>
              <w:spacing w:before="60" w:after="60"/>
              <w:rPr>
                <w:rFonts w:ascii="Times New Roman" w:hAnsi="Times New Roman" w:cs="Times New Roman"/>
                <w:bCs/>
                <w:lang w:val="en-US"/>
              </w:rPr>
            </w:pPr>
            <w:r w:rsidRPr="008916C2">
              <w:rPr>
                <w:rFonts w:asciiTheme="majorBidi" w:hAnsiTheme="majorBidi" w:cstheme="majorBidi"/>
                <w:color w:val="0D0D0D" w:themeColor="text1" w:themeTint="F2"/>
              </w:rPr>
              <w:t>Kim</w:t>
            </w:r>
            <w:r w:rsidRPr="008916C2">
              <w:rPr>
                <w:rFonts w:asciiTheme="majorBidi" w:hAnsiTheme="majorBidi" w:cstheme="majorBidi"/>
              </w:rPr>
              <w:t xml:space="preserve"> </w:t>
            </w:r>
            <w:r w:rsidRPr="008916C2">
              <w:rPr>
                <w:rFonts w:asciiTheme="majorBidi" w:hAnsiTheme="majorBidi" w:cstheme="majorBidi"/>
                <w:color w:val="0D0D0D" w:themeColor="text1" w:themeTint="F2"/>
              </w:rPr>
              <w:t>(2020)</w:t>
            </w:r>
          </w:p>
        </w:tc>
        <w:tc>
          <w:tcPr>
            <w:tcW w:w="1795" w:type="dxa"/>
          </w:tcPr>
          <w:p w14:paraId="13FF2B0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313" w:type="dxa"/>
          </w:tcPr>
          <w:p w14:paraId="3F22A50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2F20DBB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1A992EA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01A09C1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0990A76D"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0D73B34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2AB07B8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7D3937" w:rsidRPr="008916C2" w14:paraId="2F06FAAA" w14:textId="77777777" w:rsidTr="00792B14">
        <w:trPr>
          <w:trHeight w:val="407"/>
        </w:trPr>
        <w:tc>
          <w:tcPr>
            <w:tcW w:w="2552" w:type="dxa"/>
          </w:tcPr>
          <w:p w14:paraId="48B8A3F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heme="majorBidi" w:hAnsiTheme="majorBidi" w:cstheme="majorBidi"/>
                <w:color w:val="0D0D0D" w:themeColor="text1" w:themeTint="F2"/>
              </w:rPr>
              <w:t>Xiu (2020)</w:t>
            </w:r>
          </w:p>
        </w:tc>
        <w:tc>
          <w:tcPr>
            <w:tcW w:w="1795" w:type="dxa"/>
          </w:tcPr>
          <w:p w14:paraId="6E76CD4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Pr>
          <w:p w14:paraId="5EAF51B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899" w:type="dxa"/>
          </w:tcPr>
          <w:p w14:paraId="06DE1F9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126DA17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12D931D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315AFC5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0A8FAEFD"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4538CC6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7D3937" w:rsidRPr="008916C2" w14:paraId="23EFC1CE" w14:textId="77777777" w:rsidTr="00792B14">
        <w:trPr>
          <w:trHeight w:val="392"/>
        </w:trPr>
        <w:tc>
          <w:tcPr>
            <w:tcW w:w="2552" w:type="dxa"/>
          </w:tcPr>
          <w:p w14:paraId="39CB24C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heme="majorBidi" w:hAnsiTheme="majorBidi" w:cstheme="majorBidi"/>
                <w:color w:val="0D0D0D" w:themeColor="text1" w:themeTint="F2"/>
              </w:rPr>
              <w:t>Van den Berg (2020)</w:t>
            </w:r>
          </w:p>
        </w:tc>
        <w:tc>
          <w:tcPr>
            <w:tcW w:w="1795" w:type="dxa"/>
          </w:tcPr>
          <w:p w14:paraId="414E91AD"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Pr>
          <w:p w14:paraId="7E377A3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899" w:type="dxa"/>
          </w:tcPr>
          <w:p w14:paraId="31580D5C"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1A054EA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58A61F8C"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78152C6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5F545C0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425A796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7D3937" w:rsidRPr="008916C2" w14:paraId="724CFAB4" w14:textId="77777777" w:rsidTr="00792B14">
        <w:trPr>
          <w:trHeight w:val="407"/>
        </w:trPr>
        <w:tc>
          <w:tcPr>
            <w:tcW w:w="2552" w:type="dxa"/>
          </w:tcPr>
          <w:p w14:paraId="3FEAB27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heme="majorBidi" w:hAnsiTheme="majorBidi" w:cstheme="majorBidi"/>
                <w:color w:val="0D0D0D" w:themeColor="text1" w:themeTint="F2"/>
              </w:rPr>
              <w:t>O’Halloran (2020)</w:t>
            </w:r>
          </w:p>
        </w:tc>
        <w:tc>
          <w:tcPr>
            <w:tcW w:w="1795" w:type="dxa"/>
          </w:tcPr>
          <w:p w14:paraId="29CD1C4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313" w:type="dxa"/>
          </w:tcPr>
          <w:p w14:paraId="3CC3A218"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382E50A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63D9F482"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3B85FC2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1E26AD8C"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4CDC9DBD"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469C393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7D3937" w:rsidRPr="008916C2" w14:paraId="6D7BD6D2" w14:textId="77777777" w:rsidTr="00792B14">
        <w:trPr>
          <w:trHeight w:val="392"/>
        </w:trPr>
        <w:tc>
          <w:tcPr>
            <w:tcW w:w="2552" w:type="dxa"/>
          </w:tcPr>
          <w:p w14:paraId="0E3ABCE9"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Jung (2020)</w:t>
            </w:r>
          </w:p>
        </w:tc>
        <w:tc>
          <w:tcPr>
            <w:tcW w:w="1795" w:type="dxa"/>
          </w:tcPr>
          <w:p w14:paraId="7E6DF14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Pr>
          <w:p w14:paraId="5ACF6C8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899" w:type="dxa"/>
          </w:tcPr>
          <w:p w14:paraId="6282F7D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No information</w:t>
            </w:r>
          </w:p>
        </w:tc>
        <w:tc>
          <w:tcPr>
            <w:tcW w:w="1621" w:type="dxa"/>
            <w:shd w:val="clear" w:color="auto" w:fill="auto"/>
          </w:tcPr>
          <w:p w14:paraId="556BD96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25808237"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4E102F2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5DECD2D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6161516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7D3937" w:rsidRPr="008916C2" w14:paraId="6ADBE997" w14:textId="77777777" w:rsidTr="00792B14">
        <w:trPr>
          <w:trHeight w:val="315"/>
        </w:trPr>
        <w:tc>
          <w:tcPr>
            <w:tcW w:w="2552" w:type="dxa"/>
          </w:tcPr>
          <w:p w14:paraId="42ED154C" w14:textId="77777777" w:rsidR="007D3937" w:rsidRPr="008916C2" w:rsidRDefault="007D3937" w:rsidP="007A7F6F">
            <w:pPr>
              <w:bidi w:val="0"/>
              <w:rPr>
                <w:rFonts w:asciiTheme="majorBidi" w:hAnsiTheme="majorBidi" w:cstheme="majorBidi"/>
                <w:color w:val="0D0D0D" w:themeColor="text1" w:themeTint="F2"/>
              </w:rPr>
            </w:pPr>
            <w:r w:rsidRPr="008916C2">
              <w:rPr>
                <w:rFonts w:asciiTheme="majorBidi" w:hAnsiTheme="majorBidi" w:cstheme="majorBidi"/>
                <w:color w:val="0D0D0D" w:themeColor="text1" w:themeTint="F2"/>
              </w:rPr>
              <w:t>Saeki (2020)</w:t>
            </w:r>
          </w:p>
        </w:tc>
        <w:tc>
          <w:tcPr>
            <w:tcW w:w="1795" w:type="dxa"/>
          </w:tcPr>
          <w:p w14:paraId="1C56EABD"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No information</w:t>
            </w:r>
          </w:p>
        </w:tc>
        <w:tc>
          <w:tcPr>
            <w:tcW w:w="1313" w:type="dxa"/>
          </w:tcPr>
          <w:p w14:paraId="4D781E3D"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899" w:type="dxa"/>
          </w:tcPr>
          <w:p w14:paraId="142CF23D"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1B55CD1A"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45AA281A"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2BD1362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465" w:type="dxa"/>
          </w:tcPr>
          <w:p w14:paraId="14164AC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3640B13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7D3937" w:rsidRPr="008916C2" w14:paraId="777AED64" w14:textId="77777777" w:rsidTr="00792B14">
        <w:trPr>
          <w:trHeight w:val="392"/>
        </w:trPr>
        <w:tc>
          <w:tcPr>
            <w:tcW w:w="2552" w:type="dxa"/>
          </w:tcPr>
          <w:p w14:paraId="119D38CC" w14:textId="77777777" w:rsidR="007D3937" w:rsidRPr="008916C2" w:rsidRDefault="007D3937" w:rsidP="007A7F6F">
            <w:pPr>
              <w:bidi w:val="0"/>
              <w:rPr>
                <w:rFonts w:asciiTheme="majorBidi" w:hAnsiTheme="majorBidi" w:cstheme="majorBidi"/>
                <w:color w:val="0D0D0D" w:themeColor="text1" w:themeTint="F2"/>
              </w:rPr>
            </w:pPr>
            <w:r w:rsidRPr="008916C2">
              <w:rPr>
                <w:rFonts w:asciiTheme="majorBidi" w:hAnsiTheme="majorBidi" w:cstheme="majorBidi"/>
                <w:color w:val="0D0D0D" w:themeColor="text1" w:themeTint="F2"/>
              </w:rPr>
              <w:t>Kochlik (2019)</w:t>
            </w:r>
          </w:p>
        </w:tc>
        <w:tc>
          <w:tcPr>
            <w:tcW w:w="1795" w:type="dxa"/>
          </w:tcPr>
          <w:p w14:paraId="5798B62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Pr>
          <w:p w14:paraId="18912AB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1421B1CA"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6BAE420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1728413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7E59BA4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465" w:type="dxa"/>
          </w:tcPr>
          <w:p w14:paraId="534B5E6D"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0D725D88"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7D3937" w:rsidRPr="008916C2" w14:paraId="190400E2" w14:textId="77777777" w:rsidTr="00792B14">
        <w:trPr>
          <w:trHeight w:val="392"/>
        </w:trPr>
        <w:tc>
          <w:tcPr>
            <w:tcW w:w="2552" w:type="dxa"/>
          </w:tcPr>
          <w:p w14:paraId="41F1FE01"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Pérez-Zepeda (2019)</w:t>
            </w:r>
          </w:p>
        </w:tc>
        <w:tc>
          <w:tcPr>
            <w:tcW w:w="1795" w:type="dxa"/>
          </w:tcPr>
          <w:p w14:paraId="7BAA3CC2"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313" w:type="dxa"/>
          </w:tcPr>
          <w:p w14:paraId="4CE9DAD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427DF17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No information</w:t>
            </w:r>
          </w:p>
        </w:tc>
        <w:tc>
          <w:tcPr>
            <w:tcW w:w="1621" w:type="dxa"/>
            <w:shd w:val="clear" w:color="auto" w:fill="auto"/>
          </w:tcPr>
          <w:p w14:paraId="74A5C11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15EC8AA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2E90350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6D4E6FB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7521494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7D3937" w:rsidRPr="008916C2" w14:paraId="78E28090" w14:textId="77777777" w:rsidTr="00792B14">
        <w:trPr>
          <w:trHeight w:val="407"/>
        </w:trPr>
        <w:tc>
          <w:tcPr>
            <w:tcW w:w="2552" w:type="dxa"/>
          </w:tcPr>
          <w:p w14:paraId="49A28F7B"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Vaes (</w:t>
            </w:r>
            <w:r w:rsidRPr="008916C2">
              <w:rPr>
                <w:rFonts w:asciiTheme="majorBidi" w:hAnsiTheme="majorBidi" w:cstheme="majorBidi"/>
                <w:color w:val="0D0D0D" w:themeColor="text1" w:themeTint="F2"/>
                <w:lang w:bidi="fa-IR"/>
              </w:rPr>
              <w:t>2018)</w:t>
            </w:r>
          </w:p>
        </w:tc>
        <w:tc>
          <w:tcPr>
            <w:tcW w:w="1795" w:type="dxa"/>
          </w:tcPr>
          <w:p w14:paraId="7C67300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313" w:type="dxa"/>
          </w:tcPr>
          <w:p w14:paraId="1DAB892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899" w:type="dxa"/>
          </w:tcPr>
          <w:p w14:paraId="58B8EDE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621" w:type="dxa"/>
            <w:shd w:val="clear" w:color="auto" w:fill="auto"/>
          </w:tcPr>
          <w:p w14:paraId="498B061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75748387"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11E6CB9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465" w:type="dxa"/>
          </w:tcPr>
          <w:p w14:paraId="5E1CB838"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0ED412D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7D3937" w:rsidRPr="008916C2" w14:paraId="50ACDDA6" w14:textId="77777777" w:rsidTr="00792B14">
        <w:trPr>
          <w:trHeight w:val="392"/>
        </w:trPr>
        <w:tc>
          <w:tcPr>
            <w:tcW w:w="2552" w:type="dxa"/>
          </w:tcPr>
          <w:p w14:paraId="246B0DB3" w14:textId="77777777" w:rsidR="007D3937" w:rsidRPr="008916C2" w:rsidRDefault="007D3937" w:rsidP="007A7F6F">
            <w:pPr>
              <w:bidi w:val="0"/>
              <w:rPr>
                <w:rFonts w:asciiTheme="majorBidi" w:hAnsiTheme="majorBidi" w:cstheme="majorBidi"/>
                <w:color w:val="0D0D0D" w:themeColor="text1" w:themeTint="F2"/>
              </w:rPr>
            </w:pPr>
            <w:r w:rsidRPr="008916C2">
              <w:rPr>
                <w:rFonts w:asciiTheme="majorBidi" w:hAnsiTheme="majorBidi" w:cstheme="majorBidi"/>
                <w:color w:val="0D0D0D" w:themeColor="text1" w:themeTint="F2"/>
              </w:rPr>
              <w:t>Spira (2018)</w:t>
            </w:r>
          </w:p>
        </w:tc>
        <w:tc>
          <w:tcPr>
            <w:tcW w:w="1795" w:type="dxa"/>
          </w:tcPr>
          <w:p w14:paraId="39F9496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313" w:type="dxa"/>
          </w:tcPr>
          <w:p w14:paraId="2B817877"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20F73FB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48549BE2"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70ED1AB8"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5326FB1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465" w:type="dxa"/>
          </w:tcPr>
          <w:p w14:paraId="197B2062"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23961B9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7D3937" w:rsidRPr="008916C2" w14:paraId="2121FFDC" w14:textId="77777777" w:rsidTr="00792B14">
        <w:trPr>
          <w:trHeight w:val="407"/>
        </w:trPr>
        <w:tc>
          <w:tcPr>
            <w:tcW w:w="2552" w:type="dxa"/>
          </w:tcPr>
          <w:p w14:paraId="12BFFDD4"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 xml:space="preserve">Sousa-Santos (2018) </w:t>
            </w:r>
          </w:p>
        </w:tc>
        <w:tc>
          <w:tcPr>
            <w:tcW w:w="1795" w:type="dxa"/>
          </w:tcPr>
          <w:p w14:paraId="6A795D4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313" w:type="dxa"/>
          </w:tcPr>
          <w:p w14:paraId="4CFCF7B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1FB6F4E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48DF07B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2F377BE7"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7E991BE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465" w:type="dxa"/>
          </w:tcPr>
          <w:p w14:paraId="52CFE4E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0C8D3B2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7D3937" w:rsidRPr="008916C2" w14:paraId="5EB89E70" w14:textId="77777777" w:rsidTr="00792B14">
        <w:trPr>
          <w:trHeight w:val="182"/>
        </w:trPr>
        <w:tc>
          <w:tcPr>
            <w:tcW w:w="2552" w:type="dxa"/>
          </w:tcPr>
          <w:p w14:paraId="30616E78" w14:textId="77777777" w:rsidR="007D3937" w:rsidRPr="008916C2" w:rsidRDefault="007D3937" w:rsidP="007A7F6F">
            <w:pPr>
              <w:bidi w:val="0"/>
              <w:rPr>
                <w:rFonts w:asciiTheme="majorBidi" w:hAnsiTheme="majorBidi" w:cstheme="majorBidi"/>
                <w:color w:val="0D0D0D" w:themeColor="text1" w:themeTint="F2"/>
              </w:rPr>
            </w:pPr>
            <w:r w:rsidRPr="008916C2">
              <w:rPr>
                <w:rFonts w:asciiTheme="majorBidi" w:hAnsiTheme="majorBidi" w:cstheme="majorBidi"/>
                <w:color w:val="0D0D0D" w:themeColor="text1" w:themeTint="F2"/>
              </w:rPr>
              <w:t>Nascimento (2018)</w:t>
            </w:r>
          </w:p>
        </w:tc>
        <w:tc>
          <w:tcPr>
            <w:tcW w:w="1795" w:type="dxa"/>
          </w:tcPr>
          <w:p w14:paraId="24D7B96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No information</w:t>
            </w:r>
          </w:p>
        </w:tc>
        <w:tc>
          <w:tcPr>
            <w:tcW w:w="1313" w:type="dxa"/>
          </w:tcPr>
          <w:p w14:paraId="02EF722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36FB8A6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6AF86BE7"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5750646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42284AB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465" w:type="dxa"/>
          </w:tcPr>
          <w:p w14:paraId="1EC60D2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2EF3EC2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7D3937" w:rsidRPr="008916C2" w14:paraId="3581AFEA" w14:textId="77777777" w:rsidTr="00792B14">
        <w:trPr>
          <w:trHeight w:val="392"/>
        </w:trPr>
        <w:tc>
          <w:tcPr>
            <w:tcW w:w="2552" w:type="dxa"/>
          </w:tcPr>
          <w:p w14:paraId="6BA326F2"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Kojima (2017)</w:t>
            </w:r>
          </w:p>
        </w:tc>
        <w:tc>
          <w:tcPr>
            <w:tcW w:w="1795" w:type="dxa"/>
          </w:tcPr>
          <w:p w14:paraId="6D1A003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Pr>
          <w:p w14:paraId="1986D97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899" w:type="dxa"/>
          </w:tcPr>
          <w:p w14:paraId="655210A2"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No information</w:t>
            </w:r>
          </w:p>
        </w:tc>
        <w:tc>
          <w:tcPr>
            <w:tcW w:w="1621" w:type="dxa"/>
            <w:shd w:val="clear" w:color="auto" w:fill="auto"/>
          </w:tcPr>
          <w:p w14:paraId="1855059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10C483E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5E049C57"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71EE9FA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6A6EBE2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7D3937" w:rsidRPr="008916C2" w14:paraId="160AFCF1" w14:textId="77777777" w:rsidTr="00792B14">
        <w:trPr>
          <w:trHeight w:val="392"/>
        </w:trPr>
        <w:tc>
          <w:tcPr>
            <w:tcW w:w="2552" w:type="dxa"/>
          </w:tcPr>
          <w:p w14:paraId="4B46845D"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Conzade (2017)</w:t>
            </w:r>
          </w:p>
        </w:tc>
        <w:tc>
          <w:tcPr>
            <w:tcW w:w="1795" w:type="dxa"/>
          </w:tcPr>
          <w:p w14:paraId="6B50D44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313" w:type="dxa"/>
          </w:tcPr>
          <w:p w14:paraId="16EB8DB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65A97A7A"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31CC8CF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0F488FC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541" w:type="dxa"/>
            <w:shd w:val="clear" w:color="auto" w:fill="auto"/>
          </w:tcPr>
          <w:p w14:paraId="6DBFEFD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77623B8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0E921A6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7D3937" w:rsidRPr="008916C2" w14:paraId="75EBA34E" w14:textId="77777777" w:rsidTr="00792B14">
        <w:trPr>
          <w:trHeight w:val="407"/>
        </w:trPr>
        <w:tc>
          <w:tcPr>
            <w:tcW w:w="2552" w:type="dxa"/>
          </w:tcPr>
          <w:p w14:paraId="3E966D23" w14:textId="77777777" w:rsidR="007D3937" w:rsidRPr="008916C2" w:rsidRDefault="007D3937" w:rsidP="007A7F6F">
            <w:pPr>
              <w:bidi w:val="0"/>
              <w:rPr>
                <w:rFonts w:asciiTheme="majorBidi" w:hAnsiTheme="majorBidi" w:cstheme="majorBidi"/>
                <w:color w:val="0D0D0D" w:themeColor="text1" w:themeTint="F2"/>
              </w:rPr>
            </w:pPr>
            <w:r w:rsidRPr="008916C2">
              <w:rPr>
                <w:rFonts w:asciiTheme="majorBidi" w:hAnsiTheme="majorBidi" w:cstheme="majorBidi"/>
                <w:color w:val="0D0D0D" w:themeColor="text1" w:themeTint="F2"/>
              </w:rPr>
              <w:t>Kilaitė (2016)</w:t>
            </w:r>
          </w:p>
        </w:tc>
        <w:tc>
          <w:tcPr>
            <w:tcW w:w="1795" w:type="dxa"/>
          </w:tcPr>
          <w:p w14:paraId="2BE5AB6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313" w:type="dxa"/>
          </w:tcPr>
          <w:p w14:paraId="24EDB0DD"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4DA6E05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15F8F2C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0A85696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3B282F2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0FA5327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4F8D2C5C"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7D3937" w:rsidRPr="008916C2" w14:paraId="67266950" w14:textId="77777777" w:rsidTr="00792B14">
        <w:trPr>
          <w:trHeight w:val="392"/>
        </w:trPr>
        <w:tc>
          <w:tcPr>
            <w:tcW w:w="2552" w:type="dxa"/>
          </w:tcPr>
          <w:p w14:paraId="6BE4D807"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Krams (2016)</w:t>
            </w:r>
          </w:p>
        </w:tc>
        <w:tc>
          <w:tcPr>
            <w:tcW w:w="1795" w:type="dxa"/>
          </w:tcPr>
          <w:p w14:paraId="4540659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Pr>
          <w:p w14:paraId="52859AE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6A95973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07D620E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3CB7DE5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74D93C1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4CE4318D"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694DC25D"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7D3937" w:rsidRPr="008916C2" w14:paraId="1B364F5E" w14:textId="77777777" w:rsidTr="00792B14">
        <w:trPr>
          <w:trHeight w:val="323"/>
        </w:trPr>
        <w:tc>
          <w:tcPr>
            <w:tcW w:w="2552" w:type="dxa"/>
          </w:tcPr>
          <w:p w14:paraId="47A301BF"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Gutiérrez-Robledo (2016)</w:t>
            </w:r>
          </w:p>
        </w:tc>
        <w:tc>
          <w:tcPr>
            <w:tcW w:w="1795" w:type="dxa"/>
          </w:tcPr>
          <w:p w14:paraId="5386D48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313" w:type="dxa"/>
          </w:tcPr>
          <w:p w14:paraId="769323B7"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05CE0EE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4D1F8638"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4D6CF04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674BB1A2"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5DEA70C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05F4CBAD"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7D3937" w:rsidRPr="008916C2" w14:paraId="72FB1E92" w14:textId="77777777" w:rsidTr="00792B14">
        <w:trPr>
          <w:trHeight w:val="392"/>
        </w:trPr>
        <w:tc>
          <w:tcPr>
            <w:tcW w:w="2552" w:type="dxa"/>
          </w:tcPr>
          <w:p w14:paraId="0D8F8060"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Alvarez-Ríos</w:t>
            </w:r>
            <w:r w:rsidRPr="008916C2">
              <w:rPr>
                <w:rFonts w:asciiTheme="majorBidi" w:hAnsiTheme="majorBidi" w:cstheme="majorBidi"/>
              </w:rPr>
              <w:t xml:space="preserve"> (</w:t>
            </w:r>
            <w:r w:rsidRPr="008916C2">
              <w:rPr>
                <w:rFonts w:asciiTheme="majorBidi" w:hAnsiTheme="majorBidi" w:cstheme="majorBidi"/>
                <w:color w:val="0D0D0D" w:themeColor="text1" w:themeTint="F2"/>
              </w:rPr>
              <w:t>2015)</w:t>
            </w:r>
          </w:p>
        </w:tc>
        <w:tc>
          <w:tcPr>
            <w:tcW w:w="1795" w:type="dxa"/>
          </w:tcPr>
          <w:p w14:paraId="553C915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Pr>
          <w:p w14:paraId="0FA0350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101F54D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1D077DC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4370E67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5D45BB98"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573A8CA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7C3406F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7D3937" w:rsidRPr="008916C2" w14:paraId="429FCF17" w14:textId="77777777" w:rsidTr="00792B14">
        <w:trPr>
          <w:trHeight w:val="392"/>
        </w:trPr>
        <w:tc>
          <w:tcPr>
            <w:tcW w:w="2552" w:type="dxa"/>
          </w:tcPr>
          <w:p w14:paraId="26D0AAC5" w14:textId="77777777" w:rsidR="007D3937" w:rsidRPr="008916C2" w:rsidRDefault="00FC5494"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Schöttker</w:t>
            </w:r>
            <w:r w:rsidR="007D3937" w:rsidRPr="008916C2">
              <w:rPr>
                <w:rFonts w:asciiTheme="majorBidi" w:hAnsiTheme="majorBidi" w:cstheme="majorBidi"/>
                <w:color w:val="0D0D0D" w:themeColor="text1" w:themeTint="F2"/>
              </w:rPr>
              <w:t xml:space="preserve"> (2014)</w:t>
            </w:r>
          </w:p>
        </w:tc>
        <w:tc>
          <w:tcPr>
            <w:tcW w:w="1795" w:type="dxa"/>
          </w:tcPr>
          <w:p w14:paraId="2E34186A"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313" w:type="dxa"/>
          </w:tcPr>
          <w:p w14:paraId="1F9973F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5D02ECA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543D8A4C"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57EF785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18E7E58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135CB8D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672CF42A"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7D3937" w:rsidRPr="008916C2" w14:paraId="2A59947D" w14:textId="77777777" w:rsidTr="00792B14">
        <w:trPr>
          <w:trHeight w:val="407"/>
        </w:trPr>
        <w:tc>
          <w:tcPr>
            <w:tcW w:w="2552" w:type="dxa"/>
          </w:tcPr>
          <w:p w14:paraId="07D88B69"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Wong (2013)</w:t>
            </w:r>
          </w:p>
        </w:tc>
        <w:tc>
          <w:tcPr>
            <w:tcW w:w="1795" w:type="dxa"/>
          </w:tcPr>
          <w:p w14:paraId="1968FDC2"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Pr>
          <w:p w14:paraId="6BDBC14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6893D8A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0AEA65B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5D4DE7EA"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10C6D733"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373A752D"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58AE1B4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7D3937" w:rsidRPr="008916C2" w14:paraId="21A0AC7A" w14:textId="77777777" w:rsidTr="00792B14">
        <w:trPr>
          <w:trHeight w:val="392"/>
        </w:trPr>
        <w:tc>
          <w:tcPr>
            <w:tcW w:w="2552" w:type="dxa"/>
          </w:tcPr>
          <w:p w14:paraId="49A25880"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Tajar (2013)</w:t>
            </w:r>
          </w:p>
        </w:tc>
        <w:tc>
          <w:tcPr>
            <w:tcW w:w="1795" w:type="dxa"/>
          </w:tcPr>
          <w:p w14:paraId="7429FF3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Pr>
          <w:p w14:paraId="0A30BD3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899" w:type="dxa"/>
          </w:tcPr>
          <w:p w14:paraId="0AD7D7E7"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621" w:type="dxa"/>
            <w:shd w:val="clear" w:color="auto" w:fill="auto"/>
          </w:tcPr>
          <w:p w14:paraId="15826222"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45FB621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57EE8E27"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465" w:type="dxa"/>
          </w:tcPr>
          <w:p w14:paraId="75D055CA"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54782E9A"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7D3937" w:rsidRPr="008916C2" w14:paraId="654EBF06" w14:textId="77777777" w:rsidTr="00792B14">
        <w:trPr>
          <w:trHeight w:val="407"/>
        </w:trPr>
        <w:tc>
          <w:tcPr>
            <w:tcW w:w="2552" w:type="dxa"/>
          </w:tcPr>
          <w:p w14:paraId="2C0598B1"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Hirani (2013)</w:t>
            </w:r>
          </w:p>
        </w:tc>
        <w:tc>
          <w:tcPr>
            <w:tcW w:w="1795" w:type="dxa"/>
          </w:tcPr>
          <w:p w14:paraId="6DBF860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Pr>
          <w:p w14:paraId="6784CE0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6CE17B9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214F833C"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026A68F2"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4748BEB7"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4CC9522A"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62620460"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7D3937" w:rsidRPr="008916C2" w14:paraId="17B4B2A5" w14:textId="77777777" w:rsidTr="00792B14">
        <w:trPr>
          <w:trHeight w:val="392"/>
        </w:trPr>
        <w:tc>
          <w:tcPr>
            <w:tcW w:w="2552" w:type="dxa"/>
          </w:tcPr>
          <w:p w14:paraId="19033574"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Ensrud (2011)</w:t>
            </w:r>
          </w:p>
        </w:tc>
        <w:tc>
          <w:tcPr>
            <w:tcW w:w="1795" w:type="dxa"/>
          </w:tcPr>
          <w:p w14:paraId="2B2668AD"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313" w:type="dxa"/>
          </w:tcPr>
          <w:p w14:paraId="7B8A7DE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0B0CE49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08A9DDB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77AB175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79ABFD82"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5629636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0CD66386"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7D3937" w:rsidRPr="008916C2" w14:paraId="2C799A38" w14:textId="77777777" w:rsidTr="00792B14">
        <w:trPr>
          <w:trHeight w:val="392"/>
        </w:trPr>
        <w:tc>
          <w:tcPr>
            <w:tcW w:w="2552" w:type="dxa"/>
          </w:tcPr>
          <w:p w14:paraId="0A3628CE"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Wilhelm-Leen (2010)</w:t>
            </w:r>
          </w:p>
        </w:tc>
        <w:tc>
          <w:tcPr>
            <w:tcW w:w="1795" w:type="dxa"/>
          </w:tcPr>
          <w:p w14:paraId="5AC8178A" w14:textId="77777777" w:rsidR="007D3937" w:rsidRPr="008916C2" w:rsidRDefault="007D3937" w:rsidP="007A7F6F">
            <w:pPr>
              <w:bidi w:val="0"/>
              <w:spacing w:before="60" w:after="60"/>
              <w:rPr>
                <w:rFonts w:ascii="Times New Roman" w:hAnsi="Times New Roman" w:cs="Cordia New"/>
                <w:bCs/>
                <w:lang w:val="en-US"/>
              </w:rPr>
            </w:pPr>
            <w:r w:rsidRPr="008916C2">
              <w:rPr>
                <w:rFonts w:ascii="Times New Roman" w:hAnsi="Times New Roman" w:cs="Times New Roman"/>
                <w:bCs/>
                <w:lang w:val="en-US"/>
              </w:rPr>
              <w:t>Serious</w:t>
            </w:r>
          </w:p>
        </w:tc>
        <w:tc>
          <w:tcPr>
            <w:tcW w:w="1313" w:type="dxa"/>
          </w:tcPr>
          <w:p w14:paraId="493BE58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19E0F7BC"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668CA7A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3D08D95C"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17876588"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404ED458"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2B3507D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7D3937" w:rsidRPr="008916C2" w14:paraId="6BFFD5E3" w14:textId="77777777" w:rsidTr="00792B14">
        <w:trPr>
          <w:trHeight w:val="407"/>
        </w:trPr>
        <w:tc>
          <w:tcPr>
            <w:tcW w:w="2552" w:type="dxa"/>
          </w:tcPr>
          <w:p w14:paraId="501E2026"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Ensrud (2010)</w:t>
            </w:r>
          </w:p>
        </w:tc>
        <w:tc>
          <w:tcPr>
            <w:tcW w:w="1795" w:type="dxa"/>
          </w:tcPr>
          <w:p w14:paraId="2EC4286C"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313" w:type="dxa"/>
          </w:tcPr>
          <w:p w14:paraId="364F902D"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255AD92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2948851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5E27268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1EFE4BC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1CAE14B8"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5D5DA13F"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7D3937" w:rsidRPr="008916C2" w14:paraId="08DA3FF5" w14:textId="77777777" w:rsidTr="00792B14">
        <w:trPr>
          <w:trHeight w:val="392"/>
        </w:trPr>
        <w:tc>
          <w:tcPr>
            <w:tcW w:w="2552" w:type="dxa"/>
          </w:tcPr>
          <w:p w14:paraId="50BD43CD"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Chang (2010)</w:t>
            </w:r>
          </w:p>
        </w:tc>
        <w:tc>
          <w:tcPr>
            <w:tcW w:w="1795" w:type="dxa"/>
          </w:tcPr>
          <w:p w14:paraId="07DEDD54"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313" w:type="dxa"/>
          </w:tcPr>
          <w:p w14:paraId="0BDD886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4CC79E2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210C29B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6AA95DF8"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7E86E308"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17C0B85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576CED58"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7D3937" w:rsidRPr="008916C2" w14:paraId="48AD0589" w14:textId="77777777" w:rsidTr="00792B14">
        <w:trPr>
          <w:trHeight w:val="407"/>
        </w:trPr>
        <w:tc>
          <w:tcPr>
            <w:tcW w:w="2552" w:type="dxa"/>
          </w:tcPr>
          <w:p w14:paraId="37D45E90" w14:textId="77777777" w:rsidR="007D3937" w:rsidRPr="008916C2" w:rsidRDefault="007D3937" w:rsidP="007A7F6F">
            <w:pPr>
              <w:bidi w:val="0"/>
              <w:rPr>
                <w:rFonts w:ascii="Times New Roman" w:hAnsi="Times New Roman" w:cs="Times New Roman"/>
                <w:bCs/>
                <w:lang w:val="en-US"/>
              </w:rPr>
            </w:pPr>
            <w:r w:rsidRPr="008916C2">
              <w:rPr>
                <w:rFonts w:asciiTheme="majorBidi" w:hAnsiTheme="majorBidi" w:cstheme="majorBidi"/>
                <w:color w:val="0D0D0D" w:themeColor="text1" w:themeTint="F2"/>
              </w:rPr>
              <w:t>Shardell (2009)</w:t>
            </w:r>
          </w:p>
        </w:tc>
        <w:tc>
          <w:tcPr>
            <w:tcW w:w="1795" w:type="dxa"/>
          </w:tcPr>
          <w:p w14:paraId="693C9BD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Pr>
          <w:p w14:paraId="5534808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5A33453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7BF3DD3E"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557B9A8B"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01E4ACA1"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3CBF3FB5"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0FFBC479" w14:textId="77777777" w:rsidR="007D3937" w:rsidRPr="008916C2" w:rsidRDefault="007D3937" w:rsidP="007A7F6F">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686C74" w:rsidRPr="008916C2" w14:paraId="680D51EA" w14:textId="77777777" w:rsidTr="00792B14">
        <w:trPr>
          <w:trHeight w:val="392"/>
        </w:trPr>
        <w:tc>
          <w:tcPr>
            <w:tcW w:w="2552" w:type="dxa"/>
          </w:tcPr>
          <w:p w14:paraId="30BA3FB9" w14:textId="77777777" w:rsidR="00686C74" w:rsidRPr="008916C2" w:rsidRDefault="00686C74" w:rsidP="00686C74">
            <w:pPr>
              <w:bidi w:val="0"/>
              <w:rPr>
                <w:rFonts w:ascii="Times New Roman" w:hAnsi="Times New Roman" w:cs="Times New Roman"/>
                <w:bCs/>
                <w:lang w:val="en-US"/>
              </w:rPr>
            </w:pPr>
            <w:r w:rsidRPr="008916C2">
              <w:rPr>
                <w:rFonts w:asciiTheme="majorBidi" w:hAnsiTheme="majorBidi" w:cstheme="majorBidi"/>
              </w:rPr>
              <w:t>Michelon</w:t>
            </w:r>
            <w:r w:rsidRPr="008916C2">
              <w:rPr>
                <w:rFonts w:asciiTheme="majorBidi" w:hAnsiTheme="majorBidi" w:cstheme="majorBidi"/>
                <w:color w:val="0D0D0D" w:themeColor="text1" w:themeTint="F2"/>
              </w:rPr>
              <w:t xml:space="preserve"> (</w:t>
            </w:r>
            <w:r w:rsidRPr="008916C2">
              <w:rPr>
                <w:rFonts w:asciiTheme="majorBidi" w:hAnsiTheme="majorBidi" w:cstheme="majorBidi"/>
              </w:rPr>
              <w:t>2006)</w:t>
            </w:r>
          </w:p>
        </w:tc>
        <w:tc>
          <w:tcPr>
            <w:tcW w:w="1795" w:type="dxa"/>
          </w:tcPr>
          <w:p w14:paraId="742B65B5"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313" w:type="dxa"/>
          </w:tcPr>
          <w:p w14:paraId="3FE9D839"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Pr>
          <w:p w14:paraId="0918EC23"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shd w:val="clear" w:color="auto" w:fill="auto"/>
          </w:tcPr>
          <w:p w14:paraId="1C279DA2"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shd w:val="clear" w:color="auto" w:fill="auto"/>
          </w:tcPr>
          <w:p w14:paraId="36D71C0E"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shd w:val="clear" w:color="auto" w:fill="auto"/>
          </w:tcPr>
          <w:p w14:paraId="755C1482"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Pr>
          <w:p w14:paraId="688BADBE"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Pr>
          <w:p w14:paraId="51954F3A"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r>
      <w:tr w:rsidR="00686C74" w:rsidRPr="008916C2" w14:paraId="4FBBAF0B" w14:textId="77777777" w:rsidTr="00792B14">
        <w:trPr>
          <w:trHeight w:val="392"/>
        </w:trPr>
        <w:tc>
          <w:tcPr>
            <w:tcW w:w="2552" w:type="dxa"/>
            <w:tcBorders>
              <w:bottom w:val="single" w:sz="4" w:space="0" w:color="auto"/>
            </w:tcBorders>
          </w:tcPr>
          <w:p w14:paraId="620C62C9" w14:textId="77777777" w:rsidR="00686C74" w:rsidRPr="008916C2" w:rsidRDefault="00686C74" w:rsidP="00686C74">
            <w:pPr>
              <w:bidi w:val="0"/>
              <w:rPr>
                <w:rFonts w:ascii="Times New Roman" w:hAnsi="Times New Roman" w:cs="Times New Roman"/>
                <w:bCs/>
                <w:lang w:val="en-US"/>
              </w:rPr>
            </w:pPr>
            <w:r w:rsidRPr="008916C2">
              <w:rPr>
                <w:rFonts w:asciiTheme="majorBidi" w:hAnsiTheme="majorBidi" w:cstheme="majorBidi"/>
              </w:rPr>
              <w:t>Puts</w:t>
            </w:r>
            <w:r w:rsidRPr="008916C2">
              <w:rPr>
                <w:rFonts w:asciiTheme="majorBidi" w:hAnsiTheme="majorBidi" w:cstheme="majorBidi"/>
                <w:color w:val="0D0D0D" w:themeColor="text1" w:themeTint="F2"/>
              </w:rPr>
              <w:t xml:space="preserve"> (</w:t>
            </w:r>
            <w:r w:rsidRPr="008916C2">
              <w:rPr>
                <w:rFonts w:asciiTheme="majorBidi" w:hAnsiTheme="majorBidi" w:cstheme="majorBidi"/>
              </w:rPr>
              <w:t>2005)</w:t>
            </w:r>
          </w:p>
        </w:tc>
        <w:tc>
          <w:tcPr>
            <w:tcW w:w="1795" w:type="dxa"/>
            <w:tcBorders>
              <w:bottom w:val="single" w:sz="4" w:space="0" w:color="auto"/>
            </w:tcBorders>
          </w:tcPr>
          <w:p w14:paraId="10369EA0"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c>
          <w:tcPr>
            <w:tcW w:w="1313" w:type="dxa"/>
            <w:tcBorders>
              <w:bottom w:val="single" w:sz="4" w:space="0" w:color="auto"/>
            </w:tcBorders>
          </w:tcPr>
          <w:p w14:paraId="1A701F4B"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899" w:type="dxa"/>
            <w:tcBorders>
              <w:bottom w:val="single" w:sz="4" w:space="0" w:color="auto"/>
            </w:tcBorders>
          </w:tcPr>
          <w:p w14:paraId="5A6D3871"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621" w:type="dxa"/>
            <w:tcBorders>
              <w:bottom w:val="single" w:sz="4" w:space="0" w:color="auto"/>
            </w:tcBorders>
            <w:shd w:val="clear" w:color="auto" w:fill="auto"/>
          </w:tcPr>
          <w:p w14:paraId="2B1B29BC"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lang w:val="en-US"/>
              </w:rPr>
              <w:t>Moderate</w:t>
            </w:r>
          </w:p>
        </w:tc>
        <w:tc>
          <w:tcPr>
            <w:tcW w:w="1254" w:type="dxa"/>
            <w:tcBorders>
              <w:bottom w:val="single" w:sz="4" w:space="0" w:color="auto"/>
            </w:tcBorders>
            <w:shd w:val="clear" w:color="auto" w:fill="auto"/>
          </w:tcPr>
          <w:p w14:paraId="4C1CCD3D"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541" w:type="dxa"/>
            <w:tcBorders>
              <w:bottom w:val="single" w:sz="4" w:space="0" w:color="auto"/>
            </w:tcBorders>
            <w:shd w:val="clear" w:color="auto" w:fill="auto"/>
          </w:tcPr>
          <w:p w14:paraId="07FA82FE"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lang w:val="en-US"/>
              </w:rPr>
              <w:t>Low</w:t>
            </w:r>
          </w:p>
        </w:tc>
        <w:tc>
          <w:tcPr>
            <w:tcW w:w="1465" w:type="dxa"/>
            <w:tcBorders>
              <w:bottom w:val="single" w:sz="4" w:space="0" w:color="auto"/>
            </w:tcBorders>
          </w:tcPr>
          <w:p w14:paraId="307FF7FB"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lang w:val="en-US"/>
              </w:rPr>
              <w:t xml:space="preserve">Low </w:t>
            </w:r>
          </w:p>
        </w:tc>
        <w:tc>
          <w:tcPr>
            <w:tcW w:w="1272" w:type="dxa"/>
            <w:tcBorders>
              <w:bottom w:val="single" w:sz="4" w:space="0" w:color="auto"/>
            </w:tcBorders>
          </w:tcPr>
          <w:p w14:paraId="38592A61"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lang w:val="en-US"/>
              </w:rPr>
              <w:t>Serious</w:t>
            </w:r>
          </w:p>
        </w:tc>
      </w:tr>
      <w:tr w:rsidR="00686C74" w:rsidRPr="008916C2" w14:paraId="5189F109" w14:textId="77777777" w:rsidTr="005360D3">
        <w:trPr>
          <w:trHeight w:val="950"/>
        </w:trPr>
        <w:tc>
          <w:tcPr>
            <w:tcW w:w="14712" w:type="dxa"/>
            <w:gridSpan w:val="9"/>
            <w:tcBorders>
              <w:top w:val="single" w:sz="4" w:space="0" w:color="auto"/>
            </w:tcBorders>
          </w:tcPr>
          <w:p w14:paraId="6E3710BC" w14:textId="77777777" w:rsidR="00686C74" w:rsidRPr="008916C2" w:rsidRDefault="00686C74" w:rsidP="00686C74">
            <w:pPr>
              <w:bidi w:val="0"/>
              <w:spacing w:before="60" w:after="60"/>
              <w:rPr>
                <w:rFonts w:ascii="Times New Roman" w:hAnsi="Times New Roman" w:cs="Times New Roman"/>
                <w:bCs/>
                <w:lang w:val="en-US"/>
              </w:rPr>
            </w:pPr>
            <w:r w:rsidRPr="008916C2">
              <w:rPr>
                <w:rFonts w:ascii="Times New Roman" w:hAnsi="Times New Roman" w:cs="Times New Roman"/>
                <w:bCs/>
                <w:vertAlign w:val="superscript"/>
                <w:lang w:val="en-US"/>
              </w:rPr>
              <w:t>1</w:t>
            </w:r>
            <w:r w:rsidRPr="008916C2">
              <w:rPr>
                <w:rFonts w:ascii="Times New Roman" w:hAnsi="Times New Roman" w:cs="Times New Roman"/>
                <w:bCs/>
                <w:lang w:val="en-US"/>
              </w:rPr>
              <w:t>Changes in diet may be similar between studies and may also be similar between groups (differential misclassification is not expected). Recent studies have shown that diet is constant or changes only slightly over time (Feldman 2017 IJBNPA, VanWormer 2017 Preventive Medicine Reports). Thus, if repeated measures are not available, moderate risk of bias could be assigned to a study.</w:t>
            </w:r>
          </w:p>
        </w:tc>
      </w:tr>
    </w:tbl>
    <w:p w14:paraId="109D27D5" w14:textId="77777777" w:rsidR="007D3937" w:rsidRPr="008916C2" w:rsidRDefault="007D3937" w:rsidP="007A7F6F">
      <w:pPr>
        <w:bidi w:val="0"/>
        <w:rPr>
          <w:rFonts w:asciiTheme="majorBidi" w:eastAsia="Times New Roman" w:hAnsiTheme="majorBidi" w:cstheme="majorBidi"/>
          <w:color w:val="000000"/>
          <w:sz w:val="18"/>
          <w:szCs w:val="18"/>
        </w:rPr>
      </w:pPr>
      <w:r w:rsidRPr="008916C2">
        <w:rPr>
          <w:rFonts w:asciiTheme="majorBidi" w:eastAsia="Times New Roman" w:hAnsiTheme="majorBidi" w:cstheme="majorBidi"/>
          <w:color w:val="000000"/>
          <w:sz w:val="18"/>
          <w:szCs w:val="18"/>
        </w:rPr>
        <w:br w:type="page"/>
      </w:r>
    </w:p>
    <w:tbl>
      <w:tblPr>
        <w:tblStyle w:val="TableGrid"/>
        <w:tblpPr w:leftFromText="180" w:rightFromText="180" w:horzAnchor="margin" w:tblpXSpec="center" w:tblpY="-1440"/>
        <w:tblW w:w="16479" w:type="dxa"/>
        <w:tblLayout w:type="fixed"/>
        <w:tblLook w:val="04A0" w:firstRow="1" w:lastRow="0" w:firstColumn="1" w:lastColumn="0" w:noHBand="0" w:noVBand="1"/>
      </w:tblPr>
      <w:tblGrid>
        <w:gridCol w:w="993"/>
        <w:gridCol w:w="1616"/>
        <w:gridCol w:w="1911"/>
        <w:gridCol w:w="1468"/>
        <w:gridCol w:w="1175"/>
        <w:gridCol w:w="879"/>
        <w:gridCol w:w="1911"/>
        <w:gridCol w:w="1616"/>
        <w:gridCol w:w="1027"/>
        <w:gridCol w:w="1321"/>
        <w:gridCol w:w="1468"/>
        <w:gridCol w:w="1094"/>
      </w:tblGrid>
      <w:tr w:rsidR="007D3937" w:rsidRPr="00C25293" w14:paraId="10481F5B" w14:textId="77777777" w:rsidTr="002C597E">
        <w:trPr>
          <w:trHeight w:val="423"/>
        </w:trPr>
        <w:tc>
          <w:tcPr>
            <w:tcW w:w="16479" w:type="dxa"/>
            <w:gridSpan w:val="12"/>
            <w:tcBorders>
              <w:top w:val="nil"/>
              <w:left w:val="nil"/>
              <w:bottom w:val="single" w:sz="4" w:space="0" w:color="auto"/>
              <w:right w:val="nil"/>
            </w:tcBorders>
          </w:tcPr>
          <w:p w14:paraId="780DD072" w14:textId="77777777" w:rsidR="007D3937" w:rsidRPr="00C25293" w:rsidRDefault="007D3937" w:rsidP="007A7F6F">
            <w:pPr>
              <w:bidi w:val="0"/>
              <w:jc w:val="center"/>
              <w:rPr>
                <w:rFonts w:asciiTheme="majorBidi" w:eastAsia="Times New Roman" w:hAnsiTheme="majorBidi" w:cstheme="majorBidi"/>
                <w:b/>
                <w:bCs/>
                <w:color w:val="000000"/>
              </w:rPr>
            </w:pPr>
          </w:p>
          <w:p w14:paraId="45029CDA" w14:textId="7A933469" w:rsidR="007D3937" w:rsidRPr="00C25293" w:rsidRDefault="007D3937" w:rsidP="007A7F6F">
            <w:pPr>
              <w:bidi w:val="0"/>
              <w:jc w:val="center"/>
              <w:rPr>
                <w:rFonts w:asciiTheme="majorBidi" w:hAnsiTheme="majorBidi" w:cstheme="majorBidi"/>
              </w:rPr>
            </w:pPr>
            <w:r w:rsidRPr="00C25293">
              <w:rPr>
                <w:rFonts w:asciiTheme="majorBidi" w:eastAsia="Times New Roman" w:hAnsiTheme="majorBidi" w:cstheme="majorBidi"/>
                <w:b/>
                <w:bCs/>
                <w:color w:val="000000"/>
              </w:rPr>
              <w:t xml:space="preserve">Supplementary Table </w:t>
            </w:r>
            <w:r w:rsidR="005A6C9B" w:rsidRPr="00C25293">
              <w:rPr>
                <w:rFonts w:asciiTheme="majorBidi" w:eastAsia="Times New Roman" w:hAnsiTheme="majorBidi" w:cstheme="majorBidi"/>
                <w:b/>
                <w:bCs/>
                <w:color w:val="000000"/>
              </w:rPr>
              <w:t>6</w:t>
            </w:r>
            <w:r w:rsidRPr="00C25293">
              <w:rPr>
                <w:rFonts w:asciiTheme="majorBidi" w:hAnsiTheme="majorBidi" w:cstheme="majorBidi"/>
                <w:b/>
                <w:bCs/>
              </w:rPr>
              <w:t>.</w:t>
            </w:r>
            <w:r w:rsidRPr="00C25293">
              <w:rPr>
                <w:rFonts w:asciiTheme="majorBidi" w:hAnsiTheme="majorBidi" w:cstheme="majorBidi"/>
                <w:sz w:val="32"/>
                <w:szCs w:val="32"/>
              </w:rPr>
              <w:t xml:space="preserve"> </w:t>
            </w:r>
            <w:r w:rsidRPr="00C25293">
              <w:rPr>
                <w:rFonts w:asciiTheme="majorBidi" w:hAnsiTheme="majorBidi" w:cstheme="majorBidi"/>
              </w:rPr>
              <w:t>Detailed characteristics of the eligible studies included in the systematic review and meta-analysis for 25(OH)D levels in relation to pre-frailty.</w:t>
            </w:r>
          </w:p>
        </w:tc>
      </w:tr>
      <w:tr w:rsidR="002C597E" w:rsidRPr="002C597E" w14:paraId="1916AFB8" w14:textId="77777777" w:rsidTr="002C597E">
        <w:trPr>
          <w:trHeight w:val="555"/>
        </w:trPr>
        <w:tc>
          <w:tcPr>
            <w:tcW w:w="993" w:type="dxa"/>
            <w:tcBorders>
              <w:top w:val="single" w:sz="4" w:space="0" w:color="auto"/>
              <w:left w:val="nil"/>
              <w:bottom w:val="single" w:sz="4" w:space="0" w:color="auto"/>
              <w:right w:val="nil"/>
            </w:tcBorders>
          </w:tcPr>
          <w:p w14:paraId="39E79677" w14:textId="77777777" w:rsidR="00667EDA" w:rsidRPr="00C25293" w:rsidRDefault="00667EDA" w:rsidP="00667EDA">
            <w:pPr>
              <w:bidi w:val="0"/>
              <w:rPr>
                <w:rFonts w:asciiTheme="majorBidi" w:hAnsiTheme="majorBidi" w:cstheme="majorBidi"/>
                <w:sz w:val="16"/>
                <w:szCs w:val="16"/>
              </w:rPr>
            </w:pPr>
            <w:r w:rsidRPr="00C25293">
              <w:rPr>
                <w:rFonts w:asciiTheme="majorBidi" w:hAnsiTheme="majorBidi" w:cstheme="majorBidi"/>
                <w:b/>
                <w:bCs/>
                <w:sz w:val="16"/>
                <w:szCs w:val="16"/>
              </w:rPr>
              <w:t>Authors &amp;Year/ (Ref.)</w:t>
            </w:r>
          </w:p>
        </w:tc>
        <w:tc>
          <w:tcPr>
            <w:tcW w:w="1616" w:type="dxa"/>
            <w:tcBorders>
              <w:top w:val="single" w:sz="4" w:space="0" w:color="auto"/>
              <w:left w:val="nil"/>
              <w:bottom w:val="single" w:sz="4" w:space="0" w:color="auto"/>
              <w:right w:val="nil"/>
            </w:tcBorders>
          </w:tcPr>
          <w:p w14:paraId="048413BF" w14:textId="080DE84B" w:rsidR="00667EDA" w:rsidRPr="00C25293" w:rsidRDefault="00246431" w:rsidP="00667EDA">
            <w:pPr>
              <w:bidi w:val="0"/>
              <w:rPr>
                <w:rFonts w:asciiTheme="majorBidi" w:hAnsiTheme="majorBidi" w:cstheme="majorBidi"/>
                <w:sz w:val="16"/>
                <w:szCs w:val="16"/>
              </w:rPr>
            </w:pPr>
            <w:r w:rsidRPr="006B67DF">
              <w:rPr>
                <w:rFonts w:ascii="Times New Roman" w:hAnsi="Times New Roman" w:cs="Times New Roman"/>
                <w:b/>
                <w:bCs/>
                <w:sz w:val="16"/>
                <w:szCs w:val="16"/>
              </w:rPr>
              <w:t>Countr</w:t>
            </w:r>
            <w:r>
              <w:rPr>
                <w:rFonts w:ascii="Times New Roman" w:hAnsi="Times New Roman" w:cs="Times New Roman"/>
                <w:b/>
                <w:bCs/>
                <w:sz w:val="16"/>
                <w:szCs w:val="16"/>
              </w:rPr>
              <w:t>y/C</w:t>
            </w:r>
            <w:r w:rsidRPr="00190736">
              <w:rPr>
                <w:rFonts w:ascii="Times New Roman" w:hAnsi="Times New Roman" w:cs="Times New Roman"/>
                <w:b/>
                <w:bCs/>
                <w:sz w:val="16"/>
                <w:szCs w:val="16"/>
                <w:highlight w:val="yellow"/>
              </w:rPr>
              <w:t>ontinent</w:t>
            </w:r>
          </w:p>
        </w:tc>
        <w:tc>
          <w:tcPr>
            <w:tcW w:w="1911" w:type="dxa"/>
            <w:tcBorders>
              <w:top w:val="single" w:sz="4" w:space="0" w:color="auto"/>
              <w:left w:val="nil"/>
              <w:bottom w:val="single" w:sz="4" w:space="0" w:color="auto"/>
              <w:right w:val="nil"/>
            </w:tcBorders>
          </w:tcPr>
          <w:p w14:paraId="59F648EC" w14:textId="77777777" w:rsidR="00667EDA" w:rsidRPr="00C25293" w:rsidRDefault="00667EDA" w:rsidP="00667EDA">
            <w:pPr>
              <w:bidi w:val="0"/>
              <w:rPr>
                <w:rFonts w:asciiTheme="majorBidi" w:hAnsiTheme="majorBidi" w:cstheme="majorBidi"/>
                <w:sz w:val="16"/>
                <w:szCs w:val="16"/>
              </w:rPr>
            </w:pPr>
            <w:r w:rsidRPr="00C25293">
              <w:rPr>
                <w:rFonts w:asciiTheme="majorBidi" w:hAnsiTheme="majorBidi" w:cstheme="majorBidi"/>
                <w:b/>
                <w:bCs/>
                <w:sz w:val="16"/>
                <w:szCs w:val="16"/>
              </w:rPr>
              <w:t>Study design/ Duration of follow-up (y)</w:t>
            </w:r>
          </w:p>
        </w:tc>
        <w:tc>
          <w:tcPr>
            <w:tcW w:w="1468" w:type="dxa"/>
            <w:tcBorders>
              <w:top w:val="single" w:sz="4" w:space="0" w:color="auto"/>
              <w:left w:val="nil"/>
              <w:bottom w:val="single" w:sz="4" w:space="0" w:color="auto"/>
              <w:right w:val="nil"/>
            </w:tcBorders>
          </w:tcPr>
          <w:p w14:paraId="58586AF6" w14:textId="77777777" w:rsidR="00667EDA" w:rsidRPr="00C25293" w:rsidRDefault="00667EDA" w:rsidP="00667EDA">
            <w:pPr>
              <w:bidi w:val="0"/>
              <w:rPr>
                <w:rFonts w:asciiTheme="majorBidi" w:hAnsiTheme="majorBidi" w:cstheme="majorBidi"/>
                <w:sz w:val="16"/>
                <w:szCs w:val="16"/>
              </w:rPr>
            </w:pPr>
            <w:r w:rsidRPr="00C25293">
              <w:rPr>
                <w:rFonts w:asciiTheme="majorBidi" w:hAnsiTheme="majorBidi" w:cstheme="majorBidi"/>
                <w:b/>
                <w:bCs/>
                <w:sz w:val="16"/>
                <w:szCs w:val="16"/>
              </w:rPr>
              <w:t>Sample size/cases</w:t>
            </w:r>
          </w:p>
        </w:tc>
        <w:tc>
          <w:tcPr>
            <w:tcW w:w="1175" w:type="dxa"/>
            <w:tcBorders>
              <w:top w:val="single" w:sz="4" w:space="0" w:color="auto"/>
              <w:left w:val="nil"/>
              <w:bottom w:val="single" w:sz="4" w:space="0" w:color="auto"/>
              <w:right w:val="nil"/>
            </w:tcBorders>
          </w:tcPr>
          <w:p w14:paraId="530C486A" w14:textId="3EF52A2C" w:rsidR="00667EDA" w:rsidRPr="00C25293" w:rsidRDefault="00667EDA" w:rsidP="00667EDA">
            <w:pPr>
              <w:bidi w:val="0"/>
              <w:jc w:val="center"/>
              <w:rPr>
                <w:rFonts w:asciiTheme="majorBidi" w:hAnsiTheme="majorBidi" w:cstheme="majorBidi"/>
                <w:sz w:val="16"/>
                <w:szCs w:val="16"/>
              </w:rPr>
            </w:pPr>
            <w:r w:rsidRPr="00C25293">
              <w:rPr>
                <w:rFonts w:ascii="Times New Roman" w:hAnsi="Times New Roman" w:cs="Times New Roman"/>
                <w:b/>
                <w:bCs/>
                <w:sz w:val="16"/>
                <w:szCs w:val="16"/>
              </w:rPr>
              <w:t>Gender / (% of female in population)</w:t>
            </w:r>
          </w:p>
        </w:tc>
        <w:tc>
          <w:tcPr>
            <w:tcW w:w="879" w:type="dxa"/>
            <w:tcBorders>
              <w:top w:val="single" w:sz="4" w:space="0" w:color="auto"/>
              <w:left w:val="nil"/>
              <w:bottom w:val="single" w:sz="4" w:space="0" w:color="auto"/>
              <w:right w:val="nil"/>
            </w:tcBorders>
          </w:tcPr>
          <w:p w14:paraId="18405A4D" w14:textId="77777777" w:rsidR="00667EDA" w:rsidRPr="00C25293" w:rsidRDefault="00667EDA" w:rsidP="00667EDA">
            <w:pPr>
              <w:jc w:val="center"/>
              <w:rPr>
                <w:rFonts w:ascii="Times New Roman" w:hAnsi="Times New Roman" w:cs="Times New Roman"/>
                <w:b/>
                <w:bCs/>
                <w:sz w:val="16"/>
                <w:szCs w:val="16"/>
              </w:rPr>
            </w:pPr>
            <w:r w:rsidRPr="00C25293">
              <w:rPr>
                <w:rFonts w:ascii="Times New Roman" w:hAnsi="Times New Roman" w:cs="Times New Roman"/>
                <w:b/>
                <w:bCs/>
                <w:sz w:val="16"/>
                <w:szCs w:val="16"/>
              </w:rPr>
              <w:t>Mean age</w:t>
            </w:r>
          </w:p>
          <w:p w14:paraId="1942FDAD" w14:textId="77D5010E" w:rsidR="00667EDA" w:rsidRPr="00C25293" w:rsidRDefault="00667EDA" w:rsidP="00667EDA">
            <w:pPr>
              <w:bidi w:val="0"/>
              <w:jc w:val="center"/>
              <w:rPr>
                <w:rFonts w:asciiTheme="majorBidi" w:hAnsiTheme="majorBidi" w:cstheme="majorBidi"/>
                <w:sz w:val="16"/>
                <w:szCs w:val="16"/>
              </w:rPr>
            </w:pPr>
            <w:r w:rsidRPr="00C25293">
              <w:rPr>
                <w:rFonts w:ascii="Times New Roman" w:hAnsi="Times New Roman" w:cs="Times New Roman"/>
                <w:b/>
                <w:bCs/>
                <w:sz w:val="16"/>
                <w:szCs w:val="16"/>
              </w:rPr>
              <w:t xml:space="preserve"> ± SD (y)</w:t>
            </w:r>
          </w:p>
        </w:tc>
        <w:tc>
          <w:tcPr>
            <w:tcW w:w="1911" w:type="dxa"/>
            <w:tcBorders>
              <w:top w:val="single" w:sz="4" w:space="0" w:color="auto"/>
              <w:left w:val="nil"/>
              <w:bottom w:val="single" w:sz="4" w:space="0" w:color="auto"/>
              <w:right w:val="nil"/>
            </w:tcBorders>
          </w:tcPr>
          <w:p w14:paraId="3A0A904B" w14:textId="4196620F" w:rsidR="00667EDA" w:rsidRPr="00C25293" w:rsidRDefault="00667EDA" w:rsidP="00667EDA">
            <w:pPr>
              <w:autoSpaceDE w:val="0"/>
              <w:autoSpaceDN w:val="0"/>
              <w:bidi w:val="0"/>
              <w:adjustRightInd w:val="0"/>
              <w:jc w:val="center"/>
              <w:rPr>
                <w:rFonts w:asciiTheme="majorBidi" w:hAnsiTheme="majorBidi" w:cstheme="majorBidi"/>
                <w:sz w:val="16"/>
                <w:szCs w:val="16"/>
              </w:rPr>
            </w:pPr>
            <w:r w:rsidRPr="00C25293">
              <w:rPr>
                <w:rFonts w:asciiTheme="majorBidi" w:hAnsiTheme="majorBidi" w:cstheme="majorBidi"/>
                <w:b/>
                <w:bCs/>
                <w:sz w:val="16"/>
                <w:szCs w:val="16"/>
              </w:rPr>
              <w:t>25(OH)D Levels, (ng/mL)</w:t>
            </w:r>
          </w:p>
        </w:tc>
        <w:tc>
          <w:tcPr>
            <w:tcW w:w="1616" w:type="dxa"/>
            <w:tcBorders>
              <w:top w:val="single" w:sz="4" w:space="0" w:color="auto"/>
              <w:left w:val="nil"/>
              <w:bottom w:val="single" w:sz="4" w:space="0" w:color="auto"/>
              <w:right w:val="nil"/>
            </w:tcBorders>
          </w:tcPr>
          <w:p w14:paraId="424E5ACC" w14:textId="77777777" w:rsidR="00667EDA" w:rsidRPr="00C25293" w:rsidRDefault="00667EDA" w:rsidP="00667EDA">
            <w:pPr>
              <w:bidi w:val="0"/>
              <w:jc w:val="center"/>
              <w:rPr>
                <w:rFonts w:asciiTheme="majorBidi" w:hAnsiTheme="majorBidi" w:cstheme="majorBidi"/>
                <w:sz w:val="16"/>
                <w:szCs w:val="16"/>
              </w:rPr>
            </w:pPr>
            <w:r w:rsidRPr="00C25293">
              <w:rPr>
                <w:rFonts w:asciiTheme="majorBidi" w:hAnsiTheme="majorBidi" w:cstheme="majorBidi"/>
                <w:b/>
                <w:bCs/>
                <w:sz w:val="16"/>
                <w:szCs w:val="16"/>
              </w:rPr>
              <w:t>Adjusted HR/RR/OR (95%CI)</w:t>
            </w:r>
          </w:p>
        </w:tc>
        <w:tc>
          <w:tcPr>
            <w:tcW w:w="1027" w:type="dxa"/>
            <w:tcBorders>
              <w:top w:val="single" w:sz="4" w:space="0" w:color="auto"/>
              <w:left w:val="nil"/>
              <w:bottom w:val="single" w:sz="4" w:space="0" w:color="auto"/>
              <w:right w:val="nil"/>
            </w:tcBorders>
          </w:tcPr>
          <w:p w14:paraId="52FE1DDF" w14:textId="77777777" w:rsidR="00667EDA" w:rsidRPr="00C25293" w:rsidRDefault="00667EDA" w:rsidP="00667EDA">
            <w:pPr>
              <w:bidi w:val="0"/>
              <w:rPr>
                <w:rFonts w:asciiTheme="majorBidi" w:hAnsiTheme="majorBidi" w:cstheme="majorBidi"/>
                <w:sz w:val="16"/>
                <w:szCs w:val="16"/>
              </w:rPr>
            </w:pPr>
            <w:r w:rsidRPr="00C25293">
              <w:rPr>
                <w:rFonts w:asciiTheme="majorBidi" w:hAnsiTheme="majorBidi" w:cstheme="majorBidi"/>
                <w:b/>
                <w:bCs/>
                <w:sz w:val="16"/>
                <w:szCs w:val="16"/>
              </w:rPr>
              <w:t xml:space="preserve">Sample </w:t>
            </w:r>
          </w:p>
        </w:tc>
        <w:tc>
          <w:tcPr>
            <w:tcW w:w="1321" w:type="dxa"/>
            <w:tcBorders>
              <w:top w:val="single" w:sz="4" w:space="0" w:color="auto"/>
              <w:left w:val="nil"/>
              <w:bottom w:val="single" w:sz="4" w:space="0" w:color="auto"/>
              <w:right w:val="nil"/>
            </w:tcBorders>
          </w:tcPr>
          <w:p w14:paraId="79CCE513" w14:textId="77777777" w:rsidR="00667EDA" w:rsidRPr="00C25293" w:rsidRDefault="00667EDA" w:rsidP="00667EDA">
            <w:pPr>
              <w:bidi w:val="0"/>
              <w:rPr>
                <w:rFonts w:asciiTheme="majorBidi" w:hAnsiTheme="majorBidi" w:cstheme="majorBidi"/>
                <w:sz w:val="16"/>
                <w:szCs w:val="16"/>
              </w:rPr>
            </w:pPr>
            <w:r w:rsidRPr="00C25293">
              <w:rPr>
                <w:rFonts w:asciiTheme="majorBidi" w:hAnsiTheme="majorBidi" w:cstheme="majorBidi"/>
                <w:b/>
                <w:bCs/>
                <w:sz w:val="16"/>
                <w:szCs w:val="16"/>
              </w:rPr>
              <w:t>25(OH)D Assessment</w:t>
            </w:r>
          </w:p>
        </w:tc>
        <w:tc>
          <w:tcPr>
            <w:tcW w:w="1468" w:type="dxa"/>
            <w:tcBorders>
              <w:top w:val="single" w:sz="4" w:space="0" w:color="auto"/>
              <w:left w:val="nil"/>
              <w:bottom w:val="single" w:sz="4" w:space="0" w:color="auto"/>
              <w:right w:val="nil"/>
            </w:tcBorders>
          </w:tcPr>
          <w:p w14:paraId="447D0DC7" w14:textId="77777777" w:rsidR="00667EDA" w:rsidRPr="00C25293" w:rsidRDefault="00667EDA" w:rsidP="00667EDA">
            <w:pPr>
              <w:bidi w:val="0"/>
              <w:rPr>
                <w:rFonts w:asciiTheme="majorBidi" w:hAnsiTheme="majorBidi" w:cstheme="majorBidi"/>
                <w:sz w:val="16"/>
                <w:szCs w:val="16"/>
              </w:rPr>
            </w:pPr>
            <w:r w:rsidRPr="00C25293">
              <w:rPr>
                <w:rFonts w:asciiTheme="majorBidi" w:hAnsiTheme="majorBidi" w:cstheme="majorBidi"/>
                <w:b/>
                <w:bCs/>
                <w:sz w:val="16"/>
                <w:szCs w:val="16"/>
              </w:rPr>
              <w:t>Frailty assessment</w:t>
            </w:r>
          </w:p>
        </w:tc>
        <w:tc>
          <w:tcPr>
            <w:tcW w:w="1085" w:type="dxa"/>
            <w:tcBorders>
              <w:top w:val="single" w:sz="4" w:space="0" w:color="auto"/>
              <w:left w:val="nil"/>
              <w:bottom w:val="single" w:sz="4" w:space="0" w:color="auto"/>
              <w:right w:val="nil"/>
            </w:tcBorders>
          </w:tcPr>
          <w:p w14:paraId="0C865926" w14:textId="77777777" w:rsidR="00667EDA" w:rsidRPr="002C597E" w:rsidRDefault="00667EDA" w:rsidP="00667EDA">
            <w:pPr>
              <w:bidi w:val="0"/>
              <w:rPr>
                <w:rFonts w:asciiTheme="majorBidi" w:hAnsiTheme="majorBidi" w:cstheme="majorBidi"/>
                <w:sz w:val="18"/>
                <w:szCs w:val="18"/>
                <w:highlight w:val="yellow"/>
              </w:rPr>
            </w:pPr>
            <w:r w:rsidRPr="002C597E">
              <w:rPr>
                <w:rFonts w:asciiTheme="majorBidi" w:hAnsiTheme="majorBidi" w:cstheme="majorBidi"/>
                <w:b/>
                <w:bCs/>
                <w:sz w:val="16"/>
                <w:szCs w:val="16"/>
                <w:highlight w:val="yellow"/>
              </w:rPr>
              <w:t>Adjustments</w:t>
            </w:r>
          </w:p>
        </w:tc>
      </w:tr>
      <w:tr w:rsidR="002C597E" w:rsidRPr="002C597E" w14:paraId="381F98CA" w14:textId="77777777" w:rsidTr="002C597E">
        <w:trPr>
          <w:trHeight w:val="458"/>
        </w:trPr>
        <w:tc>
          <w:tcPr>
            <w:tcW w:w="993" w:type="dxa"/>
            <w:tcBorders>
              <w:top w:val="single" w:sz="4" w:space="0" w:color="auto"/>
              <w:left w:val="nil"/>
              <w:bottom w:val="nil"/>
              <w:right w:val="nil"/>
            </w:tcBorders>
          </w:tcPr>
          <w:p w14:paraId="165FE011"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Vogt et al.</w:t>
            </w:r>
          </w:p>
          <w:p w14:paraId="7723A4D2"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2015</w:t>
            </w:r>
          </w:p>
        </w:tc>
        <w:tc>
          <w:tcPr>
            <w:tcW w:w="1616" w:type="dxa"/>
            <w:tcBorders>
              <w:top w:val="single" w:sz="4" w:space="0" w:color="auto"/>
              <w:left w:val="nil"/>
              <w:bottom w:val="nil"/>
              <w:right w:val="nil"/>
            </w:tcBorders>
          </w:tcPr>
          <w:p w14:paraId="2D76F26B" w14:textId="215779FC"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lang w:bidi="fa-IR"/>
              </w:rPr>
              <w:t>Germany</w:t>
            </w:r>
            <w:r w:rsidR="00246431">
              <w:rPr>
                <w:rFonts w:asciiTheme="majorBidi" w:hAnsiTheme="majorBidi" w:cstheme="majorBidi"/>
                <w:sz w:val="16"/>
                <w:szCs w:val="16"/>
                <w:lang w:bidi="fa-IR"/>
              </w:rPr>
              <w:t xml:space="preserve">/ </w:t>
            </w:r>
            <w:r w:rsidR="00246431" w:rsidRPr="00246431">
              <w:rPr>
                <w:rFonts w:asciiTheme="majorBidi" w:hAnsiTheme="majorBidi" w:cstheme="majorBidi"/>
                <w:sz w:val="16"/>
                <w:szCs w:val="16"/>
                <w:highlight w:val="yellow"/>
                <w:lang w:bidi="fa-IR"/>
              </w:rPr>
              <w:t>Europe</w:t>
            </w:r>
          </w:p>
        </w:tc>
        <w:tc>
          <w:tcPr>
            <w:tcW w:w="1911" w:type="dxa"/>
            <w:tcBorders>
              <w:top w:val="single" w:sz="4" w:space="0" w:color="auto"/>
              <w:left w:val="nil"/>
              <w:bottom w:val="nil"/>
              <w:right w:val="nil"/>
            </w:tcBorders>
          </w:tcPr>
          <w:p w14:paraId="473EBC87" w14:textId="77777777" w:rsidR="007D3937" w:rsidRPr="00C25293" w:rsidRDefault="007D3937" w:rsidP="00246431">
            <w:pPr>
              <w:bidi w:val="0"/>
              <w:rPr>
                <w:rFonts w:asciiTheme="majorBidi" w:hAnsiTheme="majorBidi" w:cstheme="majorBidi"/>
                <w:sz w:val="16"/>
                <w:szCs w:val="16"/>
              </w:rPr>
            </w:pPr>
            <w:r w:rsidRPr="00C25293">
              <w:rPr>
                <w:rFonts w:asciiTheme="majorBidi" w:hAnsiTheme="majorBidi" w:cstheme="majorBidi"/>
                <w:sz w:val="16"/>
                <w:szCs w:val="16"/>
              </w:rPr>
              <w:t xml:space="preserve">Cohort (KORA) / </w:t>
            </w:r>
          </w:p>
          <w:p w14:paraId="4CD34FB9" w14:textId="77777777" w:rsidR="007D3937" w:rsidRPr="00C25293" w:rsidRDefault="007D3937" w:rsidP="00246431">
            <w:pPr>
              <w:bidi w:val="0"/>
              <w:rPr>
                <w:rFonts w:asciiTheme="majorBidi" w:hAnsiTheme="majorBidi" w:cstheme="majorBidi"/>
                <w:sz w:val="16"/>
                <w:szCs w:val="16"/>
              </w:rPr>
            </w:pPr>
            <w:r w:rsidRPr="00C25293">
              <w:rPr>
                <w:rFonts w:asciiTheme="majorBidi" w:hAnsiTheme="majorBidi" w:cstheme="majorBidi"/>
                <w:sz w:val="16"/>
                <w:szCs w:val="16"/>
              </w:rPr>
              <w:t>2.9± 0.1</w:t>
            </w:r>
          </w:p>
        </w:tc>
        <w:tc>
          <w:tcPr>
            <w:tcW w:w="1468" w:type="dxa"/>
            <w:tcBorders>
              <w:top w:val="single" w:sz="4" w:space="0" w:color="auto"/>
              <w:left w:val="nil"/>
              <w:bottom w:val="nil"/>
              <w:right w:val="nil"/>
            </w:tcBorders>
          </w:tcPr>
          <w:p w14:paraId="61A64D63"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471/102</w:t>
            </w:r>
          </w:p>
          <w:p w14:paraId="43F3BF5B" w14:textId="77777777" w:rsidR="007D3937" w:rsidRPr="00C25293" w:rsidRDefault="007D3937" w:rsidP="007A7F6F">
            <w:pPr>
              <w:bidi w:val="0"/>
              <w:rPr>
                <w:rFonts w:asciiTheme="majorBidi" w:hAnsiTheme="majorBidi" w:cstheme="majorBidi"/>
                <w:sz w:val="16"/>
                <w:szCs w:val="16"/>
              </w:rPr>
            </w:pPr>
          </w:p>
        </w:tc>
        <w:tc>
          <w:tcPr>
            <w:tcW w:w="1175" w:type="dxa"/>
            <w:tcBorders>
              <w:top w:val="single" w:sz="4" w:space="0" w:color="auto"/>
              <w:left w:val="nil"/>
              <w:bottom w:val="nil"/>
              <w:right w:val="nil"/>
            </w:tcBorders>
          </w:tcPr>
          <w:p w14:paraId="3440ADB5" w14:textId="497150C9" w:rsidR="007D3937" w:rsidRPr="00C25293" w:rsidRDefault="007D3937" w:rsidP="00973895">
            <w:pPr>
              <w:bidi w:val="0"/>
              <w:jc w:val="center"/>
              <w:rPr>
                <w:rFonts w:asciiTheme="majorBidi" w:hAnsiTheme="majorBidi" w:cstheme="majorBidi"/>
                <w:sz w:val="16"/>
                <w:szCs w:val="16"/>
              </w:rPr>
            </w:pPr>
            <w:r w:rsidRPr="00C25293">
              <w:rPr>
                <w:rFonts w:asciiTheme="majorBidi" w:hAnsiTheme="majorBidi" w:cstheme="majorBidi"/>
                <w:sz w:val="16"/>
                <w:szCs w:val="16"/>
              </w:rPr>
              <w:t>M/F</w:t>
            </w:r>
            <w:r w:rsidR="00973895" w:rsidRPr="00C25293">
              <w:rPr>
                <w:rFonts w:asciiTheme="majorBidi" w:hAnsiTheme="majorBidi" w:cstheme="majorBidi"/>
                <w:sz w:val="16"/>
                <w:szCs w:val="16"/>
              </w:rPr>
              <w:t>/ (</w:t>
            </w:r>
            <w:r w:rsidRPr="00C25293">
              <w:rPr>
                <w:rFonts w:asciiTheme="majorBidi" w:hAnsiTheme="majorBidi" w:cstheme="majorBidi"/>
                <w:sz w:val="16"/>
                <w:szCs w:val="16"/>
              </w:rPr>
              <w:t>49.1</w:t>
            </w:r>
            <w:r w:rsidR="00973895" w:rsidRPr="00C25293">
              <w:rPr>
                <w:rFonts w:asciiTheme="majorBidi" w:hAnsiTheme="majorBidi" w:cstheme="majorBidi"/>
                <w:sz w:val="16"/>
                <w:szCs w:val="16"/>
              </w:rPr>
              <w:t>% F)</w:t>
            </w:r>
          </w:p>
        </w:tc>
        <w:tc>
          <w:tcPr>
            <w:tcW w:w="879" w:type="dxa"/>
            <w:tcBorders>
              <w:top w:val="single" w:sz="4" w:space="0" w:color="auto"/>
              <w:left w:val="nil"/>
              <w:bottom w:val="nil"/>
              <w:right w:val="nil"/>
            </w:tcBorders>
          </w:tcPr>
          <w:p w14:paraId="3054C4CF" w14:textId="77777777" w:rsidR="007D3937" w:rsidRPr="00C25293" w:rsidRDefault="007D3937" w:rsidP="007A7F6F">
            <w:pPr>
              <w:bidi w:val="0"/>
              <w:jc w:val="center"/>
              <w:rPr>
                <w:rFonts w:asciiTheme="majorBidi" w:hAnsiTheme="majorBidi" w:cstheme="majorBidi"/>
                <w:sz w:val="16"/>
                <w:szCs w:val="16"/>
              </w:rPr>
            </w:pPr>
            <w:r w:rsidRPr="00C25293">
              <w:rPr>
                <w:rFonts w:asciiTheme="majorBidi" w:hAnsiTheme="majorBidi" w:cstheme="majorBidi"/>
                <w:sz w:val="16"/>
                <w:szCs w:val="16"/>
              </w:rPr>
              <w:t>75.5 ±6.5</w:t>
            </w:r>
          </w:p>
          <w:p w14:paraId="3F0EFAB0" w14:textId="67D5CB32" w:rsidR="007D3937" w:rsidRPr="00C25293" w:rsidRDefault="007D3937" w:rsidP="007A7F6F">
            <w:pPr>
              <w:bidi w:val="0"/>
              <w:rPr>
                <w:rFonts w:asciiTheme="majorBidi" w:hAnsiTheme="majorBidi" w:cstheme="majorBidi"/>
                <w:color w:val="0D0D0D" w:themeColor="text1" w:themeTint="F2"/>
                <w:sz w:val="16"/>
                <w:szCs w:val="16"/>
              </w:rPr>
            </w:pPr>
          </w:p>
          <w:p w14:paraId="3CB40256" w14:textId="77777777" w:rsidR="007D3937" w:rsidRPr="00C25293" w:rsidRDefault="007D3937" w:rsidP="007A7F6F">
            <w:pPr>
              <w:bidi w:val="0"/>
              <w:rPr>
                <w:rFonts w:asciiTheme="majorBidi" w:hAnsiTheme="majorBidi" w:cstheme="majorBidi"/>
                <w:sz w:val="16"/>
                <w:szCs w:val="16"/>
              </w:rPr>
            </w:pPr>
          </w:p>
        </w:tc>
        <w:tc>
          <w:tcPr>
            <w:tcW w:w="1911" w:type="dxa"/>
            <w:tcBorders>
              <w:top w:val="single" w:sz="4" w:space="0" w:color="auto"/>
              <w:left w:val="nil"/>
              <w:bottom w:val="nil"/>
              <w:right w:val="nil"/>
            </w:tcBorders>
          </w:tcPr>
          <w:p w14:paraId="60CA7342" w14:textId="77777777" w:rsidR="007D3937" w:rsidRPr="00C25293" w:rsidRDefault="007D3937" w:rsidP="007A7F6F">
            <w:pPr>
              <w:autoSpaceDE w:val="0"/>
              <w:autoSpaceDN w:val="0"/>
              <w:bidi w:val="0"/>
              <w:adjustRightInd w:val="0"/>
              <w:rPr>
                <w:rFonts w:asciiTheme="majorBidi" w:hAnsiTheme="majorBidi" w:cstheme="majorBidi"/>
                <w:sz w:val="16"/>
                <w:szCs w:val="16"/>
              </w:rPr>
            </w:pPr>
            <w:r w:rsidRPr="00C25293">
              <w:rPr>
                <w:rFonts w:asciiTheme="majorBidi" w:hAnsiTheme="majorBidi" w:cstheme="majorBidi"/>
                <w:sz w:val="16"/>
                <w:szCs w:val="16"/>
              </w:rPr>
              <w:t>&lt;15</w:t>
            </w:r>
          </w:p>
          <w:p w14:paraId="51B498E5" w14:textId="77777777" w:rsidR="007D3937" w:rsidRPr="00C25293" w:rsidRDefault="007D3937" w:rsidP="007A7F6F">
            <w:pPr>
              <w:autoSpaceDE w:val="0"/>
              <w:autoSpaceDN w:val="0"/>
              <w:bidi w:val="0"/>
              <w:adjustRightInd w:val="0"/>
              <w:rPr>
                <w:rFonts w:asciiTheme="majorBidi" w:hAnsiTheme="majorBidi" w:cstheme="majorBidi"/>
                <w:sz w:val="16"/>
                <w:szCs w:val="16"/>
              </w:rPr>
            </w:pPr>
            <w:r w:rsidRPr="00C25293">
              <w:rPr>
                <w:rFonts w:asciiTheme="majorBidi" w:hAnsiTheme="majorBidi" w:cstheme="majorBidi"/>
                <w:sz w:val="16"/>
                <w:szCs w:val="16"/>
              </w:rPr>
              <w:t>15-&lt;20</w:t>
            </w:r>
          </w:p>
          <w:p w14:paraId="185A74F1" w14:textId="77777777" w:rsidR="007D3937" w:rsidRPr="00C25293" w:rsidRDefault="007D3937" w:rsidP="007A7F6F">
            <w:pPr>
              <w:autoSpaceDE w:val="0"/>
              <w:autoSpaceDN w:val="0"/>
              <w:bidi w:val="0"/>
              <w:adjustRightInd w:val="0"/>
              <w:rPr>
                <w:rFonts w:asciiTheme="majorBidi" w:hAnsiTheme="majorBidi" w:cstheme="majorBidi"/>
                <w:sz w:val="16"/>
                <w:szCs w:val="16"/>
              </w:rPr>
            </w:pPr>
            <w:r w:rsidRPr="00C25293">
              <w:rPr>
                <w:rFonts w:asciiTheme="majorBidi" w:hAnsiTheme="majorBidi" w:cstheme="majorBidi"/>
                <w:sz w:val="16"/>
                <w:szCs w:val="16"/>
              </w:rPr>
              <w:t>20-&lt;30</w:t>
            </w:r>
          </w:p>
          <w:p w14:paraId="2E9E1206" w14:textId="79B34BA8" w:rsidR="007D3937" w:rsidRPr="00C25293" w:rsidRDefault="007D3937" w:rsidP="00EC3EDA">
            <w:pPr>
              <w:autoSpaceDE w:val="0"/>
              <w:autoSpaceDN w:val="0"/>
              <w:bidi w:val="0"/>
              <w:adjustRightInd w:val="0"/>
              <w:rPr>
                <w:rFonts w:asciiTheme="majorBidi" w:hAnsiTheme="majorBidi" w:cstheme="majorBidi"/>
                <w:sz w:val="16"/>
                <w:szCs w:val="16"/>
              </w:rPr>
            </w:pPr>
            <w:r w:rsidRPr="00C25293">
              <w:rPr>
                <w:rFonts w:asciiTheme="majorBidi" w:hAnsiTheme="majorBidi" w:cstheme="majorBidi"/>
                <w:sz w:val="16"/>
                <w:szCs w:val="16"/>
              </w:rPr>
              <w:t>≥30</w:t>
            </w:r>
          </w:p>
        </w:tc>
        <w:tc>
          <w:tcPr>
            <w:tcW w:w="1616" w:type="dxa"/>
            <w:tcBorders>
              <w:top w:val="single" w:sz="4" w:space="0" w:color="auto"/>
              <w:left w:val="nil"/>
              <w:bottom w:val="nil"/>
              <w:right w:val="nil"/>
            </w:tcBorders>
          </w:tcPr>
          <w:p w14:paraId="01264B39" w14:textId="77777777" w:rsidR="007D3937" w:rsidRPr="00C25293" w:rsidRDefault="007D3937" w:rsidP="007A7F6F">
            <w:pPr>
              <w:autoSpaceDE w:val="0"/>
              <w:autoSpaceDN w:val="0"/>
              <w:bidi w:val="0"/>
              <w:adjustRightInd w:val="0"/>
              <w:rPr>
                <w:rFonts w:asciiTheme="majorBidi" w:hAnsiTheme="majorBidi" w:cstheme="majorBidi"/>
                <w:sz w:val="16"/>
                <w:szCs w:val="16"/>
              </w:rPr>
            </w:pPr>
            <w:r w:rsidRPr="00C25293">
              <w:rPr>
                <w:rFonts w:asciiTheme="majorBidi" w:hAnsiTheme="majorBidi" w:cstheme="majorBidi"/>
                <w:sz w:val="16"/>
                <w:szCs w:val="16"/>
              </w:rPr>
              <w:t>2.41 (1.14, 5.12)</w:t>
            </w:r>
          </w:p>
          <w:p w14:paraId="3520716C" w14:textId="77777777" w:rsidR="007D3937" w:rsidRPr="00C25293" w:rsidRDefault="007D3937" w:rsidP="007A7F6F">
            <w:pPr>
              <w:autoSpaceDE w:val="0"/>
              <w:autoSpaceDN w:val="0"/>
              <w:bidi w:val="0"/>
              <w:adjustRightInd w:val="0"/>
              <w:rPr>
                <w:rFonts w:asciiTheme="majorBidi" w:hAnsiTheme="majorBidi" w:cstheme="majorBidi"/>
                <w:sz w:val="16"/>
                <w:szCs w:val="16"/>
              </w:rPr>
            </w:pPr>
            <w:r w:rsidRPr="00C25293">
              <w:rPr>
                <w:rFonts w:asciiTheme="majorBidi" w:hAnsiTheme="majorBidi" w:cstheme="majorBidi"/>
                <w:sz w:val="16"/>
                <w:szCs w:val="16"/>
              </w:rPr>
              <w:t>1.47 (0.70, 3.07)</w:t>
            </w:r>
          </w:p>
          <w:p w14:paraId="38ABFA0D" w14:textId="77777777" w:rsidR="007D3937" w:rsidRPr="00C25293" w:rsidRDefault="007D3937" w:rsidP="007A7F6F">
            <w:pPr>
              <w:autoSpaceDE w:val="0"/>
              <w:autoSpaceDN w:val="0"/>
              <w:bidi w:val="0"/>
              <w:adjustRightInd w:val="0"/>
              <w:rPr>
                <w:rFonts w:asciiTheme="majorBidi" w:hAnsiTheme="majorBidi" w:cstheme="majorBidi"/>
                <w:sz w:val="16"/>
                <w:szCs w:val="16"/>
              </w:rPr>
            </w:pPr>
            <w:r w:rsidRPr="00C25293">
              <w:rPr>
                <w:rFonts w:asciiTheme="majorBidi" w:hAnsiTheme="majorBidi" w:cstheme="majorBidi"/>
                <w:sz w:val="16"/>
                <w:szCs w:val="16"/>
              </w:rPr>
              <w:t>1.09 (0.54, 2.19)</w:t>
            </w:r>
          </w:p>
          <w:p w14:paraId="38A4A472" w14:textId="77777777" w:rsidR="007D3937" w:rsidRPr="00C25293" w:rsidRDefault="00AD3855" w:rsidP="007A7F6F">
            <w:pPr>
              <w:bidi w:val="0"/>
              <w:rPr>
                <w:rFonts w:asciiTheme="majorBidi" w:hAnsiTheme="majorBidi" w:cstheme="majorBidi"/>
                <w:sz w:val="16"/>
                <w:szCs w:val="16"/>
              </w:rPr>
            </w:pPr>
            <w:r w:rsidRPr="00C25293">
              <w:rPr>
                <w:rFonts w:asciiTheme="majorBidi" w:hAnsiTheme="majorBidi" w:cstheme="majorBidi"/>
                <w:sz w:val="16"/>
                <w:szCs w:val="16"/>
              </w:rPr>
              <w:t>1.00 (Ref)</w:t>
            </w:r>
          </w:p>
        </w:tc>
        <w:tc>
          <w:tcPr>
            <w:tcW w:w="1027" w:type="dxa"/>
            <w:tcBorders>
              <w:top w:val="single" w:sz="4" w:space="0" w:color="auto"/>
              <w:left w:val="nil"/>
              <w:bottom w:val="nil"/>
              <w:right w:val="nil"/>
            </w:tcBorders>
          </w:tcPr>
          <w:p w14:paraId="1F4571CC"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Serum</w:t>
            </w:r>
          </w:p>
        </w:tc>
        <w:tc>
          <w:tcPr>
            <w:tcW w:w="1321" w:type="dxa"/>
            <w:tcBorders>
              <w:top w:val="single" w:sz="4" w:space="0" w:color="auto"/>
              <w:left w:val="nil"/>
              <w:bottom w:val="nil"/>
              <w:right w:val="nil"/>
            </w:tcBorders>
          </w:tcPr>
          <w:p w14:paraId="462B646B"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ECLIA</w:t>
            </w:r>
          </w:p>
        </w:tc>
        <w:tc>
          <w:tcPr>
            <w:tcW w:w="1468" w:type="dxa"/>
            <w:tcBorders>
              <w:top w:val="single" w:sz="4" w:space="0" w:color="auto"/>
              <w:left w:val="nil"/>
              <w:bottom w:val="nil"/>
              <w:right w:val="nil"/>
            </w:tcBorders>
          </w:tcPr>
          <w:p w14:paraId="09B83763"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Fried criteria</w:t>
            </w:r>
          </w:p>
        </w:tc>
        <w:tc>
          <w:tcPr>
            <w:tcW w:w="1085" w:type="dxa"/>
            <w:tcBorders>
              <w:top w:val="single" w:sz="4" w:space="0" w:color="auto"/>
              <w:left w:val="nil"/>
              <w:bottom w:val="nil"/>
              <w:right w:val="nil"/>
            </w:tcBorders>
          </w:tcPr>
          <w:p w14:paraId="7B31949F" w14:textId="7F7AC58A" w:rsidR="007D3937" w:rsidRPr="002C597E" w:rsidRDefault="0082584E" w:rsidP="007A7F6F">
            <w:pPr>
              <w:bidi w:val="0"/>
              <w:rPr>
                <w:rFonts w:asciiTheme="majorBidi" w:hAnsiTheme="majorBidi" w:cstheme="majorBidi"/>
                <w:sz w:val="18"/>
                <w:szCs w:val="18"/>
                <w:highlight w:val="yellow"/>
              </w:rPr>
            </w:pPr>
            <w:r w:rsidRPr="002C597E">
              <w:rPr>
                <w:rFonts w:asciiTheme="majorBidi" w:hAnsiTheme="majorBidi" w:cstheme="majorBidi"/>
                <w:sz w:val="16"/>
                <w:szCs w:val="16"/>
                <w:highlight w:val="yellow"/>
              </w:rPr>
              <w:t>1-13</w:t>
            </w:r>
          </w:p>
        </w:tc>
      </w:tr>
      <w:tr w:rsidR="002C597E" w:rsidRPr="002C597E" w14:paraId="07980315" w14:textId="77777777" w:rsidTr="002C597E">
        <w:trPr>
          <w:trHeight w:val="267"/>
        </w:trPr>
        <w:tc>
          <w:tcPr>
            <w:tcW w:w="993" w:type="dxa"/>
            <w:tcBorders>
              <w:top w:val="nil"/>
              <w:left w:val="nil"/>
              <w:bottom w:val="nil"/>
              <w:right w:val="nil"/>
            </w:tcBorders>
          </w:tcPr>
          <w:p w14:paraId="2F354F22"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Shardell et al.</w:t>
            </w:r>
          </w:p>
          <w:p w14:paraId="2B298559"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2012</w:t>
            </w:r>
          </w:p>
        </w:tc>
        <w:tc>
          <w:tcPr>
            <w:tcW w:w="1616" w:type="dxa"/>
            <w:tcBorders>
              <w:top w:val="nil"/>
              <w:left w:val="nil"/>
              <w:bottom w:val="nil"/>
              <w:right w:val="nil"/>
            </w:tcBorders>
          </w:tcPr>
          <w:p w14:paraId="72ED716F" w14:textId="359ADD83"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color w:val="0D0D0D" w:themeColor="text1" w:themeTint="F2"/>
                <w:sz w:val="16"/>
                <w:szCs w:val="16"/>
              </w:rPr>
              <w:t>Italy</w:t>
            </w:r>
            <w:r w:rsidR="00246431">
              <w:rPr>
                <w:rFonts w:asciiTheme="majorBidi" w:hAnsiTheme="majorBidi" w:cstheme="majorBidi"/>
                <w:sz w:val="16"/>
                <w:szCs w:val="16"/>
                <w:lang w:bidi="fa-IR"/>
              </w:rPr>
              <w:t xml:space="preserve">/ </w:t>
            </w:r>
            <w:r w:rsidR="00246431" w:rsidRPr="00246431">
              <w:rPr>
                <w:rFonts w:asciiTheme="majorBidi" w:hAnsiTheme="majorBidi" w:cstheme="majorBidi"/>
                <w:sz w:val="16"/>
                <w:szCs w:val="16"/>
                <w:highlight w:val="yellow"/>
                <w:lang w:bidi="fa-IR"/>
              </w:rPr>
              <w:t>Europe</w:t>
            </w:r>
          </w:p>
        </w:tc>
        <w:tc>
          <w:tcPr>
            <w:tcW w:w="1911" w:type="dxa"/>
            <w:tcBorders>
              <w:top w:val="nil"/>
              <w:left w:val="nil"/>
              <w:bottom w:val="nil"/>
              <w:right w:val="nil"/>
            </w:tcBorders>
          </w:tcPr>
          <w:p w14:paraId="30BD9762" w14:textId="763566BD" w:rsidR="007D3937" w:rsidRPr="00C25293" w:rsidRDefault="007D3937" w:rsidP="00EC3EDA">
            <w:pPr>
              <w:bidi w:val="0"/>
              <w:rPr>
                <w:rFonts w:asciiTheme="majorBidi" w:hAnsiTheme="majorBidi" w:cstheme="majorBidi"/>
                <w:sz w:val="16"/>
                <w:szCs w:val="16"/>
              </w:rPr>
            </w:pPr>
            <w:r w:rsidRPr="00C25293">
              <w:rPr>
                <w:rFonts w:asciiTheme="majorBidi" w:hAnsiTheme="majorBidi" w:cstheme="majorBidi"/>
                <w:sz w:val="16"/>
                <w:szCs w:val="16"/>
              </w:rPr>
              <w:t>Cohort (InCHIANTI)/6</w:t>
            </w:r>
          </w:p>
        </w:tc>
        <w:tc>
          <w:tcPr>
            <w:tcW w:w="1468" w:type="dxa"/>
            <w:tcBorders>
              <w:top w:val="nil"/>
              <w:left w:val="nil"/>
              <w:bottom w:val="nil"/>
              <w:right w:val="nil"/>
            </w:tcBorders>
          </w:tcPr>
          <w:p w14:paraId="746556E0"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color w:val="0D0D0D" w:themeColor="text1" w:themeTint="F2"/>
                <w:sz w:val="16"/>
                <w:szCs w:val="16"/>
              </w:rPr>
              <w:t>1005/595</w:t>
            </w:r>
          </w:p>
        </w:tc>
        <w:tc>
          <w:tcPr>
            <w:tcW w:w="1175" w:type="dxa"/>
            <w:tcBorders>
              <w:top w:val="nil"/>
              <w:left w:val="nil"/>
              <w:bottom w:val="nil"/>
              <w:right w:val="nil"/>
            </w:tcBorders>
          </w:tcPr>
          <w:p w14:paraId="421DF876" w14:textId="63DDA77D" w:rsidR="007D3937" w:rsidRPr="00C25293" w:rsidRDefault="007D3937" w:rsidP="00973895">
            <w:pPr>
              <w:bidi w:val="0"/>
              <w:jc w:val="center"/>
              <w:rPr>
                <w:rFonts w:asciiTheme="majorBidi" w:hAnsiTheme="majorBidi" w:cstheme="majorBidi"/>
                <w:sz w:val="16"/>
                <w:szCs w:val="16"/>
              </w:rPr>
            </w:pPr>
            <w:r w:rsidRPr="00C25293">
              <w:rPr>
                <w:rFonts w:asciiTheme="majorBidi" w:hAnsiTheme="majorBidi" w:cstheme="majorBidi"/>
                <w:sz w:val="16"/>
                <w:szCs w:val="16"/>
              </w:rPr>
              <w:t>M/F</w:t>
            </w:r>
            <w:r w:rsidR="00973895" w:rsidRPr="00C25293">
              <w:rPr>
                <w:rFonts w:asciiTheme="majorBidi" w:hAnsiTheme="majorBidi" w:cstheme="majorBidi"/>
                <w:sz w:val="16"/>
                <w:szCs w:val="16"/>
              </w:rPr>
              <w:t>/ (</w:t>
            </w:r>
            <w:r w:rsidRPr="00C25293">
              <w:rPr>
                <w:rFonts w:asciiTheme="majorBidi" w:hAnsiTheme="majorBidi" w:cstheme="majorBidi"/>
                <w:sz w:val="16"/>
                <w:szCs w:val="16"/>
              </w:rPr>
              <w:t>55.8</w:t>
            </w:r>
            <w:r w:rsidR="00973895" w:rsidRPr="00C25293">
              <w:rPr>
                <w:rFonts w:asciiTheme="majorBidi" w:hAnsiTheme="majorBidi" w:cstheme="majorBidi"/>
                <w:sz w:val="16"/>
                <w:szCs w:val="16"/>
              </w:rPr>
              <w:t>% F)</w:t>
            </w:r>
          </w:p>
        </w:tc>
        <w:tc>
          <w:tcPr>
            <w:tcW w:w="879" w:type="dxa"/>
            <w:tcBorders>
              <w:top w:val="nil"/>
              <w:left w:val="nil"/>
              <w:bottom w:val="nil"/>
              <w:right w:val="nil"/>
            </w:tcBorders>
          </w:tcPr>
          <w:p w14:paraId="4C1059A5" w14:textId="1F4BBF90" w:rsidR="007D3937" w:rsidRPr="00EC3EDA" w:rsidRDefault="007D3937" w:rsidP="00EC3EDA">
            <w:pPr>
              <w:bidi w:val="0"/>
              <w:jc w:val="center"/>
              <w:rPr>
                <w:rFonts w:asciiTheme="majorBidi" w:hAnsiTheme="majorBidi" w:cstheme="majorBidi"/>
                <w:color w:val="0D0D0D" w:themeColor="text1" w:themeTint="F2"/>
                <w:sz w:val="16"/>
                <w:szCs w:val="16"/>
              </w:rPr>
            </w:pPr>
            <w:r w:rsidRPr="00C25293">
              <w:rPr>
                <w:rFonts w:asciiTheme="majorBidi" w:hAnsiTheme="majorBidi" w:cstheme="majorBidi"/>
                <w:sz w:val="16"/>
                <w:szCs w:val="16"/>
              </w:rPr>
              <w:t>74.99</w:t>
            </w:r>
            <w:r w:rsidRPr="00C25293">
              <w:rPr>
                <w:rFonts w:asciiTheme="majorBidi" w:hAnsiTheme="majorBidi" w:cstheme="majorBidi"/>
                <w:color w:val="0D0D0D" w:themeColor="text1" w:themeTint="F2"/>
                <w:sz w:val="16"/>
                <w:szCs w:val="16"/>
              </w:rPr>
              <w:t>±7.35</w:t>
            </w:r>
          </w:p>
        </w:tc>
        <w:tc>
          <w:tcPr>
            <w:tcW w:w="1911" w:type="dxa"/>
            <w:tcBorders>
              <w:top w:val="nil"/>
              <w:left w:val="nil"/>
              <w:bottom w:val="nil"/>
              <w:right w:val="nil"/>
            </w:tcBorders>
          </w:tcPr>
          <w:p w14:paraId="2A4BF2E6"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 xml:space="preserve">Per 5 ng/ml </w:t>
            </w:r>
          </w:p>
          <w:p w14:paraId="3EB220DF" w14:textId="77777777" w:rsidR="007D3937" w:rsidRPr="00C25293" w:rsidRDefault="007D3937" w:rsidP="007A7F6F">
            <w:pPr>
              <w:bidi w:val="0"/>
              <w:rPr>
                <w:rFonts w:asciiTheme="majorBidi" w:hAnsiTheme="majorBidi" w:cstheme="majorBidi"/>
                <w:color w:val="0D0D0D" w:themeColor="text1" w:themeTint="F2"/>
                <w:sz w:val="16"/>
                <w:szCs w:val="16"/>
              </w:rPr>
            </w:pPr>
          </w:p>
          <w:p w14:paraId="52A3D125" w14:textId="77777777" w:rsidR="007D3937" w:rsidRPr="00C25293" w:rsidRDefault="007D3937" w:rsidP="007A7F6F">
            <w:pPr>
              <w:autoSpaceDE w:val="0"/>
              <w:autoSpaceDN w:val="0"/>
              <w:bidi w:val="0"/>
              <w:adjustRightInd w:val="0"/>
              <w:rPr>
                <w:rFonts w:asciiTheme="majorBidi" w:hAnsiTheme="majorBidi" w:cstheme="majorBidi"/>
                <w:sz w:val="16"/>
                <w:szCs w:val="16"/>
              </w:rPr>
            </w:pPr>
          </w:p>
        </w:tc>
        <w:tc>
          <w:tcPr>
            <w:tcW w:w="1616" w:type="dxa"/>
            <w:tcBorders>
              <w:top w:val="nil"/>
              <w:left w:val="nil"/>
              <w:bottom w:val="nil"/>
              <w:right w:val="nil"/>
            </w:tcBorders>
          </w:tcPr>
          <w:p w14:paraId="719B52E1"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0.98(0.92-1.21)</w:t>
            </w:r>
          </w:p>
        </w:tc>
        <w:tc>
          <w:tcPr>
            <w:tcW w:w="1027" w:type="dxa"/>
            <w:tcBorders>
              <w:top w:val="nil"/>
              <w:left w:val="nil"/>
              <w:bottom w:val="nil"/>
              <w:right w:val="nil"/>
            </w:tcBorders>
          </w:tcPr>
          <w:p w14:paraId="6EC764CA"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color w:val="0D0D0D" w:themeColor="text1" w:themeTint="F2"/>
                <w:sz w:val="16"/>
                <w:szCs w:val="16"/>
              </w:rPr>
              <w:t>Serum</w:t>
            </w:r>
          </w:p>
        </w:tc>
        <w:tc>
          <w:tcPr>
            <w:tcW w:w="1321" w:type="dxa"/>
            <w:tcBorders>
              <w:top w:val="nil"/>
              <w:left w:val="nil"/>
              <w:bottom w:val="nil"/>
              <w:right w:val="nil"/>
            </w:tcBorders>
          </w:tcPr>
          <w:p w14:paraId="72729EAD"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color w:val="0D0D0D" w:themeColor="text1" w:themeTint="F2"/>
                <w:sz w:val="16"/>
                <w:szCs w:val="16"/>
              </w:rPr>
              <w:t>RIA</w:t>
            </w:r>
          </w:p>
        </w:tc>
        <w:tc>
          <w:tcPr>
            <w:tcW w:w="1468" w:type="dxa"/>
            <w:tcBorders>
              <w:top w:val="nil"/>
              <w:left w:val="nil"/>
              <w:bottom w:val="nil"/>
              <w:right w:val="nil"/>
            </w:tcBorders>
          </w:tcPr>
          <w:p w14:paraId="323E5872"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Fried criteria</w:t>
            </w:r>
          </w:p>
        </w:tc>
        <w:tc>
          <w:tcPr>
            <w:tcW w:w="1085" w:type="dxa"/>
            <w:tcBorders>
              <w:top w:val="nil"/>
              <w:left w:val="nil"/>
              <w:bottom w:val="nil"/>
              <w:right w:val="nil"/>
            </w:tcBorders>
          </w:tcPr>
          <w:p w14:paraId="1CD3E229" w14:textId="343B8389" w:rsidR="007D3937" w:rsidRPr="002C597E" w:rsidRDefault="0082584E" w:rsidP="007A7F6F">
            <w:pPr>
              <w:bidi w:val="0"/>
              <w:rPr>
                <w:rFonts w:asciiTheme="majorBidi" w:hAnsiTheme="majorBidi" w:cstheme="majorBidi"/>
                <w:sz w:val="16"/>
                <w:szCs w:val="16"/>
                <w:highlight w:val="yellow"/>
              </w:rPr>
            </w:pPr>
            <w:r w:rsidRPr="002C597E">
              <w:rPr>
                <w:rFonts w:asciiTheme="majorBidi" w:hAnsiTheme="majorBidi" w:cstheme="majorBidi"/>
                <w:sz w:val="16"/>
                <w:szCs w:val="16"/>
                <w:highlight w:val="yellow"/>
              </w:rPr>
              <w:t>1-4,6-8,13-17</w:t>
            </w:r>
          </w:p>
        </w:tc>
      </w:tr>
      <w:tr w:rsidR="002C597E" w:rsidRPr="002C597E" w14:paraId="7508F89C" w14:textId="77777777" w:rsidTr="002C597E">
        <w:trPr>
          <w:trHeight w:val="398"/>
        </w:trPr>
        <w:tc>
          <w:tcPr>
            <w:tcW w:w="993" w:type="dxa"/>
            <w:tcBorders>
              <w:top w:val="nil"/>
              <w:left w:val="nil"/>
              <w:bottom w:val="nil"/>
              <w:right w:val="nil"/>
            </w:tcBorders>
          </w:tcPr>
          <w:p w14:paraId="6DBAFB57"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Zhang et al.</w:t>
            </w:r>
          </w:p>
          <w:p w14:paraId="39493A15"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2024</w:t>
            </w:r>
          </w:p>
        </w:tc>
        <w:tc>
          <w:tcPr>
            <w:tcW w:w="1616" w:type="dxa"/>
            <w:tcBorders>
              <w:top w:val="nil"/>
              <w:left w:val="nil"/>
              <w:bottom w:val="nil"/>
              <w:right w:val="nil"/>
            </w:tcBorders>
          </w:tcPr>
          <w:p w14:paraId="1F61028B" w14:textId="3F2BFC84"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UK</w:t>
            </w:r>
            <w:r w:rsidR="00246431">
              <w:rPr>
                <w:rFonts w:asciiTheme="majorBidi" w:hAnsiTheme="majorBidi" w:cstheme="majorBidi"/>
                <w:sz w:val="16"/>
                <w:szCs w:val="16"/>
                <w:lang w:bidi="fa-IR"/>
              </w:rPr>
              <w:t xml:space="preserve">/ </w:t>
            </w:r>
            <w:r w:rsidR="00246431" w:rsidRPr="00246431">
              <w:rPr>
                <w:rFonts w:asciiTheme="majorBidi" w:hAnsiTheme="majorBidi" w:cstheme="majorBidi"/>
                <w:sz w:val="16"/>
                <w:szCs w:val="16"/>
                <w:highlight w:val="yellow"/>
                <w:lang w:bidi="fa-IR"/>
              </w:rPr>
              <w:t>Europe</w:t>
            </w:r>
          </w:p>
        </w:tc>
        <w:tc>
          <w:tcPr>
            <w:tcW w:w="1911" w:type="dxa"/>
            <w:tcBorders>
              <w:top w:val="nil"/>
              <w:left w:val="nil"/>
              <w:bottom w:val="nil"/>
              <w:right w:val="nil"/>
            </w:tcBorders>
          </w:tcPr>
          <w:p w14:paraId="67AB6317"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 xml:space="preserve">Cross-sectional </w:t>
            </w:r>
          </w:p>
          <w:p w14:paraId="350545F8"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(UK Biobank)</w:t>
            </w:r>
          </w:p>
        </w:tc>
        <w:tc>
          <w:tcPr>
            <w:tcW w:w="1468" w:type="dxa"/>
            <w:tcBorders>
              <w:top w:val="nil"/>
              <w:left w:val="nil"/>
              <w:bottom w:val="nil"/>
              <w:right w:val="nil"/>
            </w:tcBorders>
          </w:tcPr>
          <w:p w14:paraId="265A020E"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Frailty phenotype</w:t>
            </w:r>
          </w:p>
          <w:p w14:paraId="660D8716" w14:textId="4B214753"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444382/252229</w:t>
            </w:r>
          </w:p>
          <w:p w14:paraId="30043315"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Frailty index</w:t>
            </w:r>
          </w:p>
          <w:p w14:paraId="2C28692C" w14:textId="3C1D41F0"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447515/229444</w:t>
            </w:r>
          </w:p>
        </w:tc>
        <w:tc>
          <w:tcPr>
            <w:tcW w:w="1175" w:type="dxa"/>
            <w:tcBorders>
              <w:top w:val="nil"/>
              <w:left w:val="nil"/>
              <w:bottom w:val="nil"/>
              <w:right w:val="nil"/>
            </w:tcBorders>
          </w:tcPr>
          <w:p w14:paraId="2AE8FDD8" w14:textId="247C8C84" w:rsidR="007D3937" w:rsidRPr="00C25293" w:rsidRDefault="007D3937" w:rsidP="00973895">
            <w:pPr>
              <w:bidi w:val="0"/>
              <w:rPr>
                <w:rFonts w:asciiTheme="majorBidi" w:hAnsiTheme="majorBidi" w:cstheme="majorBidi"/>
                <w:sz w:val="16"/>
                <w:szCs w:val="16"/>
              </w:rPr>
            </w:pPr>
            <w:r w:rsidRPr="00C25293">
              <w:rPr>
                <w:rFonts w:asciiTheme="majorBidi" w:hAnsiTheme="majorBidi" w:cstheme="majorBidi"/>
                <w:sz w:val="16"/>
                <w:szCs w:val="16"/>
              </w:rPr>
              <w:t>M/F</w:t>
            </w:r>
            <w:r w:rsidR="00973895" w:rsidRPr="00C25293">
              <w:rPr>
                <w:rFonts w:asciiTheme="majorBidi" w:hAnsiTheme="majorBidi" w:cstheme="majorBidi"/>
                <w:sz w:val="16"/>
                <w:szCs w:val="16"/>
              </w:rPr>
              <w:t>/ (</w:t>
            </w:r>
            <w:r w:rsidRPr="00C25293">
              <w:rPr>
                <w:rFonts w:asciiTheme="majorBidi" w:hAnsiTheme="majorBidi" w:cstheme="majorBidi"/>
                <w:sz w:val="16"/>
                <w:szCs w:val="16"/>
              </w:rPr>
              <w:t>53.5</w:t>
            </w:r>
            <w:r w:rsidR="00973895" w:rsidRPr="00C25293">
              <w:rPr>
                <w:rFonts w:asciiTheme="majorBidi" w:hAnsiTheme="majorBidi" w:cstheme="majorBidi"/>
                <w:sz w:val="16"/>
                <w:szCs w:val="16"/>
              </w:rPr>
              <w:t>% F)</w:t>
            </w:r>
          </w:p>
        </w:tc>
        <w:tc>
          <w:tcPr>
            <w:tcW w:w="879" w:type="dxa"/>
            <w:tcBorders>
              <w:top w:val="nil"/>
              <w:left w:val="nil"/>
              <w:bottom w:val="nil"/>
              <w:right w:val="nil"/>
            </w:tcBorders>
          </w:tcPr>
          <w:p w14:paraId="475F1CA9"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57.6</w:t>
            </w:r>
          </w:p>
          <w:p w14:paraId="26DB6D64" w14:textId="77777777" w:rsidR="007D3937" w:rsidRPr="00C25293" w:rsidRDefault="007D3937" w:rsidP="007A7F6F">
            <w:pPr>
              <w:bidi w:val="0"/>
              <w:rPr>
                <w:rFonts w:asciiTheme="majorBidi" w:hAnsiTheme="majorBidi" w:cstheme="majorBidi"/>
                <w:sz w:val="16"/>
                <w:szCs w:val="16"/>
              </w:rPr>
            </w:pPr>
          </w:p>
        </w:tc>
        <w:tc>
          <w:tcPr>
            <w:tcW w:w="1911" w:type="dxa"/>
            <w:tcBorders>
              <w:top w:val="nil"/>
              <w:left w:val="nil"/>
              <w:bottom w:val="nil"/>
              <w:right w:val="nil"/>
            </w:tcBorders>
          </w:tcPr>
          <w:p w14:paraId="55D598E1" w14:textId="4B0D3360" w:rsidR="00FB64D3" w:rsidRPr="00EB6BEB" w:rsidRDefault="00FB64D3" w:rsidP="00FB64D3">
            <w:pPr>
              <w:bidi w:val="0"/>
              <w:rPr>
                <w:rFonts w:asciiTheme="majorBidi" w:hAnsiTheme="majorBidi" w:cstheme="majorBidi"/>
                <w:sz w:val="16"/>
                <w:szCs w:val="16"/>
                <w:highlight w:val="yellow"/>
              </w:rPr>
            </w:pPr>
            <w:r w:rsidRPr="00EB6BEB">
              <w:rPr>
                <w:rFonts w:asciiTheme="majorBidi" w:hAnsiTheme="majorBidi" w:cstheme="majorBidi"/>
                <w:sz w:val="16"/>
                <w:szCs w:val="16"/>
                <w:highlight w:val="yellow"/>
              </w:rPr>
              <w:t>Frailty phenotype</w:t>
            </w:r>
            <w:r w:rsidR="0080306B">
              <w:rPr>
                <w:rFonts w:asciiTheme="majorBidi" w:hAnsiTheme="majorBidi" w:cstheme="majorBidi"/>
                <w:sz w:val="16"/>
                <w:szCs w:val="16"/>
                <w:highlight w:val="yellow"/>
              </w:rPr>
              <w:t>:</w:t>
            </w:r>
          </w:p>
          <w:p w14:paraId="68B02D92" w14:textId="379CB204" w:rsidR="007D3937" w:rsidRPr="00EB6BEB" w:rsidRDefault="00246431" w:rsidP="007A7F6F">
            <w:pPr>
              <w:autoSpaceDE w:val="0"/>
              <w:autoSpaceDN w:val="0"/>
              <w:bidi w:val="0"/>
              <w:adjustRightInd w:val="0"/>
              <w:rPr>
                <w:rFonts w:asciiTheme="majorBidi" w:hAnsiTheme="majorBidi" w:cstheme="majorBidi"/>
                <w:sz w:val="16"/>
                <w:szCs w:val="16"/>
                <w:highlight w:val="yellow"/>
                <w:lang w:bidi="fa-IR"/>
              </w:rPr>
            </w:pPr>
            <w:r w:rsidRPr="00EB6BEB">
              <w:rPr>
                <w:rFonts w:asciiTheme="majorBidi" w:hAnsiTheme="majorBidi" w:cstheme="majorBidi"/>
                <w:sz w:val="16"/>
                <w:szCs w:val="16"/>
                <w:highlight w:val="yellow"/>
                <w:lang w:bidi="fa-IR"/>
              </w:rPr>
              <w:t>&lt;30</w:t>
            </w:r>
          </w:p>
          <w:p w14:paraId="2D428CCB" w14:textId="77777777" w:rsidR="007D3937" w:rsidRPr="00EB6BEB" w:rsidRDefault="00246431" w:rsidP="007A7F6F">
            <w:pPr>
              <w:autoSpaceDE w:val="0"/>
              <w:autoSpaceDN w:val="0"/>
              <w:bidi w:val="0"/>
              <w:adjustRightInd w:val="0"/>
              <w:rPr>
                <w:rFonts w:asciiTheme="majorBidi" w:hAnsiTheme="majorBidi" w:cstheme="majorBidi"/>
                <w:sz w:val="16"/>
                <w:szCs w:val="16"/>
                <w:highlight w:val="yellow"/>
                <w:lang w:bidi="fa-IR"/>
              </w:rPr>
            </w:pPr>
            <w:r w:rsidRPr="00EB6BEB">
              <w:rPr>
                <w:rFonts w:asciiTheme="majorBidi" w:hAnsiTheme="majorBidi" w:cstheme="majorBidi"/>
                <w:sz w:val="16"/>
                <w:szCs w:val="16"/>
                <w:highlight w:val="yellow"/>
                <w:lang w:bidi="fa-IR"/>
              </w:rPr>
              <w:t>≥30</w:t>
            </w:r>
          </w:p>
          <w:p w14:paraId="6D20179E" w14:textId="77777777" w:rsidR="00FB64D3" w:rsidRPr="00EB6BEB" w:rsidRDefault="00FB64D3" w:rsidP="00FB64D3">
            <w:pPr>
              <w:bidi w:val="0"/>
              <w:rPr>
                <w:rFonts w:asciiTheme="majorBidi" w:hAnsiTheme="majorBidi" w:cstheme="majorBidi"/>
                <w:sz w:val="16"/>
                <w:szCs w:val="16"/>
                <w:highlight w:val="yellow"/>
              </w:rPr>
            </w:pPr>
            <w:r w:rsidRPr="00EB6BEB">
              <w:rPr>
                <w:rFonts w:asciiTheme="majorBidi" w:hAnsiTheme="majorBidi" w:cstheme="majorBidi"/>
                <w:sz w:val="16"/>
                <w:szCs w:val="16"/>
                <w:highlight w:val="yellow"/>
              </w:rPr>
              <w:t>Frailty index</w:t>
            </w:r>
          </w:p>
          <w:p w14:paraId="120A4870" w14:textId="77777777" w:rsidR="00FB64D3" w:rsidRPr="00EB6BEB" w:rsidRDefault="00FB64D3" w:rsidP="00FB64D3">
            <w:pPr>
              <w:autoSpaceDE w:val="0"/>
              <w:autoSpaceDN w:val="0"/>
              <w:bidi w:val="0"/>
              <w:adjustRightInd w:val="0"/>
              <w:rPr>
                <w:rFonts w:asciiTheme="majorBidi" w:hAnsiTheme="majorBidi" w:cstheme="majorBidi"/>
                <w:sz w:val="16"/>
                <w:szCs w:val="16"/>
                <w:highlight w:val="yellow"/>
                <w:lang w:bidi="fa-IR"/>
              </w:rPr>
            </w:pPr>
            <w:r w:rsidRPr="00EB6BEB">
              <w:rPr>
                <w:rFonts w:asciiTheme="majorBidi" w:hAnsiTheme="majorBidi" w:cstheme="majorBidi"/>
                <w:sz w:val="16"/>
                <w:szCs w:val="16"/>
                <w:highlight w:val="yellow"/>
                <w:lang w:bidi="fa-IR"/>
              </w:rPr>
              <w:t>&lt;30</w:t>
            </w:r>
          </w:p>
          <w:p w14:paraId="2F89B10D" w14:textId="77777777" w:rsidR="00FB64D3" w:rsidRDefault="00FB64D3" w:rsidP="00FB64D3">
            <w:pPr>
              <w:autoSpaceDE w:val="0"/>
              <w:autoSpaceDN w:val="0"/>
              <w:bidi w:val="0"/>
              <w:adjustRightInd w:val="0"/>
              <w:rPr>
                <w:rFonts w:asciiTheme="majorBidi" w:hAnsiTheme="majorBidi" w:cstheme="majorBidi"/>
                <w:sz w:val="16"/>
                <w:szCs w:val="16"/>
                <w:lang w:bidi="fa-IR"/>
              </w:rPr>
            </w:pPr>
            <w:r w:rsidRPr="00776D04">
              <w:rPr>
                <w:rFonts w:asciiTheme="majorBidi" w:hAnsiTheme="majorBidi" w:cstheme="majorBidi"/>
                <w:sz w:val="16"/>
                <w:szCs w:val="16"/>
                <w:highlight w:val="yellow"/>
                <w:lang w:bidi="fa-IR"/>
              </w:rPr>
              <w:t>≥30</w:t>
            </w:r>
          </w:p>
          <w:p w14:paraId="49D12051" w14:textId="0B9A8D26" w:rsidR="00FB64D3" w:rsidRPr="00FB64D3" w:rsidRDefault="00FB64D3" w:rsidP="00FB64D3">
            <w:pPr>
              <w:autoSpaceDE w:val="0"/>
              <w:autoSpaceDN w:val="0"/>
              <w:bidi w:val="0"/>
              <w:adjustRightInd w:val="0"/>
              <w:rPr>
                <w:rFonts w:asciiTheme="majorBidi" w:hAnsiTheme="majorBidi" w:cstheme="majorBidi"/>
                <w:b/>
                <w:bCs/>
                <w:sz w:val="16"/>
                <w:szCs w:val="16"/>
                <w:lang w:bidi="fa-IR"/>
              </w:rPr>
            </w:pPr>
          </w:p>
        </w:tc>
        <w:tc>
          <w:tcPr>
            <w:tcW w:w="1616" w:type="dxa"/>
            <w:tcBorders>
              <w:top w:val="nil"/>
              <w:left w:val="nil"/>
              <w:bottom w:val="nil"/>
              <w:right w:val="nil"/>
            </w:tcBorders>
          </w:tcPr>
          <w:p w14:paraId="4F10EE74" w14:textId="77777777" w:rsidR="00FB64D3" w:rsidRDefault="00FB64D3" w:rsidP="007A7F6F">
            <w:pPr>
              <w:bidi w:val="0"/>
              <w:rPr>
                <w:rFonts w:asciiTheme="majorBidi" w:hAnsiTheme="majorBidi" w:cstheme="majorBidi"/>
                <w:sz w:val="16"/>
                <w:szCs w:val="16"/>
              </w:rPr>
            </w:pPr>
          </w:p>
          <w:p w14:paraId="76D19AF0" w14:textId="4A02234C" w:rsidR="00AD3855" w:rsidRPr="00C25293" w:rsidRDefault="00AD3855" w:rsidP="00FB64D3">
            <w:pPr>
              <w:bidi w:val="0"/>
              <w:rPr>
                <w:rFonts w:asciiTheme="majorBidi" w:hAnsiTheme="majorBidi" w:cs="Cordia New"/>
                <w:sz w:val="16"/>
                <w:szCs w:val="16"/>
                <w:cs/>
              </w:rPr>
            </w:pPr>
            <w:r w:rsidRPr="00C25293">
              <w:rPr>
                <w:rFonts w:asciiTheme="majorBidi" w:hAnsiTheme="majorBidi" w:cstheme="majorBidi"/>
                <w:sz w:val="16"/>
                <w:szCs w:val="16"/>
              </w:rPr>
              <w:t>1.00 (Ref)</w:t>
            </w:r>
          </w:p>
          <w:p w14:paraId="6231EF62" w14:textId="77777777" w:rsidR="007D3937" w:rsidRPr="00C25293" w:rsidRDefault="007D3937" w:rsidP="00AD3855">
            <w:pPr>
              <w:bidi w:val="0"/>
              <w:rPr>
                <w:rFonts w:asciiTheme="majorBidi" w:hAnsiTheme="majorBidi" w:cstheme="majorBidi"/>
                <w:sz w:val="16"/>
                <w:szCs w:val="16"/>
              </w:rPr>
            </w:pPr>
            <w:r w:rsidRPr="00C25293">
              <w:rPr>
                <w:rFonts w:asciiTheme="majorBidi" w:hAnsiTheme="majorBidi" w:cstheme="majorBidi"/>
                <w:sz w:val="16"/>
                <w:szCs w:val="16"/>
              </w:rPr>
              <w:t>0.90 (0.90-0.91)</w:t>
            </w:r>
          </w:p>
          <w:p w14:paraId="30B968BB" w14:textId="77777777" w:rsidR="007D3937" w:rsidRPr="00C25293" w:rsidRDefault="007D3937" w:rsidP="007A7F6F">
            <w:pPr>
              <w:bidi w:val="0"/>
              <w:rPr>
                <w:rFonts w:asciiTheme="majorBidi" w:hAnsiTheme="majorBidi" w:cstheme="majorBidi"/>
                <w:sz w:val="16"/>
                <w:szCs w:val="16"/>
              </w:rPr>
            </w:pPr>
          </w:p>
          <w:p w14:paraId="2BBE990C" w14:textId="77777777" w:rsidR="00FB64D3" w:rsidRPr="00C25293" w:rsidRDefault="00FB64D3" w:rsidP="00FB64D3">
            <w:pPr>
              <w:bidi w:val="0"/>
              <w:rPr>
                <w:rFonts w:asciiTheme="majorBidi" w:hAnsiTheme="majorBidi" w:cs="Cordia New"/>
                <w:sz w:val="16"/>
                <w:szCs w:val="16"/>
                <w:cs/>
              </w:rPr>
            </w:pPr>
            <w:r w:rsidRPr="00C25293">
              <w:rPr>
                <w:rFonts w:asciiTheme="majorBidi" w:hAnsiTheme="majorBidi" w:cstheme="majorBidi"/>
                <w:sz w:val="16"/>
                <w:szCs w:val="16"/>
              </w:rPr>
              <w:t>1.00 (Ref)</w:t>
            </w:r>
          </w:p>
          <w:p w14:paraId="53F39783" w14:textId="329193B2" w:rsidR="007D3937" w:rsidRPr="00C25293" w:rsidRDefault="00FB64D3" w:rsidP="007A7F6F">
            <w:pPr>
              <w:bidi w:val="0"/>
              <w:rPr>
                <w:rFonts w:asciiTheme="majorBidi" w:hAnsiTheme="majorBidi" w:cstheme="majorBidi"/>
                <w:sz w:val="16"/>
                <w:szCs w:val="16"/>
              </w:rPr>
            </w:pPr>
            <w:r>
              <w:rPr>
                <w:rFonts w:asciiTheme="majorBidi" w:hAnsiTheme="majorBidi" w:cstheme="majorBidi"/>
                <w:sz w:val="16"/>
                <w:szCs w:val="16"/>
              </w:rPr>
              <w:t>0.94 (0.93-0.94)</w:t>
            </w:r>
          </w:p>
        </w:tc>
        <w:tc>
          <w:tcPr>
            <w:tcW w:w="1027" w:type="dxa"/>
            <w:tcBorders>
              <w:top w:val="nil"/>
              <w:left w:val="nil"/>
              <w:bottom w:val="nil"/>
              <w:right w:val="nil"/>
            </w:tcBorders>
          </w:tcPr>
          <w:p w14:paraId="430864AA"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Serum</w:t>
            </w:r>
          </w:p>
        </w:tc>
        <w:tc>
          <w:tcPr>
            <w:tcW w:w="1321" w:type="dxa"/>
            <w:tcBorders>
              <w:top w:val="nil"/>
              <w:left w:val="nil"/>
              <w:bottom w:val="nil"/>
              <w:right w:val="nil"/>
            </w:tcBorders>
          </w:tcPr>
          <w:p w14:paraId="340AB310"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NR</w:t>
            </w:r>
          </w:p>
        </w:tc>
        <w:tc>
          <w:tcPr>
            <w:tcW w:w="1468" w:type="dxa"/>
            <w:tcBorders>
              <w:top w:val="nil"/>
              <w:left w:val="nil"/>
              <w:bottom w:val="nil"/>
              <w:right w:val="nil"/>
            </w:tcBorders>
          </w:tcPr>
          <w:p w14:paraId="19843678"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Frailty phenotype and the frailty index</w:t>
            </w:r>
          </w:p>
        </w:tc>
        <w:tc>
          <w:tcPr>
            <w:tcW w:w="1085" w:type="dxa"/>
            <w:tcBorders>
              <w:top w:val="nil"/>
              <w:left w:val="nil"/>
              <w:bottom w:val="nil"/>
              <w:right w:val="nil"/>
            </w:tcBorders>
          </w:tcPr>
          <w:p w14:paraId="002A6247" w14:textId="59832C13" w:rsidR="007D3937" w:rsidRPr="002C597E" w:rsidRDefault="0082584E" w:rsidP="007A7F6F">
            <w:pPr>
              <w:bidi w:val="0"/>
              <w:rPr>
                <w:rFonts w:asciiTheme="majorBidi" w:hAnsiTheme="majorBidi" w:cstheme="majorBidi"/>
                <w:sz w:val="16"/>
                <w:szCs w:val="16"/>
                <w:highlight w:val="yellow"/>
              </w:rPr>
            </w:pPr>
            <w:r w:rsidRPr="002C597E">
              <w:rPr>
                <w:rFonts w:asciiTheme="majorBidi" w:hAnsiTheme="majorBidi" w:cstheme="majorBidi"/>
                <w:sz w:val="16"/>
                <w:szCs w:val="16"/>
                <w:highlight w:val="yellow"/>
              </w:rPr>
              <w:t>1,2</w:t>
            </w:r>
            <w:r w:rsidR="00EC3EDA" w:rsidRPr="002C597E">
              <w:rPr>
                <w:rFonts w:asciiTheme="majorBidi" w:hAnsiTheme="majorBidi" w:cstheme="majorBidi"/>
                <w:sz w:val="16"/>
                <w:szCs w:val="16"/>
                <w:highlight w:val="yellow"/>
              </w:rPr>
              <w:t>,</w:t>
            </w:r>
            <w:r w:rsidRPr="002C597E">
              <w:rPr>
                <w:rFonts w:asciiTheme="majorBidi" w:hAnsiTheme="majorBidi" w:cstheme="majorBidi"/>
                <w:sz w:val="16"/>
                <w:szCs w:val="16"/>
                <w:highlight w:val="yellow"/>
              </w:rPr>
              <w:t>7,8,14, 18</w:t>
            </w:r>
            <w:r w:rsidR="00EC3EDA" w:rsidRPr="002C597E">
              <w:rPr>
                <w:rFonts w:asciiTheme="majorBidi" w:hAnsiTheme="majorBidi" w:cstheme="majorBidi"/>
                <w:sz w:val="16"/>
                <w:szCs w:val="16"/>
                <w:highlight w:val="yellow"/>
              </w:rPr>
              <w:t>-2</w:t>
            </w:r>
            <w:r w:rsidR="00C632C2" w:rsidRPr="002C597E">
              <w:rPr>
                <w:rFonts w:asciiTheme="majorBidi" w:hAnsiTheme="majorBidi" w:cstheme="majorBidi"/>
                <w:sz w:val="16"/>
                <w:szCs w:val="16"/>
                <w:highlight w:val="yellow"/>
              </w:rPr>
              <w:t>2</w:t>
            </w:r>
          </w:p>
        </w:tc>
      </w:tr>
      <w:tr w:rsidR="002C597E" w:rsidRPr="002C597E" w14:paraId="5F04B93E" w14:textId="77777777" w:rsidTr="002C597E">
        <w:trPr>
          <w:trHeight w:val="398"/>
        </w:trPr>
        <w:tc>
          <w:tcPr>
            <w:tcW w:w="993" w:type="dxa"/>
            <w:tcBorders>
              <w:top w:val="nil"/>
              <w:left w:val="nil"/>
              <w:bottom w:val="nil"/>
              <w:right w:val="nil"/>
            </w:tcBorders>
          </w:tcPr>
          <w:p w14:paraId="74366910"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Dai</w:t>
            </w:r>
            <w:r w:rsidRPr="00C25293">
              <w:rPr>
                <w:rFonts w:asciiTheme="majorBidi" w:hAnsiTheme="majorBidi" w:cstheme="majorBidi"/>
                <w:color w:val="0D0D0D" w:themeColor="text1" w:themeTint="F2"/>
                <w:sz w:val="16"/>
                <w:szCs w:val="16"/>
              </w:rPr>
              <w:t xml:space="preserve"> et al.</w:t>
            </w:r>
          </w:p>
          <w:p w14:paraId="666984B8"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2022</w:t>
            </w:r>
          </w:p>
        </w:tc>
        <w:tc>
          <w:tcPr>
            <w:tcW w:w="1616" w:type="dxa"/>
            <w:tcBorders>
              <w:top w:val="nil"/>
              <w:left w:val="nil"/>
              <w:bottom w:val="nil"/>
              <w:right w:val="nil"/>
            </w:tcBorders>
          </w:tcPr>
          <w:p w14:paraId="7915750F" w14:textId="60D92E39"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China</w:t>
            </w:r>
            <w:r w:rsidR="0080306B">
              <w:rPr>
                <w:rFonts w:ascii="Times New Roman" w:hAnsi="Times New Roman" w:cs="Times New Roman"/>
                <w:color w:val="0D0D0D" w:themeColor="text1" w:themeTint="F2"/>
                <w:sz w:val="16"/>
                <w:szCs w:val="16"/>
              </w:rPr>
              <w:t xml:space="preserve">/ </w:t>
            </w:r>
            <w:r w:rsidR="0080306B" w:rsidRPr="00190736">
              <w:rPr>
                <w:rFonts w:ascii="Times New Roman" w:hAnsi="Times New Roman" w:cs="Times New Roman"/>
                <w:color w:val="040C28"/>
                <w:sz w:val="16"/>
                <w:szCs w:val="16"/>
                <w:highlight w:val="yellow"/>
              </w:rPr>
              <w:t>Asia</w:t>
            </w:r>
          </w:p>
        </w:tc>
        <w:tc>
          <w:tcPr>
            <w:tcW w:w="1911" w:type="dxa"/>
            <w:tcBorders>
              <w:top w:val="nil"/>
              <w:left w:val="nil"/>
              <w:bottom w:val="nil"/>
              <w:right w:val="nil"/>
            </w:tcBorders>
          </w:tcPr>
          <w:p w14:paraId="4738C812"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Cross-sectional</w:t>
            </w:r>
          </w:p>
          <w:p w14:paraId="68602BAF"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color w:val="0D0D0D" w:themeColor="text1" w:themeTint="F2"/>
                <w:sz w:val="16"/>
                <w:szCs w:val="16"/>
              </w:rPr>
              <w:t>On elderly patients with the CCS</w:t>
            </w:r>
          </w:p>
        </w:tc>
        <w:tc>
          <w:tcPr>
            <w:tcW w:w="1468" w:type="dxa"/>
            <w:tcBorders>
              <w:top w:val="nil"/>
              <w:left w:val="nil"/>
              <w:bottom w:val="nil"/>
              <w:right w:val="nil"/>
            </w:tcBorders>
          </w:tcPr>
          <w:p w14:paraId="4C78CDE9"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288/93</w:t>
            </w:r>
          </w:p>
          <w:p w14:paraId="51804EB7" w14:textId="77777777" w:rsidR="007D3937" w:rsidRPr="00C25293" w:rsidRDefault="007D3937" w:rsidP="007A7F6F">
            <w:pPr>
              <w:bidi w:val="0"/>
              <w:rPr>
                <w:rFonts w:asciiTheme="majorBidi" w:hAnsiTheme="majorBidi" w:cstheme="majorBidi"/>
                <w:sz w:val="16"/>
                <w:szCs w:val="16"/>
              </w:rPr>
            </w:pPr>
          </w:p>
        </w:tc>
        <w:tc>
          <w:tcPr>
            <w:tcW w:w="1175" w:type="dxa"/>
            <w:tcBorders>
              <w:top w:val="nil"/>
              <w:left w:val="nil"/>
              <w:bottom w:val="nil"/>
              <w:right w:val="nil"/>
            </w:tcBorders>
          </w:tcPr>
          <w:p w14:paraId="5FB08216" w14:textId="042E6008" w:rsidR="007D3937" w:rsidRPr="00C25293" w:rsidRDefault="007D3937" w:rsidP="00973895">
            <w:pPr>
              <w:bidi w:val="0"/>
              <w:rPr>
                <w:rFonts w:asciiTheme="majorBidi" w:hAnsiTheme="majorBidi" w:cstheme="majorBidi"/>
                <w:sz w:val="16"/>
                <w:szCs w:val="16"/>
              </w:rPr>
            </w:pPr>
            <w:r w:rsidRPr="00C25293">
              <w:rPr>
                <w:rFonts w:asciiTheme="majorBidi" w:hAnsiTheme="majorBidi" w:cstheme="majorBidi"/>
                <w:sz w:val="16"/>
                <w:szCs w:val="16"/>
              </w:rPr>
              <w:t>M/F</w:t>
            </w:r>
            <w:r w:rsidR="00973895" w:rsidRPr="00C25293">
              <w:rPr>
                <w:rFonts w:asciiTheme="majorBidi" w:hAnsiTheme="majorBidi" w:cstheme="majorBidi"/>
                <w:sz w:val="16"/>
                <w:szCs w:val="16"/>
              </w:rPr>
              <w:t>/ (</w:t>
            </w:r>
            <w:r w:rsidRPr="00C25293">
              <w:rPr>
                <w:rFonts w:asciiTheme="majorBidi" w:hAnsiTheme="majorBidi" w:cstheme="majorBidi"/>
                <w:sz w:val="16"/>
                <w:szCs w:val="16"/>
              </w:rPr>
              <w:t>39.9</w:t>
            </w:r>
            <w:r w:rsidR="00973895" w:rsidRPr="00C25293">
              <w:rPr>
                <w:rFonts w:asciiTheme="majorBidi" w:hAnsiTheme="majorBidi" w:cstheme="majorBidi"/>
                <w:sz w:val="16"/>
                <w:szCs w:val="16"/>
              </w:rPr>
              <w:t>%F)</w:t>
            </w:r>
            <w:r w:rsidRPr="00C25293">
              <w:rPr>
                <w:rFonts w:asciiTheme="majorBidi" w:hAnsiTheme="majorBidi" w:cstheme="majorBidi"/>
                <w:sz w:val="16"/>
                <w:szCs w:val="16"/>
              </w:rPr>
              <w:t xml:space="preserve"> </w:t>
            </w:r>
          </w:p>
        </w:tc>
        <w:tc>
          <w:tcPr>
            <w:tcW w:w="879" w:type="dxa"/>
            <w:tcBorders>
              <w:top w:val="nil"/>
              <w:left w:val="nil"/>
              <w:bottom w:val="nil"/>
              <w:right w:val="nil"/>
            </w:tcBorders>
          </w:tcPr>
          <w:p w14:paraId="117B5DA9" w14:textId="582BA6A0" w:rsidR="007D3937" w:rsidRPr="00C25293" w:rsidRDefault="00973895" w:rsidP="007A7F6F">
            <w:pPr>
              <w:bidi w:val="0"/>
              <w:rPr>
                <w:rFonts w:asciiTheme="majorBidi" w:hAnsiTheme="majorBidi" w:cstheme="majorBidi"/>
                <w:sz w:val="16"/>
                <w:szCs w:val="16"/>
              </w:rPr>
            </w:pPr>
            <w:r w:rsidRPr="00C25293">
              <w:rPr>
                <w:rFonts w:asciiTheme="majorBidi" w:hAnsiTheme="majorBidi" w:cstheme="majorBidi"/>
                <w:sz w:val="16"/>
                <w:szCs w:val="16"/>
              </w:rPr>
              <w:t>NR</w:t>
            </w:r>
            <w:r w:rsidR="007D3937" w:rsidRPr="00C25293">
              <w:rPr>
                <w:rFonts w:asciiTheme="majorBidi" w:hAnsiTheme="majorBidi" w:cstheme="majorBidi"/>
                <w:sz w:val="16"/>
                <w:szCs w:val="16"/>
              </w:rPr>
              <w:t xml:space="preserve"> </w:t>
            </w:r>
          </w:p>
        </w:tc>
        <w:tc>
          <w:tcPr>
            <w:tcW w:w="1911" w:type="dxa"/>
            <w:tcBorders>
              <w:top w:val="nil"/>
              <w:left w:val="nil"/>
              <w:bottom w:val="nil"/>
              <w:right w:val="nil"/>
            </w:tcBorders>
          </w:tcPr>
          <w:p w14:paraId="44C4E3CD" w14:textId="77777777" w:rsidR="007D3937" w:rsidRPr="00C25293" w:rsidRDefault="007D3937" w:rsidP="00AD3855">
            <w:pPr>
              <w:autoSpaceDE w:val="0"/>
              <w:autoSpaceDN w:val="0"/>
              <w:bidi w:val="0"/>
              <w:adjustRightInd w:val="0"/>
              <w:rPr>
                <w:rFonts w:asciiTheme="majorBidi" w:hAnsiTheme="majorBidi" w:cstheme="majorBidi"/>
                <w:sz w:val="16"/>
                <w:szCs w:val="16"/>
                <w:rtl/>
                <w:cs/>
                <w:lang w:bidi="fa-IR"/>
              </w:rPr>
            </w:pPr>
            <w:r w:rsidRPr="00C25293">
              <w:rPr>
                <w:rFonts w:asciiTheme="majorBidi" w:hAnsiTheme="majorBidi" w:cstheme="majorBidi"/>
                <w:sz w:val="16"/>
                <w:szCs w:val="16"/>
                <w:lang w:bidi="fa-IR"/>
              </w:rPr>
              <w:t>Per 1 ng/ml increase</w:t>
            </w:r>
          </w:p>
        </w:tc>
        <w:tc>
          <w:tcPr>
            <w:tcW w:w="1616" w:type="dxa"/>
            <w:tcBorders>
              <w:top w:val="nil"/>
              <w:left w:val="nil"/>
              <w:bottom w:val="nil"/>
              <w:right w:val="nil"/>
            </w:tcBorders>
          </w:tcPr>
          <w:p w14:paraId="50640D48"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0.937 (0.884, 0.992)</w:t>
            </w:r>
          </w:p>
          <w:p w14:paraId="295E6CE2" w14:textId="77777777" w:rsidR="007D3937" w:rsidRPr="00C25293" w:rsidRDefault="007D3937" w:rsidP="007A7F6F">
            <w:pPr>
              <w:bidi w:val="0"/>
              <w:rPr>
                <w:rFonts w:asciiTheme="majorBidi" w:hAnsiTheme="majorBidi" w:cstheme="majorBidi"/>
                <w:sz w:val="16"/>
                <w:szCs w:val="16"/>
              </w:rPr>
            </w:pPr>
          </w:p>
        </w:tc>
        <w:tc>
          <w:tcPr>
            <w:tcW w:w="1027" w:type="dxa"/>
            <w:tcBorders>
              <w:top w:val="nil"/>
              <w:left w:val="nil"/>
              <w:bottom w:val="nil"/>
              <w:right w:val="nil"/>
            </w:tcBorders>
          </w:tcPr>
          <w:p w14:paraId="2683D8E5"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color w:val="0D0D0D" w:themeColor="text1" w:themeTint="F2"/>
                <w:sz w:val="16"/>
                <w:szCs w:val="16"/>
              </w:rPr>
              <w:t>Serum</w:t>
            </w:r>
          </w:p>
        </w:tc>
        <w:tc>
          <w:tcPr>
            <w:tcW w:w="1321" w:type="dxa"/>
            <w:tcBorders>
              <w:top w:val="nil"/>
              <w:left w:val="nil"/>
              <w:bottom w:val="nil"/>
              <w:right w:val="nil"/>
            </w:tcBorders>
          </w:tcPr>
          <w:p w14:paraId="2B2484E9"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ECL</w:t>
            </w:r>
          </w:p>
        </w:tc>
        <w:tc>
          <w:tcPr>
            <w:tcW w:w="1468" w:type="dxa"/>
            <w:tcBorders>
              <w:top w:val="nil"/>
              <w:left w:val="nil"/>
              <w:bottom w:val="nil"/>
              <w:right w:val="nil"/>
            </w:tcBorders>
          </w:tcPr>
          <w:p w14:paraId="330BAF91"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 xml:space="preserve"> </w:t>
            </w:r>
            <w:bookmarkStart w:id="2" w:name="_Hlk175834648"/>
            <w:r w:rsidRPr="00C25293">
              <w:rPr>
                <w:rFonts w:asciiTheme="majorBidi" w:hAnsiTheme="majorBidi" w:cstheme="majorBidi"/>
                <w:sz w:val="16"/>
                <w:szCs w:val="16"/>
              </w:rPr>
              <w:t xml:space="preserve">Chinese version of Fried </w:t>
            </w:r>
            <w:r w:rsidRPr="00C25293">
              <w:rPr>
                <w:rFonts w:asciiTheme="majorBidi" w:hAnsiTheme="majorBidi" w:cstheme="majorBidi"/>
                <w:color w:val="0D0D0D" w:themeColor="text1" w:themeTint="F2"/>
                <w:sz w:val="16"/>
                <w:szCs w:val="16"/>
              </w:rPr>
              <w:t>criteria</w:t>
            </w:r>
            <w:bookmarkEnd w:id="2"/>
          </w:p>
        </w:tc>
        <w:tc>
          <w:tcPr>
            <w:tcW w:w="1085" w:type="dxa"/>
            <w:tcBorders>
              <w:top w:val="nil"/>
              <w:left w:val="nil"/>
              <w:bottom w:val="nil"/>
              <w:right w:val="nil"/>
            </w:tcBorders>
          </w:tcPr>
          <w:p w14:paraId="625B2E1B" w14:textId="6732299C" w:rsidR="007D3937" w:rsidRPr="002C597E" w:rsidRDefault="001B0018" w:rsidP="007A7F6F">
            <w:pPr>
              <w:bidi w:val="0"/>
              <w:rPr>
                <w:rFonts w:asciiTheme="majorBidi" w:hAnsiTheme="majorBidi" w:cstheme="majorBidi"/>
                <w:sz w:val="18"/>
                <w:szCs w:val="18"/>
                <w:highlight w:val="yellow"/>
              </w:rPr>
            </w:pPr>
            <w:r w:rsidRPr="002C597E">
              <w:rPr>
                <w:rFonts w:asciiTheme="majorBidi" w:hAnsiTheme="majorBidi" w:cstheme="majorBidi"/>
                <w:sz w:val="16"/>
                <w:szCs w:val="16"/>
                <w:highlight w:val="yellow"/>
              </w:rPr>
              <w:t xml:space="preserve">1, 23-38 </w:t>
            </w:r>
          </w:p>
        </w:tc>
      </w:tr>
      <w:tr w:rsidR="002C597E" w:rsidRPr="002C597E" w14:paraId="2C495E67" w14:textId="77777777" w:rsidTr="002C597E">
        <w:trPr>
          <w:trHeight w:val="214"/>
        </w:trPr>
        <w:tc>
          <w:tcPr>
            <w:tcW w:w="993" w:type="dxa"/>
            <w:tcBorders>
              <w:top w:val="nil"/>
              <w:left w:val="nil"/>
              <w:bottom w:val="nil"/>
              <w:right w:val="nil"/>
            </w:tcBorders>
          </w:tcPr>
          <w:p w14:paraId="53436DE4"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Lv</w:t>
            </w:r>
            <w:r w:rsidRPr="00C25293">
              <w:rPr>
                <w:rFonts w:asciiTheme="majorBidi" w:hAnsiTheme="majorBidi" w:cstheme="majorBidi"/>
                <w:color w:val="0D0D0D" w:themeColor="text1" w:themeTint="F2"/>
                <w:sz w:val="16"/>
                <w:szCs w:val="16"/>
              </w:rPr>
              <w:t xml:space="preserve"> et al.</w:t>
            </w:r>
          </w:p>
          <w:p w14:paraId="5CDBB305"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2022</w:t>
            </w:r>
          </w:p>
        </w:tc>
        <w:tc>
          <w:tcPr>
            <w:tcW w:w="1616" w:type="dxa"/>
            <w:tcBorders>
              <w:top w:val="nil"/>
              <w:left w:val="nil"/>
              <w:bottom w:val="nil"/>
              <w:right w:val="nil"/>
            </w:tcBorders>
          </w:tcPr>
          <w:p w14:paraId="736FB5EF" w14:textId="23B8866E"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China</w:t>
            </w:r>
            <w:r w:rsidR="0080306B">
              <w:rPr>
                <w:rFonts w:ascii="Times New Roman" w:hAnsi="Times New Roman" w:cs="Times New Roman"/>
                <w:color w:val="0D0D0D" w:themeColor="text1" w:themeTint="F2"/>
                <w:sz w:val="16"/>
                <w:szCs w:val="16"/>
              </w:rPr>
              <w:t xml:space="preserve">/ </w:t>
            </w:r>
            <w:r w:rsidR="0080306B" w:rsidRPr="00190736">
              <w:rPr>
                <w:rFonts w:ascii="Times New Roman" w:hAnsi="Times New Roman" w:cs="Times New Roman"/>
                <w:color w:val="040C28"/>
                <w:sz w:val="16"/>
                <w:szCs w:val="16"/>
                <w:highlight w:val="yellow"/>
              </w:rPr>
              <w:t>Asia</w:t>
            </w:r>
          </w:p>
        </w:tc>
        <w:tc>
          <w:tcPr>
            <w:tcW w:w="1911" w:type="dxa"/>
            <w:tcBorders>
              <w:top w:val="nil"/>
              <w:left w:val="nil"/>
              <w:bottom w:val="nil"/>
              <w:right w:val="nil"/>
            </w:tcBorders>
          </w:tcPr>
          <w:p w14:paraId="1FA379FA"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Cross-sectional</w:t>
            </w:r>
          </w:p>
        </w:tc>
        <w:tc>
          <w:tcPr>
            <w:tcW w:w="1468" w:type="dxa"/>
            <w:tcBorders>
              <w:top w:val="nil"/>
              <w:left w:val="nil"/>
              <w:bottom w:val="nil"/>
              <w:right w:val="nil"/>
            </w:tcBorders>
          </w:tcPr>
          <w:p w14:paraId="5D8B31E0"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150/69</w:t>
            </w:r>
          </w:p>
        </w:tc>
        <w:tc>
          <w:tcPr>
            <w:tcW w:w="1175" w:type="dxa"/>
            <w:tcBorders>
              <w:top w:val="nil"/>
              <w:left w:val="nil"/>
              <w:bottom w:val="nil"/>
              <w:right w:val="nil"/>
            </w:tcBorders>
          </w:tcPr>
          <w:p w14:paraId="2815D06F" w14:textId="7125EA7A" w:rsidR="007D3937" w:rsidRPr="00C25293" w:rsidRDefault="007D3937" w:rsidP="00973895">
            <w:pPr>
              <w:bidi w:val="0"/>
              <w:rPr>
                <w:rFonts w:asciiTheme="majorBidi" w:hAnsiTheme="majorBidi" w:cstheme="majorBidi"/>
                <w:sz w:val="16"/>
                <w:szCs w:val="16"/>
              </w:rPr>
            </w:pPr>
            <w:r w:rsidRPr="00C25293">
              <w:rPr>
                <w:rFonts w:asciiTheme="majorBidi" w:hAnsiTheme="majorBidi" w:cstheme="majorBidi"/>
                <w:sz w:val="16"/>
                <w:szCs w:val="16"/>
              </w:rPr>
              <w:t>M/F</w:t>
            </w:r>
            <w:r w:rsidR="00973895" w:rsidRPr="00C25293">
              <w:rPr>
                <w:rFonts w:asciiTheme="majorBidi" w:hAnsiTheme="majorBidi" w:cstheme="majorBidi"/>
                <w:sz w:val="16"/>
                <w:szCs w:val="16"/>
              </w:rPr>
              <w:t>/ (</w:t>
            </w:r>
            <w:r w:rsidRPr="00C25293">
              <w:rPr>
                <w:rFonts w:asciiTheme="majorBidi" w:hAnsiTheme="majorBidi" w:cstheme="majorBidi"/>
                <w:sz w:val="16"/>
                <w:szCs w:val="16"/>
              </w:rPr>
              <w:t>38.6</w:t>
            </w:r>
            <w:r w:rsidR="00973895" w:rsidRPr="00C25293">
              <w:rPr>
                <w:rFonts w:asciiTheme="majorBidi" w:hAnsiTheme="majorBidi" w:cstheme="majorBidi"/>
                <w:sz w:val="16"/>
                <w:szCs w:val="16"/>
              </w:rPr>
              <w:t>%F)</w:t>
            </w:r>
            <w:r w:rsidRPr="00C25293">
              <w:rPr>
                <w:rFonts w:asciiTheme="majorBidi" w:hAnsiTheme="majorBidi" w:cstheme="majorBidi"/>
                <w:sz w:val="16"/>
                <w:szCs w:val="16"/>
              </w:rPr>
              <w:t xml:space="preserve"> </w:t>
            </w:r>
          </w:p>
        </w:tc>
        <w:tc>
          <w:tcPr>
            <w:tcW w:w="879" w:type="dxa"/>
            <w:tcBorders>
              <w:top w:val="nil"/>
              <w:left w:val="nil"/>
              <w:bottom w:val="nil"/>
              <w:right w:val="nil"/>
            </w:tcBorders>
          </w:tcPr>
          <w:p w14:paraId="67E9EA5E"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77.51</w:t>
            </w:r>
            <w:r w:rsidRPr="00C25293">
              <w:rPr>
                <w:rFonts w:asciiTheme="majorBidi" w:hAnsiTheme="majorBidi" w:cstheme="majorBidi"/>
                <w:color w:val="0D0D0D" w:themeColor="text1" w:themeTint="F2"/>
                <w:sz w:val="16"/>
                <w:szCs w:val="16"/>
              </w:rPr>
              <w:t>± 8.90</w:t>
            </w:r>
          </w:p>
        </w:tc>
        <w:tc>
          <w:tcPr>
            <w:tcW w:w="1911" w:type="dxa"/>
            <w:tcBorders>
              <w:top w:val="nil"/>
              <w:left w:val="nil"/>
              <w:bottom w:val="nil"/>
              <w:right w:val="nil"/>
            </w:tcBorders>
          </w:tcPr>
          <w:p w14:paraId="13D11342" w14:textId="77777777" w:rsidR="007D3937" w:rsidRPr="00C25293" w:rsidRDefault="007D3937" w:rsidP="00AD3855">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sz w:val="16"/>
                <w:szCs w:val="16"/>
                <w:lang w:bidi="fa-IR"/>
              </w:rPr>
              <w:t>Per 1 ng/ml increase</w:t>
            </w:r>
          </w:p>
        </w:tc>
        <w:tc>
          <w:tcPr>
            <w:tcW w:w="1616" w:type="dxa"/>
            <w:tcBorders>
              <w:top w:val="nil"/>
              <w:left w:val="nil"/>
              <w:bottom w:val="nil"/>
              <w:right w:val="nil"/>
            </w:tcBorders>
          </w:tcPr>
          <w:p w14:paraId="56DC8F29" w14:textId="77777777" w:rsidR="007D3937" w:rsidRPr="00C25293" w:rsidRDefault="007D3937" w:rsidP="00AD3855">
            <w:pPr>
              <w:bidi w:val="0"/>
              <w:rPr>
                <w:rFonts w:asciiTheme="majorBidi" w:hAnsiTheme="majorBidi" w:cstheme="majorBidi"/>
                <w:sz w:val="16"/>
                <w:szCs w:val="16"/>
              </w:rPr>
            </w:pPr>
            <w:r w:rsidRPr="00C25293">
              <w:rPr>
                <w:rFonts w:asciiTheme="majorBidi" w:hAnsiTheme="majorBidi" w:cstheme="majorBidi"/>
                <w:sz w:val="16"/>
                <w:szCs w:val="16"/>
              </w:rPr>
              <w:t>0.974 (0.949, 0.998)</w:t>
            </w:r>
          </w:p>
        </w:tc>
        <w:tc>
          <w:tcPr>
            <w:tcW w:w="1027" w:type="dxa"/>
            <w:tcBorders>
              <w:top w:val="nil"/>
              <w:left w:val="nil"/>
              <w:bottom w:val="nil"/>
              <w:right w:val="nil"/>
            </w:tcBorders>
          </w:tcPr>
          <w:p w14:paraId="666CFCF9"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NR</w:t>
            </w:r>
          </w:p>
        </w:tc>
        <w:tc>
          <w:tcPr>
            <w:tcW w:w="1321" w:type="dxa"/>
            <w:tcBorders>
              <w:top w:val="nil"/>
              <w:left w:val="nil"/>
              <w:bottom w:val="nil"/>
              <w:right w:val="nil"/>
            </w:tcBorders>
          </w:tcPr>
          <w:p w14:paraId="7E31B791"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NR</w:t>
            </w:r>
          </w:p>
        </w:tc>
        <w:tc>
          <w:tcPr>
            <w:tcW w:w="1468" w:type="dxa"/>
            <w:tcBorders>
              <w:top w:val="nil"/>
              <w:left w:val="nil"/>
              <w:bottom w:val="nil"/>
              <w:right w:val="nil"/>
            </w:tcBorders>
          </w:tcPr>
          <w:p w14:paraId="545C3115" w14:textId="77777777" w:rsidR="007D3937" w:rsidRPr="00C25293" w:rsidRDefault="007D3937" w:rsidP="007A7F6F">
            <w:pPr>
              <w:bidi w:val="0"/>
              <w:rPr>
                <w:rFonts w:asciiTheme="majorBidi" w:hAnsiTheme="majorBidi" w:cstheme="majorBidi"/>
                <w:sz w:val="16"/>
                <w:szCs w:val="16"/>
              </w:rPr>
            </w:pPr>
            <w:bookmarkStart w:id="3" w:name="_Hlk175834575"/>
            <w:r w:rsidRPr="00C25293">
              <w:rPr>
                <w:rFonts w:asciiTheme="majorBidi" w:hAnsiTheme="majorBidi" w:cstheme="majorBidi"/>
                <w:sz w:val="16"/>
                <w:szCs w:val="16"/>
              </w:rPr>
              <w:t xml:space="preserve">Modified Fried </w:t>
            </w:r>
            <w:r w:rsidRPr="00C25293">
              <w:rPr>
                <w:rFonts w:asciiTheme="majorBidi" w:hAnsiTheme="majorBidi" w:cstheme="majorBidi"/>
                <w:color w:val="0D0D0D" w:themeColor="text1" w:themeTint="F2"/>
                <w:sz w:val="16"/>
                <w:szCs w:val="16"/>
              </w:rPr>
              <w:t>criteria</w:t>
            </w:r>
            <w:bookmarkEnd w:id="3"/>
          </w:p>
        </w:tc>
        <w:tc>
          <w:tcPr>
            <w:tcW w:w="1085" w:type="dxa"/>
            <w:tcBorders>
              <w:top w:val="nil"/>
              <w:left w:val="nil"/>
              <w:bottom w:val="nil"/>
              <w:right w:val="nil"/>
            </w:tcBorders>
          </w:tcPr>
          <w:p w14:paraId="6FD3D2C2" w14:textId="6164C344" w:rsidR="007D3937" w:rsidRPr="002C597E" w:rsidRDefault="001B0018" w:rsidP="007A7F6F">
            <w:pPr>
              <w:bidi w:val="0"/>
              <w:rPr>
                <w:rFonts w:asciiTheme="majorBidi" w:hAnsiTheme="majorBidi" w:cs="Cordia New"/>
                <w:sz w:val="18"/>
                <w:szCs w:val="18"/>
                <w:highlight w:val="yellow"/>
                <w:cs/>
              </w:rPr>
            </w:pPr>
            <w:r w:rsidRPr="002C597E">
              <w:rPr>
                <w:rFonts w:asciiTheme="majorBidi" w:hAnsiTheme="majorBidi" w:cstheme="majorBidi"/>
                <w:sz w:val="16"/>
                <w:szCs w:val="16"/>
                <w:highlight w:val="yellow"/>
              </w:rPr>
              <w:t>1,3,</w:t>
            </w:r>
            <w:r w:rsidR="007D3937" w:rsidRPr="002C597E">
              <w:rPr>
                <w:rFonts w:asciiTheme="majorBidi" w:hAnsiTheme="majorBidi" w:cstheme="majorBidi"/>
                <w:sz w:val="16"/>
                <w:szCs w:val="16"/>
                <w:highlight w:val="yellow"/>
              </w:rPr>
              <w:t xml:space="preserve">, </w:t>
            </w:r>
            <w:r w:rsidRPr="002C597E">
              <w:rPr>
                <w:rFonts w:asciiTheme="majorBidi" w:hAnsiTheme="majorBidi" w:cstheme="majorBidi"/>
                <w:sz w:val="16"/>
                <w:szCs w:val="16"/>
                <w:highlight w:val="yellow"/>
              </w:rPr>
              <w:t>14, 39-41</w:t>
            </w:r>
          </w:p>
        </w:tc>
      </w:tr>
      <w:tr w:rsidR="002C597E" w:rsidRPr="002C597E" w14:paraId="49170586" w14:textId="77777777" w:rsidTr="002C597E">
        <w:trPr>
          <w:trHeight w:val="314"/>
        </w:trPr>
        <w:tc>
          <w:tcPr>
            <w:tcW w:w="993" w:type="dxa"/>
            <w:tcBorders>
              <w:top w:val="nil"/>
              <w:left w:val="nil"/>
              <w:bottom w:val="nil"/>
              <w:right w:val="nil"/>
            </w:tcBorders>
          </w:tcPr>
          <w:p w14:paraId="15B76E10"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color w:val="0D0D0D" w:themeColor="text1" w:themeTint="F2"/>
                <w:sz w:val="16"/>
                <w:szCs w:val="16"/>
              </w:rPr>
              <w:t>Kim</w:t>
            </w:r>
            <w:r w:rsidRPr="00C25293">
              <w:rPr>
                <w:rFonts w:asciiTheme="majorBidi" w:hAnsiTheme="majorBidi" w:cstheme="majorBidi"/>
                <w:sz w:val="16"/>
                <w:szCs w:val="16"/>
              </w:rPr>
              <w:t xml:space="preserve"> </w:t>
            </w:r>
            <w:r w:rsidRPr="00C25293">
              <w:rPr>
                <w:rFonts w:asciiTheme="majorBidi" w:hAnsiTheme="majorBidi" w:cstheme="majorBidi"/>
                <w:color w:val="0D0D0D" w:themeColor="text1" w:themeTint="F2"/>
                <w:sz w:val="16"/>
                <w:szCs w:val="16"/>
              </w:rPr>
              <w:t>et al.</w:t>
            </w:r>
          </w:p>
          <w:p w14:paraId="39060AB8"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 xml:space="preserve"> 2020</w:t>
            </w:r>
          </w:p>
        </w:tc>
        <w:tc>
          <w:tcPr>
            <w:tcW w:w="1616" w:type="dxa"/>
            <w:tcBorders>
              <w:top w:val="nil"/>
              <w:left w:val="nil"/>
              <w:bottom w:val="nil"/>
              <w:right w:val="nil"/>
            </w:tcBorders>
          </w:tcPr>
          <w:p w14:paraId="37D60372" w14:textId="75364B16"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South Korea</w:t>
            </w:r>
            <w:r w:rsidR="0080306B">
              <w:rPr>
                <w:rFonts w:ascii="Times New Roman" w:hAnsi="Times New Roman" w:cs="Times New Roman"/>
                <w:color w:val="0D0D0D" w:themeColor="text1" w:themeTint="F2"/>
                <w:sz w:val="16"/>
                <w:szCs w:val="16"/>
              </w:rPr>
              <w:t xml:space="preserve">/ </w:t>
            </w:r>
            <w:r w:rsidR="0080306B" w:rsidRPr="00190736">
              <w:rPr>
                <w:rFonts w:ascii="Times New Roman" w:hAnsi="Times New Roman" w:cs="Times New Roman"/>
                <w:color w:val="040C28"/>
                <w:sz w:val="16"/>
                <w:szCs w:val="16"/>
                <w:highlight w:val="yellow"/>
              </w:rPr>
              <w:t>Asia</w:t>
            </w:r>
          </w:p>
        </w:tc>
        <w:tc>
          <w:tcPr>
            <w:tcW w:w="1911" w:type="dxa"/>
            <w:tcBorders>
              <w:top w:val="nil"/>
              <w:left w:val="nil"/>
              <w:bottom w:val="nil"/>
              <w:right w:val="nil"/>
            </w:tcBorders>
          </w:tcPr>
          <w:p w14:paraId="284EF4A6"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Cross-sectional</w:t>
            </w:r>
          </w:p>
        </w:tc>
        <w:tc>
          <w:tcPr>
            <w:tcW w:w="1468" w:type="dxa"/>
            <w:tcBorders>
              <w:top w:val="nil"/>
              <w:left w:val="nil"/>
              <w:bottom w:val="nil"/>
              <w:right w:val="nil"/>
            </w:tcBorders>
          </w:tcPr>
          <w:p w14:paraId="780C3BAC"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2872/1399</w:t>
            </w:r>
          </w:p>
        </w:tc>
        <w:tc>
          <w:tcPr>
            <w:tcW w:w="1175" w:type="dxa"/>
            <w:tcBorders>
              <w:top w:val="nil"/>
              <w:left w:val="nil"/>
              <w:bottom w:val="nil"/>
              <w:right w:val="nil"/>
            </w:tcBorders>
          </w:tcPr>
          <w:p w14:paraId="085A3E9B"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M/F</w:t>
            </w:r>
          </w:p>
          <w:p w14:paraId="09208360" w14:textId="420AA6BA" w:rsidR="007D3937" w:rsidRPr="00C25293" w:rsidRDefault="00973895"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w:t>
            </w:r>
            <w:r w:rsidR="007D3937" w:rsidRPr="00C25293">
              <w:rPr>
                <w:rFonts w:asciiTheme="majorBidi" w:hAnsiTheme="majorBidi" w:cstheme="majorBidi"/>
                <w:color w:val="0D0D0D" w:themeColor="text1" w:themeTint="F2"/>
                <w:sz w:val="16"/>
                <w:szCs w:val="16"/>
              </w:rPr>
              <w:t>52.6</w:t>
            </w:r>
            <w:r w:rsidRPr="00C25293">
              <w:rPr>
                <w:rFonts w:asciiTheme="majorBidi" w:hAnsiTheme="majorBidi" w:cstheme="majorBidi"/>
                <w:color w:val="0D0D0D" w:themeColor="text1" w:themeTint="F2"/>
                <w:sz w:val="16"/>
                <w:szCs w:val="16"/>
              </w:rPr>
              <w:t>% F)</w:t>
            </w:r>
            <w:r w:rsidR="007D3937" w:rsidRPr="00C25293">
              <w:rPr>
                <w:rFonts w:asciiTheme="majorBidi" w:hAnsiTheme="majorBidi" w:cstheme="majorBidi"/>
                <w:color w:val="0D0D0D" w:themeColor="text1" w:themeTint="F2"/>
                <w:sz w:val="16"/>
                <w:szCs w:val="16"/>
              </w:rPr>
              <w:t xml:space="preserve">  </w:t>
            </w:r>
          </w:p>
        </w:tc>
        <w:tc>
          <w:tcPr>
            <w:tcW w:w="879" w:type="dxa"/>
            <w:tcBorders>
              <w:top w:val="nil"/>
              <w:left w:val="nil"/>
              <w:bottom w:val="nil"/>
              <w:right w:val="nil"/>
            </w:tcBorders>
          </w:tcPr>
          <w:p w14:paraId="3F5C9CCB"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 xml:space="preserve">76.0 ± 3.9 </w:t>
            </w:r>
          </w:p>
        </w:tc>
        <w:tc>
          <w:tcPr>
            <w:tcW w:w="1911" w:type="dxa"/>
            <w:tcBorders>
              <w:top w:val="nil"/>
              <w:left w:val="nil"/>
              <w:bottom w:val="nil"/>
              <w:right w:val="nil"/>
            </w:tcBorders>
          </w:tcPr>
          <w:p w14:paraId="5EF7E3F2"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 xml:space="preserve">&lt;10 </w:t>
            </w:r>
          </w:p>
          <w:p w14:paraId="66F0B0B3"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10-19.6</w:t>
            </w:r>
          </w:p>
          <w:p w14:paraId="3AB7B18C"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20-29.6</w:t>
            </w:r>
          </w:p>
          <w:p w14:paraId="34231EA1" w14:textId="77777777" w:rsidR="007D3937" w:rsidRPr="00C25293" w:rsidRDefault="007D3937" w:rsidP="007A7F6F">
            <w:pPr>
              <w:bidi w:val="0"/>
              <w:rPr>
                <w:rFonts w:asciiTheme="majorBidi" w:hAnsiTheme="majorBidi" w:cstheme="majorBidi"/>
                <w:color w:val="0D0D0D" w:themeColor="text1" w:themeTint="F2"/>
                <w:sz w:val="16"/>
                <w:szCs w:val="16"/>
                <w:rtl/>
                <w:cs/>
              </w:rPr>
            </w:pPr>
            <w:r w:rsidRPr="00C25293">
              <w:rPr>
                <w:rFonts w:asciiTheme="majorBidi" w:hAnsiTheme="majorBidi" w:cstheme="majorBidi"/>
                <w:color w:val="0D0D0D" w:themeColor="text1" w:themeTint="F2"/>
                <w:sz w:val="16"/>
                <w:szCs w:val="16"/>
              </w:rPr>
              <w:t>≥30</w:t>
            </w:r>
          </w:p>
        </w:tc>
        <w:tc>
          <w:tcPr>
            <w:tcW w:w="1616" w:type="dxa"/>
            <w:tcBorders>
              <w:top w:val="nil"/>
              <w:left w:val="nil"/>
              <w:bottom w:val="nil"/>
              <w:right w:val="nil"/>
            </w:tcBorders>
          </w:tcPr>
          <w:p w14:paraId="425AC700" w14:textId="77777777" w:rsidR="007D3937" w:rsidRPr="00C25293" w:rsidRDefault="007D3937" w:rsidP="007A7F6F">
            <w:pPr>
              <w:bidi w:val="0"/>
              <w:rPr>
                <w:rFonts w:asciiTheme="majorBidi" w:hAnsiTheme="majorBidi" w:cstheme="majorBidi"/>
                <w:color w:val="0D0D0D" w:themeColor="text1" w:themeTint="F2"/>
                <w:sz w:val="16"/>
                <w:szCs w:val="16"/>
                <w:rtl/>
                <w:cs/>
              </w:rPr>
            </w:pPr>
            <w:r w:rsidRPr="00C25293">
              <w:rPr>
                <w:rFonts w:asciiTheme="majorBidi" w:hAnsiTheme="majorBidi" w:cstheme="majorBidi"/>
                <w:color w:val="0D0D0D" w:themeColor="text1" w:themeTint="F2"/>
                <w:sz w:val="16"/>
                <w:szCs w:val="16"/>
              </w:rPr>
              <w:t>1.14(0.72–1.80)</w:t>
            </w:r>
          </w:p>
          <w:p w14:paraId="2F9133E7"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1.07(0.86–1.35)</w:t>
            </w:r>
          </w:p>
          <w:p w14:paraId="7080E3C8"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1.15(0.92–1.44)</w:t>
            </w:r>
          </w:p>
          <w:p w14:paraId="1BAF58B5" w14:textId="77777777" w:rsidR="007D3937" w:rsidRPr="00C25293" w:rsidRDefault="00AD3855"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sz w:val="16"/>
                <w:szCs w:val="16"/>
              </w:rPr>
              <w:t>1.00 (Ref)</w:t>
            </w:r>
          </w:p>
        </w:tc>
        <w:tc>
          <w:tcPr>
            <w:tcW w:w="1027" w:type="dxa"/>
            <w:tcBorders>
              <w:top w:val="nil"/>
              <w:left w:val="nil"/>
              <w:bottom w:val="nil"/>
              <w:right w:val="nil"/>
            </w:tcBorders>
          </w:tcPr>
          <w:p w14:paraId="30EAE4B5"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serum</w:t>
            </w:r>
          </w:p>
        </w:tc>
        <w:tc>
          <w:tcPr>
            <w:tcW w:w="1321" w:type="dxa"/>
            <w:tcBorders>
              <w:top w:val="nil"/>
              <w:left w:val="nil"/>
              <w:bottom w:val="nil"/>
              <w:right w:val="nil"/>
            </w:tcBorders>
          </w:tcPr>
          <w:p w14:paraId="3E54BC23"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ECL</w:t>
            </w:r>
          </w:p>
          <w:p w14:paraId="53C25006"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468" w:type="dxa"/>
            <w:tcBorders>
              <w:top w:val="nil"/>
              <w:left w:val="nil"/>
              <w:bottom w:val="nil"/>
              <w:right w:val="nil"/>
            </w:tcBorders>
          </w:tcPr>
          <w:p w14:paraId="6084D0B1"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sz w:val="16"/>
                <w:szCs w:val="16"/>
              </w:rPr>
              <w:t xml:space="preserve">Fried </w:t>
            </w:r>
            <w:r w:rsidRPr="00C25293">
              <w:rPr>
                <w:rFonts w:asciiTheme="majorBidi" w:hAnsiTheme="majorBidi" w:cstheme="majorBidi"/>
                <w:color w:val="0D0D0D" w:themeColor="text1" w:themeTint="F2"/>
                <w:sz w:val="16"/>
                <w:szCs w:val="16"/>
              </w:rPr>
              <w:t>criteria</w:t>
            </w:r>
          </w:p>
        </w:tc>
        <w:tc>
          <w:tcPr>
            <w:tcW w:w="1085" w:type="dxa"/>
            <w:tcBorders>
              <w:top w:val="nil"/>
              <w:left w:val="nil"/>
              <w:bottom w:val="nil"/>
              <w:right w:val="nil"/>
            </w:tcBorders>
          </w:tcPr>
          <w:p w14:paraId="62470053" w14:textId="4550AB61" w:rsidR="007D3937" w:rsidRPr="002C597E" w:rsidRDefault="001B0018" w:rsidP="007A7F6F">
            <w:pPr>
              <w:bidi w:val="0"/>
              <w:rPr>
                <w:rFonts w:asciiTheme="majorBidi" w:hAnsiTheme="majorBidi" w:cstheme="majorBidi"/>
                <w:color w:val="0D0D0D" w:themeColor="text1" w:themeTint="F2"/>
                <w:sz w:val="16"/>
                <w:szCs w:val="16"/>
                <w:highlight w:val="yellow"/>
              </w:rPr>
            </w:pPr>
            <w:r w:rsidRPr="002C597E">
              <w:rPr>
                <w:rFonts w:asciiTheme="majorBidi" w:hAnsiTheme="majorBidi" w:cstheme="majorBidi"/>
                <w:color w:val="0D0D0D" w:themeColor="text1" w:themeTint="F2"/>
                <w:sz w:val="16"/>
                <w:szCs w:val="16"/>
                <w:highlight w:val="yellow"/>
              </w:rPr>
              <w:t>1-4</w:t>
            </w:r>
            <w:r w:rsidR="007D3937" w:rsidRPr="002C597E">
              <w:rPr>
                <w:rFonts w:asciiTheme="majorBidi" w:hAnsiTheme="majorBidi" w:cstheme="majorBidi"/>
                <w:color w:val="0D0D0D" w:themeColor="text1" w:themeTint="F2"/>
                <w:sz w:val="16"/>
                <w:szCs w:val="16"/>
                <w:highlight w:val="yellow"/>
              </w:rPr>
              <w:t xml:space="preserve">, </w:t>
            </w:r>
            <w:r w:rsidRPr="002C597E">
              <w:rPr>
                <w:rFonts w:asciiTheme="majorBidi" w:hAnsiTheme="majorBidi" w:cstheme="majorBidi"/>
                <w:color w:val="0D0D0D" w:themeColor="text1" w:themeTint="F2"/>
                <w:sz w:val="16"/>
                <w:szCs w:val="16"/>
                <w:highlight w:val="yellow"/>
              </w:rPr>
              <w:t>7,8</w:t>
            </w:r>
            <w:r w:rsidR="007D3937" w:rsidRPr="002C597E">
              <w:rPr>
                <w:rFonts w:asciiTheme="majorBidi" w:hAnsiTheme="majorBidi" w:cstheme="majorBidi"/>
                <w:color w:val="0D0D0D" w:themeColor="text1" w:themeTint="F2"/>
                <w:sz w:val="16"/>
                <w:szCs w:val="16"/>
                <w:highlight w:val="yellow"/>
              </w:rPr>
              <w:t>,</w:t>
            </w:r>
            <w:r w:rsidRPr="002C597E">
              <w:rPr>
                <w:rFonts w:asciiTheme="majorBidi" w:hAnsiTheme="majorBidi" w:cstheme="majorBidi"/>
                <w:color w:val="0D0D0D" w:themeColor="text1" w:themeTint="F2"/>
                <w:sz w:val="16"/>
                <w:szCs w:val="16"/>
                <w:highlight w:val="yellow"/>
              </w:rPr>
              <w:t xml:space="preserve"> 28- 30</w:t>
            </w:r>
            <w:r w:rsidR="007D3937" w:rsidRPr="002C597E">
              <w:rPr>
                <w:rFonts w:asciiTheme="majorBidi" w:hAnsiTheme="majorBidi" w:cstheme="majorBidi"/>
                <w:color w:val="0D0D0D" w:themeColor="text1" w:themeTint="F2"/>
                <w:sz w:val="16"/>
                <w:szCs w:val="16"/>
                <w:highlight w:val="yellow"/>
              </w:rPr>
              <w:t xml:space="preserve"> </w:t>
            </w:r>
            <w:r w:rsidRPr="002C597E">
              <w:rPr>
                <w:rFonts w:asciiTheme="majorBidi" w:hAnsiTheme="majorBidi" w:cstheme="majorBidi"/>
                <w:color w:val="0D0D0D" w:themeColor="text1" w:themeTint="F2"/>
                <w:sz w:val="16"/>
                <w:szCs w:val="16"/>
                <w:highlight w:val="yellow"/>
              </w:rPr>
              <w:t>, 42-46</w:t>
            </w:r>
          </w:p>
          <w:p w14:paraId="58E44AD0" w14:textId="77777777" w:rsidR="007D3937" w:rsidRPr="002C597E" w:rsidRDefault="007D3937" w:rsidP="007A7F6F">
            <w:pPr>
              <w:bidi w:val="0"/>
              <w:rPr>
                <w:rFonts w:asciiTheme="majorBidi" w:hAnsiTheme="majorBidi" w:cstheme="majorBidi"/>
                <w:color w:val="0D0D0D" w:themeColor="text1" w:themeTint="F2"/>
                <w:sz w:val="16"/>
                <w:szCs w:val="16"/>
                <w:highlight w:val="yellow"/>
              </w:rPr>
            </w:pPr>
          </w:p>
        </w:tc>
      </w:tr>
      <w:tr w:rsidR="002C597E" w:rsidRPr="002C597E" w14:paraId="5C23BE7A" w14:textId="77777777" w:rsidTr="002C597E">
        <w:trPr>
          <w:trHeight w:val="195"/>
        </w:trPr>
        <w:tc>
          <w:tcPr>
            <w:tcW w:w="993" w:type="dxa"/>
            <w:vMerge w:val="restart"/>
            <w:tcBorders>
              <w:top w:val="nil"/>
              <w:left w:val="nil"/>
              <w:bottom w:val="nil"/>
              <w:right w:val="nil"/>
            </w:tcBorders>
          </w:tcPr>
          <w:p w14:paraId="133BB81B"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O’Halloran et al.</w:t>
            </w:r>
          </w:p>
          <w:p w14:paraId="75128FCA"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2020</w:t>
            </w:r>
          </w:p>
        </w:tc>
        <w:tc>
          <w:tcPr>
            <w:tcW w:w="1616" w:type="dxa"/>
            <w:vMerge w:val="restart"/>
            <w:tcBorders>
              <w:top w:val="nil"/>
              <w:left w:val="nil"/>
              <w:bottom w:val="nil"/>
              <w:right w:val="nil"/>
            </w:tcBorders>
          </w:tcPr>
          <w:p w14:paraId="64232A1F" w14:textId="15832122" w:rsidR="007D3937" w:rsidRPr="00C25293" w:rsidRDefault="007D3937" w:rsidP="007A7F6F">
            <w:pPr>
              <w:bidi w:val="0"/>
              <w:rPr>
                <w:rFonts w:asciiTheme="majorBidi" w:hAnsiTheme="majorBidi" w:cstheme="majorBidi"/>
                <w:color w:val="0D0D0D" w:themeColor="text1" w:themeTint="F2"/>
                <w:sz w:val="16"/>
                <w:szCs w:val="16"/>
                <w:rtl/>
                <w:cs/>
              </w:rPr>
            </w:pPr>
            <w:r w:rsidRPr="00C25293">
              <w:rPr>
                <w:rFonts w:asciiTheme="majorBidi" w:hAnsiTheme="majorBidi" w:cstheme="majorBidi"/>
                <w:color w:val="0D0D0D" w:themeColor="text1" w:themeTint="F2"/>
                <w:sz w:val="16"/>
                <w:szCs w:val="16"/>
              </w:rPr>
              <w:t>Ireland</w:t>
            </w:r>
            <w:r w:rsidR="00246431">
              <w:rPr>
                <w:rFonts w:asciiTheme="majorBidi" w:hAnsiTheme="majorBidi" w:cstheme="majorBidi"/>
                <w:sz w:val="16"/>
                <w:szCs w:val="16"/>
                <w:lang w:bidi="fa-IR"/>
              </w:rPr>
              <w:t xml:space="preserve">/ </w:t>
            </w:r>
            <w:r w:rsidR="00246431" w:rsidRPr="00246431">
              <w:rPr>
                <w:rFonts w:asciiTheme="majorBidi" w:hAnsiTheme="majorBidi" w:cstheme="majorBidi"/>
                <w:sz w:val="16"/>
                <w:szCs w:val="16"/>
                <w:highlight w:val="yellow"/>
                <w:lang w:bidi="fa-IR"/>
              </w:rPr>
              <w:t>Europe</w:t>
            </w:r>
          </w:p>
          <w:p w14:paraId="3413DD46"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 xml:space="preserve"> </w:t>
            </w:r>
          </w:p>
        </w:tc>
        <w:tc>
          <w:tcPr>
            <w:tcW w:w="1911" w:type="dxa"/>
            <w:vMerge w:val="restart"/>
            <w:tcBorders>
              <w:top w:val="nil"/>
              <w:left w:val="nil"/>
              <w:bottom w:val="nil"/>
              <w:right w:val="nil"/>
            </w:tcBorders>
          </w:tcPr>
          <w:p w14:paraId="791CA37D" w14:textId="77777777" w:rsidR="007D3937" w:rsidRPr="00C25293" w:rsidRDefault="007D3937" w:rsidP="007A7F6F">
            <w:pPr>
              <w:bidi w:val="0"/>
              <w:rPr>
                <w:rFonts w:asciiTheme="majorBidi" w:hAnsiTheme="majorBidi" w:cstheme="majorBidi"/>
                <w:color w:val="0D0D0D" w:themeColor="text1" w:themeTint="F2"/>
                <w:sz w:val="16"/>
                <w:szCs w:val="16"/>
                <w:rtl/>
                <w:cs/>
              </w:rPr>
            </w:pPr>
            <w:r w:rsidRPr="00C25293">
              <w:rPr>
                <w:rFonts w:asciiTheme="majorBidi" w:hAnsiTheme="majorBidi" w:cstheme="majorBidi"/>
                <w:color w:val="0D0D0D" w:themeColor="text1" w:themeTint="F2"/>
                <w:sz w:val="16"/>
                <w:szCs w:val="16"/>
              </w:rPr>
              <w:t>Cross-sectional</w:t>
            </w:r>
          </w:p>
          <w:p w14:paraId="5AB8E32D"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(TILDA)</w:t>
            </w:r>
          </w:p>
        </w:tc>
        <w:tc>
          <w:tcPr>
            <w:tcW w:w="1468" w:type="dxa"/>
            <w:vMerge w:val="restart"/>
            <w:tcBorders>
              <w:top w:val="nil"/>
              <w:left w:val="nil"/>
              <w:bottom w:val="nil"/>
              <w:right w:val="nil"/>
            </w:tcBorders>
          </w:tcPr>
          <w:p w14:paraId="01F01D6D" w14:textId="5C71C76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4068/1211</w:t>
            </w:r>
          </w:p>
        </w:tc>
        <w:tc>
          <w:tcPr>
            <w:tcW w:w="1175" w:type="dxa"/>
            <w:vMerge w:val="restart"/>
            <w:tcBorders>
              <w:top w:val="nil"/>
              <w:left w:val="nil"/>
              <w:bottom w:val="nil"/>
              <w:right w:val="nil"/>
            </w:tcBorders>
          </w:tcPr>
          <w:p w14:paraId="339980CA" w14:textId="497EC06E" w:rsidR="007D3937" w:rsidRPr="00C25293" w:rsidRDefault="007D3937" w:rsidP="00973895">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M/F</w:t>
            </w:r>
            <w:r w:rsidR="00973895" w:rsidRPr="00C25293">
              <w:rPr>
                <w:rFonts w:asciiTheme="majorBidi" w:hAnsiTheme="majorBidi" w:cstheme="majorBidi"/>
                <w:color w:val="0D0D0D" w:themeColor="text1" w:themeTint="F2"/>
                <w:sz w:val="16"/>
                <w:szCs w:val="16"/>
              </w:rPr>
              <w:t>/ (</w:t>
            </w:r>
            <w:r w:rsidRPr="00C25293">
              <w:rPr>
                <w:rFonts w:asciiTheme="majorBidi" w:hAnsiTheme="majorBidi" w:cstheme="majorBidi"/>
                <w:color w:val="0D0D0D" w:themeColor="text1" w:themeTint="F2"/>
                <w:sz w:val="16"/>
                <w:szCs w:val="16"/>
              </w:rPr>
              <w:t>52.1</w:t>
            </w:r>
            <w:r w:rsidR="00973895" w:rsidRPr="00C25293">
              <w:rPr>
                <w:rFonts w:asciiTheme="majorBidi" w:hAnsiTheme="majorBidi" w:cstheme="majorBidi"/>
                <w:color w:val="0D0D0D" w:themeColor="text1" w:themeTint="F2"/>
                <w:sz w:val="16"/>
                <w:szCs w:val="16"/>
              </w:rPr>
              <w:t>% F)</w:t>
            </w:r>
            <w:r w:rsidRPr="00C25293">
              <w:rPr>
                <w:rFonts w:asciiTheme="majorBidi" w:hAnsiTheme="majorBidi" w:cstheme="majorBidi"/>
                <w:color w:val="0D0D0D" w:themeColor="text1" w:themeTint="F2"/>
                <w:sz w:val="16"/>
                <w:szCs w:val="16"/>
              </w:rPr>
              <w:t xml:space="preserve"> </w:t>
            </w:r>
          </w:p>
        </w:tc>
        <w:tc>
          <w:tcPr>
            <w:tcW w:w="879" w:type="dxa"/>
            <w:vMerge w:val="restart"/>
            <w:tcBorders>
              <w:top w:val="nil"/>
              <w:left w:val="nil"/>
              <w:bottom w:val="nil"/>
              <w:right w:val="nil"/>
            </w:tcBorders>
          </w:tcPr>
          <w:p w14:paraId="22EEA511"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63.7 ± 8.1</w:t>
            </w:r>
          </w:p>
        </w:tc>
        <w:tc>
          <w:tcPr>
            <w:tcW w:w="1911" w:type="dxa"/>
            <w:tcBorders>
              <w:top w:val="nil"/>
              <w:left w:val="nil"/>
              <w:bottom w:val="nil"/>
              <w:right w:val="nil"/>
            </w:tcBorders>
          </w:tcPr>
          <w:p w14:paraId="383F554B" w14:textId="77777777" w:rsidR="007D3937" w:rsidRPr="00C25293" w:rsidRDefault="007D3937" w:rsidP="007A7F6F">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sz w:val="16"/>
                <w:szCs w:val="16"/>
                <w:lang w:bidi="fa-IR"/>
              </w:rPr>
              <w:t xml:space="preserve">`Per 1 SD increase </w:t>
            </w:r>
          </w:p>
          <w:p w14:paraId="70B7E919" w14:textId="77777777" w:rsidR="007D3937" w:rsidRPr="00C25293" w:rsidRDefault="007D3937" w:rsidP="007A7F6F">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color w:val="0D0D0D" w:themeColor="text1" w:themeTint="F2"/>
                <w:sz w:val="16"/>
                <w:szCs w:val="16"/>
              </w:rPr>
              <w:t>Frailty phenotype</w:t>
            </w:r>
            <w:r w:rsidRPr="00C25293">
              <w:rPr>
                <w:rFonts w:asciiTheme="majorBidi" w:hAnsiTheme="majorBidi" w:cstheme="majorBidi"/>
                <w:sz w:val="16"/>
                <w:szCs w:val="16"/>
                <w:lang w:bidi="fa-IR"/>
              </w:rPr>
              <w:t xml:space="preserve">  </w:t>
            </w:r>
          </w:p>
        </w:tc>
        <w:tc>
          <w:tcPr>
            <w:tcW w:w="1616" w:type="dxa"/>
            <w:tcBorders>
              <w:top w:val="nil"/>
              <w:left w:val="nil"/>
              <w:bottom w:val="nil"/>
              <w:right w:val="nil"/>
            </w:tcBorders>
          </w:tcPr>
          <w:p w14:paraId="5A764F87" w14:textId="77777777" w:rsidR="007D3937" w:rsidRPr="00C25293" w:rsidRDefault="007D3937" w:rsidP="007A7F6F">
            <w:pPr>
              <w:bidi w:val="0"/>
              <w:rPr>
                <w:rFonts w:asciiTheme="majorBidi" w:hAnsiTheme="majorBidi" w:cstheme="majorBidi"/>
                <w:color w:val="0D0D0D" w:themeColor="text1" w:themeTint="F2"/>
                <w:sz w:val="16"/>
                <w:szCs w:val="16"/>
              </w:rPr>
            </w:pPr>
          </w:p>
          <w:p w14:paraId="07D5DA2B" w14:textId="5FC314AF"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0.84(0.77,0.92)</w:t>
            </w:r>
          </w:p>
        </w:tc>
        <w:tc>
          <w:tcPr>
            <w:tcW w:w="1027" w:type="dxa"/>
            <w:vMerge w:val="restart"/>
            <w:tcBorders>
              <w:top w:val="nil"/>
              <w:left w:val="nil"/>
              <w:bottom w:val="nil"/>
              <w:right w:val="nil"/>
            </w:tcBorders>
          </w:tcPr>
          <w:p w14:paraId="321F5B38"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Plasma</w:t>
            </w:r>
            <w:r w:rsidRPr="00C25293">
              <w:rPr>
                <w:rFonts w:asciiTheme="majorBidi" w:hAnsiTheme="majorBidi" w:cstheme="majorBidi"/>
                <w:sz w:val="16"/>
                <w:szCs w:val="16"/>
              </w:rPr>
              <w:t xml:space="preserve"> </w:t>
            </w:r>
          </w:p>
        </w:tc>
        <w:tc>
          <w:tcPr>
            <w:tcW w:w="1321" w:type="dxa"/>
            <w:vMerge w:val="restart"/>
            <w:tcBorders>
              <w:top w:val="nil"/>
              <w:left w:val="nil"/>
              <w:bottom w:val="nil"/>
              <w:right w:val="nil"/>
            </w:tcBorders>
          </w:tcPr>
          <w:p w14:paraId="77FB44A3"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LC-MS/MS</w:t>
            </w:r>
          </w:p>
        </w:tc>
        <w:tc>
          <w:tcPr>
            <w:tcW w:w="1468" w:type="dxa"/>
            <w:vMerge w:val="restart"/>
            <w:tcBorders>
              <w:top w:val="nil"/>
              <w:left w:val="nil"/>
              <w:bottom w:val="nil"/>
              <w:right w:val="nil"/>
            </w:tcBorders>
          </w:tcPr>
          <w:p w14:paraId="7D85247C"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Frailty Index, frailty phenotype and FRAIL scale</w:t>
            </w:r>
          </w:p>
        </w:tc>
        <w:tc>
          <w:tcPr>
            <w:tcW w:w="1085" w:type="dxa"/>
            <w:vMerge w:val="restart"/>
            <w:tcBorders>
              <w:top w:val="nil"/>
              <w:left w:val="nil"/>
              <w:bottom w:val="nil"/>
              <w:right w:val="nil"/>
            </w:tcBorders>
          </w:tcPr>
          <w:p w14:paraId="77D5B23D" w14:textId="1A73990C" w:rsidR="007D3937" w:rsidRPr="002C597E" w:rsidRDefault="001B0018" w:rsidP="00AD3855">
            <w:pPr>
              <w:bidi w:val="0"/>
              <w:rPr>
                <w:rFonts w:asciiTheme="majorBidi" w:hAnsiTheme="majorBidi" w:cstheme="majorBidi"/>
                <w:color w:val="0D0D0D" w:themeColor="text1" w:themeTint="F2"/>
                <w:sz w:val="16"/>
                <w:szCs w:val="16"/>
                <w:highlight w:val="yellow"/>
              </w:rPr>
            </w:pPr>
            <w:r w:rsidRPr="002C597E">
              <w:rPr>
                <w:rFonts w:asciiTheme="majorBidi" w:hAnsiTheme="majorBidi" w:cstheme="majorBidi"/>
                <w:color w:val="0D0D0D" w:themeColor="text1" w:themeTint="F2"/>
                <w:sz w:val="16"/>
                <w:szCs w:val="16"/>
                <w:highlight w:val="yellow"/>
              </w:rPr>
              <w:t>1</w:t>
            </w:r>
            <w:r w:rsidR="0080306B" w:rsidRPr="002C597E">
              <w:rPr>
                <w:rFonts w:asciiTheme="majorBidi" w:hAnsiTheme="majorBidi" w:cstheme="majorBidi"/>
                <w:color w:val="0D0D0D" w:themeColor="text1" w:themeTint="F2"/>
                <w:sz w:val="16"/>
                <w:szCs w:val="16"/>
                <w:highlight w:val="yellow"/>
              </w:rPr>
              <w:t xml:space="preserve">-4, 6,7, 9, 14, 21,47-49 </w:t>
            </w:r>
          </w:p>
        </w:tc>
      </w:tr>
      <w:tr w:rsidR="002C597E" w:rsidRPr="002C597E" w14:paraId="4F9DD439" w14:textId="77777777" w:rsidTr="002C597E">
        <w:trPr>
          <w:trHeight w:val="107"/>
        </w:trPr>
        <w:tc>
          <w:tcPr>
            <w:tcW w:w="993" w:type="dxa"/>
            <w:vMerge/>
            <w:tcBorders>
              <w:top w:val="nil"/>
              <w:left w:val="nil"/>
              <w:bottom w:val="nil"/>
              <w:right w:val="nil"/>
            </w:tcBorders>
          </w:tcPr>
          <w:p w14:paraId="624F32F2"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616" w:type="dxa"/>
            <w:vMerge/>
            <w:tcBorders>
              <w:top w:val="nil"/>
              <w:left w:val="nil"/>
              <w:bottom w:val="nil"/>
              <w:right w:val="nil"/>
            </w:tcBorders>
          </w:tcPr>
          <w:p w14:paraId="13626BF2"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911" w:type="dxa"/>
            <w:vMerge/>
            <w:tcBorders>
              <w:top w:val="nil"/>
              <w:left w:val="nil"/>
              <w:bottom w:val="nil"/>
              <w:right w:val="nil"/>
            </w:tcBorders>
          </w:tcPr>
          <w:p w14:paraId="41D3EA52"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468" w:type="dxa"/>
            <w:vMerge/>
            <w:tcBorders>
              <w:top w:val="nil"/>
              <w:left w:val="nil"/>
              <w:bottom w:val="nil"/>
              <w:right w:val="nil"/>
            </w:tcBorders>
          </w:tcPr>
          <w:p w14:paraId="79D12999"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175" w:type="dxa"/>
            <w:vMerge/>
            <w:tcBorders>
              <w:top w:val="nil"/>
              <w:left w:val="nil"/>
              <w:bottom w:val="nil"/>
              <w:right w:val="nil"/>
            </w:tcBorders>
          </w:tcPr>
          <w:p w14:paraId="6835BC4E"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879" w:type="dxa"/>
            <w:vMerge/>
            <w:tcBorders>
              <w:top w:val="nil"/>
              <w:left w:val="nil"/>
              <w:bottom w:val="nil"/>
              <w:right w:val="nil"/>
            </w:tcBorders>
          </w:tcPr>
          <w:p w14:paraId="7085E190"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911" w:type="dxa"/>
            <w:tcBorders>
              <w:top w:val="nil"/>
              <w:left w:val="nil"/>
              <w:bottom w:val="nil"/>
              <w:right w:val="nil"/>
            </w:tcBorders>
          </w:tcPr>
          <w:p w14:paraId="5B2B3A5C" w14:textId="77777777" w:rsidR="007D3937" w:rsidRPr="00C25293" w:rsidRDefault="007D3937" w:rsidP="007A7F6F">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color w:val="0D0D0D" w:themeColor="text1" w:themeTint="F2"/>
                <w:sz w:val="16"/>
                <w:szCs w:val="16"/>
              </w:rPr>
              <w:t>Frailty Index</w:t>
            </w:r>
          </w:p>
        </w:tc>
        <w:tc>
          <w:tcPr>
            <w:tcW w:w="1616" w:type="dxa"/>
            <w:tcBorders>
              <w:top w:val="nil"/>
              <w:left w:val="nil"/>
              <w:bottom w:val="nil"/>
              <w:right w:val="nil"/>
            </w:tcBorders>
          </w:tcPr>
          <w:p w14:paraId="246ACEBD" w14:textId="36EAE14F" w:rsidR="007D3937" w:rsidRPr="00C25293" w:rsidRDefault="007D3937" w:rsidP="007A7F6F">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color w:val="0D0D0D" w:themeColor="text1" w:themeTint="F2"/>
                <w:sz w:val="16"/>
                <w:szCs w:val="16"/>
              </w:rPr>
              <w:t>0.91 (0.82,1.01)</w:t>
            </w:r>
          </w:p>
        </w:tc>
        <w:tc>
          <w:tcPr>
            <w:tcW w:w="1027" w:type="dxa"/>
            <w:vMerge/>
            <w:tcBorders>
              <w:top w:val="nil"/>
              <w:left w:val="nil"/>
              <w:bottom w:val="nil"/>
              <w:right w:val="nil"/>
            </w:tcBorders>
          </w:tcPr>
          <w:p w14:paraId="3089F10B"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321" w:type="dxa"/>
            <w:vMerge/>
            <w:tcBorders>
              <w:top w:val="nil"/>
              <w:left w:val="nil"/>
              <w:bottom w:val="nil"/>
              <w:right w:val="nil"/>
            </w:tcBorders>
          </w:tcPr>
          <w:p w14:paraId="36F0F84E"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468" w:type="dxa"/>
            <w:vMerge/>
            <w:tcBorders>
              <w:top w:val="nil"/>
              <w:left w:val="nil"/>
              <w:bottom w:val="nil"/>
              <w:right w:val="nil"/>
            </w:tcBorders>
          </w:tcPr>
          <w:p w14:paraId="5572A2D9"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085" w:type="dxa"/>
            <w:vMerge/>
            <w:tcBorders>
              <w:top w:val="nil"/>
              <w:left w:val="nil"/>
              <w:bottom w:val="nil"/>
              <w:right w:val="nil"/>
            </w:tcBorders>
          </w:tcPr>
          <w:p w14:paraId="29DE48DB" w14:textId="77777777" w:rsidR="007D3937" w:rsidRPr="002C597E" w:rsidRDefault="007D3937" w:rsidP="007A7F6F">
            <w:pPr>
              <w:bidi w:val="0"/>
              <w:rPr>
                <w:rFonts w:asciiTheme="majorBidi" w:hAnsiTheme="majorBidi" w:cstheme="majorBidi"/>
                <w:color w:val="0D0D0D" w:themeColor="text1" w:themeTint="F2"/>
                <w:sz w:val="16"/>
                <w:szCs w:val="16"/>
                <w:highlight w:val="yellow"/>
              </w:rPr>
            </w:pPr>
          </w:p>
        </w:tc>
      </w:tr>
      <w:tr w:rsidR="002C597E" w:rsidRPr="002C597E" w14:paraId="06606065" w14:textId="77777777" w:rsidTr="002C597E">
        <w:trPr>
          <w:trHeight w:val="194"/>
        </w:trPr>
        <w:tc>
          <w:tcPr>
            <w:tcW w:w="993" w:type="dxa"/>
            <w:vMerge/>
            <w:tcBorders>
              <w:top w:val="nil"/>
              <w:left w:val="nil"/>
              <w:bottom w:val="nil"/>
              <w:right w:val="nil"/>
            </w:tcBorders>
          </w:tcPr>
          <w:p w14:paraId="74E3604D"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616" w:type="dxa"/>
            <w:vMerge/>
            <w:tcBorders>
              <w:top w:val="nil"/>
              <w:left w:val="nil"/>
              <w:bottom w:val="nil"/>
              <w:right w:val="nil"/>
            </w:tcBorders>
          </w:tcPr>
          <w:p w14:paraId="51F262C2"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911" w:type="dxa"/>
            <w:vMerge/>
            <w:tcBorders>
              <w:top w:val="nil"/>
              <w:left w:val="nil"/>
              <w:bottom w:val="nil"/>
              <w:right w:val="nil"/>
            </w:tcBorders>
          </w:tcPr>
          <w:p w14:paraId="5AC37ED2"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468" w:type="dxa"/>
            <w:vMerge/>
            <w:tcBorders>
              <w:top w:val="nil"/>
              <w:left w:val="nil"/>
              <w:bottom w:val="nil"/>
              <w:right w:val="nil"/>
            </w:tcBorders>
          </w:tcPr>
          <w:p w14:paraId="18E53008"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175" w:type="dxa"/>
            <w:vMerge/>
            <w:tcBorders>
              <w:top w:val="nil"/>
              <w:left w:val="nil"/>
              <w:bottom w:val="nil"/>
              <w:right w:val="nil"/>
            </w:tcBorders>
          </w:tcPr>
          <w:p w14:paraId="2B707268"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879" w:type="dxa"/>
            <w:vMerge/>
            <w:tcBorders>
              <w:top w:val="nil"/>
              <w:left w:val="nil"/>
              <w:bottom w:val="nil"/>
              <w:right w:val="nil"/>
            </w:tcBorders>
          </w:tcPr>
          <w:p w14:paraId="13E1CEE9"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911" w:type="dxa"/>
            <w:tcBorders>
              <w:top w:val="nil"/>
              <w:left w:val="nil"/>
              <w:bottom w:val="nil"/>
              <w:right w:val="nil"/>
            </w:tcBorders>
          </w:tcPr>
          <w:p w14:paraId="58CB6CED" w14:textId="77777777" w:rsidR="007D3937" w:rsidRPr="00C25293" w:rsidRDefault="007D3937" w:rsidP="007A7F6F">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color w:val="0D0D0D" w:themeColor="text1" w:themeTint="F2"/>
                <w:sz w:val="16"/>
                <w:szCs w:val="16"/>
              </w:rPr>
              <w:t>FRAIL scale</w:t>
            </w:r>
          </w:p>
        </w:tc>
        <w:tc>
          <w:tcPr>
            <w:tcW w:w="1616" w:type="dxa"/>
            <w:tcBorders>
              <w:top w:val="nil"/>
              <w:left w:val="nil"/>
              <w:bottom w:val="nil"/>
              <w:right w:val="nil"/>
            </w:tcBorders>
          </w:tcPr>
          <w:p w14:paraId="0F1EA75A" w14:textId="5478BCAB"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0.86(0.76,0.96)</w:t>
            </w:r>
          </w:p>
        </w:tc>
        <w:tc>
          <w:tcPr>
            <w:tcW w:w="1027" w:type="dxa"/>
            <w:vMerge/>
            <w:tcBorders>
              <w:top w:val="nil"/>
              <w:left w:val="nil"/>
              <w:bottom w:val="nil"/>
              <w:right w:val="nil"/>
            </w:tcBorders>
          </w:tcPr>
          <w:p w14:paraId="2606E6B6"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321" w:type="dxa"/>
            <w:vMerge/>
            <w:tcBorders>
              <w:top w:val="nil"/>
              <w:left w:val="nil"/>
              <w:bottom w:val="nil"/>
              <w:right w:val="nil"/>
            </w:tcBorders>
          </w:tcPr>
          <w:p w14:paraId="71CDA4BD"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468" w:type="dxa"/>
            <w:vMerge/>
            <w:tcBorders>
              <w:top w:val="nil"/>
              <w:left w:val="nil"/>
              <w:bottom w:val="nil"/>
              <w:right w:val="nil"/>
            </w:tcBorders>
          </w:tcPr>
          <w:p w14:paraId="7935D194"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085" w:type="dxa"/>
            <w:vMerge/>
            <w:tcBorders>
              <w:top w:val="nil"/>
              <w:left w:val="nil"/>
              <w:bottom w:val="nil"/>
              <w:right w:val="nil"/>
            </w:tcBorders>
          </w:tcPr>
          <w:p w14:paraId="20B622C3" w14:textId="77777777" w:rsidR="007D3937" w:rsidRPr="002C597E" w:rsidRDefault="007D3937" w:rsidP="007A7F6F">
            <w:pPr>
              <w:bidi w:val="0"/>
              <w:rPr>
                <w:rFonts w:asciiTheme="majorBidi" w:hAnsiTheme="majorBidi" w:cstheme="majorBidi"/>
                <w:color w:val="0D0D0D" w:themeColor="text1" w:themeTint="F2"/>
                <w:sz w:val="16"/>
                <w:szCs w:val="16"/>
                <w:highlight w:val="yellow"/>
              </w:rPr>
            </w:pPr>
          </w:p>
        </w:tc>
      </w:tr>
      <w:tr w:rsidR="002C597E" w:rsidRPr="002C597E" w14:paraId="3EA334CD" w14:textId="77777777" w:rsidTr="002C597E">
        <w:trPr>
          <w:trHeight w:val="314"/>
        </w:trPr>
        <w:tc>
          <w:tcPr>
            <w:tcW w:w="993" w:type="dxa"/>
            <w:tcBorders>
              <w:top w:val="nil"/>
              <w:left w:val="nil"/>
              <w:bottom w:val="nil"/>
              <w:right w:val="nil"/>
            </w:tcBorders>
          </w:tcPr>
          <w:p w14:paraId="3A5EB618"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Kochlik et al.</w:t>
            </w:r>
          </w:p>
          <w:p w14:paraId="5E7C816C"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2019</w:t>
            </w:r>
          </w:p>
        </w:tc>
        <w:tc>
          <w:tcPr>
            <w:tcW w:w="1616" w:type="dxa"/>
            <w:tcBorders>
              <w:top w:val="nil"/>
              <w:left w:val="nil"/>
              <w:bottom w:val="nil"/>
              <w:right w:val="nil"/>
            </w:tcBorders>
          </w:tcPr>
          <w:p w14:paraId="1E7D123D" w14:textId="6C67B7DA"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France, Spain, Italy</w:t>
            </w:r>
            <w:r w:rsidR="00246431">
              <w:rPr>
                <w:rFonts w:asciiTheme="majorBidi" w:hAnsiTheme="majorBidi" w:cstheme="majorBidi"/>
                <w:sz w:val="16"/>
                <w:szCs w:val="16"/>
                <w:lang w:bidi="fa-IR"/>
              </w:rPr>
              <w:t xml:space="preserve">/ </w:t>
            </w:r>
            <w:r w:rsidR="00246431" w:rsidRPr="00246431">
              <w:rPr>
                <w:rFonts w:asciiTheme="majorBidi" w:hAnsiTheme="majorBidi" w:cstheme="majorBidi"/>
                <w:sz w:val="16"/>
                <w:szCs w:val="16"/>
                <w:highlight w:val="yellow"/>
                <w:lang w:bidi="fa-IR"/>
              </w:rPr>
              <w:t>Europe</w:t>
            </w:r>
          </w:p>
        </w:tc>
        <w:tc>
          <w:tcPr>
            <w:tcW w:w="1911" w:type="dxa"/>
            <w:tcBorders>
              <w:top w:val="nil"/>
              <w:left w:val="nil"/>
              <w:bottom w:val="nil"/>
              <w:right w:val="nil"/>
            </w:tcBorders>
          </w:tcPr>
          <w:p w14:paraId="3F317D6F"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Cross-sectional</w:t>
            </w:r>
          </w:p>
          <w:p w14:paraId="68A5EBE8" w14:textId="77777777" w:rsidR="007D3937" w:rsidRPr="00C25293" w:rsidRDefault="007D3937" w:rsidP="007A7F6F">
            <w:pPr>
              <w:bidi w:val="0"/>
              <w:rPr>
                <w:rFonts w:asciiTheme="majorBidi" w:hAnsiTheme="majorBidi" w:cstheme="majorBidi"/>
                <w:color w:val="0D0D0D" w:themeColor="text1" w:themeTint="F2"/>
                <w:sz w:val="16"/>
                <w:szCs w:val="16"/>
                <w:rtl/>
                <w:lang w:bidi="fa-IR"/>
              </w:rPr>
            </w:pPr>
            <w:r w:rsidRPr="00C25293">
              <w:rPr>
                <w:rFonts w:asciiTheme="majorBidi" w:hAnsiTheme="majorBidi" w:cstheme="majorBidi"/>
                <w:color w:val="0D0D0D" w:themeColor="text1" w:themeTint="F2"/>
                <w:sz w:val="16"/>
                <w:szCs w:val="16"/>
              </w:rPr>
              <w:t>(FRAILOMIC</w:t>
            </w:r>
            <w:r w:rsidRPr="00C25293">
              <w:t xml:space="preserve"> </w:t>
            </w:r>
            <w:r w:rsidRPr="00C25293">
              <w:rPr>
                <w:rFonts w:asciiTheme="majorBidi" w:hAnsiTheme="majorBidi" w:cstheme="majorBidi"/>
                <w:color w:val="0D0D0D" w:themeColor="text1" w:themeTint="F2"/>
                <w:sz w:val="16"/>
                <w:szCs w:val="16"/>
              </w:rPr>
              <w:t>database)</w:t>
            </w:r>
          </w:p>
        </w:tc>
        <w:tc>
          <w:tcPr>
            <w:tcW w:w="1468" w:type="dxa"/>
            <w:tcBorders>
              <w:top w:val="nil"/>
              <w:left w:val="nil"/>
              <w:bottom w:val="nil"/>
              <w:right w:val="nil"/>
            </w:tcBorders>
          </w:tcPr>
          <w:p w14:paraId="4058024A"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1450/605</w:t>
            </w:r>
          </w:p>
          <w:p w14:paraId="0B5CB703" w14:textId="77777777" w:rsidR="007D3937" w:rsidRPr="00C25293" w:rsidRDefault="007D3937" w:rsidP="007A7F6F">
            <w:pPr>
              <w:bidi w:val="0"/>
              <w:rPr>
                <w:rFonts w:asciiTheme="majorBidi" w:hAnsiTheme="majorBidi" w:cstheme="majorBidi"/>
                <w:color w:val="0D0D0D" w:themeColor="text1" w:themeTint="F2"/>
                <w:sz w:val="16"/>
                <w:szCs w:val="16"/>
              </w:rPr>
            </w:pPr>
          </w:p>
        </w:tc>
        <w:tc>
          <w:tcPr>
            <w:tcW w:w="1175" w:type="dxa"/>
            <w:tcBorders>
              <w:top w:val="nil"/>
              <w:left w:val="nil"/>
              <w:bottom w:val="nil"/>
              <w:right w:val="nil"/>
            </w:tcBorders>
          </w:tcPr>
          <w:p w14:paraId="7EE5B7AA" w14:textId="1EA91368" w:rsidR="007D3937" w:rsidRPr="00C25293" w:rsidRDefault="007D3937" w:rsidP="007A7F6F">
            <w:pPr>
              <w:bidi w:val="0"/>
              <w:rPr>
                <w:rFonts w:asciiTheme="majorBidi" w:hAnsiTheme="majorBidi" w:cstheme="majorBidi"/>
                <w:sz w:val="16"/>
                <w:szCs w:val="16"/>
                <w:lang w:bidi="fa-IR"/>
              </w:rPr>
            </w:pPr>
            <w:r w:rsidRPr="00C25293">
              <w:rPr>
                <w:rFonts w:asciiTheme="majorBidi" w:hAnsiTheme="majorBidi" w:cstheme="majorBidi"/>
                <w:sz w:val="16"/>
                <w:szCs w:val="16"/>
                <w:lang w:bidi="fa-IR"/>
              </w:rPr>
              <w:t>M/F</w:t>
            </w:r>
            <w:r w:rsidR="00973895" w:rsidRPr="00C25293">
              <w:rPr>
                <w:rFonts w:asciiTheme="majorBidi" w:hAnsiTheme="majorBidi" w:cstheme="majorBidi"/>
                <w:sz w:val="16"/>
                <w:szCs w:val="16"/>
                <w:lang w:bidi="fa-IR"/>
              </w:rPr>
              <w:t>/</w:t>
            </w:r>
          </w:p>
          <w:p w14:paraId="4DC40332" w14:textId="3D7552C9" w:rsidR="007D3937" w:rsidRPr="00C25293" w:rsidRDefault="00973895" w:rsidP="007A7F6F">
            <w:pPr>
              <w:bidi w:val="0"/>
              <w:rPr>
                <w:rFonts w:asciiTheme="majorBidi" w:hAnsiTheme="majorBidi" w:cstheme="majorBidi"/>
                <w:sz w:val="16"/>
                <w:szCs w:val="16"/>
                <w:lang w:bidi="fa-IR"/>
              </w:rPr>
            </w:pPr>
            <w:r w:rsidRPr="00C25293">
              <w:rPr>
                <w:rFonts w:asciiTheme="majorBidi" w:hAnsiTheme="majorBidi" w:cstheme="majorBidi"/>
                <w:sz w:val="16"/>
                <w:szCs w:val="16"/>
                <w:lang w:bidi="fa-IR"/>
              </w:rPr>
              <w:t>(</w:t>
            </w:r>
            <w:r w:rsidR="007D3937" w:rsidRPr="00C25293">
              <w:rPr>
                <w:rFonts w:asciiTheme="majorBidi" w:hAnsiTheme="majorBidi" w:cstheme="majorBidi"/>
                <w:sz w:val="16"/>
                <w:szCs w:val="16"/>
                <w:lang w:bidi="fa-IR"/>
              </w:rPr>
              <w:t>55.9</w:t>
            </w:r>
            <w:r w:rsidRPr="00C25293">
              <w:rPr>
                <w:rFonts w:asciiTheme="majorBidi" w:hAnsiTheme="majorBidi" w:cstheme="majorBidi"/>
                <w:sz w:val="16"/>
                <w:szCs w:val="16"/>
                <w:lang w:bidi="fa-IR"/>
              </w:rPr>
              <w:t>% F)</w:t>
            </w:r>
          </w:p>
        </w:tc>
        <w:tc>
          <w:tcPr>
            <w:tcW w:w="879" w:type="dxa"/>
            <w:tcBorders>
              <w:top w:val="nil"/>
              <w:left w:val="nil"/>
              <w:bottom w:val="nil"/>
              <w:right w:val="nil"/>
            </w:tcBorders>
          </w:tcPr>
          <w:p w14:paraId="73BB7A8A"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77.5±6.5</w:t>
            </w:r>
          </w:p>
        </w:tc>
        <w:tc>
          <w:tcPr>
            <w:tcW w:w="1911" w:type="dxa"/>
            <w:tcBorders>
              <w:top w:val="nil"/>
              <w:left w:val="nil"/>
              <w:bottom w:val="nil"/>
              <w:right w:val="nil"/>
            </w:tcBorders>
          </w:tcPr>
          <w:p w14:paraId="7A58F71E" w14:textId="77777777" w:rsidR="007D3937" w:rsidRPr="00C25293" w:rsidRDefault="007D3937" w:rsidP="007A7F6F">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sz w:val="16"/>
                <w:szCs w:val="16"/>
                <w:lang w:bidi="fa-IR"/>
              </w:rPr>
              <w:t xml:space="preserve">T1 &lt;13.5080 </w:t>
            </w:r>
          </w:p>
          <w:p w14:paraId="420D24D2" w14:textId="77777777" w:rsidR="007D3937" w:rsidRPr="00C25293" w:rsidRDefault="007D3937" w:rsidP="007A7F6F">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sz w:val="16"/>
                <w:szCs w:val="16"/>
                <w:lang w:bidi="fa-IR"/>
              </w:rPr>
              <w:t>T2 13.5080- 22.228</w:t>
            </w:r>
          </w:p>
          <w:p w14:paraId="0D4A6DED" w14:textId="77777777" w:rsidR="007D3937" w:rsidRPr="00C25293" w:rsidRDefault="007D3937" w:rsidP="007A7F6F">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sz w:val="16"/>
                <w:szCs w:val="16"/>
                <w:lang w:bidi="fa-IR"/>
              </w:rPr>
              <w:t>T3 &gt;22.228</w:t>
            </w:r>
          </w:p>
        </w:tc>
        <w:tc>
          <w:tcPr>
            <w:tcW w:w="1616" w:type="dxa"/>
            <w:tcBorders>
              <w:top w:val="nil"/>
              <w:left w:val="nil"/>
              <w:bottom w:val="nil"/>
              <w:right w:val="nil"/>
            </w:tcBorders>
          </w:tcPr>
          <w:p w14:paraId="7B67C435"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1.98 (1.42–2.76)</w:t>
            </w:r>
          </w:p>
          <w:p w14:paraId="56DF1E69"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w:t>
            </w:r>
          </w:p>
          <w:p w14:paraId="489E9768" w14:textId="77777777" w:rsidR="007D3937" w:rsidRPr="00C25293" w:rsidRDefault="00AD3855"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sz w:val="16"/>
                <w:szCs w:val="16"/>
              </w:rPr>
              <w:t>1.00 (Ref)</w:t>
            </w:r>
          </w:p>
        </w:tc>
        <w:tc>
          <w:tcPr>
            <w:tcW w:w="1027" w:type="dxa"/>
            <w:tcBorders>
              <w:top w:val="nil"/>
              <w:left w:val="nil"/>
              <w:bottom w:val="nil"/>
              <w:right w:val="nil"/>
            </w:tcBorders>
          </w:tcPr>
          <w:p w14:paraId="072354E4"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Plasma</w:t>
            </w:r>
          </w:p>
        </w:tc>
        <w:tc>
          <w:tcPr>
            <w:tcW w:w="1321" w:type="dxa"/>
            <w:tcBorders>
              <w:top w:val="nil"/>
              <w:left w:val="nil"/>
              <w:bottom w:val="nil"/>
              <w:right w:val="nil"/>
            </w:tcBorders>
          </w:tcPr>
          <w:p w14:paraId="717C55B7" w14:textId="46458DB9"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 xml:space="preserve">HPLC </w:t>
            </w:r>
          </w:p>
        </w:tc>
        <w:tc>
          <w:tcPr>
            <w:tcW w:w="1468" w:type="dxa"/>
            <w:tcBorders>
              <w:top w:val="nil"/>
              <w:left w:val="nil"/>
              <w:bottom w:val="nil"/>
              <w:right w:val="nil"/>
            </w:tcBorders>
          </w:tcPr>
          <w:p w14:paraId="49F131BC"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 xml:space="preserve">Fried </w:t>
            </w:r>
            <w:r w:rsidRPr="00C25293">
              <w:rPr>
                <w:rFonts w:asciiTheme="majorBidi" w:hAnsiTheme="majorBidi" w:cstheme="majorBidi"/>
                <w:color w:val="0D0D0D" w:themeColor="text1" w:themeTint="F2"/>
                <w:sz w:val="16"/>
                <w:szCs w:val="16"/>
              </w:rPr>
              <w:t>criteria</w:t>
            </w:r>
          </w:p>
        </w:tc>
        <w:tc>
          <w:tcPr>
            <w:tcW w:w="1085" w:type="dxa"/>
            <w:tcBorders>
              <w:top w:val="nil"/>
              <w:left w:val="nil"/>
              <w:bottom w:val="nil"/>
              <w:right w:val="nil"/>
            </w:tcBorders>
          </w:tcPr>
          <w:p w14:paraId="450DD4A2" w14:textId="31209549" w:rsidR="007D3937" w:rsidRPr="002C597E" w:rsidRDefault="0080306B" w:rsidP="007A7F6F">
            <w:pPr>
              <w:bidi w:val="0"/>
              <w:rPr>
                <w:rFonts w:asciiTheme="majorBidi" w:hAnsiTheme="majorBidi" w:cstheme="majorBidi"/>
                <w:color w:val="0D0D0D" w:themeColor="text1" w:themeTint="F2"/>
                <w:sz w:val="16"/>
                <w:szCs w:val="16"/>
                <w:highlight w:val="yellow"/>
              </w:rPr>
            </w:pPr>
            <w:r w:rsidRPr="002C597E">
              <w:rPr>
                <w:rFonts w:asciiTheme="majorBidi" w:hAnsiTheme="majorBidi" w:cstheme="majorBidi"/>
                <w:color w:val="0D0D0D" w:themeColor="text1" w:themeTint="F2"/>
                <w:sz w:val="16"/>
                <w:szCs w:val="16"/>
                <w:highlight w:val="yellow"/>
              </w:rPr>
              <w:t>1,2,4,7</w:t>
            </w:r>
            <w:r w:rsidR="00EE5C21" w:rsidRPr="002C597E">
              <w:rPr>
                <w:rFonts w:asciiTheme="majorBidi" w:hAnsiTheme="majorBidi" w:cstheme="majorBidi"/>
                <w:color w:val="0D0D0D" w:themeColor="text1" w:themeTint="F2"/>
                <w:sz w:val="16"/>
                <w:szCs w:val="16"/>
                <w:highlight w:val="yellow"/>
              </w:rPr>
              <w:t>, 50, 51</w:t>
            </w:r>
          </w:p>
        </w:tc>
      </w:tr>
      <w:tr w:rsidR="002C597E" w:rsidRPr="002C597E" w14:paraId="64BC5F38" w14:textId="77777777" w:rsidTr="002C597E">
        <w:trPr>
          <w:trHeight w:val="254"/>
        </w:trPr>
        <w:tc>
          <w:tcPr>
            <w:tcW w:w="993" w:type="dxa"/>
            <w:tcBorders>
              <w:top w:val="nil"/>
              <w:left w:val="nil"/>
              <w:bottom w:val="nil"/>
              <w:right w:val="nil"/>
            </w:tcBorders>
          </w:tcPr>
          <w:p w14:paraId="162D702C" w14:textId="77777777" w:rsidR="007D3937" w:rsidRPr="00C25293" w:rsidRDefault="007D3937" w:rsidP="007A7F6F">
            <w:pPr>
              <w:bidi w:val="0"/>
              <w:rPr>
                <w:rFonts w:asciiTheme="majorBidi" w:hAnsiTheme="majorBidi" w:cstheme="majorBidi"/>
                <w:color w:val="0D0D0D" w:themeColor="text1" w:themeTint="F2"/>
                <w:sz w:val="16"/>
                <w:szCs w:val="16"/>
                <w:lang w:bidi="fa-IR"/>
              </w:rPr>
            </w:pPr>
            <w:r w:rsidRPr="00C25293">
              <w:rPr>
                <w:rFonts w:asciiTheme="majorBidi" w:hAnsiTheme="majorBidi" w:cstheme="majorBidi"/>
                <w:color w:val="0D0D0D" w:themeColor="text1" w:themeTint="F2"/>
                <w:sz w:val="16"/>
                <w:szCs w:val="16"/>
              </w:rPr>
              <w:t>Vaes et al.</w:t>
            </w:r>
          </w:p>
          <w:p w14:paraId="6834F756" w14:textId="77777777" w:rsidR="007D3937" w:rsidRPr="00C25293" w:rsidRDefault="007D3937" w:rsidP="007A7F6F">
            <w:pPr>
              <w:bidi w:val="0"/>
              <w:rPr>
                <w:rFonts w:asciiTheme="majorBidi" w:hAnsiTheme="majorBidi" w:cstheme="majorBidi"/>
                <w:color w:val="0D0D0D" w:themeColor="text1" w:themeTint="F2"/>
                <w:sz w:val="16"/>
                <w:szCs w:val="16"/>
                <w:lang w:bidi="fa-IR"/>
              </w:rPr>
            </w:pPr>
            <w:r w:rsidRPr="00C25293">
              <w:rPr>
                <w:rFonts w:asciiTheme="majorBidi" w:hAnsiTheme="majorBidi" w:cstheme="majorBidi"/>
                <w:color w:val="0D0D0D" w:themeColor="text1" w:themeTint="F2"/>
                <w:sz w:val="16"/>
                <w:szCs w:val="16"/>
                <w:lang w:bidi="fa-IR"/>
              </w:rPr>
              <w:t>2018</w:t>
            </w:r>
          </w:p>
        </w:tc>
        <w:tc>
          <w:tcPr>
            <w:tcW w:w="1616" w:type="dxa"/>
            <w:tcBorders>
              <w:top w:val="nil"/>
              <w:left w:val="nil"/>
              <w:bottom w:val="nil"/>
              <w:right w:val="nil"/>
            </w:tcBorders>
          </w:tcPr>
          <w:p w14:paraId="530196A7" w14:textId="77B66A38"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Netherlands</w:t>
            </w:r>
            <w:r w:rsidR="00246431">
              <w:rPr>
                <w:rFonts w:asciiTheme="majorBidi" w:hAnsiTheme="majorBidi" w:cstheme="majorBidi"/>
                <w:sz w:val="16"/>
                <w:szCs w:val="16"/>
                <w:lang w:bidi="fa-IR"/>
              </w:rPr>
              <w:t xml:space="preserve">/ </w:t>
            </w:r>
            <w:r w:rsidR="00246431" w:rsidRPr="00246431">
              <w:rPr>
                <w:rFonts w:asciiTheme="majorBidi" w:hAnsiTheme="majorBidi" w:cstheme="majorBidi"/>
                <w:sz w:val="16"/>
                <w:szCs w:val="16"/>
                <w:highlight w:val="yellow"/>
                <w:lang w:bidi="fa-IR"/>
              </w:rPr>
              <w:t>Europe</w:t>
            </w:r>
          </w:p>
        </w:tc>
        <w:tc>
          <w:tcPr>
            <w:tcW w:w="1911" w:type="dxa"/>
            <w:tcBorders>
              <w:top w:val="nil"/>
              <w:left w:val="nil"/>
              <w:bottom w:val="nil"/>
              <w:right w:val="nil"/>
            </w:tcBorders>
          </w:tcPr>
          <w:p w14:paraId="7EFD5A88"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Cross-sectional</w:t>
            </w:r>
          </w:p>
        </w:tc>
        <w:tc>
          <w:tcPr>
            <w:tcW w:w="1468" w:type="dxa"/>
            <w:tcBorders>
              <w:top w:val="nil"/>
              <w:left w:val="nil"/>
              <w:bottom w:val="nil"/>
              <w:right w:val="nil"/>
            </w:tcBorders>
          </w:tcPr>
          <w:p w14:paraId="588719C0" w14:textId="5610CC2B"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756/289</w:t>
            </w:r>
          </w:p>
        </w:tc>
        <w:tc>
          <w:tcPr>
            <w:tcW w:w="1175" w:type="dxa"/>
            <w:tcBorders>
              <w:top w:val="nil"/>
              <w:left w:val="nil"/>
              <w:bottom w:val="nil"/>
              <w:right w:val="nil"/>
            </w:tcBorders>
          </w:tcPr>
          <w:p w14:paraId="51F3CED0" w14:textId="58F5B452" w:rsidR="007D3937" w:rsidRPr="00C25293" w:rsidRDefault="007D3937" w:rsidP="007A7F6F">
            <w:pPr>
              <w:bidi w:val="0"/>
              <w:rPr>
                <w:rFonts w:asciiTheme="majorBidi" w:hAnsiTheme="majorBidi" w:cstheme="majorBidi"/>
                <w:sz w:val="16"/>
                <w:szCs w:val="16"/>
                <w:lang w:bidi="fa-IR"/>
              </w:rPr>
            </w:pPr>
            <w:r w:rsidRPr="00C25293">
              <w:rPr>
                <w:rFonts w:asciiTheme="majorBidi" w:hAnsiTheme="majorBidi" w:cstheme="majorBidi"/>
                <w:sz w:val="16"/>
                <w:szCs w:val="16"/>
                <w:lang w:bidi="fa-IR"/>
              </w:rPr>
              <w:t>M/F</w:t>
            </w:r>
            <w:r w:rsidR="00973895" w:rsidRPr="00C25293">
              <w:rPr>
                <w:rFonts w:asciiTheme="majorBidi" w:hAnsiTheme="majorBidi" w:cstheme="majorBidi"/>
                <w:sz w:val="16"/>
                <w:szCs w:val="16"/>
                <w:lang w:bidi="fa-IR"/>
              </w:rPr>
              <w:t>/</w:t>
            </w:r>
          </w:p>
          <w:p w14:paraId="1151E944" w14:textId="05FBB2BA" w:rsidR="007D3937" w:rsidRPr="00C25293" w:rsidRDefault="00973895"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w:t>
            </w:r>
            <w:r w:rsidR="007D3937" w:rsidRPr="00C25293">
              <w:rPr>
                <w:rFonts w:asciiTheme="majorBidi" w:hAnsiTheme="majorBidi" w:cstheme="majorBidi"/>
                <w:color w:val="0D0D0D" w:themeColor="text1" w:themeTint="F2"/>
                <w:sz w:val="16"/>
                <w:szCs w:val="16"/>
              </w:rPr>
              <w:t>45</w:t>
            </w:r>
            <w:r w:rsidRPr="00C25293">
              <w:rPr>
                <w:rFonts w:asciiTheme="majorBidi" w:hAnsiTheme="majorBidi" w:cstheme="majorBidi"/>
                <w:color w:val="0D0D0D" w:themeColor="text1" w:themeTint="F2"/>
                <w:sz w:val="16"/>
                <w:szCs w:val="16"/>
              </w:rPr>
              <w:t>%</w:t>
            </w:r>
            <w:r w:rsidR="007D3937" w:rsidRPr="00C25293">
              <w:rPr>
                <w:rFonts w:asciiTheme="majorBidi" w:hAnsiTheme="majorBidi" w:cstheme="majorBidi"/>
                <w:color w:val="0D0D0D" w:themeColor="text1" w:themeTint="F2"/>
                <w:sz w:val="16"/>
                <w:szCs w:val="16"/>
              </w:rPr>
              <w:t xml:space="preserve"> </w:t>
            </w:r>
            <w:r w:rsidRPr="00C25293">
              <w:rPr>
                <w:rFonts w:asciiTheme="majorBidi" w:hAnsiTheme="majorBidi" w:cstheme="majorBidi"/>
                <w:color w:val="0D0D0D" w:themeColor="text1" w:themeTint="F2"/>
                <w:sz w:val="16"/>
                <w:szCs w:val="16"/>
              </w:rPr>
              <w:t>F)</w:t>
            </w:r>
          </w:p>
        </w:tc>
        <w:tc>
          <w:tcPr>
            <w:tcW w:w="879" w:type="dxa"/>
            <w:tcBorders>
              <w:top w:val="nil"/>
              <w:left w:val="nil"/>
              <w:bottom w:val="nil"/>
              <w:right w:val="nil"/>
            </w:tcBorders>
          </w:tcPr>
          <w:p w14:paraId="0E6E982B"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73.8±6.4</w:t>
            </w:r>
          </w:p>
        </w:tc>
        <w:tc>
          <w:tcPr>
            <w:tcW w:w="1911" w:type="dxa"/>
            <w:tcBorders>
              <w:top w:val="nil"/>
              <w:left w:val="nil"/>
              <w:bottom w:val="nil"/>
              <w:right w:val="nil"/>
            </w:tcBorders>
          </w:tcPr>
          <w:p w14:paraId="43D06185" w14:textId="77777777" w:rsidR="007D3937" w:rsidRPr="00C25293" w:rsidRDefault="007D3937" w:rsidP="007A7F6F">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sz w:val="16"/>
                <w:szCs w:val="16"/>
                <w:lang w:bidi="fa-IR"/>
              </w:rPr>
              <w:t>&lt;20</w:t>
            </w:r>
          </w:p>
          <w:p w14:paraId="2C39F220" w14:textId="77777777" w:rsidR="007D3937" w:rsidRPr="00C25293" w:rsidRDefault="007D3937" w:rsidP="007A7F6F">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sz w:val="16"/>
                <w:szCs w:val="16"/>
                <w:lang w:bidi="fa-IR"/>
              </w:rPr>
              <w:t>≥20</w:t>
            </w:r>
          </w:p>
        </w:tc>
        <w:tc>
          <w:tcPr>
            <w:tcW w:w="1616" w:type="dxa"/>
            <w:tcBorders>
              <w:top w:val="nil"/>
              <w:left w:val="nil"/>
              <w:bottom w:val="nil"/>
              <w:right w:val="nil"/>
            </w:tcBorders>
          </w:tcPr>
          <w:p w14:paraId="460A820D"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1.06 (0.88; 1.26)</w:t>
            </w:r>
          </w:p>
          <w:p w14:paraId="1C2C110E" w14:textId="77777777" w:rsidR="007D3937" w:rsidRPr="00C25293" w:rsidRDefault="00AD3855"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sz w:val="16"/>
                <w:szCs w:val="16"/>
              </w:rPr>
              <w:t>1.00 (Ref)</w:t>
            </w:r>
          </w:p>
        </w:tc>
        <w:tc>
          <w:tcPr>
            <w:tcW w:w="1027" w:type="dxa"/>
            <w:tcBorders>
              <w:top w:val="nil"/>
              <w:left w:val="nil"/>
              <w:bottom w:val="nil"/>
              <w:right w:val="nil"/>
            </w:tcBorders>
          </w:tcPr>
          <w:p w14:paraId="619701E1"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serum</w:t>
            </w:r>
          </w:p>
        </w:tc>
        <w:tc>
          <w:tcPr>
            <w:tcW w:w="1321" w:type="dxa"/>
            <w:tcBorders>
              <w:top w:val="nil"/>
              <w:left w:val="nil"/>
              <w:bottom w:val="nil"/>
              <w:right w:val="nil"/>
            </w:tcBorders>
          </w:tcPr>
          <w:p w14:paraId="792FECA0"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LC-MS/MS</w:t>
            </w:r>
          </w:p>
        </w:tc>
        <w:tc>
          <w:tcPr>
            <w:tcW w:w="1468" w:type="dxa"/>
            <w:tcBorders>
              <w:top w:val="nil"/>
              <w:left w:val="nil"/>
              <w:bottom w:val="nil"/>
              <w:right w:val="nil"/>
            </w:tcBorders>
          </w:tcPr>
          <w:p w14:paraId="3E95B8CD"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color w:val="0D0D0D" w:themeColor="text1" w:themeTint="F2"/>
                <w:sz w:val="16"/>
                <w:szCs w:val="16"/>
              </w:rPr>
              <w:t>Fried criteria</w:t>
            </w:r>
          </w:p>
        </w:tc>
        <w:tc>
          <w:tcPr>
            <w:tcW w:w="1085" w:type="dxa"/>
            <w:tcBorders>
              <w:top w:val="nil"/>
              <w:left w:val="nil"/>
              <w:bottom w:val="nil"/>
              <w:right w:val="nil"/>
            </w:tcBorders>
          </w:tcPr>
          <w:p w14:paraId="10DF61EC" w14:textId="066948CD" w:rsidR="007D3937" w:rsidRPr="002C597E" w:rsidRDefault="0080306B" w:rsidP="00AD3855">
            <w:pPr>
              <w:bidi w:val="0"/>
              <w:rPr>
                <w:rFonts w:asciiTheme="majorBidi" w:hAnsiTheme="majorBidi" w:cstheme="majorBidi"/>
                <w:color w:val="0D0D0D" w:themeColor="text1" w:themeTint="F2"/>
                <w:sz w:val="16"/>
                <w:szCs w:val="16"/>
                <w:highlight w:val="yellow"/>
              </w:rPr>
            </w:pPr>
            <w:r w:rsidRPr="002C597E">
              <w:rPr>
                <w:rFonts w:asciiTheme="majorBidi" w:hAnsiTheme="majorBidi" w:cstheme="majorBidi"/>
                <w:color w:val="0D0D0D" w:themeColor="text1" w:themeTint="F2"/>
                <w:sz w:val="16"/>
                <w:szCs w:val="16"/>
                <w:highlight w:val="yellow"/>
              </w:rPr>
              <w:t>1-4</w:t>
            </w:r>
            <w:r w:rsidR="00EE5C21" w:rsidRPr="002C597E">
              <w:rPr>
                <w:rFonts w:asciiTheme="majorBidi" w:hAnsiTheme="majorBidi" w:cstheme="majorBidi"/>
                <w:color w:val="0D0D0D" w:themeColor="text1" w:themeTint="F2"/>
                <w:sz w:val="16"/>
                <w:szCs w:val="16"/>
                <w:highlight w:val="yellow"/>
              </w:rPr>
              <w:t xml:space="preserve">, </w:t>
            </w:r>
            <w:r w:rsidRPr="002C597E">
              <w:rPr>
                <w:rFonts w:asciiTheme="majorBidi" w:hAnsiTheme="majorBidi" w:cstheme="majorBidi"/>
                <w:color w:val="0D0D0D" w:themeColor="text1" w:themeTint="F2"/>
                <w:sz w:val="16"/>
                <w:szCs w:val="16"/>
                <w:highlight w:val="yellow"/>
              </w:rPr>
              <w:t>7,</w:t>
            </w:r>
            <w:r w:rsidR="00EE5C21" w:rsidRPr="002C597E">
              <w:rPr>
                <w:rFonts w:asciiTheme="majorBidi" w:hAnsiTheme="majorBidi" w:cstheme="majorBidi"/>
                <w:color w:val="0D0D0D" w:themeColor="text1" w:themeTint="F2"/>
                <w:sz w:val="16"/>
                <w:szCs w:val="16"/>
                <w:highlight w:val="yellow"/>
              </w:rPr>
              <w:t xml:space="preserve"> </w:t>
            </w:r>
            <w:r w:rsidRPr="002C597E">
              <w:rPr>
                <w:rFonts w:asciiTheme="majorBidi" w:hAnsiTheme="majorBidi" w:cstheme="majorBidi"/>
                <w:color w:val="0D0D0D" w:themeColor="text1" w:themeTint="F2"/>
                <w:sz w:val="16"/>
                <w:szCs w:val="16"/>
                <w:highlight w:val="yellow"/>
              </w:rPr>
              <w:t>8</w:t>
            </w:r>
            <w:r w:rsidR="00EE5C21" w:rsidRPr="002C597E">
              <w:rPr>
                <w:rFonts w:asciiTheme="majorBidi" w:hAnsiTheme="majorBidi" w:cstheme="majorBidi"/>
                <w:color w:val="0D0D0D" w:themeColor="text1" w:themeTint="F2"/>
                <w:sz w:val="16"/>
                <w:szCs w:val="16"/>
                <w:highlight w:val="yellow"/>
              </w:rPr>
              <w:t>, 18,</w:t>
            </w:r>
            <w:r w:rsidR="007D3937" w:rsidRPr="002C597E">
              <w:rPr>
                <w:rFonts w:asciiTheme="majorBidi" w:hAnsiTheme="majorBidi" w:cstheme="majorBidi"/>
                <w:color w:val="0D0D0D" w:themeColor="text1" w:themeTint="F2"/>
                <w:sz w:val="16"/>
                <w:szCs w:val="16"/>
                <w:highlight w:val="yellow"/>
              </w:rPr>
              <w:t xml:space="preserve"> </w:t>
            </w:r>
            <w:r w:rsidR="00EE5C21" w:rsidRPr="002C597E">
              <w:rPr>
                <w:rFonts w:asciiTheme="majorBidi" w:hAnsiTheme="majorBidi" w:cstheme="majorBidi"/>
                <w:color w:val="0D0D0D" w:themeColor="text1" w:themeTint="F2"/>
                <w:sz w:val="16"/>
                <w:szCs w:val="16"/>
                <w:highlight w:val="yellow"/>
              </w:rPr>
              <w:t>38, 52</w:t>
            </w:r>
          </w:p>
        </w:tc>
      </w:tr>
      <w:tr w:rsidR="002C597E" w:rsidRPr="002C597E" w14:paraId="760D0124" w14:textId="77777777" w:rsidTr="002C597E">
        <w:trPr>
          <w:trHeight w:val="629"/>
        </w:trPr>
        <w:tc>
          <w:tcPr>
            <w:tcW w:w="993" w:type="dxa"/>
            <w:tcBorders>
              <w:top w:val="nil"/>
              <w:left w:val="nil"/>
              <w:bottom w:val="nil"/>
              <w:right w:val="nil"/>
            </w:tcBorders>
          </w:tcPr>
          <w:p w14:paraId="299DC1EF"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Sousa-Santos et al.</w:t>
            </w:r>
          </w:p>
          <w:p w14:paraId="2425B874"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 xml:space="preserve">2018 </w:t>
            </w:r>
          </w:p>
        </w:tc>
        <w:tc>
          <w:tcPr>
            <w:tcW w:w="1616" w:type="dxa"/>
            <w:tcBorders>
              <w:top w:val="nil"/>
              <w:left w:val="nil"/>
              <w:bottom w:val="nil"/>
              <w:right w:val="nil"/>
            </w:tcBorders>
          </w:tcPr>
          <w:p w14:paraId="562210AF" w14:textId="620512FD"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Portugal</w:t>
            </w:r>
            <w:r w:rsidR="00246431">
              <w:rPr>
                <w:rFonts w:asciiTheme="majorBidi" w:hAnsiTheme="majorBidi" w:cstheme="majorBidi"/>
                <w:sz w:val="16"/>
                <w:szCs w:val="16"/>
                <w:lang w:bidi="fa-IR"/>
              </w:rPr>
              <w:t xml:space="preserve">/ </w:t>
            </w:r>
            <w:r w:rsidR="00246431" w:rsidRPr="00246431">
              <w:rPr>
                <w:rFonts w:asciiTheme="majorBidi" w:hAnsiTheme="majorBidi" w:cstheme="majorBidi"/>
                <w:sz w:val="16"/>
                <w:szCs w:val="16"/>
                <w:highlight w:val="yellow"/>
                <w:lang w:bidi="fa-IR"/>
              </w:rPr>
              <w:t>Europe</w:t>
            </w:r>
          </w:p>
        </w:tc>
        <w:tc>
          <w:tcPr>
            <w:tcW w:w="1911" w:type="dxa"/>
            <w:tcBorders>
              <w:top w:val="nil"/>
              <w:left w:val="nil"/>
              <w:bottom w:val="nil"/>
              <w:right w:val="nil"/>
            </w:tcBorders>
          </w:tcPr>
          <w:p w14:paraId="73E6DB8B"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Cross-sectional (Nutrition up 65 stand)</w:t>
            </w:r>
          </w:p>
        </w:tc>
        <w:tc>
          <w:tcPr>
            <w:tcW w:w="1468" w:type="dxa"/>
            <w:tcBorders>
              <w:top w:val="nil"/>
              <w:left w:val="nil"/>
              <w:bottom w:val="nil"/>
              <w:right w:val="nil"/>
            </w:tcBorders>
          </w:tcPr>
          <w:p w14:paraId="7A8158C1" w14:textId="7893F429"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1447/785</w:t>
            </w:r>
          </w:p>
          <w:p w14:paraId="4F36EEA8"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Q1:360/195</w:t>
            </w:r>
          </w:p>
          <w:p w14:paraId="096E7754"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Q2:364/198</w:t>
            </w:r>
          </w:p>
          <w:p w14:paraId="6DE49240"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Q3:361/205</w:t>
            </w:r>
          </w:p>
          <w:p w14:paraId="74CB9F0D"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Q4:362/187</w:t>
            </w:r>
          </w:p>
        </w:tc>
        <w:tc>
          <w:tcPr>
            <w:tcW w:w="1175" w:type="dxa"/>
            <w:tcBorders>
              <w:top w:val="nil"/>
              <w:left w:val="nil"/>
              <w:bottom w:val="nil"/>
              <w:right w:val="nil"/>
            </w:tcBorders>
          </w:tcPr>
          <w:p w14:paraId="42A1B507" w14:textId="240436E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M/F</w:t>
            </w:r>
            <w:r w:rsidR="00973895" w:rsidRPr="00C25293">
              <w:rPr>
                <w:rFonts w:asciiTheme="majorBidi" w:hAnsiTheme="majorBidi" w:cstheme="majorBidi"/>
                <w:color w:val="0D0D0D" w:themeColor="text1" w:themeTint="F2"/>
                <w:sz w:val="16"/>
                <w:szCs w:val="16"/>
              </w:rPr>
              <w:t>/</w:t>
            </w:r>
          </w:p>
          <w:p w14:paraId="50AA9865" w14:textId="041A7FB3" w:rsidR="007D3937" w:rsidRPr="00C25293" w:rsidRDefault="00973895"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w:t>
            </w:r>
            <w:r w:rsidR="007D3937" w:rsidRPr="00C25293">
              <w:rPr>
                <w:rFonts w:asciiTheme="majorBidi" w:hAnsiTheme="majorBidi" w:cstheme="majorBidi"/>
                <w:color w:val="0D0D0D" w:themeColor="text1" w:themeTint="F2"/>
                <w:sz w:val="16"/>
                <w:szCs w:val="16"/>
              </w:rPr>
              <w:t>57.8</w:t>
            </w:r>
            <w:r w:rsidRPr="00C25293">
              <w:rPr>
                <w:rFonts w:asciiTheme="majorBidi" w:hAnsiTheme="majorBidi" w:cstheme="majorBidi"/>
                <w:color w:val="0D0D0D" w:themeColor="text1" w:themeTint="F2"/>
                <w:sz w:val="16"/>
                <w:szCs w:val="16"/>
              </w:rPr>
              <w:t>% F)</w:t>
            </w:r>
          </w:p>
        </w:tc>
        <w:tc>
          <w:tcPr>
            <w:tcW w:w="879" w:type="dxa"/>
            <w:tcBorders>
              <w:top w:val="nil"/>
              <w:left w:val="nil"/>
              <w:bottom w:val="nil"/>
              <w:right w:val="nil"/>
            </w:tcBorders>
          </w:tcPr>
          <w:p w14:paraId="3BA54624"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74</w:t>
            </w:r>
          </w:p>
        </w:tc>
        <w:tc>
          <w:tcPr>
            <w:tcW w:w="1911" w:type="dxa"/>
            <w:tcBorders>
              <w:top w:val="nil"/>
              <w:left w:val="nil"/>
              <w:bottom w:val="nil"/>
              <w:right w:val="nil"/>
            </w:tcBorders>
          </w:tcPr>
          <w:p w14:paraId="366E67F6" w14:textId="77777777" w:rsidR="007D3937" w:rsidRPr="00C25293" w:rsidRDefault="007D3937" w:rsidP="007A7F6F">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sz w:val="16"/>
                <w:szCs w:val="16"/>
                <w:lang w:bidi="fa-IR"/>
              </w:rPr>
              <w:t>Q1(3.0–8.7)</w:t>
            </w:r>
          </w:p>
          <w:p w14:paraId="449721E8" w14:textId="77777777" w:rsidR="007D3937" w:rsidRPr="00C25293" w:rsidRDefault="007D3937" w:rsidP="007A7F6F">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sz w:val="16"/>
                <w:szCs w:val="16"/>
                <w:lang w:bidi="fa-IR"/>
              </w:rPr>
              <w:t>Q2(8.8-14.3)</w:t>
            </w:r>
          </w:p>
          <w:p w14:paraId="74FC9D71" w14:textId="77777777" w:rsidR="007D3937" w:rsidRPr="00C25293" w:rsidRDefault="007D3937" w:rsidP="007A7F6F">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sz w:val="16"/>
                <w:szCs w:val="16"/>
                <w:lang w:bidi="fa-IR"/>
              </w:rPr>
              <w:t>Q3(14.4-22.9)</w:t>
            </w:r>
          </w:p>
          <w:p w14:paraId="1A30E1ED" w14:textId="77777777" w:rsidR="007D3937" w:rsidRPr="00C25293" w:rsidRDefault="007D3937" w:rsidP="007A7F6F">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sz w:val="16"/>
                <w:szCs w:val="16"/>
                <w:lang w:bidi="fa-IR"/>
              </w:rPr>
              <w:t>Q4(≥23)</w:t>
            </w:r>
          </w:p>
        </w:tc>
        <w:tc>
          <w:tcPr>
            <w:tcW w:w="1616" w:type="dxa"/>
            <w:tcBorders>
              <w:top w:val="nil"/>
              <w:left w:val="nil"/>
              <w:bottom w:val="nil"/>
              <w:right w:val="nil"/>
            </w:tcBorders>
          </w:tcPr>
          <w:p w14:paraId="2D1A115D"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2.65 (1.63–4.33)</w:t>
            </w:r>
          </w:p>
          <w:p w14:paraId="5C18EA56"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1.18 (0.81–1.72)</w:t>
            </w:r>
          </w:p>
          <w:p w14:paraId="42E2BF02"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1.12 (0.79–1.60)</w:t>
            </w:r>
          </w:p>
          <w:p w14:paraId="0FC67A6F" w14:textId="77777777" w:rsidR="007D3937" w:rsidRPr="00C25293" w:rsidRDefault="00AD3855"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sz w:val="16"/>
                <w:szCs w:val="16"/>
              </w:rPr>
              <w:t>1.00 (Ref)</w:t>
            </w:r>
          </w:p>
        </w:tc>
        <w:tc>
          <w:tcPr>
            <w:tcW w:w="1027" w:type="dxa"/>
            <w:tcBorders>
              <w:top w:val="nil"/>
              <w:left w:val="nil"/>
              <w:bottom w:val="nil"/>
              <w:right w:val="nil"/>
            </w:tcBorders>
          </w:tcPr>
          <w:p w14:paraId="4C53AB79"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Plasma</w:t>
            </w:r>
          </w:p>
        </w:tc>
        <w:tc>
          <w:tcPr>
            <w:tcW w:w="1321" w:type="dxa"/>
            <w:tcBorders>
              <w:top w:val="nil"/>
              <w:left w:val="nil"/>
              <w:bottom w:val="nil"/>
              <w:right w:val="nil"/>
            </w:tcBorders>
          </w:tcPr>
          <w:p w14:paraId="40E60ECF"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 xml:space="preserve">ECL </w:t>
            </w:r>
          </w:p>
        </w:tc>
        <w:tc>
          <w:tcPr>
            <w:tcW w:w="1468" w:type="dxa"/>
            <w:tcBorders>
              <w:top w:val="nil"/>
              <w:left w:val="nil"/>
              <w:bottom w:val="nil"/>
              <w:right w:val="nil"/>
            </w:tcBorders>
          </w:tcPr>
          <w:p w14:paraId="54D2EA79"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sz w:val="16"/>
                <w:szCs w:val="16"/>
              </w:rPr>
              <w:t xml:space="preserve">Fried </w:t>
            </w:r>
            <w:r w:rsidRPr="00C25293">
              <w:rPr>
                <w:rFonts w:asciiTheme="majorBidi" w:hAnsiTheme="majorBidi" w:cstheme="majorBidi"/>
                <w:color w:val="0D0D0D" w:themeColor="text1" w:themeTint="F2"/>
                <w:sz w:val="16"/>
                <w:szCs w:val="16"/>
              </w:rPr>
              <w:t>criteria</w:t>
            </w:r>
          </w:p>
        </w:tc>
        <w:tc>
          <w:tcPr>
            <w:tcW w:w="1085" w:type="dxa"/>
            <w:tcBorders>
              <w:top w:val="nil"/>
              <w:left w:val="nil"/>
              <w:bottom w:val="nil"/>
              <w:right w:val="nil"/>
            </w:tcBorders>
          </w:tcPr>
          <w:p w14:paraId="3A7A048A" w14:textId="6B637B35" w:rsidR="007D3937" w:rsidRPr="002C597E" w:rsidRDefault="0080306B" w:rsidP="007A7F6F">
            <w:pPr>
              <w:bidi w:val="0"/>
              <w:rPr>
                <w:rFonts w:asciiTheme="majorBidi" w:hAnsiTheme="majorBidi" w:cstheme="majorBidi"/>
                <w:color w:val="0D0D0D" w:themeColor="text1" w:themeTint="F2"/>
                <w:sz w:val="16"/>
                <w:szCs w:val="16"/>
                <w:highlight w:val="yellow"/>
              </w:rPr>
            </w:pPr>
            <w:r w:rsidRPr="002C597E">
              <w:rPr>
                <w:rFonts w:asciiTheme="majorBidi" w:hAnsiTheme="majorBidi" w:cstheme="majorBidi"/>
                <w:color w:val="0D0D0D" w:themeColor="text1" w:themeTint="F2"/>
                <w:sz w:val="16"/>
                <w:szCs w:val="16"/>
                <w:highlight w:val="yellow"/>
              </w:rPr>
              <w:t>1-</w:t>
            </w:r>
            <w:r w:rsidR="00EE5C21" w:rsidRPr="002C597E">
              <w:rPr>
                <w:rFonts w:asciiTheme="majorBidi" w:hAnsiTheme="majorBidi" w:cstheme="majorBidi"/>
                <w:color w:val="0D0D0D" w:themeColor="text1" w:themeTint="F2"/>
                <w:sz w:val="16"/>
                <w:szCs w:val="16"/>
                <w:highlight w:val="yellow"/>
              </w:rPr>
              <w:t>4</w:t>
            </w:r>
            <w:r w:rsidR="007D3937" w:rsidRPr="002C597E">
              <w:rPr>
                <w:rFonts w:asciiTheme="majorBidi" w:hAnsiTheme="majorBidi" w:cstheme="majorBidi"/>
                <w:color w:val="0D0D0D" w:themeColor="text1" w:themeTint="F2"/>
                <w:sz w:val="16"/>
                <w:szCs w:val="16"/>
                <w:highlight w:val="yellow"/>
              </w:rPr>
              <w:t xml:space="preserve">, </w:t>
            </w:r>
            <w:r w:rsidRPr="002C597E">
              <w:rPr>
                <w:rFonts w:asciiTheme="majorBidi" w:hAnsiTheme="majorBidi" w:cstheme="majorBidi"/>
                <w:color w:val="0D0D0D" w:themeColor="text1" w:themeTint="F2"/>
                <w:sz w:val="16"/>
                <w:szCs w:val="16"/>
                <w:highlight w:val="yellow"/>
              </w:rPr>
              <w:t>6-8</w:t>
            </w:r>
            <w:r w:rsidR="00EE5C21" w:rsidRPr="002C597E">
              <w:rPr>
                <w:rFonts w:asciiTheme="majorBidi" w:hAnsiTheme="majorBidi" w:cstheme="majorBidi"/>
                <w:color w:val="0D0D0D" w:themeColor="text1" w:themeTint="F2"/>
                <w:sz w:val="16"/>
                <w:szCs w:val="16"/>
                <w:highlight w:val="yellow"/>
              </w:rPr>
              <w:t>, 21,</w:t>
            </w:r>
            <w:r w:rsidR="007D3937" w:rsidRPr="002C597E">
              <w:rPr>
                <w:rFonts w:asciiTheme="majorBidi" w:hAnsiTheme="majorBidi" w:cstheme="majorBidi"/>
                <w:color w:val="0D0D0D" w:themeColor="text1" w:themeTint="F2"/>
                <w:sz w:val="16"/>
                <w:szCs w:val="16"/>
                <w:highlight w:val="yellow"/>
              </w:rPr>
              <w:t xml:space="preserve"> </w:t>
            </w:r>
            <w:r w:rsidR="00EE5C21" w:rsidRPr="002C597E">
              <w:rPr>
                <w:rFonts w:asciiTheme="majorBidi" w:hAnsiTheme="majorBidi" w:cstheme="majorBidi"/>
                <w:color w:val="0D0D0D" w:themeColor="text1" w:themeTint="F2"/>
                <w:sz w:val="16"/>
                <w:szCs w:val="16"/>
                <w:highlight w:val="yellow"/>
              </w:rPr>
              <w:t>49,53</w:t>
            </w:r>
            <w:r w:rsidR="007D3937" w:rsidRPr="002C597E">
              <w:rPr>
                <w:rFonts w:asciiTheme="majorBidi" w:hAnsiTheme="majorBidi" w:cstheme="majorBidi"/>
                <w:color w:val="0D0D0D" w:themeColor="text1" w:themeTint="F2"/>
                <w:sz w:val="16"/>
                <w:szCs w:val="16"/>
                <w:highlight w:val="yellow"/>
              </w:rPr>
              <w:t>,</w:t>
            </w:r>
            <w:bookmarkStart w:id="4" w:name="_Hlk175837050"/>
            <w:r w:rsidR="00EE5C21" w:rsidRPr="002C597E">
              <w:rPr>
                <w:rFonts w:asciiTheme="majorBidi" w:hAnsiTheme="majorBidi" w:cstheme="majorBidi"/>
                <w:color w:val="0D0D0D" w:themeColor="text1" w:themeTint="F2"/>
                <w:sz w:val="16"/>
                <w:szCs w:val="16"/>
                <w:highlight w:val="yellow"/>
              </w:rPr>
              <w:t xml:space="preserve"> </w:t>
            </w:r>
            <w:bookmarkEnd w:id="4"/>
          </w:p>
        </w:tc>
      </w:tr>
      <w:tr w:rsidR="002C597E" w:rsidRPr="002C597E" w14:paraId="24FB3A95" w14:textId="77777777" w:rsidTr="002C597E">
        <w:trPr>
          <w:trHeight w:val="314"/>
        </w:trPr>
        <w:tc>
          <w:tcPr>
            <w:tcW w:w="993" w:type="dxa"/>
            <w:tcBorders>
              <w:top w:val="nil"/>
              <w:left w:val="nil"/>
              <w:bottom w:val="nil"/>
              <w:right w:val="nil"/>
            </w:tcBorders>
          </w:tcPr>
          <w:p w14:paraId="6BF1A834"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Conzade et al.</w:t>
            </w:r>
          </w:p>
          <w:p w14:paraId="30CEC2E9"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2017</w:t>
            </w:r>
          </w:p>
        </w:tc>
        <w:tc>
          <w:tcPr>
            <w:tcW w:w="1616" w:type="dxa"/>
            <w:tcBorders>
              <w:top w:val="nil"/>
              <w:left w:val="nil"/>
              <w:bottom w:val="nil"/>
              <w:right w:val="nil"/>
            </w:tcBorders>
          </w:tcPr>
          <w:p w14:paraId="07182D67" w14:textId="2C15DF48"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Germany</w:t>
            </w:r>
            <w:r w:rsidR="00246431">
              <w:rPr>
                <w:rFonts w:asciiTheme="majorBidi" w:hAnsiTheme="majorBidi" w:cstheme="majorBidi"/>
                <w:sz w:val="16"/>
                <w:szCs w:val="16"/>
                <w:lang w:bidi="fa-IR"/>
              </w:rPr>
              <w:t xml:space="preserve">/ </w:t>
            </w:r>
            <w:r w:rsidR="00246431" w:rsidRPr="00246431">
              <w:rPr>
                <w:rFonts w:asciiTheme="majorBidi" w:hAnsiTheme="majorBidi" w:cstheme="majorBidi"/>
                <w:sz w:val="16"/>
                <w:szCs w:val="16"/>
                <w:highlight w:val="yellow"/>
                <w:lang w:bidi="fa-IR"/>
              </w:rPr>
              <w:t>Europe</w:t>
            </w:r>
          </w:p>
        </w:tc>
        <w:tc>
          <w:tcPr>
            <w:tcW w:w="1911" w:type="dxa"/>
            <w:tcBorders>
              <w:top w:val="nil"/>
              <w:left w:val="nil"/>
              <w:bottom w:val="nil"/>
              <w:right w:val="nil"/>
            </w:tcBorders>
          </w:tcPr>
          <w:p w14:paraId="45928A34"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Cross-sectional (KORA)</w:t>
            </w:r>
          </w:p>
        </w:tc>
        <w:tc>
          <w:tcPr>
            <w:tcW w:w="1468" w:type="dxa"/>
            <w:tcBorders>
              <w:top w:val="nil"/>
              <w:left w:val="nil"/>
              <w:bottom w:val="nil"/>
              <w:right w:val="nil"/>
            </w:tcBorders>
          </w:tcPr>
          <w:p w14:paraId="21CCD92A" w14:textId="15B8DCB6"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1079/377</w:t>
            </w:r>
          </w:p>
        </w:tc>
        <w:tc>
          <w:tcPr>
            <w:tcW w:w="1175" w:type="dxa"/>
            <w:tcBorders>
              <w:top w:val="nil"/>
              <w:left w:val="nil"/>
              <w:bottom w:val="nil"/>
              <w:right w:val="nil"/>
            </w:tcBorders>
          </w:tcPr>
          <w:p w14:paraId="4AB3E5CA" w14:textId="66B279AD" w:rsidR="007D3937" w:rsidRPr="00C25293" w:rsidRDefault="007D3937" w:rsidP="007A7F6F">
            <w:pPr>
              <w:bidi w:val="0"/>
              <w:rPr>
                <w:rFonts w:asciiTheme="majorBidi" w:hAnsiTheme="majorBidi" w:cstheme="majorBidi"/>
                <w:sz w:val="16"/>
                <w:szCs w:val="16"/>
                <w:lang w:bidi="fa-IR"/>
              </w:rPr>
            </w:pPr>
            <w:r w:rsidRPr="00C25293">
              <w:rPr>
                <w:rFonts w:asciiTheme="majorBidi" w:hAnsiTheme="majorBidi" w:cstheme="majorBidi"/>
                <w:sz w:val="16"/>
                <w:szCs w:val="16"/>
                <w:lang w:bidi="fa-IR"/>
              </w:rPr>
              <w:t>M/F</w:t>
            </w:r>
            <w:r w:rsidR="00973895" w:rsidRPr="00C25293">
              <w:rPr>
                <w:rFonts w:asciiTheme="majorBidi" w:hAnsiTheme="majorBidi" w:cstheme="majorBidi"/>
                <w:sz w:val="16"/>
                <w:szCs w:val="16"/>
                <w:lang w:bidi="fa-IR"/>
              </w:rPr>
              <w:t>/</w:t>
            </w:r>
          </w:p>
          <w:p w14:paraId="728365CC" w14:textId="67F2C43A" w:rsidR="007D3937" w:rsidRPr="00C25293" w:rsidRDefault="00973895" w:rsidP="007A7F6F">
            <w:pPr>
              <w:bidi w:val="0"/>
              <w:rPr>
                <w:rFonts w:asciiTheme="majorBidi" w:hAnsiTheme="majorBidi" w:cstheme="majorBidi"/>
                <w:sz w:val="16"/>
                <w:szCs w:val="16"/>
                <w:lang w:bidi="fa-IR"/>
              </w:rPr>
            </w:pPr>
            <w:r w:rsidRPr="00C25293">
              <w:rPr>
                <w:rFonts w:asciiTheme="majorBidi" w:hAnsiTheme="majorBidi" w:cstheme="majorBidi"/>
                <w:color w:val="0D0D0D" w:themeColor="text1" w:themeTint="F2"/>
                <w:sz w:val="16"/>
                <w:szCs w:val="16"/>
              </w:rPr>
              <w:t>(</w:t>
            </w:r>
            <w:r w:rsidR="007D3937" w:rsidRPr="00C25293">
              <w:rPr>
                <w:rFonts w:asciiTheme="majorBidi" w:hAnsiTheme="majorBidi" w:cstheme="majorBidi"/>
                <w:color w:val="0D0D0D" w:themeColor="text1" w:themeTint="F2"/>
                <w:sz w:val="16"/>
                <w:szCs w:val="16"/>
              </w:rPr>
              <w:t>50.2</w:t>
            </w:r>
            <w:r w:rsidRPr="00C25293">
              <w:rPr>
                <w:rFonts w:asciiTheme="majorBidi" w:hAnsiTheme="majorBidi" w:cstheme="majorBidi"/>
                <w:color w:val="0D0D0D" w:themeColor="text1" w:themeTint="F2"/>
                <w:sz w:val="16"/>
                <w:szCs w:val="16"/>
              </w:rPr>
              <w:t>% F)</w:t>
            </w:r>
          </w:p>
        </w:tc>
        <w:tc>
          <w:tcPr>
            <w:tcW w:w="879" w:type="dxa"/>
            <w:tcBorders>
              <w:top w:val="nil"/>
              <w:left w:val="nil"/>
              <w:bottom w:val="nil"/>
              <w:right w:val="nil"/>
            </w:tcBorders>
          </w:tcPr>
          <w:p w14:paraId="35E54722" w14:textId="18D6E7F9" w:rsidR="007D3937" w:rsidRPr="00C25293" w:rsidRDefault="00973895"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NR</w:t>
            </w:r>
          </w:p>
        </w:tc>
        <w:tc>
          <w:tcPr>
            <w:tcW w:w="1911" w:type="dxa"/>
            <w:tcBorders>
              <w:top w:val="nil"/>
              <w:left w:val="nil"/>
              <w:bottom w:val="nil"/>
              <w:right w:val="nil"/>
            </w:tcBorders>
          </w:tcPr>
          <w:p w14:paraId="37E6BF4A" w14:textId="77777777" w:rsidR="007D3937" w:rsidRPr="00C25293" w:rsidRDefault="007D3937" w:rsidP="007A7F6F">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sz w:val="16"/>
                <w:szCs w:val="16"/>
                <w:lang w:bidi="fa-IR"/>
              </w:rPr>
              <w:t>&lt;20</w:t>
            </w:r>
          </w:p>
          <w:p w14:paraId="2A454EDA" w14:textId="77777777" w:rsidR="007D3937" w:rsidRPr="00C25293" w:rsidRDefault="00AD3855" w:rsidP="007A7F6F">
            <w:pPr>
              <w:autoSpaceDE w:val="0"/>
              <w:autoSpaceDN w:val="0"/>
              <w:bidi w:val="0"/>
              <w:adjustRightInd w:val="0"/>
              <w:rPr>
                <w:rFonts w:asciiTheme="majorBidi" w:hAnsiTheme="majorBidi" w:cstheme="majorBidi"/>
                <w:sz w:val="16"/>
                <w:szCs w:val="16"/>
                <w:lang w:bidi="fa-IR"/>
              </w:rPr>
            </w:pPr>
            <w:r w:rsidRPr="00C25293">
              <w:rPr>
                <w:rFonts w:asciiTheme="majorBidi" w:hAnsiTheme="majorBidi" w:cstheme="majorBidi"/>
                <w:sz w:val="16"/>
                <w:szCs w:val="16"/>
                <w:lang w:bidi="fa-IR"/>
              </w:rPr>
              <w:t>&gt;20</w:t>
            </w:r>
          </w:p>
        </w:tc>
        <w:tc>
          <w:tcPr>
            <w:tcW w:w="1616" w:type="dxa"/>
            <w:tcBorders>
              <w:top w:val="nil"/>
              <w:left w:val="nil"/>
              <w:bottom w:val="nil"/>
              <w:right w:val="nil"/>
            </w:tcBorders>
          </w:tcPr>
          <w:p w14:paraId="3FEEDA49"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1.8 (1.3–2.5)</w:t>
            </w:r>
          </w:p>
          <w:p w14:paraId="4938FB3C" w14:textId="77777777" w:rsidR="00AD3855" w:rsidRPr="00C25293" w:rsidRDefault="00AD3855" w:rsidP="00AD3855">
            <w:pPr>
              <w:bidi w:val="0"/>
              <w:rPr>
                <w:rFonts w:asciiTheme="majorBidi" w:hAnsiTheme="majorBidi" w:cstheme="majorBidi"/>
                <w:color w:val="0D0D0D" w:themeColor="text1" w:themeTint="F2"/>
                <w:sz w:val="16"/>
                <w:szCs w:val="16"/>
              </w:rPr>
            </w:pPr>
            <w:r w:rsidRPr="00C25293">
              <w:rPr>
                <w:rFonts w:asciiTheme="majorBidi" w:hAnsiTheme="majorBidi" w:cstheme="majorBidi"/>
                <w:sz w:val="16"/>
                <w:szCs w:val="16"/>
              </w:rPr>
              <w:t>1.00 (Ref)</w:t>
            </w:r>
          </w:p>
        </w:tc>
        <w:tc>
          <w:tcPr>
            <w:tcW w:w="1027" w:type="dxa"/>
            <w:tcBorders>
              <w:top w:val="nil"/>
              <w:left w:val="nil"/>
              <w:bottom w:val="nil"/>
              <w:right w:val="nil"/>
            </w:tcBorders>
          </w:tcPr>
          <w:p w14:paraId="2A0B0909"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serum</w:t>
            </w:r>
          </w:p>
        </w:tc>
        <w:tc>
          <w:tcPr>
            <w:tcW w:w="1321" w:type="dxa"/>
            <w:tcBorders>
              <w:top w:val="nil"/>
              <w:left w:val="nil"/>
              <w:bottom w:val="nil"/>
              <w:right w:val="nil"/>
            </w:tcBorders>
          </w:tcPr>
          <w:p w14:paraId="046668C1" w14:textId="77777777" w:rsidR="007D3937" w:rsidRPr="00C25293" w:rsidRDefault="007D3937" w:rsidP="007A7F6F">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ECL</w:t>
            </w:r>
          </w:p>
        </w:tc>
        <w:tc>
          <w:tcPr>
            <w:tcW w:w="1468" w:type="dxa"/>
            <w:tcBorders>
              <w:top w:val="nil"/>
              <w:left w:val="nil"/>
              <w:bottom w:val="nil"/>
              <w:right w:val="nil"/>
            </w:tcBorders>
          </w:tcPr>
          <w:p w14:paraId="67CD565A" w14:textId="77777777" w:rsidR="007D3937" w:rsidRPr="00C25293" w:rsidRDefault="007D3937" w:rsidP="007A7F6F">
            <w:pPr>
              <w:bidi w:val="0"/>
              <w:rPr>
                <w:rFonts w:asciiTheme="majorBidi" w:hAnsiTheme="majorBidi" w:cstheme="majorBidi"/>
                <w:sz w:val="16"/>
                <w:szCs w:val="16"/>
              </w:rPr>
            </w:pPr>
            <w:r w:rsidRPr="00C25293">
              <w:rPr>
                <w:rFonts w:asciiTheme="majorBidi" w:hAnsiTheme="majorBidi" w:cstheme="majorBidi"/>
                <w:sz w:val="16"/>
                <w:szCs w:val="16"/>
              </w:rPr>
              <w:t xml:space="preserve">Fried </w:t>
            </w:r>
            <w:r w:rsidRPr="00C25293">
              <w:rPr>
                <w:rFonts w:asciiTheme="majorBidi" w:hAnsiTheme="majorBidi" w:cstheme="majorBidi"/>
                <w:color w:val="0D0D0D" w:themeColor="text1" w:themeTint="F2"/>
                <w:sz w:val="16"/>
                <w:szCs w:val="16"/>
              </w:rPr>
              <w:t>criteria</w:t>
            </w:r>
          </w:p>
        </w:tc>
        <w:tc>
          <w:tcPr>
            <w:tcW w:w="1085" w:type="dxa"/>
            <w:tcBorders>
              <w:top w:val="nil"/>
              <w:left w:val="nil"/>
              <w:bottom w:val="nil"/>
              <w:right w:val="nil"/>
            </w:tcBorders>
          </w:tcPr>
          <w:p w14:paraId="4B76BB46" w14:textId="2775D1B4" w:rsidR="007D3937" w:rsidRPr="002C597E" w:rsidRDefault="001B0018" w:rsidP="007A7F6F">
            <w:pPr>
              <w:bidi w:val="0"/>
              <w:rPr>
                <w:rFonts w:asciiTheme="majorBidi" w:hAnsiTheme="majorBidi" w:cstheme="majorBidi"/>
                <w:color w:val="0D0D0D" w:themeColor="text1" w:themeTint="F2"/>
                <w:sz w:val="16"/>
                <w:szCs w:val="16"/>
                <w:highlight w:val="yellow"/>
              </w:rPr>
            </w:pPr>
            <w:r w:rsidRPr="002C597E">
              <w:rPr>
                <w:rFonts w:asciiTheme="majorBidi" w:hAnsiTheme="majorBidi" w:cstheme="majorBidi"/>
                <w:color w:val="0D0D0D" w:themeColor="text1" w:themeTint="F2"/>
                <w:sz w:val="16"/>
                <w:szCs w:val="16"/>
                <w:highlight w:val="yellow"/>
              </w:rPr>
              <w:t>1-4</w:t>
            </w:r>
            <w:r w:rsidR="007D3937" w:rsidRPr="002C597E">
              <w:rPr>
                <w:rFonts w:asciiTheme="majorBidi" w:hAnsiTheme="majorBidi" w:cstheme="majorBidi"/>
                <w:color w:val="0D0D0D" w:themeColor="text1" w:themeTint="F2"/>
                <w:sz w:val="16"/>
                <w:szCs w:val="16"/>
                <w:highlight w:val="yellow"/>
              </w:rPr>
              <w:t xml:space="preserve">, </w:t>
            </w:r>
            <w:r w:rsidR="0080306B" w:rsidRPr="002C597E">
              <w:rPr>
                <w:rFonts w:asciiTheme="majorBidi" w:hAnsiTheme="majorBidi" w:cstheme="majorBidi"/>
                <w:color w:val="0D0D0D" w:themeColor="text1" w:themeTint="F2"/>
                <w:sz w:val="16"/>
                <w:szCs w:val="16"/>
                <w:highlight w:val="yellow"/>
              </w:rPr>
              <w:t>7-8</w:t>
            </w:r>
            <w:r w:rsidR="007D3937" w:rsidRPr="002C597E">
              <w:rPr>
                <w:rFonts w:asciiTheme="majorBidi" w:hAnsiTheme="majorBidi" w:cstheme="majorBidi"/>
                <w:color w:val="0D0D0D" w:themeColor="text1" w:themeTint="F2"/>
                <w:sz w:val="16"/>
                <w:szCs w:val="16"/>
                <w:highlight w:val="yellow"/>
              </w:rPr>
              <w:t xml:space="preserve"> </w:t>
            </w:r>
            <w:r w:rsidR="0080306B" w:rsidRPr="002C597E">
              <w:rPr>
                <w:rFonts w:asciiTheme="majorBidi" w:hAnsiTheme="majorBidi" w:cstheme="majorBidi"/>
                <w:color w:val="0D0D0D" w:themeColor="text1" w:themeTint="F2"/>
                <w:sz w:val="16"/>
                <w:szCs w:val="16"/>
                <w:highlight w:val="yellow"/>
              </w:rPr>
              <w:t>,20</w:t>
            </w:r>
            <w:r w:rsidR="007D3937" w:rsidRPr="002C597E">
              <w:rPr>
                <w:rFonts w:asciiTheme="majorBidi" w:hAnsiTheme="majorBidi" w:cstheme="majorBidi"/>
                <w:color w:val="0D0D0D" w:themeColor="text1" w:themeTint="F2"/>
                <w:sz w:val="16"/>
                <w:szCs w:val="16"/>
                <w:highlight w:val="yellow"/>
              </w:rPr>
              <w:t xml:space="preserve">, </w:t>
            </w:r>
            <w:r w:rsidR="00EE5C21" w:rsidRPr="002C597E">
              <w:rPr>
                <w:rFonts w:asciiTheme="majorBidi" w:hAnsiTheme="majorBidi" w:cstheme="majorBidi"/>
                <w:color w:val="0D0D0D" w:themeColor="text1" w:themeTint="F2"/>
                <w:sz w:val="16"/>
                <w:szCs w:val="16"/>
                <w:highlight w:val="yellow"/>
              </w:rPr>
              <w:t xml:space="preserve">21, 54,55 </w:t>
            </w:r>
          </w:p>
        </w:tc>
      </w:tr>
      <w:tr w:rsidR="002C597E" w:rsidRPr="002C597E" w14:paraId="65EE7083" w14:textId="77777777" w:rsidTr="002C597E">
        <w:trPr>
          <w:trHeight w:val="277"/>
        </w:trPr>
        <w:tc>
          <w:tcPr>
            <w:tcW w:w="993" w:type="dxa"/>
            <w:tcBorders>
              <w:top w:val="nil"/>
              <w:left w:val="nil"/>
              <w:bottom w:val="nil"/>
              <w:right w:val="nil"/>
            </w:tcBorders>
          </w:tcPr>
          <w:p w14:paraId="55032AEA"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Kilaitė et al.</w:t>
            </w:r>
          </w:p>
          <w:p w14:paraId="7592231A"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2016</w:t>
            </w:r>
          </w:p>
          <w:p w14:paraId="0259A352" w14:textId="77777777" w:rsidR="00EB6BEB" w:rsidRPr="00C25293" w:rsidRDefault="00EB6BEB" w:rsidP="00EB6BEB">
            <w:pPr>
              <w:bidi w:val="0"/>
              <w:rPr>
                <w:rFonts w:asciiTheme="majorBidi" w:hAnsiTheme="majorBidi" w:cstheme="majorBidi"/>
                <w:color w:val="0D0D0D" w:themeColor="text1" w:themeTint="F2"/>
                <w:sz w:val="16"/>
                <w:szCs w:val="16"/>
              </w:rPr>
            </w:pPr>
          </w:p>
        </w:tc>
        <w:tc>
          <w:tcPr>
            <w:tcW w:w="1616" w:type="dxa"/>
            <w:tcBorders>
              <w:top w:val="nil"/>
              <w:left w:val="nil"/>
              <w:bottom w:val="nil"/>
              <w:right w:val="nil"/>
            </w:tcBorders>
          </w:tcPr>
          <w:p w14:paraId="43DB3277" w14:textId="5E238739"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Lithuania</w:t>
            </w:r>
            <w:r>
              <w:rPr>
                <w:rFonts w:asciiTheme="majorBidi" w:hAnsiTheme="majorBidi" w:cstheme="majorBidi"/>
                <w:sz w:val="16"/>
                <w:szCs w:val="16"/>
                <w:lang w:bidi="fa-IR"/>
              </w:rPr>
              <w:t xml:space="preserve">/ </w:t>
            </w:r>
            <w:r w:rsidRPr="00246431">
              <w:rPr>
                <w:rFonts w:asciiTheme="majorBidi" w:hAnsiTheme="majorBidi" w:cstheme="majorBidi"/>
                <w:sz w:val="16"/>
                <w:szCs w:val="16"/>
                <w:highlight w:val="yellow"/>
                <w:lang w:bidi="fa-IR"/>
              </w:rPr>
              <w:t>Europe</w:t>
            </w:r>
          </w:p>
        </w:tc>
        <w:tc>
          <w:tcPr>
            <w:tcW w:w="1911" w:type="dxa"/>
            <w:tcBorders>
              <w:top w:val="nil"/>
              <w:left w:val="nil"/>
              <w:bottom w:val="nil"/>
              <w:right w:val="nil"/>
            </w:tcBorders>
          </w:tcPr>
          <w:p w14:paraId="4B2BE97B"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Cross-sectional</w:t>
            </w:r>
          </w:p>
        </w:tc>
        <w:tc>
          <w:tcPr>
            <w:tcW w:w="1468" w:type="dxa"/>
            <w:tcBorders>
              <w:top w:val="nil"/>
              <w:left w:val="nil"/>
              <w:bottom w:val="nil"/>
              <w:right w:val="nil"/>
            </w:tcBorders>
          </w:tcPr>
          <w:p w14:paraId="6EA8F3E4" w14:textId="77777777" w:rsidR="00EB6BEB" w:rsidRPr="00C25293" w:rsidRDefault="00EB6BEB" w:rsidP="00EB6BEB">
            <w:pPr>
              <w:bidi w:val="0"/>
              <w:rPr>
                <w:rFonts w:asciiTheme="majorBidi" w:hAnsiTheme="majorBidi" w:cstheme="majorBidi"/>
                <w:color w:val="0D0D0D" w:themeColor="text1" w:themeTint="F2"/>
                <w:sz w:val="16"/>
                <w:szCs w:val="16"/>
                <w:rtl/>
                <w:lang w:bidi="fa-IR"/>
              </w:rPr>
            </w:pPr>
            <w:r w:rsidRPr="00C25293">
              <w:rPr>
                <w:rFonts w:asciiTheme="majorBidi" w:hAnsiTheme="majorBidi" w:cstheme="majorBidi"/>
                <w:color w:val="0D0D0D" w:themeColor="text1" w:themeTint="F2"/>
                <w:sz w:val="16"/>
                <w:szCs w:val="16"/>
              </w:rPr>
              <w:t>161/30</w:t>
            </w:r>
          </w:p>
        </w:tc>
        <w:tc>
          <w:tcPr>
            <w:tcW w:w="1175" w:type="dxa"/>
            <w:tcBorders>
              <w:top w:val="nil"/>
              <w:left w:val="nil"/>
              <w:bottom w:val="nil"/>
              <w:right w:val="nil"/>
            </w:tcBorders>
          </w:tcPr>
          <w:p w14:paraId="62A1545B" w14:textId="1CB7F8BA" w:rsidR="00EB6BEB" w:rsidRPr="00C25293" w:rsidRDefault="00EB6BEB" w:rsidP="00EB6BEB">
            <w:pPr>
              <w:bidi w:val="0"/>
              <w:rPr>
                <w:rFonts w:asciiTheme="majorBidi" w:hAnsiTheme="majorBidi" w:cstheme="majorBidi"/>
                <w:sz w:val="16"/>
                <w:szCs w:val="16"/>
                <w:lang w:bidi="fa-IR"/>
              </w:rPr>
            </w:pPr>
            <w:r w:rsidRPr="00C25293">
              <w:rPr>
                <w:rFonts w:asciiTheme="majorBidi" w:hAnsiTheme="majorBidi" w:cstheme="majorBidi"/>
                <w:sz w:val="16"/>
                <w:szCs w:val="16"/>
                <w:lang w:bidi="fa-IR"/>
              </w:rPr>
              <w:t>F/ (100% F)</w:t>
            </w:r>
          </w:p>
        </w:tc>
        <w:tc>
          <w:tcPr>
            <w:tcW w:w="879" w:type="dxa"/>
            <w:tcBorders>
              <w:top w:val="nil"/>
              <w:left w:val="nil"/>
              <w:bottom w:val="nil"/>
              <w:right w:val="nil"/>
            </w:tcBorders>
          </w:tcPr>
          <w:p w14:paraId="622E21DD"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72</w:t>
            </w:r>
          </w:p>
        </w:tc>
        <w:tc>
          <w:tcPr>
            <w:tcW w:w="1911" w:type="dxa"/>
            <w:tcBorders>
              <w:top w:val="nil"/>
              <w:left w:val="nil"/>
              <w:bottom w:val="nil"/>
              <w:right w:val="nil"/>
            </w:tcBorders>
          </w:tcPr>
          <w:p w14:paraId="3832D2C8" w14:textId="77777777" w:rsidR="00EB6BEB" w:rsidRDefault="00EB6BEB" w:rsidP="00EB6BEB">
            <w:pPr>
              <w:autoSpaceDE w:val="0"/>
              <w:autoSpaceDN w:val="0"/>
              <w:bidi w:val="0"/>
              <w:adjustRightInd w:val="0"/>
              <w:rPr>
                <w:rFonts w:ascii="Times New Roman" w:hAnsi="Times New Roman" w:cs="Times New Roman"/>
                <w:sz w:val="16"/>
                <w:szCs w:val="16"/>
                <w:lang w:bidi="fa-IR"/>
              </w:rPr>
            </w:pPr>
            <w:r>
              <w:rPr>
                <w:rFonts w:ascii="Times New Roman" w:hAnsi="Times New Roman" w:cs="Times New Roman"/>
                <w:sz w:val="16"/>
                <w:szCs w:val="16"/>
                <w:lang w:bidi="fa-IR"/>
              </w:rPr>
              <w:t>Low level of vitamin D</w:t>
            </w:r>
          </w:p>
          <w:p w14:paraId="1ED61053" w14:textId="10CD093E" w:rsidR="00EB6BEB" w:rsidRPr="00C25293" w:rsidRDefault="00EB6BEB" w:rsidP="00EB6BEB">
            <w:pPr>
              <w:autoSpaceDE w:val="0"/>
              <w:autoSpaceDN w:val="0"/>
              <w:bidi w:val="0"/>
              <w:adjustRightInd w:val="0"/>
              <w:rPr>
                <w:rFonts w:asciiTheme="majorBidi" w:hAnsiTheme="majorBidi" w:cstheme="majorBidi"/>
                <w:sz w:val="16"/>
                <w:szCs w:val="16"/>
                <w:lang w:bidi="fa-IR"/>
              </w:rPr>
            </w:pPr>
            <w:r>
              <w:rPr>
                <w:rFonts w:ascii="Times New Roman" w:hAnsi="Times New Roman" w:cs="Times New Roman"/>
                <w:sz w:val="16"/>
                <w:szCs w:val="16"/>
                <w:lang w:bidi="fa-IR"/>
              </w:rPr>
              <w:t>High level of vitamin D</w:t>
            </w:r>
          </w:p>
        </w:tc>
        <w:tc>
          <w:tcPr>
            <w:tcW w:w="1616" w:type="dxa"/>
            <w:tcBorders>
              <w:top w:val="nil"/>
              <w:left w:val="nil"/>
              <w:bottom w:val="nil"/>
              <w:right w:val="nil"/>
            </w:tcBorders>
          </w:tcPr>
          <w:p w14:paraId="153D0F5B"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0.98(0.92-1.04)</w:t>
            </w:r>
          </w:p>
        </w:tc>
        <w:tc>
          <w:tcPr>
            <w:tcW w:w="1027" w:type="dxa"/>
            <w:tcBorders>
              <w:top w:val="nil"/>
              <w:left w:val="nil"/>
              <w:bottom w:val="nil"/>
              <w:right w:val="nil"/>
            </w:tcBorders>
          </w:tcPr>
          <w:p w14:paraId="6282C94F"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Serum</w:t>
            </w:r>
          </w:p>
        </w:tc>
        <w:tc>
          <w:tcPr>
            <w:tcW w:w="1321" w:type="dxa"/>
            <w:tcBorders>
              <w:top w:val="nil"/>
              <w:left w:val="nil"/>
              <w:bottom w:val="nil"/>
              <w:right w:val="nil"/>
            </w:tcBorders>
          </w:tcPr>
          <w:p w14:paraId="4E71BED4" w14:textId="77777777" w:rsidR="00EB6BEB" w:rsidRPr="00C25293" w:rsidRDefault="00EB6BEB" w:rsidP="00EB6BEB">
            <w:pPr>
              <w:bidi w:val="0"/>
              <w:rPr>
                <w:rFonts w:asciiTheme="majorBidi" w:hAnsiTheme="majorBidi" w:cstheme="majorBidi"/>
                <w:color w:val="0D0D0D" w:themeColor="text1" w:themeTint="F2"/>
                <w:sz w:val="16"/>
                <w:szCs w:val="16"/>
                <w:rtl/>
                <w:cs/>
              </w:rPr>
            </w:pPr>
            <w:r w:rsidRPr="00C25293">
              <w:rPr>
                <w:rFonts w:asciiTheme="majorBidi" w:hAnsiTheme="majorBidi" w:cstheme="majorBidi"/>
                <w:color w:val="0D0D0D" w:themeColor="text1" w:themeTint="F2"/>
                <w:sz w:val="16"/>
                <w:szCs w:val="16"/>
              </w:rPr>
              <w:t>ECL</w:t>
            </w:r>
          </w:p>
        </w:tc>
        <w:tc>
          <w:tcPr>
            <w:tcW w:w="1468" w:type="dxa"/>
            <w:tcBorders>
              <w:top w:val="nil"/>
              <w:left w:val="nil"/>
              <w:bottom w:val="nil"/>
              <w:right w:val="nil"/>
            </w:tcBorders>
          </w:tcPr>
          <w:p w14:paraId="7CB2B0C4" w14:textId="77777777" w:rsidR="00EB6BEB" w:rsidRPr="00C25293" w:rsidRDefault="00EB6BEB" w:rsidP="00EB6BEB">
            <w:pPr>
              <w:bidi w:val="0"/>
              <w:rPr>
                <w:rFonts w:asciiTheme="majorBidi" w:hAnsiTheme="majorBidi" w:cstheme="majorBidi"/>
                <w:sz w:val="16"/>
                <w:szCs w:val="16"/>
              </w:rPr>
            </w:pPr>
            <w:r w:rsidRPr="00C25293">
              <w:rPr>
                <w:rFonts w:asciiTheme="majorBidi" w:hAnsiTheme="majorBidi" w:cstheme="majorBidi"/>
                <w:sz w:val="16"/>
                <w:szCs w:val="16"/>
              </w:rPr>
              <w:t xml:space="preserve">Fried </w:t>
            </w:r>
            <w:r w:rsidRPr="00C25293">
              <w:rPr>
                <w:rFonts w:asciiTheme="majorBidi" w:hAnsiTheme="majorBidi" w:cstheme="majorBidi"/>
                <w:color w:val="0D0D0D" w:themeColor="text1" w:themeTint="F2"/>
                <w:sz w:val="16"/>
                <w:szCs w:val="16"/>
              </w:rPr>
              <w:t>criteria</w:t>
            </w:r>
          </w:p>
        </w:tc>
        <w:tc>
          <w:tcPr>
            <w:tcW w:w="1085" w:type="dxa"/>
            <w:tcBorders>
              <w:top w:val="nil"/>
              <w:left w:val="nil"/>
              <w:bottom w:val="nil"/>
              <w:right w:val="nil"/>
            </w:tcBorders>
          </w:tcPr>
          <w:p w14:paraId="6E3442AA" w14:textId="43F8D3C8" w:rsidR="00EB6BEB" w:rsidRPr="002C597E" w:rsidRDefault="0080306B" w:rsidP="00EB6BEB">
            <w:pPr>
              <w:bidi w:val="0"/>
              <w:rPr>
                <w:rFonts w:asciiTheme="majorBidi" w:hAnsiTheme="majorBidi" w:cstheme="majorBidi"/>
                <w:color w:val="0D0D0D" w:themeColor="text1" w:themeTint="F2"/>
                <w:sz w:val="16"/>
                <w:szCs w:val="16"/>
                <w:highlight w:val="yellow"/>
              </w:rPr>
            </w:pPr>
            <w:r w:rsidRPr="002C597E">
              <w:rPr>
                <w:rFonts w:asciiTheme="majorBidi" w:hAnsiTheme="majorBidi" w:cstheme="majorBidi"/>
                <w:color w:val="0D0D0D" w:themeColor="text1" w:themeTint="F2"/>
                <w:sz w:val="16"/>
                <w:szCs w:val="16"/>
                <w:highlight w:val="yellow"/>
              </w:rPr>
              <w:t>1,3</w:t>
            </w:r>
            <w:r w:rsidR="00EE5C21" w:rsidRPr="002C597E">
              <w:rPr>
                <w:rFonts w:asciiTheme="majorBidi" w:hAnsiTheme="majorBidi" w:cstheme="majorBidi"/>
                <w:color w:val="0D0D0D" w:themeColor="text1" w:themeTint="F2"/>
                <w:sz w:val="16"/>
                <w:szCs w:val="16"/>
                <w:highlight w:val="yellow"/>
              </w:rPr>
              <w:t xml:space="preserve">, 50,51 </w:t>
            </w:r>
          </w:p>
        </w:tc>
      </w:tr>
      <w:tr w:rsidR="002C597E" w:rsidRPr="002C597E" w14:paraId="23D647BA" w14:textId="77777777" w:rsidTr="002C597E">
        <w:trPr>
          <w:trHeight w:val="511"/>
        </w:trPr>
        <w:tc>
          <w:tcPr>
            <w:tcW w:w="993" w:type="dxa"/>
            <w:vMerge w:val="restart"/>
            <w:tcBorders>
              <w:top w:val="nil"/>
              <w:left w:val="nil"/>
              <w:bottom w:val="nil"/>
              <w:right w:val="nil"/>
            </w:tcBorders>
          </w:tcPr>
          <w:p w14:paraId="075F3C11"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Tajar et al.</w:t>
            </w:r>
          </w:p>
          <w:p w14:paraId="6B900FEC"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2013</w:t>
            </w:r>
          </w:p>
        </w:tc>
        <w:tc>
          <w:tcPr>
            <w:tcW w:w="1616" w:type="dxa"/>
            <w:vMerge w:val="restart"/>
            <w:tcBorders>
              <w:top w:val="nil"/>
              <w:left w:val="nil"/>
              <w:bottom w:val="nil"/>
              <w:right w:val="nil"/>
            </w:tcBorders>
          </w:tcPr>
          <w:p w14:paraId="10BFAFF9"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Italy, Belgium, Poland,</w:t>
            </w:r>
          </w:p>
          <w:p w14:paraId="24CE91D7"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 xml:space="preserve">Sweden, UK, </w:t>
            </w:r>
          </w:p>
          <w:p w14:paraId="23BDA94B" w14:textId="14078D25"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Spain, Hungary and Estonia</w:t>
            </w:r>
            <w:r>
              <w:rPr>
                <w:rFonts w:asciiTheme="majorBidi" w:hAnsiTheme="majorBidi" w:cstheme="majorBidi"/>
                <w:sz w:val="16"/>
                <w:szCs w:val="16"/>
                <w:lang w:bidi="fa-IR"/>
              </w:rPr>
              <w:t xml:space="preserve">/ </w:t>
            </w:r>
            <w:r w:rsidRPr="00246431">
              <w:rPr>
                <w:rFonts w:asciiTheme="majorBidi" w:hAnsiTheme="majorBidi" w:cstheme="majorBidi"/>
                <w:sz w:val="16"/>
                <w:szCs w:val="16"/>
                <w:highlight w:val="yellow"/>
                <w:lang w:bidi="fa-IR"/>
              </w:rPr>
              <w:t>Europe</w:t>
            </w:r>
          </w:p>
        </w:tc>
        <w:tc>
          <w:tcPr>
            <w:tcW w:w="1911" w:type="dxa"/>
            <w:vMerge w:val="restart"/>
            <w:tcBorders>
              <w:top w:val="nil"/>
              <w:left w:val="nil"/>
              <w:bottom w:val="nil"/>
              <w:right w:val="nil"/>
            </w:tcBorders>
          </w:tcPr>
          <w:p w14:paraId="3E1460F6"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 xml:space="preserve">Cross-sectional </w:t>
            </w:r>
          </w:p>
          <w:p w14:paraId="2ED8987B"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 xml:space="preserve"> (EMAS)</w:t>
            </w:r>
          </w:p>
        </w:tc>
        <w:tc>
          <w:tcPr>
            <w:tcW w:w="1468" w:type="dxa"/>
            <w:vMerge w:val="restart"/>
            <w:tcBorders>
              <w:top w:val="nil"/>
              <w:left w:val="nil"/>
              <w:bottom w:val="nil"/>
              <w:right w:val="nil"/>
            </w:tcBorders>
          </w:tcPr>
          <w:p w14:paraId="465E7BBA" w14:textId="7C92D12F"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1504/552</w:t>
            </w:r>
          </w:p>
        </w:tc>
        <w:tc>
          <w:tcPr>
            <w:tcW w:w="1175" w:type="dxa"/>
            <w:vMerge w:val="restart"/>
            <w:tcBorders>
              <w:top w:val="nil"/>
              <w:left w:val="nil"/>
              <w:bottom w:val="nil"/>
              <w:right w:val="nil"/>
            </w:tcBorders>
          </w:tcPr>
          <w:p w14:paraId="31BD6EA1" w14:textId="6913A54A"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M/ (0% F)</w:t>
            </w:r>
          </w:p>
        </w:tc>
        <w:tc>
          <w:tcPr>
            <w:tcW w:w="879" w:type="dxa"/>
            <w:vMerge w:val="restart"/>
            <w:tcBorders>
              <w:top w:val="nil"/>
              <w:left w:val="nil"/>
              <w:bottom w:val="nil"/>
              <w:right w:val="nil"/>
            </w:tcBorders>
          </w:tcPr>
          <w:p w14:paraId="4B49EB15"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69.5 ± 5.7</w:t>
            </w:r>
          </w:p>
        </w:tc>
        <w:tc>
          <w:tcPr>
            <w:tcW w:w="1911" w:type="dxa"/>
            <w:tcBorders>
              <w:top w:val="nil"/>
              <w:left w:val="nil"/>
              <w:bottom w:val="nil"/>
              <w:right w:val="nil"/>
            </w:tcBorders>
          </w:tcPr>
          <w:p w14:paraId="54BB4E7B" w14:textId="7065521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Frailty index&lt;20</w:t>
            </w:r>
          </w:p>
          <w:p w14:paraId="30BE9F20" w14:textId="77777777" w:rsidR="00EB6BEB" w:rsidRPr="00C25293" w:rsidRDefault="00EB6BEB" w:rsidP="00EB6BEB">
            <w:pPr>
              <w:bidi w:val="0"/>
              <w:rPr>
                <w:rFonts w:asciiTheme="majorBidi" w:hAnsiTheme="majorBidi" w:cstheme="majorBidi"/>
                <w:color w:val="0D0D0D" w:themeColor="text1" w:themeTint="F2"/>
                <w:sz w:val="16"/>
                <w:szCs w:val="16"/>
                <w:rtl/>
                <w:cs/>
              </w:rPr>
            </w:pPr>
            <w:r w:rsidRPr="00C25293">
              <w:rPr>
                <w:rFonts w:asciiTheme="majorBidi" w:hAnsiTheme="majorBidi" w:cstheme="majorBidi"/>
                <w:color w:val="0D0D0D" w:themeColor="text1" w:themeTint="F2"/>
                <w:sz w:val="16"/>
                <w:szCs w:val="16"/>
              </w:rPr>
              <w:t>20</w:t>
            </w:r>
            <w:r w:rsidRPr="00C25293">
              <w:rPr>
                <w:rFonts w:asciiTheme="majorBidi" w:hAnsiTheme="majorBidi" w:cstheme="majorBidi" w:hint="cs"/>
                <w:color w:val="0D0D0D" w:themeColor="text1" w:themeTint="F2"/>
                <w:sz w:val="16"/>
                <w:szCs w:val="16"/>
                <w:rtl/>
                <w:cs/>
              </w:rPr>
              <w:t xml:space="preserve">- </w:t>
            </w:r>
            <w:r w:rsidRPr="00C25293">
              <w:rPr>
                <w:rFonts w:asciiTheme="majorBidi" w:hAnsiTheme="majorBidi" w:cstheme="majorBidi"/>
                <w:color w:val="0D0D0D" w:themeColor="text1" w:themeTint="F2"/>
                <w:sz w:val="16"/>
                <w:szCs w:val="16"/>
              </w:rPr>
              <w:t>&lt; 30</w:t>
            </w:r>
          </w:p>
          <w:p w14:paraId="1BEB4B52"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≥30</w:t>
            </w:r>
          </w:p>
          <w:p w14:paraId="2CB54136"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Per 1 SD decrease</w:t>
            </w:r>
          </w:p>
        </w:tc>
        <w:tc>
          <w:tcPr>
            <w:tcW w:w="1616" w:type="dxa"/>
            <w:tcBorders>
              <w:top w:val="nil"/>
              <w:left w:val="nil"/>
              <w:bottom w:val="nil"/>
              <w:right w:val="nil"/>
            </w:tcBorders>
          </w:tcPr>
          <w:p w14:paraId="76825F0C"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1.69 (1.16–2.45)</w:t>
            </w:r>
          </w:p>
          <w:p w14:paraId="02853651"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1.29 (0.89–1.88)</w:t>
            </w:r>
          </w:p>
          <w:p w14:paraId="4B8164B7" w14:textId="77777777" w:rsidR="00EB6BEB" w:rsidRPr="00C25293" w:rsidRDefault="00EB6BEB" w:rsidP="00EB6BEB">
            <w:pPr>
              <w:bidi w:val="0"/>
              <w:rPr>
                <w:rFonts w:asciiTheme="majorBidi" w:hAnsiTheme="majorBidi" w:cstheme="majorBidi"/>
                <w:color w:val="0D0D0D" w:themeColor="text1" w:themeTint="F2"/>
                <w:sz w:val="16"/>
                <w:szCs w:val="16"/>
                <w:cs/>
              </w:rPr>
            </w:pPr>
            <w:r w:rsidRPr="00C25293">
              <w:rPr>
                <w:rFonts w:asciiTheme="majorBidi" w:hAnsiTheme="majorBidi" w:cstheme="majorBidi"/>
                <w:sz w:val="16"/>
                <w:szCs w:val="16"/>
              </w:rPr>
              <w:t>1.00 (Ref)</w:t>
            </w:r>
            <w:r w:rsidRPr="00C25293">
              <w:rPr>
                <w:rFonts w:asciiTheme="majorBidi" w:hAnsiTheme="majorBidi" w:cstheme="majorBidi"/>
                <w:color w:val="0D0D0D" w:themeColor="text1" w:themeTint="F2"/>
                <w:sz w:val="16"/>
                <w:szCs w:val="16"/>
              </w:rPr>
              <w:t>1.47 (1.10, 1.95)</w:t>
            </w:r>
          </w:p>
        </w:tc>
        <w:tc>
          <w:tcPr>
            <w:tcW w:w="1027" w:type="dxa"/>
            <w:vMerge w:val="restart"/>
            <w:tcBorders>
              <w:top w:val="nil"/>
              <w:left w:val="nil"/>
              <w:bottom w:val="nil"/>
              <w:right w:val="nil"/>
            </w:tcBorders>
          </w:tcPr>
          <w:p w14:paraId="3E01AF87"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Serum</w:t>
            </w:r>
          </w:p>
        </w:tc>
        <w:tc>
          <w:tcPr>
            <w:tcW w:w="1321" w:type="dxa"/>
            <w:vMerge w:val="restart"/>
            <w:tcBorders>
              <w:top w:val="nil"/>
              <w:left w:val="nil"/>
              <w:bottom w:val="nil"/>
              <w:right w:val="nil"/>
            </w:tcBorders>
          </w:tcPr>
          <w:p w14:paraId="61B79FDD"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RIA</w:t>
            </w:r>
          </w:p>
          <w:p w14:paraId="5C7CC89C"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(DiaSorin)</w:t>
            </w:r>
          </w:p>
        </w:tc>
        <w:tc>
          <w:tcPr>
            <w:tcW w:w="1468" w:type="dxa"/>
            <w:vMerge w:val="restart"/>
            <w:tcBorders>
              <w:top w:val="nil"/>
              <w:left w:val="nil"/>
              <w:bottom w:val="nil"/>
              <w:right w:val="nil"/>
            </w:tcBorders>
          </w:tcPr>
          <w:p w14:paraId="3A28F505"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Frailty index and</w:t>
            </w:r>
            <w:r w:rsidRPr="00C25293">
              <w:rPr>
                <w:rFonts w:asciiTheme="majorBidi" w:hAnsiTheme="majorBidi" w:cstheme="majorBidi"/>
                <w:sz w:val="16"/>
                <w:szCs w:val="16"/>
              </w:rPr>
              <w:t xml:space="preserve"> Fried </w:t>
            </w:r>
            <w:r w:rsidRPr="00C25293">
              <w:rPr>
                <w:rFonts w:asciiTheme="majorBidi" w:hAnsiTheme="majorBidi" w:cstheme="majorBidi"/>
                <w:color w:val="0D0D0D" w:themeColor="text1" w:themeTint="F2"/>
                <w:sz w:val="16"/>
                <w:szCs w:val="16"/>
              </w:rPr>
              <w:t xml:space="preserve">criteria </w:t>
            </w:r>
          </w:p>
        </w:tc>
        <w:tc>
          <w:tcPr>
            <w:tcW w:w="1085" w:type="dxa"/>
            <w:vMerge w:val="restart"/>
            <w:tcBorders>
              <w:top w:val="nil"/>
              <w:left w:val="nil"/>
              <w:bottom w:val="nil"/>
              <w:right w:val="nil"/>
            </w:tcBorders>
          </w:tcPr>
          <w:p w14:paraId="504C8D51" w14:textId="0F1F3EA0" w:rsidR="00EB6BEB" w:rsidRPr="002C597E" w:rsidRDefault="001B0018" w:rsidP="00EB6BEB">
            <w:pPr>
              <w:bidi w:val="0"/>
              <w:rPr>
                <w:rFonts w:asciiTheme="majorBidi" w:hAnsiTheme="majorBidi" w:cstheme="majorBidi"/>
                <w:color w:val="0D0D0D" w:themeColor="text1" w:themeTint="F2"/>
                <w:sz w:val="16"/>
                <w:szCs w:val="16"/>
                <w:highlight w:val="yellow"/>
              </w:rPr>
            </w:pPr>
            <w:r w:rsidRPr="002C597E">
              <w:rPr>
                <w:rFonts w:asciiTheme="majorBidi" w:hAnsiTheme="majorBidi" w:cstheme="majorBidi"/>
                <w:color w:val="0D0D0D" w:themeColor="text1" w:themeTint="F2"/>
                <w:sz w:val="16"/>
                <w:szCs w:val="16"/>
                <w:highlight w:val="yellow"/>
              </w:rPr>
              <w:t>1</w:t>
            </w:r>
            <w:r w:rsidR="00EB6BEB" w:rsidRPr="002C597E">
              <w:rPr>
                <w:rFonts w:asciiTheme="majorBidi" w:hAnsiTheme="majorBidi" w:cstheme="majorBidi"/>
                <w:color w:val="0D0D0D" w:themeColor="text1" w:themeTint="F2"/>
                <w:sz w:val="16"/>
                <w:szCs w:val="16"/>
                <w:highlight w:val="yellow"/>
              </w:rPr>
              <w:t xml:space="preserve">, </w:t>
            </w:r>
            <w:r w:rsidR="00EE5C21" w:rsidRPr="002C597E">
              <w:rPr>
                <w:rFonts w:asciiTheme="majorBidi" w:hAnsiTheme="majorBidi" w:cstheme="majorBidi"/>
                <w:color w:val="0D0D0D" w:themeColor="text1" w:themeTint="F2"/>
                <w:sz w:val="16"/>
                <w:szCs w:val="16"/>
                <w:highlight w:val="yellow"/>
              </w:rPr>
              <w:t>52</w:t>
            </w:r>
            <w:r w:rsidR="00EB6BEB" w:rsidRPr="002C597E">
              <w:rPr>
                <w:rFonts w:asciiTheme="majorBidi" w:hAnsiTheme="majorBidi" w:cstheme="majorBidi"/>
                <w:color w:val="0D0D0D" w:themeColor="text1" w:themeTint="F2"/>
                <w:sz w:val="16"/>
                <w:szCs w:val="16"/>
                <w:highlight w:val="yellow"/>
              </w:rPr>
              <w:t xml:space="preserve">, </w:t>
            </w:r>
            <w:r w:rsidRPr="002C597E">
              <w:rPr>
                <w:rFonts w:asciiTheme="majorBidi" w:hAnsiTheme="majorBidi" w:cstheme="majorBidi"/>
                <w:color w:val="0D0D0D" w:themeColor="text1" w:themeTint="F2"/>
                <w:sz w:val="16"/>
                <w:szCs w:val="16"/>
                <w:highlight w:val="yellow"/>
              </w:rPr>
              <w:t>7</w:t>
            </w:r>
            <w:r w:rsidR="00EB6BEB" w:rsidRPr="002C597E">
              <w:rPr>
                <w:rFonts w:asciiTheme="majorBidi" w:hAnsiTheme="majorBidi" w:cstheme="majorBidi"/>
                <w:color w:val="0D0D0D" w:themeColor="text1" w:themeTint="F2"/>
                <w:sz w:val="16"/>
                <w:szCs w:val="16"/>
                <w:highlight w:val="yellow"/>
              </w:rPr>
              <w:t xml:space="preserve">, </w:t>
            </w:r>
            <w:r w:rsidRPr="002C597E">
              <w:rPr>
                <w:rFonts w:asciiTheme="majorBidi" w:hAnsiTheme="majorBidi" w:cstheme="majorBidi"/>
                <w:color w:val="0D0D0D" w:themeColor="text1" w:themeTint="F2"/>
                <w:sz w:val="16"/>
                <w:szCs w:val="16"/>
                <w:highlight w:val="yellow"/>
              </w:rPr>
              <w:t>15</w:t>
            </w:r>
            <w:r w:rsidR="00EB6BEB" w:rsidRPr="002C597E">
              <w:rPr>
                <w:rFonts w:asciiTheme="majorBidi" w:hAnsiTheme="majorBidi" w:cstheme="majorBidi"/>
                <w:color w:val="0D0D0D" w:themeColor="text1" w:themeTint="F2"/>
                <w:sz w:val="16"/>
                <w:szCs w:val="16"/>
                <w:highlight w:val="yellow"/>
              </w:rPr>
              <w:t xml:space="preserve"> </w:t>
            </w:r>
            <w:r w:rsidR="00EE5C21" w:rsidRPr="002C597E">
              <w:rPr>
                <w:rFonts w:asciiTheme="majorBidi" w:hAnsiTheme="majorBidi" w:cstheme="majorBidi"/>
                <w:color w:val="0D0D0D" w:themeColor="text1" w:themeTint="F2"/>
                <w:sz w:val="16"/>
                <w:szCs w:val="16"/>
                <w:highlight w:val="yellow"/>
              </w:rPr>
              <w:t>48</w:t>
            </w:r>
            <w:r w:rsidR="00EB6BEB" w:rsidRPr="002C597E">
              <w:rPr>
                <w:rFonts w:asciiTheme="majorBidi" w:hAnsiTheme="majorBidi" w:cstheme="majorBidi"/>
                <w:color w:val="0D0D0D" w:themeColor="text1" w:themeTint="F2"/>
                <w:sz w:val="16"/>
                <w:szCs w:val="16"/>
                <w:highlight w:val="yellow"/>
              </w:rPr>
              <w:t xml:space="preserve">, </w:t>
            </w:r>
            <w:r w:rsidRPr="002C597E">
              <w:rPr>
                <w:rFonts w:asciiTheme="majorBidi" w:hAnsiTheme="majorBidi" w:cstheme="majorBidi"/>
                <w:color w:val="0D0D0D" w:themeColor="text1" w:themeTint="F2"/>
                <w:sz w:val="16"/>
                <w:szCs w:val="16"/>
                <w:highlight w:val="yellow"/>
              </w:rPr>
              <w:t>12</w:t>
            </w:r>
          </w:p>
        </w:tc>
      </w:tr>
      <w:tr w:rsidR="002C597E" w:rsidRPr="002C597E" w14:paraId="172F4E03" w14:textId="77777777" w:rsidTr="002C597E">
        <w:trPr>
          <w:trHeight w:val="461"/>
        </w:trPr>
        <w:tc>
          <w:tcPr>
            <w:tcW w:w="993" w:type="dxa"/>
            <w:vMerge/>
            <w:tcBorders>
              <w:top w:val="nil"/>
              <w:left w:val="nil"/>
              <w:bottom w:val="nil"/>
              <w:right w:val="nil"/>
            </w:tcBorders>
          </w:tcPr>
          <w:p w14:paraId="6E8A623D" w14:textId="77777777" w:rsidR="00EB6BEB" w:rsidRPr="00C25293" w:rsidRDefault="00EB6BEB" w:rsidP="00EB6BEB">
            <w:pPr>
              <w:bidi w:val="0"/>
              <w:rPr>
                <w:rFonts w:asciiTheme="majorBidi" w:hAnsiTheme="majorBidi" w:cstheme="majorBidi"/>
                <w:color w:val="0D0D0D" w:themeColor="text1" w:themeTint="F2"/>
                <w:sz w:val="16"/>
                <w:szCs w:val="16"/>
              </w:rPr>
            </w:pPr>
          </w:p>
        </w:tc>
        <w:tc>
          <w:tcPr>
            <w:tcW w:w="1616" w:type="dxa"/>
            <w:vMerge/>
            <w:tcBorders>
              <w:top w:val="nil"/>
              <w:left w:val="nil"/>
              <w:bottom w:val="nil"/>
              <w:right w:val="nil"/>
            </w:tcBorders>
          </w:tcPr>
          <w:p w14:paraId="4DE7BCCA" w14:textId="77777777" w:rsidR="00EB6BEB" w:rsidRPr="00C25293" w:rsidRDefault="00EB6BEB" w:rsidP="00EB6BEB">
            <w:pPr>
              <w:bidi w:val="0"/>
              <w:rPr>
                <w:rFonts w:asciiTheme="majorBidi" w:hAnsiTheme="majorBidi" w:cstheme="majorBidi"/>
                <w:color w:val="0D0D0D" w:themeColor="text1" w:themeTint="F2"/>
                <w:sz w:val="16"/>
                <w:szCs w:val="16"/>
              </w:rPr>
            </w:pPr>
          </w:p>
        </w:tc>
        <w:tc>
          <w:tcPr>
            <w:tcW w:w="1911" w:type="dxa"/>
            <w:vMerge/>
            <w:tcBorders>
              <w:top w:val="nil"/>
              <w:left w:val="nil"/>
              <w:bottom w:val="nil"/>
              <w:right w:val="nil"/>
            </w:tcBorders>
          </w:tcPr>
          <w:p w14:paraId="4E426A52" w14:textId="77777777" w:rsidR="00EB6BEB" w:rsidRPr="00C25293" w:rsidRDefault="00EB6BEB" w:rsidP="00EB6BEB">
            <w:pPr>
              <w:bidi w:val="0"/>
              <w:rPr>
                <w:rFonts w:asciiTheme="majorBidi" w:hAnsiTheme="majorBidi" w:cstheme="majorBidi"/>
                <w:color w:val="0D0D0D" w:themeColor="text1" w:themeTint="F2"/>
                <w:sz w:val="16"/>
                <w:szCs w:val="16"/>
              </w:rPr>
            </w:pPr>
          </w:p>
        </w:tc>
        <w:tc>
          <w:tcPr>
            <w:tcW w:w="1468" w:type="dxa"/>
            <w:vMerge/>
            <w:tcBorders>
              <w:top w:val="nil"/>
              <w:left w:val="nil"/>
              <w:bottom w:val="nil"/>
              <w:right w:val="nil"/>
            </w:tcBorders>
          </w:tcPr>
          <w:p w14:paraId="64F5BCEE" w14:textId="77777777" w:rsidR="00EB6BEB" w:rsidRPr="00C25293" w:rsidRDefault="00EB6BEB" w:rsidP="00EB6BEB">
            <w:pPr>
              <w:bidi w:val="0"/>
              <w:rPr>
                <w:rFonts w:asciiTheme="majorBidi" w:hAnsiTheme="majorBidi" w:cstheme="majorBidi"/>
                <w:color w:val="0D0D0D" w:themeColor="text1" w:themeTint="F2"/>
                <w:sz w:val="16"/>
                <w:szCs w:val="16"/>
              </w:rPr>
            </w:pPr>
          </w:p>
        </w:tc>
        <w:tc>
          <w:tcPr>
            <w:tcW w:w="1175" w:type="dxa"/>
            <w:vMerge/>
            <w:tcBorders>
              <w:top w:val="nil"/>
              <w:left w:val="nil"/>
              <w:bottom w:val="nil"/>
              <w:right w:val="nil"/>
            </w:tcBorders>
          </w:tcPr>
          <w:p w14:paraId="425DDAF1" w14:textId="77777777" w:rsidR="00EB6BEB" w:rsidRPr="00C25293" w:rsidRDefault="00EB6BEB" w:rsidP="00EB6BEB">
            <w:pPr>
              <w:bidi w:val="0"/>
              <w:rPr>
                <w:rFonts w:asciiTheme="majorBidi" w:hAnsiTheme="majorBidi" w:cstheme="majorBidi"/>
                <w:color w:val="0D0D0D" w:themeColor="text1" w:themeTint="F2"/>
                <w:sz w:val="16"/>
                <w:szCs w:val="16"/>
              </w:rPr>
            </w:pPr>
          </w:p>
        </w:tc>
        <w:tc>
          <w:tcPr>
            <w:tcW w:w="879" w:type="dxa"/>
            <w:vMerge/>
            <w:tcBorders>
              <w:top w:val="nil"/>
              <w:left w:val="nil"/>
              <w:bottom w:val="nil"/>
              <w:right w:val="nil"/>
            </w:tcBorders>
          </w:tcPr>
          <w:p w14:paraId="25A51948" w14:textId="77777777" w:rsidR="00EB6BEB" w:rsidRPr="00C25293" w:rsidRDefault="00EB6BEB" w:rsidP="00EB6BEB">
            <w:pPr>
              <w:bidi w:val="0"/>
              <w:rPr>
                <w:rFonts w:asciiTheme="majorBidi" w:hAnsiTheme="majorBidi" w:cstheme="majorBidi"/>
                <w:color w:val="0D0D0D" w:themeColor="text1" w:themeTint="F2"/>
                <w:sz w:val="16"/>
                <w:szCs w:val="16"/>
              </w:rPr>
            </w:pPr>
          </w:p>
        </w:tc>
        <w:tc>
          <w:tcPr>
            <w:tcW w:w="1911" w:type="dxa"/>
            <w:tcBorders>
              <w:top w:val="nil"/>
              <w:left w:val="nil"/>
              <w:bottom w:val="nil"/>
              <w:right w:val="nil"/>
            </w:tcBorders>
          </w:tcPr>
          <w:p w14:paraId="0C89F1E6" w14:textId="4D2DC92A"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sz w:val="16"/>
                <w:szCs w:val="16"/>
              </w:rPr>
              <w:t xml:space="preserve">Fried </w:t>
            </w:r>
            <w:r w:rsidRPr="00C25293">
              <w:rPr>
                <w:rFonts w:asciiTheme="majorBidi" w:hAnsiTheme="majorBidi" w:cstheme="majorBidi"/>
                <w:color w:val="0D0D0D" w:themeColor="text1" w:themeTint="F2"/>
                <w:sz w:val="16"/>
                <w:szCs w:val="16"/>
              </w:rPr>
              <w:t>criteria &lt;20</w:t>
            </w:r>
          </w:p>
          <w:p w14:paraId="2311CEF6" w14:textId="77777777" w:rsidR="00EB6BEB" w:rsidRPr="00C25293" w:rsidRDefault="00EB6BEB" w:rsidP="00EB6BEB">
            <w:pPr>
              <w:bidi w:val="0"/>
              <w:rPr>
                <w:rFonts w:asciiTheme="majorBidi" w:hAnsiTheme="majorBidi" w:cstheme="majorBidi"/>
                <w:color w:val="0D0D0D" w:themeColor="text1" w:themeTint="F2"/>
                <w:sz w:val="16"/>
                <w:szCs w:val="16"/>
                <w:rtl/>
                <w:cs/>
              </w:rPr>
            </w:pPr>
            <w:r w:rsidRPr="00C25293">
              <w:rPr>
                <w:rFonts w:asciiTheme="majorBidi" w:hAnsiTheme="majorBidi" w:cstheme="majorBidi"/>
                <w:color w:val="0D0D0D" w:themeColor="text1" w:themeTint="F2"/>
                <w:sz w:val="16"/>
                <w:szCs w:val="16"/>
              </w:rPr>
              <w:t>20</w:t>
            </w:r>
            <w:r w:rsidRPr="00C25293">
              <w:rPr>
                <w:rFonts w:asciiTheme="majorBidi" w:hAnsiTheme="majorBidi" w:cstheme="majorBidi" w:hint="cs"/>
                <w:color w:val="0D0D0D" w:themeColor="text1" w:themeTint="F2"/>
                <w:sz w:val="16"/>
                <w:szCs w:val="16"/>
                <w:rtl/>
                <w:cs/>
              </w:rPr>
              <w:t xml:space="preserve">- </w:t>
            </w:r>
            <w:r w:rsidRPr="00C25293">
              <w:rPr>
                <w:rFonts w:asciiTheme="majorBidi" w:hAnsiTheme="majorBidi" w:cstheme="majorBidi"/>
                <w:color w:val="0D0D0D" w:themeColor="text1" w:themeTint="F2"/>
                <w:sz w:val="16"/>
                <w:szCs w:val="16"/>
              </w:rPr>
              <w:t>&lt; 30</w:t>
            </w:r>
          </w:p>
          <w:p w14:paraId="7D3D7500"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≥30</w:t>
            </w:r>
          </w:p>
          <w:p w14:paraId="39BE85B3" w14:textId="77777777" w:rsidR="00EB6BEB" w:rsidRPr="00C25293" w:rsidRDefault="00EB6BEB" w:rsidP="00EB6BEB">
            <w:pPr>
              <w:bidi w:val="0"/>
              <w:rPr>
                <w:rFonts w:asciiTheme="majorBidi" w:hAnsiTheme="majorBidi" w:cstheme="majorBidi"/>
                <w:color w:val="0D0D0D" w:themeColor="text1" w:themeTint="F2"/>
                <w:sz w:val="16"/>
                <w:szCs w:val="16"/>
                <w:cs/>
              </w:rPr>
            </w:pPr>
            <w:r w:rsidRPr="00C25293">
              <w:rPr>
                <w:rFonts w:asciiTheme="majorBidi" w:hAnsiTheme="majorBidi" w:cstheme="majorBidi"/>
                <w:color w:val="0D0D0D" w:themeColor="text1" w:themeTint="F2"/>
                <w:sz w:val="16"/>
                <w:szCs w:val="16"/>
              </w:rPr>
              <w:t>Per 1 SD decrease</w:t>
            </w:r>
          </w:p>
        </w:tc>
        <w:tc>
          <w:tcPr>
            <w:tcW w:w="1616" w:type="dxa"/>
            <w:tcBorders>
              <w:top w:val="nil"/>
              <w:left w:val="nil"/>
              <w:bottom w:val="nil"/>
              <w:right w:val="nil"/>
            </w:tcBorders>
          </w:tcPr>
          <w:p w14:paraId="141B1404"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2.22 (1.61, 3.06)</w:t>
            </w:r>
          </w:p>
          <w:p w14:paraId="6DDB97AC"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1.90 (1.38, 2.60)</w:t>
            </w:r>
          </w:p>
          <w:p w14:paraId="1C56807F"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sz w:val="16"/>
                <w:szCs w:val="16"/>
              </w:rPr>
              <w:t>1.00 (Ref)</w:t>
            </w:r>
          </w:p>
          <w:p w14:paraId="3D8C47E7"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1.45 (1.26, 1.67)</w:t>
            </w:r>
          </w:p>
        </w:tc>
        <w:tc>
          <w:tcPr>
            <w:tcW w:w="1027" w:type="dxa"/>
            <w:vMerge/>
            <w:tcBorders>
              <w:top w:val="nil"/>
              <w:left w:val="nil"/>
              <w:bottom w:val="nil"/>
              <w:right w:val="nil"/>
            </w:tcBorders>
          </w:tcPr>
          <w:p w14:paraId="49AF327F" w14:textId="77777777" w:rsidR="00EB6BEB" w:rsidRPr="00C25293" w:rsidRDefault="00EB6BEB" w:rsidP="00EB6BEB">
            <w:pPr>
              <w:bidi w:val="0"/>
              <w:rPr>
                <w:rFonts w:asciiTheme="majorBidi" w:hAnsiTheme="majorBidi" w:cstheme="majorBidi"/>
                <w:color w:val="0D0D0D" w:themeColor="text1" w:themeTint="F2"/>
                <w:sz w:val="16"/>
                <w:szCs w:val="16"/>
              </w:rPr>
            </w:pPr>
          </w:p>
        </w:tc>
        <w:tc>
          <w:tcPr>
            <w:tcW w:w="1321" w:type="dxa"/>
            <w:vMerge/>
            <w:tcBorders>
              <w:top w:val="nil"/>
              <w:left w:val="nil"/>
              <w:bottom w:val="nil"/>
              <w:right w:val="nil"/>
            </w:tcBorders>
          </w:tcPr>
          <w:p w14:paraId="61311A36" w14:textId="77777777" w:rsidR="00EB6BEB" w:rsidRPr="00C25293" w:rsidRDefault="00EB6BEB" w:rsidP="00EB6BEB">
            <w:pPr>
              <w:bidi w:val="0"/>
              <w:rPr>
                <w:rFonts w:asciiTheme="majorBidi" w:hAnsiTheme="majorBidi" w:cstheme="majorBidi"/>
                <w:color w:val="0D0D0D" w:themeColor="text1" w:themeTint="F2"/>
                <w:sz w:val="16"/>
                <w:szCs w:val="16"/>
              </w:rPr>
            </w:pPr>
          </w:p>
        </w:tc>
        <w:tc>
          <w:tcPr>
            <w:tcW w:w="1468" w:type="dxa"/>
            <w:vMerge/>
            <w:tcBorders>
              <w:top w:val="nil"/>
              <w:left w:val="nil"/>
              <w:bottom w:val="nil"/>
              <w:right w:val="nil"/>
            </w:tcBorders>
          </w:tcPr>
          <w:p w14:paraId="33C76EEC" w14:textId="77777777" w:rsidR="00EB6BEB" w:rsidRPr="00C25293" w:rsidRDefault="00EB6BEB" w:rsidP="00EB6BEB">
            <w:pPr>
              <w:bidi w:val="0"/>
              <w:rPr>
                <w:rFonts w:asciiTheme="majorBidi" w:hAnsiTheme="majorBidi" w:cstheme="majorBidi"/>
                <w:color w:val="0D0D0D" w:themeColor="text1" w:themeTint="F2"/>
                <w:sz w:val="16"/>
                <w:szCs w:val="16"/>
              </w:rPr>
            </w:pPr>
          </w:p>
        </w:tc>
        <w:tc>
          <w:tcPr>
            <w:tcW w:w="1085" w:type="dxa"/>
            <w:vMerge/>
            <w:tcBorders>
              <w:top w:val="nil"/>
              <w:left w:val="nil"/>
              <w:bottom w:val="nil"/>
              <w:right w:val="nil"/>
            </w:tcBorders>
          </w:tcPr>
          <w:p w14:paraId="04F71D65" w14:textId="77777777" w:rsidR="00EB6BEB" w:rsidRPr="002C597E" w:rsidRDefault="00EB6BEB" w:rsidP="00EB6BEB">
            <w:pPr>
              <w:bidi w:val="0"/>
              <w:rPr>
                <w:rFonts w:asciiTheme="majorBidi" w:hAnsiTheme="majorBidi" w:cstheme="majorBidi"/>
                <w:color w:val="0D0D0D" w:themeColor="text1" w:themeTint="F2"/>
                <w:sz w:val="16"/>
                <w:szCs w:val="16"/>
                <w:highlight w:val="yellow"/>
              </w:rPr>
            </w:pPr>
          </w:p>
        </w:tc>
      </w:tr>
      <w:tr w:rsidR="002C597E" w:rsidRPr="002C597E" w14:paraId="122FB245" w14:textId="77777777" w:rsidTr="002C597E">
        <w:trPr>
          <w:trHeight w:val="314"/>
        </w:trPr>
        <w:tc>
          <w:tcPr>
            <w:tcW w:w="993" w:type="dxa"/>
            <w:tcBorders>
              <w:top w:val="nil"/>
              <w:left w:val="nil"/>
              <w:bottom w:val="nil"/>
              <w:right w:val="nil"/>
            </w:tcBorders>
          </w:tcPr>
          <w:p w14:paraId="0CD083E9"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 xml:space="preserve">Wilhelm-Leen et al. </w:t>
            </w:r>
          </w:p>
          <w:p w14:paraId="36614BAD"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2010</w:t>
            </w:r>
          </w:p>
        </w:tc>
        <w:tc>
          <w:tcPr>
            <w:tcW w:w="1616" w:type="dxa"/>
            <w:tcBorders>
              <w:top w:val="nil"/>
              <w:left w:val="nil"/>
              <w:bottom w:val="nil"/>
              <w:right w:val="nil"/>
            </w:tcBorders>
          </w:tcPr>
          <w:p w14:paraId="4DA0F102" w14:textId="75D865C9"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US</w:t>
            </w:r>
            <w:r w:rsidR="0080306B">
              <w:rPr>
                <w:rFonts w:ascii="Times New Roman" w:hAnsi="Times New Roman" w:cs="Times New Roman"/>
                <w:sz w:val="16"/>
                <w:szCs w:val="16"/>
                <w:lang w:bidi="fa-IR"/>
              </w:rPr>
              <w:t xml:space="preserve">/ </w:t>
            </w:r>
            <w:r w:rsidR="0080306B" w:rsidRPr="00E613CA">
              <w:rPr>
                <w:rFonts w:ascii="Times New Roman" w:hAnsi="Times New Roman" w:cs="Times New Roman"/>
                <w:sz w:val="16"/>
                <w:szCs w:val="16"/>
                <w:highlight w:val="yellow"/>
                <w:lang w:bidi="fa-IR"/>
              </w:rPr>
              <w:t>America</w:t>
            </w:r>
          </w:p>
        </w:tc>
        <w:tc>
          <w:tcPr>
            <w:tcW w:w="1911" w:type="dxa"/>
            <w:tcBorders>
              <w:top w:val="nil"/>
              <w:left w:val="nil"/>
              <w:bottom w:val="nil"/>
              <w:right w:val="nil"/>
            </w:tcBorders>
          </w:tcPr>
          <w:p w14:paraId="324AA64E"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 xml:space="preserve">Cross-sectional (NHANES III) on non-institutionalized </w:t>
            </w:r>
            <w:r w:rsidRPr="00C25293">
              <w:rPr>
                <w:rFonts w:asciiTheme="majorBidi" w:hAnsiTheme="majorBidi" w:cstheme="majorBidi"/>
                <w:sz w:val="16"/>
                <w:szCs w:val="16"/>
              </w:rPr>
              <w:t>older adults</w:t>
            </w:r>
          </w:p>
        </w:tc>
        <w:tc>
          <w:tcPr>
            <w:tcW w:w="1468" w:type="dxa"/>
            <w:tcBorders>
              <w:top w:val="nil"/>
              <w:left w:val="nil"/>
              <w:bottom w:val="nil"/>
              <w:right w:val="nil"/>
            </w:tcBorders>
          </w:tcPr>
          <w:p w14:paraId="74DACA3C" w14:textId="6E1B8A2F"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4731/1915</w:t>
            </w:r>
          </w:p>
        </w:tc>
        <w:tc>
          <w:tcPr>
            <w:tcW w:w="1175" w:type="dxa"/>
            <w:tcBorders>
              <w:top w:val="nil"/>
              <w:left w:val="nil"/>
              <w:bottom w:val="nil"/>
              <w:right w:val="nil"/>
            </w:tcBorders>
          </w:tcPr>
          <w:p w14:paraId="32AB918B" w14:textId="58E3E6DB"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M/F/ (58.9% F)</w:t>
            </w:r>
          </w:p>
        </w:tc>
        <w:tc>
          <w:tcPr>
            <w:tcW w:w="879" w:type="dxa"/>
            <w:tcBorders>
              <w:top w:val="nil"/>
              <w:left w:val="nil"/>
              <w:bottom w:val="nil"/>
              <w:right w:val="nil"/>
            </w:tcBorders>
          </w:tcPr>
          <w:p w14:paraId="7AFB56C3"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70.85±1.56</w:t>
            </w:r>
          </w:p>
        </w:tc>
        <w:tc>
          <w:tcPr>
            <w:tcW w:w="1911" w:type="dxa"/>
            <w:tcBorders>
              <w:top w:val="nil"/>
              <w:left w:val="nil"/>
              <w:bottom w:val="nil"/>
              <w:right w:val="nil"/>
            </w:tcBorders>
          </w:tcPr>
          <w:p w14:paraId="173C6BCE"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Q1(&lt;19.8)</w:t>
            </w:r>
          </w:p>
          <w:p w14:paraId="04008625"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Q2(19.8-26.56)</w:t>
            </w:r>
          </w:p>
          <w:p w14:paraId="2326F7C9"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Q3(26.6-33.64)</w:t>
            </w:r>
          </w:p>
          <w:p w14:paraId="28FC924B" w14:textId="77777777" w:rsidR="00EB6BEB" w:rsidRPr="00C25293" w:rsidRDefault="00EB6BEB" w:rsidP="00EB6BEB">
            <w:pPr>
              <w:bidi w:val="0"/>
              <w:rPr>
                <w:rFonts w:asciiTheme="majorBidi" w:hAnsiTheme="majorBidi" w:cstheme="majorBidi"/>
                <w:color w:val="0D0D0D" w:themeColor="text1" w:themeTint="F2"/>
                <w:sz w:val="16"/>
                <w:szCs w:val="16"/>
                <w:rtl/>
                <w:cs/>
              </w:rPr>
            </w:pPr>
            <w:r w:rsidRPr="00C25293">
              <w:rPr>
                <w:rFonts w:asciiTheme="majorBidi" w:hAnsiTheme="majorBidi" w:cstheme="majorBidi"/>
                <w:color w:val="0D0D0D" w:themeColor="text1" w:themeTint="F2"/>
                <w:sz w:val="16"/>
                <w:szCs w:val="16"/>
              </w:rPr>
              <w:t>Q4(&gt;33.64)</w:t>
            </w:r>
          </w:p>
        </w:tc>
        <w:tc>
          <w:tcPr>
            <w:tcW w:w="1616" w:type="dxa"/>
            <w:tcBorders>
              <w:top w:val="nil"/>
              <w:left w:val="nil"/>
              <w:bottom w:val="nil"/>
              <w:right w:val="nil"/>
            </w:tcBorders>
          </w:tcPr>
          <w:p w14:paraId="7C850A87"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1.54 (1.10–2.15)</w:t>
            </w:r>
          </w:p>
          <w:p w14:paraId="16F1E198"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1.17 (0.88–1.55)</w:t>
            </w:r>
          </w:p>
          <w:p w14:paraId="58684422"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1.34 (1.02–1.76)</w:t>
            </w:r>
          </w:p>
          <w:p w14:paraId="330AA3DE"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sz w:val="16"/>
                <w:szCs w:val="16"/>
              </w:rPr>
              <w:t>1.00 (Ref)</w:t>
            </w:r>
          </w:p>
        </w:tc>
        <w:tc>
          <w:tcPr>
            <w:tcW w:w="1027" w:type="dxa"/>
            <w:tcBorders>
              <w:top w:val="nil"/>
              <w:left w:val="nil"/>
              <w:bottom w:val="nil"/>
              <w:right w:val="nil"/>
            </w:tcBorders>
          </w:tcPr>
          <w:p w14:paraId="3A3D5B7B"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Serum</w:t>
            </w:r>
          </w:p>
        </w:tc>
        <w:tc>
          <w:tcPr>
            <w:tcW w:w="1321" w:type="dxa"/>
            <w:tcBorders>
              <w:top w:val="nil"/>
              <w:left w:val="nil"/>
              <w:bottom w:val="nil"/>
              <w:right w:val="nil"/>
            </w:tcBorders>
          </w:tcPr>
          <w:p w14:paraId="5EEB63BC"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RIA (Diosorin)</w:t>
            </w:r>
          </w:p>
        </w:tc>
        <w:tc>
          <w:tcPr>
            <w:tcW w:w="1468" w:type="dxa"/>
            <w:tcBorders>
              <w:top w:val="nil"/>
              <w:left w:val="nil"/>
              <w:bottom w:val="nil"/>
              <w:right w:val="nil"/>
            </w:tcBorders>
          </w:tcPr>
          <w:p w14:paraId="075E0C46"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sz w:val="16"/>
                <w:szCs w:val="16"/>
              </w:rPr>
              <w:t xml:space="preserve">Fried </w:t>
            </w:r>
            <w:r w:rsidRPr="00C25293">
              <w:rPr>
                <w:rFonts w:asciiTheme="majorBidi" w:hAnsiTheme="majorBidi" w:cstheme="majorBidi"/>
                <w:color w:val="0D0D0D" w:themeColor="text1" w:themeTint="F2"/>
                <w:sz w:val="16"/>
                <w:szCs w:val="16"/>
              </w:rPr>
              <w:t>criteria</w:t>
            </w:r>
          </w:p>
        </w:tc>
        <w:tc>
          <w:tcPr>
            <w:tcW w:w="1085" w:type="dxa"/>
            <w:tcBorders>
              <w:top w:val="nil"/>
              <w:left w:val="nil"/>
              <w:bottom w:val="nil"/>
              <w:right w:val="nil"/>
            </w:tcBorders>
          </w:tcPr>
          <w:p w14:paraId="3E099F43" w14:textId="1DE0A466" w:rsidR="00EB6BEB" w:rsidRPr="002C597E" w:rsidRDefault="001B0018" w:rsidP="00EB6BEB">
            <w:pPr>
              <w:bidi w:val="0"/>
              <w:rPr>
                <w:rFonts w:asciiTheme="majorBidi" w:hAnsiTheme="majorBidi" w:cstheme="majorBidi"/>
                <w:color w:val="0D0D0D" w:themeColor="text1" w:themeTint="F2"/>
                <w:sz w:val="16"/>
                <w:szCs w:val="16"/>
                <w:highlight w:val="yellow"/>
              </w:rPr>
            </w:pPr>
            <w:r w:rsidRPr="002C597E">
              <w:rPr>
                <w:rFonts w:asciiTheme="majorBidi" w:hAnsiTheme="majorBidi" w:cstheme="majorBidi"/>
                <w:color w:val="0D0D0D" w:themeColor="text1" w:themeTint="F2"/>
                <w:sz w:val="16"/>
                <w:szCs w:val="16"/>
                <w:highlight w:val="yellow"/>
              </w:rPr>
              <w:t>1-3</w:t>
            </w:r>
            <w:r w:rsidR="00EE5C21" w:rsidRPr="002C597E">
              <w:rPr>
                <w:rFonts w:asciiTheme="majorBidi" w:hAnsiTheme="majorBidi" w:cstheme="majorBidi"/>
                <w:color w:val="0D0D0D" w:themeColor="text1" w:themeTint="F2"/>
                <w:sz w:val="16"/>
                <w:szCs w:val="16"/>
                <w:highlight w:val="yellow"/>
              </w:rPr>
              <w:t xml:space="preserve">, </w:t>
            </w:r>
            <w:r w:rsidRPr="002C597E">
              <w:rPr>
                <w:rFonts w:asciiTheme="majorBidi" w:hAnsiTheme="majorBidi" w:cstheme="majorBidi"/>
                <w:color w:val="0D0D0D" w:themeColor="text1" w:themeTint="F2"/>
                <w:sz w:val="16"/>
                <w:szCs w:val="16"/>
                <w:highlight w:val="yellow"/>
              </w:rPr>
              <w:t>6,7</w:t>
            </w:r>
            <w:r w:rsidR="00EB6BEB" w:rsidRPr="002C597E">
              <w:rPr>
                <w:rFonts w:asciiTheme="majorBidi" w:hAnsiTheme="majorBidi" w:cstheme="majorBidi"/>
                <w:color w:val="0D0D0D" w:themeColor="text1" w:themeTint="F2"/>
                <w:sz w:val="16"/>
                <w:szCs w:val="16"/>
                <w:highlight w:val="yellow"/>
              </w:rPr>
              <w:t>,</w:t>
            </w:r>
            <w:r w:rsidR="00EE5C21" w:rsidRPr="002C597E">
              <w:rPr>
                <w:rFonts w:asciiTheme="majorBidi" w:hAnsiTheme="majorBidi" w:cstheme="majorBidi"/>
                <w:color w:val="0D0D0D" w:themeColor="text1" w:themeTint="F2"/>
                <w:sz w:val="16"/>
                <w:szCs w:val="16"/>
                <w:highlight w:val="yellow"/>
              </w:rPr>
              <w:t>48,</w:t>
            </w:r>
            <w:r w:rsidR="00EB6BEB" w:rsidRPr="002C597E">
              <w:rPr>
                <w:rFonts w:asciiTheme="majorBidi" w:hAnsiTheme="majorBidi" w:cstheme="majorBidi"/>
                <w:color w:val="0D0D0D" w:themeColor="text1" w:themeTint="F2"/>
                <w:sz w:val="16"/>
                <w:szCs w:val="16"/>
                <w:highlight w:val="yellow"/>
              </w:rPr>
              <w:t xml:space="preserve"> </w:t>
            </w:r>
            <w:r w:rsidR="00EE5C21" w:rsidRPr="002C597E">
              <w:rPr>
                <w:rFonts w:asciiTheme="majorBidi" w:hAnsiTheme="majorBidi" w:cstheme="majorBidi"/>
                <w:color w:val="0D0D0D" w:themeColor="text1" w:themeTint="F2"/>
                <w:sz w:val="16"/>
                <w:szCs w:val="16"/>
                <w:highlight w:val="yellow"/>
              </w:rPr>
              <w:t>56,57</w:t>
            </w:r>
          </w:p>
        </w:tc>
      </w:tr>
      <w:tr w:rsidR="002C597E" w:rsidRPr="002C597E" w14:paraId="3CDB166D" w14:textId="77777777" w:rsidTr="002C597E">
        <w:trPr>
          <w:trHeight w:val="39"/>
        </w:trPr>
        <w:tc>
          <w:tcPr>
            <w:tcW w:w="993" w:type="dxa"/>
            <w:tcBorders>
              <w:top w:val="nil"/>
              <w:left w:val="nil"/>
              <w:bottom w:val="single" w:sz="4" w:space="0" w:color="auto"/>
              <w:right w:val="nil"/>
            </w:tcBorders>
          </w:tcPr>
          <w:p w14:paraId="4AD6CE3E"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Chang et al.</w:t>
            </w:r>
          </w:p>
          <w:p w14:paraId="2DB2FDD0"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2010</w:t>
            </w:r>
          </w:p>
        </w:tc>
        <w:tc>
          <w:tcPr>
            <w:tcW w:w="1616" w:type="dxa"/>
            <w:tcBorders>
              <w:top w:val="nil"/>
              <w:left w:val="nil"/>
              <w:bottom w:val="single" w:sz="4" w:space="0" w:color="auto"/>
              <w:right w:val="nil"/>
            </w:tcBorders>
          </w:tcPr>
          <w:p w14:paraId="46BFCD82" w14:textId="445CD64B"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Taiwan</w:t>
            </w:r>
            <w:r w:rsidR="0080306B">
              <w:rPr>
                <w:rFonts w:ascii="Times New Roman" w:hAnsi="Times New Roman" w:cs="Times New Roman"/>
                <w:color w:val="0D0D0D" w:themeColor="text1" w:themeTint="F2"/>
                <w:sz w:val="16"/>
                <w:szCs w:val="16"/>
              </w:rPr>
              <w:t xml:space="preserve">/ </w:t>
            </w:r>
            <w:r w:rsidR="0080306B" w:rsidRPr="00190736">
              <w:rPr>
                <w:rFonts w:ascii="Times New Roman" w:hAnsi="Times New Roman" w:cs="Times New Roman"/>
                <w:color w:val="040C28"/>
                <w:sz w:val="16"/>
                <w:szCs w:val="16"/>
                <w:highlight w:val="yellow"/>
              </w:rPr>
              <w:t>Asia</w:t>
            </w:r>
          </w:p>
        </w:tc>
        <w:tc>
          <w:tcPr>
            <w:tcW w:w="1911" w:type="dxa"/>
            <w:tcBorders>
              <w:top w:val="nil"/>
              <w:left w:val="nil"/>
              <w:bottom w:val="single" w:sz="4" w:space="0" w:color="auto"/>
              <w:right w:val="nil"/>
            </w:tcBorders>
          </w:tcPr>
          <w:p w14:paraId="473BCFDD"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Cross-sectional</w:t>
            </w:r>
          </w:p>
        </w:tc>
        <w:tc>
          <w:tcPr>
            <w:tcW w:w="1468" w:type="dxa"/>
            <w:tcBorders>
              <w:top w:val="nil"/>
              <w:left w:val="nil"/>
              <w:bottom w:val="single" w:sz="4" w:space="0" w:color="auto"/>
              <w:right w:val="nil"/>
            </w:tcBorders>
          </w:tcPr>
          <w:p w14:paraId="5534D299" w14:textId="6F369954"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215/119</w:t>
            </w:r>
          </w:p>
        </w:tc>
        <w:tc>
          <w:tcPr>
            <w:tcW w:w="1175" w:type="dxa"/>
            <w:tcBorders>
              <w:top w:val="nil"/>
              <w:left w:val="nil"/>
              <w:bottom w:val="single" w:sz="4" w:space="0" w:color="auto"/>
              <w:right w:val="nil"/>
            </w:tcBorders>
          </w:tcPr>
          <w:p w14:paraId="66800ECC" w14:textId="0716C1FA" w:rsidR="00EB6BEB" w:rsidRPr="00C25293" w:rsidRDefault="00EB6BEB" w:rsidP="00EB6BEB">
            <w:pPr>
              <w:bidi w:val="0"/>
              <w:rPr>
                <w:rFonts w:asciiTheme="majorBidi" w:hAnsiTheme="majorBidi" w:cstheme="majorBidi"/>
                <w:sz w:val="16"/>
                <w:szCs w:val="16"/>
                <w:lang w:bidi="fa-IR"/>
              </w:rPr>
            </w:pPr>
            <w:r w:rsidRPr="00C25293">
              <w:rPr>
                <w:rFonts w:asciiTheme="majorBidi" w:hAnsiTheme="majorBidi" w:cstheme="majorBidi"/>
                <w:sz w:val="16"/>
                <w:szCs w:val="16"/>
                <w:lang w:bidi="fa-IR"/>
              </w:rPr>
              <w:t>M/F/</w:t>
            </w:r>
          </w:p>
          <w:p w14:paraId="59C4926E" w14:textId="7B1B969C"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 xml:space="preserve">(59.5% F) </w:t>
            </w:r>
          </w:p>
        </w:tc>
        <w:tc>
          <w:tcPr>
            <w:tcW w:w="879" w:type="dxa"/>
            <w:tcBorders>
              <w:top w:val="nil"/>
              <w:left w:val="nil"/>
              <w:bottom w:val="single" w:sz="4" w:space="0" w:color="auto"/>
              <w:right w:val="nil"/>
            </w:tcBorders>
          </w:tcPr>
          <w:p w14:paraId="65327C7F"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71.1±3.9</w:t>
            </w:r>
          </w:p>
        </w:tc>
        <w:tc>
          <w:tcPr>
            <w:tcW w:w="1911" w:type="dxa"/>
            <w:tcBorders>
              <w:top w:val="nil"/>
              <w:left w:val="nil"/>
              <w:bottom w:val="single" w:sz="4" w:space="0" w:color="auto"/>
              <w:right w:val="nil"/>
            </w:tcBorders>
          </w:tcPr>
          <w:p w14:paraId="5CDEFB9C"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 xml:space="preserve">&lt;20 </w:t>
            </w:r>
          </w:p>
          <w:p w14:paraId="716789F4"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&gt;20</w:t>
            </w:r>
          </w:p>
          <w:p w14:paraId="2C244044" w14:textId="77777777" w:rsidR="00EB6BEB" w:rsidRPr="00C25293" w:rsidRDefault="00EB6BEB" w:rsidP="00EB6BEB">
            <w:pPr>
              <w:bidi w:val="0"/>
              <w:rPr>
                <w:rFonts w:asciiTheme="majorBidi" w:hAnsiTheme="majorBidi" w:cstheme="majorBidi"/>
                <w:color w:val="0D0D0D" w:themeColor="text1" w:themeTint="F2"/>
                <w:sz w:val="16"/>
                <w:szCs w:val="16"/>
              </w:rPr>
            </w:pPr>
          </w:p>
        </w:tc>
        <w:tc>
          <w:tcPr>
            <w:tcW w:w="1616" w:type="dxa"/>
            <w:tcBorders>
              <w:top w:val="nil"/>
              <w:left w:val="nil"/>
              <w:bottom w:val="single" w:sz="4" w:space="0" w:color="auto"/>
              <w:right w:val="nil"/>
            </w:tcBorders>
          </w:tcPr>
          <w:p w14:paraId="05C23677"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3.139 (1.426–6.908)</w:t>
            </w:r>
          </w:p>
          <w:p w14:paraId="06B02AD5"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sz w:val="16"/>
                <w:szCs w:val="16"/>
              </w:rPr>
              <w:t>1.00 (Ref)</w:t>
            </w:r>
          </w:p>
        </w:tc>
        <w:tc>
          <w:tcPr>
            <w:tcW w:w="1027" w:type="dxa"/>
            <w:tcBorders>
              <w:top w:val="nil"/>
              <w:left w:val="nil"/>
              <w:bottom w:val="single" w:sz="4" w:space="0" w:color="auto"/>
              <w:right w:val="nil"/>
            </w:tcBorders>
          </w:tcPr>
          <w:p w14:paraId="2F67D850"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serum</w:t>
            </w:r>
          </w:p>
        </w:tc>
        <w:tc>
          <w:tcPr>
            <w:tcW w:w="1321" w:type="dxa"/>
            <w:tcBorders>
              <w:top w:val="nil"/>
              <w:left w:val="nil"/>
              <w:bottom w:val="single" w:sz="4" w:space="0" w:color="auto"/>
              <w:right w:val="nil"/>
            </w:tcBorders>
          </w:tcPr>
          <w:p w14:paraId="3DE251F9"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color w:val="0D0D0D" w:themeColor="text1" w:themeTint="F2"/>
                <w:sz w:val="16"/>
                <w:szCs w:val="16"/>
              </w:rPr>
              <w:t>RIA (DiaSorin)</w:t>
            </w:r>
          </w:p>
        </w:tc>
        <w:tc>
          <w:tcPr>
            <w:tcW w:w="1468" w:type="dxa"/>
            <w:tcBorders>
              <w:top w:val="nil"/>
              <w:left w:val="nil"/>
              <w:bottom w:val="single" w:sz="4" w:space="0" w:color="auto"/>
              <w:right w:val="nil"/>
            </w:tcBorders>
          </w:tcPr>
          <w:p w14:paraId="2E6FA04A" w14:textId="77777777" w:rsidR="00EB6BEB" w:rsidRPr="00C25293"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sz w:val="16"/>
                <w:szCs w:val="16"/>
              </w:rPr>
              <w:t xml:space="preserve">Fried </w:t>
            </w:r>
            <w:r w:rsidRPr="00C25293">
              <w:rPr>
                <w:rFonts w:asciiTheme="majorBidi" w:hAnsiTheme="majorBidi" w:cstheme="majorBidi"/>
                <w:color w:val="0D0D0D" w:themeColor="text1" w:themeTint="F2"/>
                <w:sz w:val="16"/>
                <w:szCs w:val="16"/>
              </w:rPr>
              <w:t>criteria</w:t>
            </w:r>
          </w:p>
        </w:tc>
        <w:tc>
          <w:tcPr>
            <w:tcW w:w="1085" w:type="dxa"/>
            <w:tcBorders>
              <w:top w:val="nil"/>
              <w:left w:val="nil"/>
              <w:bottom w:val="single" w:sz="4" w:space="0" w:color="auto"/>
              <w:right w:val="nil"/>
            </w:tcBorders>
          </w:tcPr>
          <w:p w14:paraId="0B6500C4" w14:textId="5B3D7387" w:rsidR="00EB6BEB" w:rsidRPr="002C597E" w:rsidRDefault="001B0018" w:rsidP="00EB6BEB">
            <w:pPr>
              <w:bidi w:val="0"/>
              <w:rPr>
                <w:rFonts w:asciiTheme="majorBidi" w:hAnsiTheme="majorBidi" w:cstheme="majorBidi"/>
                <w:color w:val="0D0D0D" w:themeColor="text1" w:themeTint="F2"/>
                <w:sz w:val="16"/>
                <w:szCs w:val="16"/>
                <w:highlight w:val="yellow"/>
              </w:rPr>
            </w:pPr>
            <w:r w:rsidRPr="002C597E">
              <w:rPr>
                <w:rFonts w:asciiTheme="majorBidi" w:hAnsiTheme="majorBidi" w:cstheme="majorBidi"/>
                <w:color w:val="0D0D0D" w:themeColor="text1" w:themeTint="F2"/>
                <w:sz w:val="16"/>
                <w:szCs w:val="16"/>
                <w:highlight w:val="yellow"/>
              </w:rPr>
              <w:t>1-3,6-8, 15</w:t>
            </w:r>
            <w:r w:rsidR="00EB6BEB" w:rsidRPr="002C597E">
              <w:rPr>
                <w:rFonts w:asciiTheme="majorBidi" w:hAnsiTheme="majorBidi" w:cstheme="majorBidi"/>
                <w:color w:val="0D0D0D" w:themeColor="text1" w:themeTint="F2"/>
                <w:sz w:val="16"/>
                <w:szCs w:val="16"/>
                <w:highlight w:val="yellow"/>
              </w:rPr>
              <w:t xml:space="preserve">, </w:t>
            </w:r>
            <w:r w:rsidR="0080306B" w:rsidRPr="002C597E">
              <w:rPr>
                <w:rFonts w:asciiTheme="majorBidi" w:hAnsiTheme="majorBidi" w:cstheme="majorBidi"/>
                <w:color w:val="0D0D0D" w:themeColor="text1" w:themeTint="F2"/>
                <w:sz w:val="16"/>
                <w:szCs w:val="16"/>
                <w:highlight w:val="yellow"/>
              </w:rPr>
              <w:t>13</w:t>
            </w:r>
            <w:r w:rsidR="00EB6BEB" w:rsidRPr="002C597E">
              <w:rPr>
                <w:rFonts w:asciiTheme="majorBidi" w:hAnsiTheme="majorBidi" w:cstheme="majorBidi"/>
                <w:color w:val="0D0D0D" w:themeColor="text1" w:themeTint="F2"/>
                <w:sz w:val="16"/>
                <w:szCs w:val="16"/>
                <w:highlight w:val="yellow"/>
              </w:rPr>
              <w:t xml:space="preserve"> </w:t>
            </w:r>
            <w:r w:rsidR="00EE5C21" w:rsidRPr="002C597E">
              <w:rPr>
                <w:rFonts w:asciiTheme="majorBidi" w:hAnsiTheme="majorBidi" w:cstheme="majorBidi"/>
                <w:color w:val="0D0D0D" w:themeColor="text1" w:themeTint="F2"/>
                <w:sz w:val="16"/>
                <w:szCs w:val="16"/>
                <w:highlight w:val="yellow"/>
              </w:rPr>
              <w:t>,58</w:t>
            </w:r>
          </w:p>
        </w:tc>
      </w:tr>
      <w:tr w:rsidR="00EB6BEB" w:rsidRPr="00C25293" w14:paraId="3A335C06" w14:textId="77777777" w:rsidTr="002C597E">
        <w:trPr>
          <w:trHeight w:val="443"/>
        </w:trPr>
        <w:tc>
          <w:tcPr>
            <w:tcW w:w="16479" w:type="dxa"/>
            <w:gridSpan w:val="12"/>
            <w:tcBorders>
              <w:top w:val="single" w:sz="4" w:space="0" w:color="auto"/>
              <w:left w:val="nil"/>
              <w:bottom w:val="nil"/>
              <w:right w:val="nil"/>
            </w:tcBorders>
          </w:tcPr>
          <w:p w14:paraId="136F5B70" w14:textId="77777777" w:rsidR="00EB6BEB" w:rsidRDefault="00EB6BEB" w:rsidP="00EB6BEB">
            <w:pPr>
              <w:bidi w:val="0"/>
              <w:rPr>
                <w:rFonts w:asciiTheme="majorBidi" w:hAnsiTheme="majorBidi" w:cstheme="majorBidi"/>
                <w:color w:val="0D0D0D" w:themeColor="text1" w:themeTint="F2"/>
                <w:sz w:val="16"/>
                <w:szCs w:val="16"/>
              </w:rPr>
            </w:pPr>
            <w:r w:rsidRPr="00C25293">
              <w:rPr>
                <w:rFonts w:asciiTheme="majorBidi" w:hAnsiTheme="majorBidi" w:cstheme="majorBidi"/>
                <w:sz w:val="16"/>
                <w:szCs w:val="16"/>
                <w:lang w:bidi="fa-IR"/>
              </w:rPr>
              <w:t>Abbreviations: CCS,</w:t>
            </w:r>
            <w:r w:rsidRPr="00C25293">
              <w:rPr>
                <w:rFonts w:asciiTheme="majorBidi" w:hAnsiTheme="majorBidi" w:cstheme="majorBidi"/>
                <w:sz w:val="16"/>
                <w:szCs w:val="16"/>
              </w:rPr>
              <w:t xml:space="preserve"> </w:t>
            </w:r>
            <w:r w:rsidRPr="00C25293">
              <w:rPr>
                <w:rFonts w:asciiTheme="majorBidi" w:hAnsiTheme="majorBidi" w:cstheme="majorBidi"/>
                <w:sz w:val="16"/>
                <w:szCs w:val="16"/>
                <w:lang w:bidi="fa-IR"/>
              </w:rPr>
              <w:t>chronic coronary syndrome; CHAMP,</w:t>
            </w:r>
            <w:r w:rsidRPr="00C25293">
              <w:rPr>
                <w:rFonts w:asciiTheme="majorBidi" w:hAnsiTheme="majorBidi" w:cstheme="majorBidi"/>
                <w:color w:val="0D0D0D" w:themeColor="text1" w:themeTint="F2"/>
                <w:sz w:val="16"/>
                <w:szCs w:val="16"/>
              </w:rPr>
              <w:t xml:space="preserve"> The Concord Health and Ageing in Men Project;</w:t>
            </w:r>
            <w:r w:rsidRPr="00C25293">
              <w:rPr>
                <w:rFonts w:asciiTheme="majorBidi" w:hAnsiTheme="majorBidi" w:cstheme="majorBidi"/>
                <w:sz w:val="16"/>
                <w:szCs w:val="16"/>
              </w:rPr>
              <w:t xml:space="preserve"> </w:t>
            </w:r>
            <w:r w:rsidRPr="00C25293">
              <w:rPr>
                <w:rFonts w:asciiTheme="majorBidi" w:hAnsiTheme="majorBidi" w:cstheme="majorBidi"/>
                <w:sz w:val="16"/>
                <w:szCs w:val="16"/>
                <w:lang w:bidi="fa-IR"/>
              </w:rPr>
              <w:t>CLHLS,</w:t>
            </w:r>
            <w:r w:rsidRPr="00C25293">
              <w:rPr>
                <w:rFonts w:asciiTheme="majorBidi" w:hAnsiTheme="majorBidi" w:cstheme="majorBidi"/>
                <w:sz w:val="16"/>
                <w:szCs w:val="16"/>
              </w:rPr>
              <w:t xml:space="preserve"> </w:t>
            </w:r>
            <w:r w:rsidRPr="00C25293">
              <w:rPr>
                <w:rFonts w:asciiTheme="majorBidi" w:hAnsiTheme="majorBidi" w:cstheme="majorBidi"/>
                <w:sz w:val="16"/>
                <w:szCs w:val="16"/>
                <w:lang w:bidi="fa-IR"/>
              </w:rPr>
              <w:t>Chinese Longitudinal Healthy Longevity Survey; ECL,</w:t>
            </w:r>
            <w:r w:rsidRPr="00C25293">
              <w:rPr>
                <w:rFonts w:asciiTheme="majorBidi" w:hAnsiTheme="majorBidi" w:cstheme="majorBidi"/>
                <w:sz w:val="16"/>
                <w:szCs w:val="16"/>
              </w:rPr>
              <w:t xml:space="preserve"> </w:t>
            </w:r>
            <w:r w:rsidRPr="00C25293">
              <w:rPr>
                <w:rFonts w:asciiTheme="majorBidi" w:hAnsiTheme="majorBidi" w:cstheme="majorBidi"/>
                <w:sz w:val="16"/>
                <w:szCs w:val="16"/>
                <w:lang w:bidi="fa-IR"/>
              </w:rPr>
              <w:t xml:space="preserve">electrochemiluminescence; EMAS, </w:t>
            </w:r>
            <w:r w:rsidRPr="00C25293">
              <w:rPr>
                <w:rFonts w:asciiTheme="majorBidi" w:hAnsiTheme="majorBidi" w:cstheme="majorBidi"/>
                <w:color w:val="0D0D0D" w:themeColor="text1" w:themeTint="F2"/>
                <w:sz w:val="16"/>
                <w:szCs w:val="16"/>
              </w:rPr>
              <w:t xml:space="preserve"> European Male Ageing Study;</w:t>
            </w:r>
            <w:r w:rsidRPr="00C25293">
              <w:rPr>
                <w:rFonts w:asciiTheme="majorBidi" w:hAnsiTheme="majorBidi" w:cstheme="majorBidi"/>
                <w:sz w:val="16"/>
                <w:szCs w:val="16"/>
                <w:lang w:bidi="fa-IR"/>
              </w:rPr>
              <w:t xml:space="preserve"> FFP, Fried Frailty Phenotype;</w:t>
            </w:r>
            <w:r w:rsidRPr="00C25293">
              <w:rPr>
                <w:rFonts w:asciiTheme="majorBidi" w:hAnsiTheme="majorBidi" w:cstheme="majorBidi"/>
                <w:sz w:val="16"/>
                <w:szCs w:val="16"/>
              </w:rPr>
              <w:t xml:space="preserve"> </w:t>
            </w:r>
            <w:r w:rsidRPr="00C25293">
              <w:rPr>
                <w:rFonts w:asciiTheme="majorBidi" w:hAnsiTheme="majorBidi" w:cstheme="majorBidi"/>
                <w:sz w:val="16"/>
                <w:szCs w:val="16"/>
                <w:lang w:bidi="fa-IR"/>
              </w:rPr>
              <w:t>MAPT, Multidomain Alzheimer Preventive Trial; MHAS,</w:t>
            </w:r>
            <w:r w:rsidRPr="00C25293">
              <w:rPr>
                <w:rFonts w:asciiTheme="majorBidi" w:hAnsiTheme="majorBidi" w:cstheme="majorBidi"/>
                <w:color w:val="0D0D0D" w:themeColor="text1" w:themeTint="F2"/>
                <w:sz w:val="16"/>
                <w:szCs w:val="16"/>
              </w:rPr>
              <w:t xml:space="preserve"> Mexican Health and Aging Study; MMSE, </w:t>
            </w:r>
            <w:r w:rsidRPr="00C25293">
              <w:rPr>
                <w:rFonts w:asciiTheme="majorBidi" w:hAnsiTheme="majorBidi" w:cstheme="majorBidi"/>
                <w:sz w:val="16"/>
                <w:szCs w:val="16"/>
              </w:rPr>
              <w:t xml:space="preserve"> </w:t>
            </w:r>
            <w:r w:rsidRPr="00C25293">
              <w:rPr>
                <w:rFonts w:asciiTheme="majorBidi" w:hAnsiTheme="majorBidi" w:cstheme="majorBidi"/>
                <w:color w:val="0D0D0D" w:themeColor="text1" w:themeTint="F2"/>
                <w:sz w:val="16"/>
                <w:szCs w:val="16"/>
              </w:rPr>
              <w:t xml:space="preserve"> Mini-Mental State Examination</w:t>
            </w:r>
            <w:r w:rsidRPr="00C25293">
              <w:rPr>
                <w:rFonts w:asciiTheme="majorBidi" w:hAnsiTheme="majorBidi" w:cstheme="majorBidi"/>
                <w:sz w:val="16"/>
                <w:szCs w:val="16"/>
                <w:lang w:bidi="fa-IR"/>
              </w:rPr>
              <w:t xml:space="preserve">; NHANES, </w:t>
            </w:r>
            <w:r w:rsidRPr="00C25293">
              <w:rPr>
                <w:rFonts w:asciiTheme="majorBidi" w:hAnsiTheme="majorBidi" w:cstheme="majorBidi"/>
                <w:color w:val="0D0D0D" w:themeColor="text1" w:themeTint="F2"/>
                <w:sz w:val="16"/>
                <w:szCs w:val="16"/>
              </w:rPr>
              <w:t>National Health and Nutrition Examination Survey</w:t>
            </w:r>
            <w:r w:rsidRPr="00C25293">
              <w:rPr>
                <w:rFonts w:asciiTheme="majorBidi" w:hAnsiTheme="majorBidi" w:cstheme="majorBidi"/>
                <w:sz w:val="16"/>
                <w:szCs w:val="16"/>
                <w:lang w:bidi="fa-IR"/>
              </w:rPr>
              <w:t>; LASA,</w:t>
            </w:r>
            <w:r w:rsidRPr="00C25293">
              <w:rPr>
                <w:rFonts w:asciiTheme="majorBidi" w:hAnsiTheme="majorBidi" w:cstheme="majorBidi"/>
                <w:sz w:val="16"/>
                <w:szCs w:val="16"/>
              </w:rPr>
              <w:t xml:space="preserve"> Longitudinal Aging Study Amsterdam </w:t>
            </w:r>
            <w:r w:rsidRPr="00C25293">
              <w:rPr>
                <w:rFonts w:asciiTheme="majorBidi" w:hAnsiTheme="majorBidi" w:cstheme="majorBidi"/>
                <w:sz w:val="16"/>
                <w:szCs w:val="16"/>
                <w:lang w:bidi="fa-IR"/>
              </w:rPr>
              <w:t xml:space="preserve"> </w:t>
            </w:r>
            <w:r w:rsidRPr="00C25293">
              <w:rPr>
                <w:rFonts w:asciiTheme="majorBidi" w:hAnsiTheme="majorBidi" w:cstheme="majorBidi"/>
                <w:sz w:val="16"/>
                <w:szCs w:val="16"/>
              </w:rPr>
              <w:t xml:space="preserve"> </w:t>
            </w:r>
            <w:r w:rsidRPr="00C25293">
              <w:rPr>
                <w:rFonts w:asciiTheme="majorBidi" w:hAnsiTheme="majorBidi" w:cstheme="majorBidi"/>
                <w:sz w:val="16"/>
                <w:szCs w:val="16"/>
                <w:lang w:bidi="fa-IR"/>
              </w:rPr>
              <w:t>NESDO, Netherlands Study of Depression in Older persons; NR, not reported; TILDA, The Irish Longitudinal Study on Ageing;</w:t>
            </w:r>
            <w:r w:rsidRPr="00C25293">
              <w:rPr>
                <w:rFonts w:asciiTheme="majorBidi" w:hAnsiTheme="majorBidi" w:cstheme="majorBidi"/>
                <w:color w:val="0D0D0D" w:themeColor="text1" w:themeTint="F2"/>
                <w:sz w:val="16"/>
                <w:szCs w:val="16"/>
              </w:rPr>
              <w:t xml:space="preserve"> KFACS,</w:t>
            </w:r>
            <w:r w:rsidRPr="00C25293">
              <w:rPr>
                <w:rFonts w:asciiTheme="majorBidi" w:hAnsiTheme="majorBidi" w:cstheme="majorBidi"/>
                <w:sz w:val="16"/>
                <w:szCs w:val="16"/>
              </w:rPr>
              <w:t xml:space="preserve"> </w:t>
            </w:r>
            <w:r w:rsidRPr="00C25293">
              <w:rPr>
                <w:rFonts w:asciiTheme="majorBidi" w:hAnsiTheme="majorBidi" w:cstheme="majorBidi"/>
                <w:color w:val="0D0D0D" w:themeColor="text1" w:themeTint="F2"/>
                <w:sz w:val="16"/>
                <w:szCs w:val="16"/>
              </w:rPr>
              <w:t xml:space="preserve">Korean Frailty and Aging Cohort Study; WHAS, Women’s Health and Aging Studies; US, united state; RIA: </w:t>
            </w:r>
            <w:r w:rsidRPr="00C25293">
              <w:rPr>
                <w:rFonts w:asciiTheme="majorBidi" w:hAnsiTheme="majorBidi" w:cstheme="majorBidi"/>
                <w:sz w:val="16"/>
                <w:szCs w:val="16"/>
              </w:rPr>
              <w:t xml:space="preserve"> </w:t>
            </w:r>
            <w:r w:rsidRPr="00C25293">
              <w:rPr>
                <w:rFonts w:asciiTheme="majorBidi" w:hAnsiTheme="majorBidi" w:cstheme="majorBidi"/>
                <w:color w:val="0D0D0D" w:themeColor="text1" w:themeTint="F2"/>
                <w:sz w:val="16"/>
                <w:szCs w:val="16"/>
              </w:rPr>
              <w:t>radioimmunoassay; SOFA, study of Osteoporotic Fractures; LC-MS/MS,  liquid chromatography–tandem mass spectrometry</w:t>
            </w:r>
          </w:p>
          <w:p w14:paraId="3BF8286B" w14:textId="7713FD19" w:rsidR="002C597E" w:rsidRPr="00C25293" w:rsidRDefault="002C597E" w:rsidP="002C597E">
            <w:pPr>
              <w:bidi w:val="0"/>
              <w:rPr>
                <w:rFonts w:asciiTheme="majorBidi" w:hAnsiTheme="majorBidi" w:cstheme="majorBidi"/>
                <w:color w:val="0D0D0D" w:themeColor="text1" w:themeTint="F2"/>
                <w:sz w:val="16"/>
                <w:szCs w:val="16"/>
              </w:rPr>
            </w:pPr>
            <w:r w:rsidRPr="002C597E">
              <w:rPr>
                <w:rFonts w:asciiTheme="majorBidi" w:hAnsiTheme="majorBidi" w:cstheme="majorBidi"/>
                <w:color w:val="0D0D0D" w:themeColor="text1" w:themeTint="F2"/>
                <w:sz w:val="16"/>
                <w:szCs w:val="16"/>
                <w:highlight w:val="yellow"/>
              </w:rPr>
              <w:t>Adjustments:1. Age; 2. Sex; 3. Body mass index; 4. Season of blood collection; 5. Baseline frailty; 6. Education; 7. Smoking; 8. Drinking; 9. Cardiovascular disease; 10. Diabetes mellitus; 11. Multimorbidity; 12. Parathyroid hormone (PTH); 13. Mini-Mental State Examination (MMSE); 14. Depression; 15. Comorbidities; 16. Calcium intake; 17. Creatinine clearance; 18. ethnicity; 19. Townsend deprivation index; 20. Physical activity; 21. Vitamin D supplementation; 22. Sunshine exposure time; 23. Interleukin-6; 24. Albumin; 25. Red blood cell; 26. Hemoglobin; 27. C-reactive protein; 28. Total cholesterol; 29. Creatinine; 30. Blood Urea Nitrogen (BUN); 31. Vitamin B12; 32 Homocysteine; 33. E2; 34. Tumor necrosis factor (TNF); 35. Geriatric syndrome; 36. Vision; 37. Hearing; 38. Number of chronic disease; 39. HbA1c; 40. Glucose; 41. Triiodothyronine; 42. Non-prescription drug treatments; 43. Diastolic blood pressure; 44.  Low density-lipoprotein (LDL); 45. High-density lipoprotein (HDL); 46. Triglyceride; 47. Living arrangements; 48. Chronic conditions; 49. Global cognitive function; 50. Height; 51. Weight; 52. Laboratory site; 53. Skin phenotype; 54. Nutrition status; 55. Polypharmacy; 56. Race; 57. Latitude; 58.Barthel Index scores</w:t>
            </w:r>
          </w:p>
        </w:tc>
      </w:tr>
    </w:tbl>
    <w:p w14:paraId="5F5E3323" w14:textId="77777777" w:rsidR="00355FC0" w:rsidRPr="008916C2" w:rsidRDefault="00355FC0" w:rsidP="007D3937">
      <w:pPr>
        <w:bidi w:val="0"/>
      </w:pPr>
    </w:p>
    <w:p w14:paraId="3BDCA134" w14:textId="77777777" w:rsidR="00355FC0" w:rsidRPr="008916C2" w:rsidRDefault="00355FC0">
      <w:pPr>
        <w:bidi w:val="0"/>
      </w:pPr>
      <w:r w:rsidRPr="008916C2">
        <w:br w:type="page"/>
      </w:r>
    </w:p>
    <w:tbl>
      <w:tblPr>
        <w:tblStyle w:val="TableGrid"/>
        <w:tblW w:w="0" w:type="auto"/>
        <w:tblLook w:val="04A0" w:firstRow="1" w:lastRow="0" w:firstColumn="1" w:lastColumn="0" w:noHBand="0" w:noVBand="1"/>
      </w:tblPr>
      <w:tblGrid>
        <w:gridCol w:w="13948"/>
      </w:tblGrid>
      <w:tr w:rsidR="00355FC0" w:rsidRPr="008916C2" w14:paraId="02D8C2F7" w14:textId="77777777" w:rsidTr="0080118B">
        <w:tc>
          <w:tcPr>
            <w:tcW w:w="13948" w:type="dxa"/>
            <w:tcBorders>
              <w:top w:val="nil"/>
              <w:left w:val="nil"/>
              <w:bottom w:val="single" w:sz="4" w:space="0" w:color="auto"/>
              <w:right w:val="nil"/>
            </w:tcBorders>
          </w:tcPr>
          <w:p w14:paraId="1A21196A" w14:textId="6FBAC475" w:rsidR="00355FC0" w:rsidRPr="008916C2" w:rsidRDefault="0080118B" w:rsidP="00355FC0">
            <w:pPr>
              <w:bidi w:val="0"/>
              <w:spacing w:line="480" w:lineRule="auto"/>
              <w:jc w:val="both"/>
              <w:rPr>
                <w:rFonts w:asciiTheme="majorBidi" w:hAnsiTheme="majorBidi" w:cstheme="majorBidi"/>
              </w:rPr>
            </w:pPr>
            <w:r w:rsidRPr="008916C2">
              <w:rPr>
                <w:rFonts w:asciiTheme="majorBidi" w:hAnsiTheme="majorBidi" w:cstheme="majorBidi"/>
                <w:b/>
                <w:bCs/>
                <w:lang w:bidi="fa-IR"/>
              </w:rPr>
              <w:t xml:space="preserve">Supplementary Table </w:t>
            </w:r>
            <w:r w:rsidR="005A6C9B">
              <w:rPr>
                <w:rFonts w:asciiTheme="majorBidi" w:hAnsiTheme="majorBidi" w:cstheme="majorBidi"/>
                <w:b/>
                <w:bCs/>
                <w:lang w:bidi="fa-IR"/>
              </w:rPr>
              <w:t>7</w:t>
            </w:r>
            <w:r w:rsidRPr="008916C2">
              <w:rPr>
                <w:rFonts w:asciiTheme="majorBidi" w:hAnsiTheme="majorBidi" w:cstheme="majorBidi"/>
                <w:b/>
                <w:bCs/>
                <w:lang w:bidi="fa-IR"/>
              </w:rPr>
              <w:t xml:space="preserve">: </w:t>
            </w:r>
            <w:r w:rsidRPr="008916C2">
              <w:rPr>
                <w:rFonts w:asciiTheme="majorBidi" w:hAnsiTheme="majorBidi" w:cstheme="majorBidi"/>
                <w:lang w:bidi="fa-IR"/>
              </w:rPr>
              <w:t>Detailed characteristics of cross-sectional studies included in the present systematic review and meta-analysis.</w:t>
            </w:r>
          </w:p>
        </w:tc>
      </w:tr>
      <w:tr w:rsidR="00355FC0" w:rsidRPr="008916C2" w14:paraId="12F465C1" w14:textId="77777777" w:rsidTr="0080118B">
        <w:tc>
          <w:tcPr>
            <w:tcW w:w="13948" w:type="dxa"/>
            <w:tcBorders>
              <w:top w:val="single" w:sz="4" w:space="0" w:color="auto"/>
            </w:tcBorders>
          </w:tcPr>
          <w:p w14:paraId="50BC2DD5" w14:textId="77777777" w:rsidR="00A108E1" w:rsidRPr="008916C2" w:rsidRDefault="00A108E1" w:rsidP="00A108E1">
            <w:pPr>
              <w:bidi w:val="0"/>
              <w:spacing w:line="480" w:lineRule="auto"/>
              <w:jc w:val="both"/>
              <w:rPr>
                <w:rFonts w:asciiTheme="majorBidi" w:hAnsiTheme="majorBidi" w:cstheme="majorBidi"/>
              </w:rPr>
            </w:pPr>
            <w:r w:rsidRPr="008916C2">
              <w:rPr>
                <w:rFonts w:asciiTheme="majorBidi" w:hAnsiTheme="majorBidi" w:cstheme="majorBidi"/>
              </w:rPr>
              <w:t>The majority of studies came from Europe (including Netherlands, Germany, Italy, France, Ireland, Portugal, Spain, Lithuania (1-1</w:t>
            </w:r>
            <w:r w:rsidR="00F26A75" w:rsidRPr="008916C2">
              <w:rPr>
                <w:rFonts w:asciiTheme="majorBidi" w:hAnsiTheme="majorBidi" w:cstheme="majorBidi"/>
              </w:rPr>
              <w:t>2</w:t>
            </w:r>
            <w:r w:rsidRPr="008916C2">
              <w:rPr>
                <w:rFonts w:asciiTheme="majorBidi" w:hAnsiTheme="majorBidi" w:cstheme="majorBidi"/>
              </w:rPr>
              <w:t>)), and three studies were from several countries of Europe including England, Scotland, Wales, Italy, Belgium, Poland, Sweden, UK, Spain, Hungary, and Estonia (1</w:t>
            </w:r>
            <w:r w:rsidR="00F26A75" w:rsidRPr="008916C2">
              <w:rPr>
                <w:rFonts w:asciiTheme="majorBidi" w:hAnsiTheme="majorBidi" w:cstheme="majorBidi"/>
              </w:rPr>
              <w:t>2</w:t>
            </w:r>
            <w:r w:rsidRPr="008916C2">
              <w:rPr>
                <w:rFonts w:asciiTheme="majorBidi" w:hAnsiTheme="majorBidi" w:cstheme="majorBidi"/>
              </w:rPr>
              <w:t>-1</w:t>
            </w:r>
            <w:r w:rsidR="00F26A75" w:rsidRPr="008916C2">
              <w:rPr>
                <w:rFonts w:asciiTheme="majorBidi" w:hAnsiTheme="majorBidi" w:cstheme="majorBidi"/>
              </w:rPr>
              <w:t>5</w:t>
            </w:r>
            <w:r w:rsidRPr="008916C2">
              <w:rPr>
                <w:rFonts w:asciiTheme="majorBidi" w:hAnsiTheme="majorBidi" w:cstheme="majorBidi"/>
              </w:rPr>
              <w:t xml:space="preserve">)). Also, </w:t>
            </w:r>
            <w:r w:rsidR="00F26A75" w:rsidRPr="008916C2">
              <w:rPr>
                <w:rFonts w:asciiTheme="majorBidi" w:hAnsiTheme="majorBidi" w:cstheme="majorBidi"/>
              </w:rPr>
              <w:t>9</w:t>
            </w:r>
            <w:r w:rsidRPr="008916C2">
              <w:rPr>
                <w:rFonts w:asciiTheme="majorBidi" w:hAnsiTheme="majorBidi" w:cstheme="majorBidi"/>
              </w:rPr>
              <w:t xml:space="preserve"> studies were conducted in American countries (1</w:t>
            </w:r>
            <w:r w:rsidR="00F26A75" w:rsidRPr="008916C2">
              <w:rPr>
                <w:rFonts w:asciiTheme="majorBidi" w:hAnsiTheme="majorBidi" w:cstheme="majorBidi"/>
              </w:rPr>
              <w:t>5</w:t>
            </w:r>
            <w:r w:rsidRPr="008916C2">
              <w:rPr>
                <w:rFonts w:asciiTheme="majorBidi" w:hAnsiTheme="majorBidi" w:cstheme="majorBidi"/>
              </w:rPr>
              <w:t>-</w:t>
            </w:r>
            <w:r w:rsidR="00F26A75" w:rsidRPr="008916C2">
              <w:rPr>
                <w:rFonts w:asciiTheme="majorBidi" w:hAnsiTheme="majorBidi" w:cstheme="majorBidi"/>
              </w:rPr>
              <w:t>23</w:t>
            </w:r>
            <w:r w:rsidRPr="008916C2">
              <w:rPr>
                <w:rFonts w:asciiTheme="majorBidi" w:hAnsiTheme="majorBidi" w:cstheme="majorBidi"/>
              </w:rPr>
              <w:t>), two studies in Australia (2</w:t>
            </w:r>
            <w:r w:rsidR="00F26A75" w:rsidRPr="008916C2">
              <w:rPr>
                <w:rFonts w:asciiTheme="majorBidi" w:hAnsiTheme="majorBidi" w:cstheme="majorBidi"/>
              </w:rPr>
              <w:t>4</w:t>
            </w:r>
            <w:r w:rsidRPr="008916C2">
              <w:rPr>
                <w:rFonts w:asciiTheme="majorBidi" w:hAnsiTheme="majorBidi" w:cstheme="majorBidi"/>
              </w:rPr>
              <w:t>, 2</w:t>
            </w:r>
            <w:r w:rsidR="00F26A75" w:rsidRPr="008916C2">
              <w:rPr>
                <w:rFonts w:asciiTheme="majorBidi" w:hAnsiTheme="majorBidi" w:cstheme="majorBidi"/>
              </w:rPr>
              <w:t>5</w:t>
            </w:r>
            <w:r w:rsidRPr="008916C2">
              <w:rPr>
                <w:rFonts w:asciiTheme="majorBidi" w:hAnsiTheme="majorBidi" w:cstheme="majorBidi"/>
              </w:rPr>
              <w:t>), and nine studies in Asia (including China, Korea, Japan and Taiwan (2</w:t>
            </w:r>
            <w:r w:rsidR="00F26A75" w:rsidRPr="008916C2">
              <w:rPr>
                <w:rFonts w:asciiTheme="majorBidi" w:hAnsiTheme="majorBidi" w:cstheme="majorBidi"/>
              </w:rPr>
              <w:t>6</w:t>
            </w:r>
            <w:r w:rsidRPr="008916C2">
              <w:rPr>
                <w:rFonts w:asciiTheme="majorBidi" w:hAnsiTheme="majorBidi" w:cstheme="majorBidi"/>
              </w:rPr>
              <w:t>-3</w:t>
            </w:r>
            <w:r w:rsidR="00F26A75" w:rsidRPr="008916C2">
              <w:rPr>
                <w:rFonts w:asciiTheme="majorBidi" w:hAnsiTheme="majorBidi" w:cstheme="majorBidi"/>
              </w:rPr>
              <w:t>5</w:t>
            </w:r>
            <w:r w:rsidRPr="008916C2">
              <w:rPr>
                <w:rFonts w:asciiTheme="majorBidi" w:hAnsiTheme="majorBidi" w:cstheme="majorBidi"/>
              </w:rPr>
              <w:t xml:space="preserve">)). The reported risk estimates were mainly classified as deficient, insufficient, and sufficient levels of circulating 25(OH)D; however, some studies grouped the participants into tertiles, quartiles, or examined circulating 25(OH)D as a continuous variable. </w:t>
            </w:r>
          </w:p>
          <w:p w14:paraId="5E3735BF" w14:textId="77777777" w:rsidR="00A108E1" w:rsidRPr="008916C2" w:rsidRDefault="00A108E1" w:rsidP="00241AA2">
            <w:pPr>
              <w:bidi w:val="0"/>
              <w:spacing w:line="480" w:lineRule="auto"/>
              <w:jc w:val="both"/>
              <w:rPr>
                <w:rFonts w:asciiTheme="majorBidi" w:hAnsiTheme="majorBidi" w:cstheme="majorBidi"/>
              </w:rPr>
            </w:pPr>
            <w:r w:rsidRPr="008916C2">
              <w:rPr>
                <w:rFonts w:asciiTheme="majorBidi" w:hAnsiTheme="majorBidi" w:cstheme="majorBidi"/>
              </w:rPr>
              <w:t>The interpretation of 25-hydroxy</w:t>
            </w:r>
            <w:r w:rsidR="00241AA2" w:rsidRPr="008916C2">
              <w:rPr>
                <w:rFonts w:asciiTheme="majorBidi" w:hAnsiTheme="majorBidi" w:cstheme="majorBidi"/>
              </w:rPr>
              <w:t xml:space="preserve"> </w:t>
            </w:r>
            <w:r w:rsidRPr="008916C2">
              <w:rPr>
                <w:rFonts w:asciiTheme="majorBidi" w:hAnsiTheme="majorBidi" w:cstheme="majorBidi"/>
              </w:rPr>
              <w:t>vitamin D deficiency varies across different studies, with the following definitions: one study defined deficiency as &lt;9.15 ng/mL (8), two studies used a threshold of &lt;10 ng/mL (1</w:t>
            </w:r>
            <w:r w:rsidR="00F26A75" w:rsidRPr="008916C2">
              <w:rPr>
                <w:rFonts w:asciiTheme="majorBidi" w:hAnsiTheme="majorBidi" w:cstheme="majorBidi"/>
              </w:rPr>
              <w:t>1</w:t>
            </w:r>
            <w:r w:rsidRPr="008916C2">
              <w:rPr>
                <w:rFonts w:asciiTheme="majorBidi" w:hAnsiTheme="majorBidi" w:cstheme="majorBidi"/>
              </w:rPr>
              <w:t>, 3</w:t>
            </w:r>
            <w:r w:rsidR="00F26A75" w:rsidRPr="008916C2">
              <w:rPr>
                <w:rFonts w:asciiTheme="majorBidi" w:hAnsiTheme="majorBidi" w:cstheme="majorBidi"/>
              </w:rPr>
              <w:t>0</w:t>
            </w:r>
            <w:r w:rsidRPr="008916C2">
              <w:rPr>
                <w:rFonts w:asciiTheme="majorBidi" w:hAnsiTheme="majorBidi" w:cstheme="majorBidi"/>
              </w:rPr>
              <w:t>), two other studies set the limit at ≤10.45 ng/mL (</w:t>
            </w:r>
            <w:r w:rsidR="00F26A75" w:rsidRPr="008916C2">
              <w:rPr>
                <w:rFonts w:asciiTheme="majorBidi" w:hAnsiTheme="majorBidi" w:cstheme="majorBidi"/>
              </w:rPr>
              <w:t>29</w:t>
            </w:r>
            <w:r w:rsidRPr="008916C2">
              <w:rPr>
                <w:rFonts w:asciiTheme="majorBidi" w:hAnsiTheme="majorBidi" w:cstheme="majorBidi"/>
              </w:rPr>
              <w:t>) or &lt;10.43 ng/ml (3</w:t>
            </w:r>
            <w:r w:rsidR="00F26A75" w:rsidRPr="008916C2">
              <w:rPr>
                <w:rFonts w:asciiTheme="majorBidi" w:hAnsiTheme="majorBidi" w:cstheme="majorBidi"/>
              </w:rPr>
              <w:t>3</w:t>
            </w:r>
            <w:r w:rsidRPr="008916C2">
              <w:rPr>
                <w:rFonts w:asciiTheme="majorBidi" w:hAnsiTheme="majorBidi" w:cstheme="majorBidi"/>
              </w:rPr>
              <w:t xml:space="preserve">), </w:t>
            </w:r>
            <w:r w:rsidR="00F26A75" w:rsidRPr="008916C2">
              <w:rPr>
                <w:rFonts w:asciiTheme="majorBidi" w:hAnsiTheme="majorBidi" w:cstheme="majorBidi"/>
              </w:rPr>
              <w:t>four</w:t>
            </w:r>
            <w:r w:rsidRPr="008916C2">
              <w:rPr>
                <w:rFonts w:asciiTheme="majorBidi" w:hAnsiTheme="majorBidi" w:cstheme="majorBidi"/>
              </w:rPr>
              <w:t xml:space="preserve"> studies defined as &lt;12 ng/mL (</w:t>
            </w:r>
            <w:r w:rsidR="00F26A75" w:rsidRPr="008916C2">
              <w:rPr>
                <w:rFonts w:asciiTheme="majorBidi" w:hAnsiTheme="majorBidi" w:cstheme="majorBidi"/>
              </w:rPr>
              <w:t>9</w:t>
            </w:r>
            <w:r w:rsidRPr="008916C2">
              <w:rPr>
                <w:rFonts w:asciiTheme="majorBidi" w:hAnsiTheme="majorBidi" w:cstheme="majorBidi"/>
              </w:rPr>
              <w:t>, 1</w:t>
            </w:r>
            <w:r w:rsidR="00F26A75" w:rsidRPr="008916C2">
              <w:rPr>
                <w:rFonts w:asciiTheme="majorBidi" w:hAnsiTheme="majorBidi" w:cstheme="majorBidi"/>
              </w:rPr>
              <w:t>5</w:t>
            </w:r>
            <w:r w:rsidRPr="008916C2">
              <w:rPr>
                <w:rFonts w:asciiTheme="majorBidi" w:hAnsiTheme="majorBidi" w:cstheme="majorBidi"/>
              </w:rPr>
              <w:t>, 1</w:t>
            </w:r>
            <w:r w:rsidR="00F26A75" w:rsidRPr="008916C2">
              <w:rPr>
                <w:rFonts w:asciiTheme="majorBidi" w:hAnsiTheme="majorBidi" w:cstheme="majorBidi"/>
              </w:rPr>
              <w:t>8</w:t>
            </w:r>
            <w:r w:rsidRPr="008916C2">
              <w:rPr>
                <w:rFonts w:asciiTheme="majorBidi" w:hAnsiTheme="majorBidi" w:cstheme="majorBidi"/>
              </w:rPr>
              <w:t>, 2</w:t>
            </w:r>
            <w:r w:rsidR="00F26A75" w:rsidRPr="008916C2">
              <w:rPr>
                <w:rFonts w:asciiTheme="majorBidi" w:hAnsiTheme="majorBidi" w:cstheme="majorBidi"/>
              </w:rPr>
              <w:t xml:space="preserve">2) </w:t>
            </w:r>
            <w:r w:rsidRPr="008916C2">
              <w:rPr>
                <w:rFonts w:asciiTheme="majorBidi" w:hAnsiTheme="majorBidi" w:cstheme="majorBidi"/>
              </w:rPr>
              <w:t>, one study defined as &lt;13.50 ng/mL (1</w:t>
            </w:r>
            <w:r w:rsidR="00F26A75" w:rsidRPr="008916C2">
              <w:rPr>
                <w:rFonts w:asciiTheme="majorBidi" w:hAnsiTheme="majorBidi" w:cstheme="majorBidi"/>
              </w:rPr>
              <w:t>4</w:t>
            </w:r>
            <w:r w:rsidRPr="008916C2">
              <w:rPr>
                <w:rFonts w:asciiTheme="majorBidi" w:hAnsiTheme="majorBidi" w:cstheme="majorBidi"/>
              </w:rPr>
              <w:t>), t</w:t>
            </w:r>
            <w:r w:rsidR="00F26A75" w:rsidRPr="008916C2">
              <w:rPr>
                <w:rFonts w:asciiTheme="majorBidi" w:hAnsiTheme="majorBidi" w:cstheme="majorBidi"/>
              </w:rPr>
              <w:t>wo</w:t>
            </w:r>
            <w:r w:rsidRPr="008916C2">
              <w:rPr>
                <w:rFonts w:asciiTheme="majorBidi" w:hAnsiTheme="majorBidi" w:cstheme="majorBidi"/>
              </w:rPr>
              <w:t xml:space="preserve"> studies defined as &lt;15 ( 2</w:t>
            </w:r>
            <w:r w:rsidR="00F26A75" w:rsidRPr="008916C2">
              <w:rPr>
                <w:rFonts w:asciiTheme="majorBidi" w:hAnsiTheme="majorBidi" w:cstheme="majorBidi"/>
              </w:rPr>
              <w:t>0</w:t>
            </w:r>
            <w:r w:rsidRPr="008916C2">
              <w:rPr>
                <w:rFonts w:asciiTheme="majorBidi" w:hAnsiTheme="majorBidi" w:cstheme="majorBidi"/>
              </w:rPr>
              <w:t>, 2</w:t>
            </w:r>
            <w:r w:rsidR="00F26A75" w:rsidRPr="008916C2">
              <w:rPr>
                <w:rFonts w:asciiTheme="majorBidi" w:hAnsiTheme="majorBidi" w:cstheme="majorBidi"/>
              </w:rPr>
              <w:t>1</w:t>
            </w:r>
            <w:r w:rsidRPr="008916C2">
              <w:rPr>
                <w:rFonts w:asciiTheme="majorBidi" w:hAnsiTheme="majorBidi" w:cstheme="majorBidi"/>
              </w:rPr>
              <w:t>), one study defined as &lt;15.96 (2</w:t>
            </w:r>
            <w:r w:rsidR="00F26A75" w:rsidRPr="008916C2">
              <w:rPr>
                <w:rFonts w:asciiTheme="majorBidi" w:hAnsiTheme="majorBidi" w:cstheme="majorBidi"/>
              </w:rPr>
              <w:t>5</w:t>
            </w:r>
            <w:r w:rsidRPr="008916C2">
              <w:rPr>
                <w:rFonts w:asciiTheme="majorBidi" w:hAnsiTheme="majorBidi" w:cstheme="majorBidi"/>
              </w:rPr>
              <w:t>), one study define as &lt;17.5 (1</w:t>
            </w:r>
            <w:r w:rsidR="00F26A75" w:rsidRPr="008916C2">
              <w:rPr>
                <w:rFonts w:asciiTheme="majorBidi" w:hAnsiTheme="majorBidi" w:cstheme="majorBidi"/>
              </w:rPr>
              <w:t>7</w:t>
            </w:r>
            <w:r w:rsidRPr="008916C2">
              <w:rPr>
                <w:rFonts w:asciiTheme="majorBidi" w:hAnsiTheme="majorBidi" w:cstheme="majorBidi"/>
              </w:rPr>
              <w:t>), one study defined as &lt;18 ng/mL (2</w:t>
            </w:r>
            <w:r w:rsidR="00F26A75" w:rsidRPr="008916C2">
              <w:rPr>
                <w:rFonts w:asciiTheme="majorBidi" w:hAnsiTheme="majorBidi" w:cstheme="majorBidi"/>
              </w:rPr>
              <w:t>3</w:t>
            </w:r>
            <w:r w:rsidRPr="008916C2">
              <w:rPr>
                <w:rFonts w:asciiTheme="majorBidi" w:hAnsiTheme="majorBidi" w:cstheme="majorBidi"/>
              </w:rPr>
              <w:t>), seven studies defined as &lt;20 (</w:t>
            </w:r>
            <w:r w:rsidR="006D4569" w:rsidRPr="008916C2">
              <w:rPr>
                <w:rFonts w:asciiTheme="majorBidi" w:hAnsiTheme="majorBidi" w:cstheme="majorBidi"/>
              </w:rPr>
              <w:t xml:space="preserve">2, </w:t>
            </w:r>
            <w:r w:rsidRPr="008916C2">
              <w:rPr>
                <w:rFonts w:asciiTheme="majorBidi" w:hAnsiTheme="majorBidi" w:cstheme="majorBidi"/>
              </w:rPr>
              <w:t>5, 1</w:t>
            </w:r>
            <w:r w:rsidR="00F26A75" w:rsidRPr="008916C2">
              <w:rPr>
                <w:rFonts w:asciiTheme="majorBidi" w:hAnsiTheme="majorBidi" w:cstheme="majorBidi"/>
              </w:rPr>
              <w:t>0</w:t>
            </w:r>
            <w:r w:rsidRPr="008916C2">
              <w:rPr>
                <w:rFonts w:asciiTheme="majorBidi" w:hAnsiTheme="majorBidi" w:cstheme="majorBidi"/>
              </w:rPr>
              <w:t>, 1</w:t>
            </w:r>
            <w:r w:rsidR="00F26A75" w:rsidRPr="008916C2">
              <w:rPr>
                <w:rFonts w:asciiTheme="majorBidi" w:hAnsiTheme="majorBidi" w:cstheme="majorBidi"/>
              </w:rPr>
              <w:t>2</w:t>
            </w:r>
            <w:r w:rsidRPr="008916C2">
              <w:rPr>
                <w:rFonts w:asciiTheme="majorBidi" w:hAnsiTheme="majorBidi" w:cstheme="majorBidi"/>
              </w:rPr>
              <w:t>, 1</w:t>
            </w:r>
            <w:r w:rsidR="00F26A75" w:rsidRPr="008916C2">
              <w:rPr>
                <w:rFonts w:asciiTheme="majorBidi" w:hAnsiTheme="majorBidi" w:cstheme="majorBidi"/>
              </w:rPr>
              <w:t>6</w:t>
            </w:r>
            <w:r w:rsidRPr="008916C2">
              <w:rPr>
                <w:rFonts w:asciiTheme="majorBidi" w:hAnsiTheme="majorBidi" w:cstheme="majorBidi"/>
              </w:rPr>
              <w:t xml:space="preserve">, </w:t>
            </w:r>
            <w:r w:rsidR="00F26A75" w:rsidRPr="008916C2">
              <w:rPr>
                <w:rFonts w:asciiTheme="majorBidi" w:hAnsiTheme="majorBidi" w:cstheme="majorBidi"/>
              </w:rPr>
              <w:t>19</w:t>
            </w:r>
            <w:r w:rsidRPr="008916C2">
              <w:rPr>
                <w:rFonts w:asciiTheme="majorBidi" w:hAnsiTheme="majorBidi" w:cstheme="majorBidi"/>
              </w:rPr>
              <w:t xml:space="preserve">, </w:t>
            </w:r>
            <w:r w:rsidR="00F26A75" w:rsidRPr="008916C2">
              <w:rPr>
                <w:rFonts w:asciiTheme="majorBidi" w:hAnsiTheme="majorBidi" w:cstheme="majorBidi"/>
              </w:rPr>
              <w:t>32</w:t>
            </w:r>
            <w:r w:rsidRPr="008916C2">
              <w:rPr>
                <w:rFonts w:asciiTheme="majorBidi" w:hAnsiTheme="majorBidi" w:cstheme="majorBidi"/>
              </w:rPr>
              <w:t>, 3</w:t>
            </w:r>
            <w:r w:rsidR="00F26A75" w:rsidRPr="008916C2">
              <w:rPr>
                <w:rFonts w:asciiTheme="majorBidi" w:hAnsiTheme="majorBidi" w:cstheme="majorBidi"/>
              </w:rPr>
              <w:t>5</w:t>
            </w:r>
            <w:r w:rsidRPr="008916C2">
              <w:rPr>
                <w:rFonts w:asciiTheme="majorBidi" w:hAnsiTheme="majorBidi" w:cstheme="majorBidi"/>
              </w:rPr>
              <w:t>), one study described a range of deficiency from 4 to 21 ng/mL (2</w:t>
            </w:r>
            <w:r w:rsidR="00F26A75" w:rsidRPr="008916C2">
              <w:rPr>
                <w:rFonts w:asciiTheme="majorBidi" w:hAnsiTheme="majorBidi" w:cstheme="majorBidi"/>
              </w:rPr>
              <w:t>4</w:t>
            </w:r>
            <w:r w:rsidRPr="008916C2">
              <w:rPr>
                <w:rFonts w:asciiTheme="majorBidi" w:hAnsiTheme="majorBidi" w:cstheme="majorBidi"/>
              </w:rPr>
              <w:t>) and finally, one study defined a range from 3 to 8.7 (1). Other ten studies did not mention the applied cut-off point (3, 4, 6, 7, 1</w:t>
            </w:r>
            <w:r w:rsidR="00F26A75" w:rsidRPr="008916C2">
              <w:rPr>
                <w:rFonts w:asciiTheme="majorBidi" w:hAnsiTheme="majorBidi" w:cstheme="majorBidi"/>
              </w:rPr>
              <w:t>3</w:t>
            </w:r>
            <w:r w:rsidRPr="008916C2">
              <w:rPr>
                <w:rFonts w:asciiTheme="majorBidi" w:hAnsiTheme="majorBidi" w:cstheme="majorBidi"/>
              </w:rPr>
              <w:t>, 2</w:t>
            </w:r>
            <w:r w:rsidR="00F26A75" w:rsidRPr="008916C2">
              <w:rPr>
                <w:rFonts w:asciiTheme="majorBidi" w:hAnsiTheme="majorBidi" w:cstheme="majorBidi"/>
              </w:rPr>
              <w:t>6</w:t>
            </w:r>
            <w:r w:rsidRPr="008916C2">
              <w:rPr>
                <w:rFonts w:asciiTheme="majorBidi" w:hAnsiTheme="majorBidi" w:cstheme="majorBidi"/>
              </w:rPr>
              <w:t>-</w:t>
            </w:r>
            <w:r w:rsidR="00F26A75" w:rsidRPr="008916C2">
              <w:rPr>
                <w:rFonts w:asciiTheme="majorBidi" w:hAnsiTheme="majorBidi" w:cstheme="majorBidi"/>
              </w:rPr>
              <w:t>28</w:t>
            </w:r>
            <w:r w:rsidRPr="008916C2">
              <w:rPr>
                <w:rFonts w:asciiTheme="majorBidi" w:hAnsiTheme="majorBidi" w:cstheme="majorBidi"/>
              </w:rPr>
              <w:t>, 3</w:t>
            </w:r>
            <w:r w:rsidR="00F26A75" w:rsidRPr="008916C2">
              <w:rPr>
                <w:rFonts w:asciiTheme="majorBidi" w:hAnsiTheme="majorBidi" w:cstheme="majorBidi"/>
              </w:rPr>
              <w:t>1</w:t>
            </w:r>
            <w:r w:rsidRPr="008916C2">
              <w:rPr>
                <w:rFonts w:asciiTheme="majorBidi" w:hAnsiTheme="majorBidi" w:cstheme="majorBidi"/>
              </w:rPr>
              <w:t>, 3</w:t>
            </w:r>
            <w:r w:rsidR="00F26A75" w:rsidRPr="008916C2">
              <w:rPr>
                <w:rFonts w:asciiTheme="majorBidi" w:hAnsiTheme="majorBidi" w:cstheme="majorBidi"/>
              </w:rPr>
              <w:t>4</w:t>
            </w:r>
            <w:r w:rsidRPr="008916C2">
              <w:rPr>
                <w:rFonts w:asciiTheme="majorBidi" w:hAnsiTheme="majorBidi" w:cstheme="majorBidi"/>
              </w:rPr>
              <w:t xml:space="preserve">). </w:t>
            </w:r>
          </w:p>
          <w:p w14:paraId="0715CA6A" w14:textId="77777777" w:rsidR="00A108E1" w:rsidRPr="008916C2" w:rsidRDefault="00A108E1" w:rsidP="00241AA2">
            <w:pPr>
              <w:bidi w:val="0"/>
              <w:spacing w:line="480" w:lineRule="auto"/>
              <w:jc w:val="both"/>
              <w:rPr>
                <w:rFonts w:asciiTheme="majorBidi" w:hAnsiTheme="majorBidi" w:cstheme="majorBidi"/>
              </w:rPr>
            </w:pPr>
            <w:r w:rsidRPr="008916C2">
              <w:rPr>
                <w:rFonts w:asciiTheme="majorBidi" w:hAnsiTheme="majorBidi" w:cstheme="majorBidi"/>
              </w:rPr>
              <w:t>Sufficient levels of 25-hydroxy</w:t>
            </w:r>
            <w:r w:rsidR="00241AA2" w:rsidRPr="008916C2">
              <w:rPr>
                <w:rFonts w:asciiTheme="majorBidi" w:hAnsiTheme="majorBidi" w:cstheme="majorBidi"/>
              </w:rPr>
              <w:t xml:space="preserve"> </w:t>
            </w:r>
            <w:r w:rsidRPr="008916C2">
              <w:rPr>
                <w:rFonts w:asciiTheme="majorBidi" w:hAnsiTheme="majorBidi" w:cstheme="majorBidi"/>
              </w:rPr>
              <w:t xml:space="preserve">vitamin D were defined as &gt;12 in </w:t>
            </w:r>
            <w:r w:rsidR="00F26A75" w:rsidRPr="008916C2">
              <w:rPr>
                <w:rFonts w:asciiTheme="majorBidi" w:hAnsiTheme="majorBidi" w:cstheme="majorBidi"/>
              </w:rPr>
              <w:t>one</w:t>
            </w:r>
            <w:r w:rsidRPr="008916C2">
              <w:rPr>
                <w:rFonts w:asciiTheme="majorBidi" w:hAnsiTheme="majorBidi" w:cstheme="majorBidi"/>
              </w:rPr>
              <w:t xml:space="preserve"> stud</w:t>
            </w:r>
            <w:r w:rsidR="00F26A75" w:rsidRPr="008916C2">
              <w:rPr>
                <w:rFonts w:asciiTheme="majorBidi" w:hAnsiTheme="majorBidi" w:cstheme="majorBidi"/>
              </w:rPr>
              <w:t>y</w:t>
            </w:r>
            <w:r w:rsidRPr="008916C2">
              <w:rPr>
                <w:rFonts w:asciiTheme="majorBidi" w:hAnsiTheme="majorBidi" w:cstheme="majorBidi"/>
              </w:rPr>
              <w:t xml:space="preserve"> (2</w:t>
            </w:r>
            <w:r w:rsidR="00F26A75" w:rsidRPr="008916C2">
              <w:rPr>
                <w:rFonts w:asciiTheme="majorBidi" w:hAnsiTheme="majorBidi" w:cstheme="majorBidi"/>
              </w:rPr>
              <w:t>2)</w:t>
            </w:r>
            <w:r w:rsidRPr="008916C2">
              <w:rPr>
                <w:rFonts w:asciiTheme="majorBidi" w:hAnsiTheme="majorBidi" w:cstheme="majorBidi"/>
              </w:rPr>
              <w:t>, one study defined as &gt;17.5 (1</w:t>
            </w:r>
            <w:r w:rsidR="00043EC5" w:rsidRPr="008916C2">
              <w:rPr>
                <w:rFonts w:asciiTheme="majorBidi" w:hAnsiTheme="majorBidi" w:cstheme="majorBidi"/>
              </w:rPr>
              <w:t>7</w:t>
            </w:r>
            <w:r w:rsidRPr="008916C2">
              <w:rPr>
                <w:rFonts w:asciiTheme="majorBidi" w:hAnsiTheme="majorBidi" w:cstheme="majorBidi"/>
              </w:rPr>
              <w:t>), one defined as &gt;19.67 (3</w:t>
            </w:r>
            <w:r w:rsidR="00043EC5" w:rsidRPr="008916C2">
              <w:rPr>
                <w:rFonts w:asciiTheme="majorBidi" w:hAnsiTheme="majorBidi" w:cstheme="majorBidi"/>
              </w:rPr>
              <w:t>3</w:t>
            </w:r>
            <w:r w:rsidRPr="008916C2">
              <w:rPr>
                <w:rFonts w:asciiTheme="majorBidi" w:hAnsiTheme="majorBidi" w:cstheme="majorBidi"/>
              </w:rPr>
              <w:t>), ten defined as &gt;20 (</w:t>
            </w:r>
            <w:r w:rsidR="006D4569" w:rsidRPr="008916C2">
              <w:rPr>
                <w:rFonts w:asciiTheme="majorBidi" w:hAnsiTheme="majorBidi" w:cstheme="majorBidi"/>
              </w:rPr>
              <w:t xml:space="preserve">2, </w:t>
            </w:r>
            <w:r w:rsidRPr="008916C2">
              <w:rPr>
                <w:rFonts w:asciiTheme="majorBidi" w:hAnsiTheme="majorBidi" w:cstheme="majorBidi"/>
              </w:rPr>
              <w:t xml:space="preserve">5, </w:t>
            </w:r>
            <w:r w:rsidR="00043EC5" w:rsidRPr="008916C2">
              <w:rPr>
                <w:rFonts w:asciiTheme="majorBidi" w:hAnsiTheme="majorBidi" w:cstheme="majorBidi"/>
              </w:rPr>
              <w:t>9</w:t>
            </w:r>
            <w:r w:rsidRPr="008916C2">
              <w:rPr>
                <w:rFonts w:asciiTheme="majorBidi" w:hAnsiTheme="majorBidi" w:cstheme="majorBidi"/>
              </w:rPr>
              <w:t>-1</w:t>
            </w:r>
            <w:r w:rsidR="00043EC5" w:rsidRPr="008916C2">
              <w:rPr>
                <w:rFonts w:asciiTheme="majorBidi" w:hAnsiTheme="majorBidi" w:cstheme="majorBidi"/>
              </w:rPr>
              <w:t>1</w:t>
            </w:r>
            <w:r w:rsidRPr="008916C2">
              <w:rPr>
                <w:rFonts w:asciiTheme="majorBidi" w:hAnsiTheme="majorBidi" w:cstheme="majorBidi"/>
              </w:rPr>
              <w:t>, 1</w:t>
            </w:r>
            <w:r w:rsidR="00043EC5" w:rsidRPr="008916C2">
              <w:rPr>
                <w:rFonts w:asciiTheme="majorBidi" w:hAnsiTheme="majorBidi" w:cstheme="majorBidi"/>
              </w:rPr>
              <w:t>5</w:t>
            </w:r>
            <w:r w:rsidRPr="008916C2">
              <w:rPr>
                <w:rFonts w:asciiTheme="majorBidi" w:hAnsiTheme="majorBidi" w:cstheme="majorBidi"/>
              </w:rPr>
              <w:t>, 1</w:t>
            </w:r>
            <w:r w:rsidR="00043EC5" w:rsidRPr="008916C2">
              <w:rPr>
                <w:rFonts w:asciiTheme="majorBidi" w:hAnsiTheme="majorBidi" w:cstheme="majorBidi"/>
              </w:rPr>
              <w:t>6</w:t>
            </w:r>
            <w:r w:rsidRPr="008916C2">
              <w:rPr>
                <w:rFonts w:asciiTheme="majorBidi" w:hAnsiTheme="majorBidi" w:cstheme="majorBidi"/>
              </w:rPr>
              <w:t xml:space="preserve">, </w:t>
            </w:r>
            <w:r w:rsidR="00043EC5" w:rsidRPr="008916C2">
              <w:rPr>
                <w:rFonts w:asciiTheme="majorBidi" w:hAnsiTheme="majorBidi" w:cstheme="majorBidi"/>
              </w:rPr>
              <w:t>29</w:t>
            </w:r>
            <w:r w:rsidRPr="008916C2">
              <w:rPr>
                <w:rFonts w:asciiTheme="majorBidi" w:hAnsiTheme="majorBidi" w:cstheme="majorBidi"/>
              </w:rPr>
              <w:t>, 3</w:t>
            </w:r>
            <w:r w:rsidR="00043EC5" w:rsidRPr="008916C2">
              <w:rPr>
                <w:rFonts w:asciiTheme="majorBidi" w:hAnsiTheme="majorBidi" w:cstheme="majorBidi"/>
              </w:rPr>
              <w:t>2</w:t>
            </w:r>
            <w:r w:rsidRPr="008916C2">
              <w:rPr>
                <w:rFonts w:asciiTheme="majorBidi" w:hAnsiTheme="majorBidi" w:cstheme="majorBidi"/>
              </w:rPr>
              <w:t>, 3</w:t>
            </w:r>
            <w:r w:rsidR="00043EC5" w:rsidRPr="008916C2">
              <w:rPr>
                <w:rFonts w:asciiTheme="majorBidi" w:hAnsiTheme="majorBidi" w:cstheme="majorBidi"/>
              </w:rPr>
              <w:t>5</w:t>
            </w:r>
            <w:r w:rsidRPr="008916C2">
              <w:rPr>
                <w:rFonts w:asciiTheme="majorBidi" w:hAnsiTheme="majorBidi" w:cstheme="majorBidi"/>
              </w:rPr>
              <w:t>), one study defined as &gt;20.01 (8), one defined as &gt;22.22 (1</w:t>
            </w:r>
            <w:r w:rsidR="00043EC5" w:rsidRPr="008916C2">
              <w:rPr>
                <w:rFonts w:asciiTheme="majorBidi" w:hAnsiTheme="majorBidi" w:cstheme="majorBidi"/>
              </w:rPr>
              <w:t>4</w:t>
            </w:r>
            <w:r w:rsidRPr="008916C2">
              <w:rPr>
                <w:rFonts w:asciiTheme="majorBidi" w:hAnsiTheme="majorBidi" w:cstheme="majorBidi"/>
              </w:rPr>
              <w:t>), one defined as&gt;25 (2</w:t>
            </w:r>
            <w:r w:rsidR="00043EC5" w:rsidRPr="008916C2">
              <w:rPr>
                <w:rFonts w:asciiTheme="majorBidi" w:hAnsiTheme="majorBidi" w:cstheme="majorBidi"/>
              </w:rPr>
              <w:t>3</w:t>
            </w:r>
            <w:r w:rsidRPr="008916C2">
              <w:rPr>
                <w:rFonts w:asciiTheme="majorBidi" w:hAnsiTheme="majorBidi" w:cstheme="majorBidi"/>
              </w:rPr>
              <w:t>), one defined as ≥27.6 (2</w:t>
            </w:r>
            <w:r w:rsidR="00043EC5" w:rsidRPr="008916C2">
              <w:rPr>
                <w:rFonts w:asciiTheme="majorBidi" w:hAnsiTheme="majorBidi" w:cstheme="majorBidi"/>
              </w:rPr>
              <w:t>5</w:t>
            </w:r>
            <w:r w:rsidRPr="008916C2">
              <w:rPr>
                <w:rFonts w:asciiTheme="majorBidi" w:hAnsiTheme="majorBidi" w:cstheme="majorBidi"/>
              </w:rPr>
              <w:t>), seven defined as &gt;30 (9, 1</w:t>
            </w:r>
            <w:r w:rsidR="00043EC5" w:rsidRPr="008916C2">
              <w:rPr>
                <w:rFonts w:asciiTheme="majorBidi" w:hAnsiTheme="majorBidi" w:cstheme="majorBidi"/>
              </w:rPr>
              <w:t>2</w:t>
            </w:r>
            <w:r w:rsidRPr="008916C2">
              <w:rPr>
                <w:rFonts w:asciiTheme="majorBidi" w:hAnsiTheme="majorBidi" w:cstheme="majorBidi"/>
              </w:rPr>
              <w:t>, 1</w:t>
            </w:r>
            <w:r w:rsidR="00043EC5" w:rsidRPr="008916C2">
              <w:rPr>
                <w:rFonts w:asciiTheme="majorBidi" w:hAnsiTheme="majorBidi" w:cstheme="majorBidi"/>
              </w:rPr>
              <w:t>8</w:t>
            </w:r>
            <w:r w:rsidRPr="008916C2">
              <w:rPr>
                <w:rFonts w:asciiTheme="majorBidi" w:hAnsiTheme="majorBidi" w:cstheme="majorBidi"/>
              </w:rPr>
              <w:t xml:space="preserve">, </w:t>
            </w:r>
            <w:r w:rsidR="00043EC5" w:rsidRPr="008916C2">
              <w:rPr>
                <w:rFonts w:asciiTheme="majorBidi" w:hAnsiTheme="majorBidi" w:cstheme="majorBidi"/>
              </w:rPr>
              <w:t>19</w:t>
            </w:r>
            <w:r w:rsidRPr="008916C2">
              <w:rPr>
                <w:rFonts w:asciiTheme="majorBidi" w:hAnsiTheme="majorBidi" w:cstheme="majorBidi"/>
              </w:rPr>
              <w:t>-2</w:t>
            </w:r>
            <w:r w:rsidR="00043EC5" w:rsidRPr="008916C2">
              <w:rPr>
                <w:rFonts w:asciiTheme="majorBidi" w:hAnsiTheme="majorBidi" w:cstheme="majorBidi"/>
              </w:rPr>
              <w:t>1</w:t>
            </w:r>
            <w:r w:rsidRPr="008916C2">
              <w:rPr>
                <w:rFonts w:asciiTheme="majorBidi" w:hAnsiTheme="majorBidi" w:cstheme="majorBidi"/>
              </w:rPr>
              <w:t>, 3</w:t>
            </w:r>
            <w:r w:rsidR="00043EC5" w:rsidRPr="008916C2">
              <w:rPr>
                <w:rFonts w:asciiTheme="majorBidi" w:hAnsiTheme="majorBidi" w:cstheme="majorBidi"/>
              </w:rPr>
              <w:t>0</w:t>
            </w:r>
            <w:r w:rsidRPr="008916C2">
              <w:rPr>
                <w:rFonts w:asciiTheme="majorBidi" w:hAnsiTheme="majorBidi" w:cstheme="majorBidi"/>
              </w:rPr>
              <w:t>), one study described a range of deficiency from 32.68 to 95.36 ng/mL (2</w:t>
            </w:r>
            <w:r w:rsidR="00043EC5" w:rsidRPr="008916C2">
              <w:rPr>
                <w:rFonts w:asciiTheme="majorBidi" w:hAnsiTheme="majorBidi" w:cstheme="majorBidi"/>
              </w:rPr>
              <w:t>4</w:t>
            </w:r>
            <w:r w:rsidRPr="008916C2">
              <w:rPr>
                <w:rFonts w:asciiTheme="majorBidi" w:hAnsiTheme="majorBidi" w:cstheme="majorBidi"/>
              </w:rPr>
              <w:t>) and the last one defined a range from 23.0 to</w:t>
            </w:r>
            <w:r w:rsidR="00241AA2" w:rsidRPr="008916C2">
              <w:rPr>
                <w:rFonts w:asciiTheme="majorBidi" w:hAnsiTheme="majorBidi" w:cstheme="majorBidi"/>
              </w:rPr>
              <w:t xml:space="preserve"> </w:t>
            </w:r>
            <w:r w:rsidRPr="008916C2">
              <w:rPr>
                <w:rFonts w:asciiTheme="majorBidi" w:hAnsiTheme="majorBidi" w:cstheme="majorBidi"/>
              </w:rPr>
              <w:t>178.1 (1). Other ten studies did not mention the applied cut-off point (3, 4, 6, 7, 1</w:t>
            </w:r>
            <w:r w:rsidR="00043EC5" w:rsidRPr="008916C2">
              <w:rPr>
                <w:rFonts w:asciiTheme="majorBidi" w:hAnsiTheme="majorBidi" w:cstheme="majorBidi"/>
              </w:rPr>
              <w:t>3</w:t>
            </w:r>
            <w:r w:rsidRPr="008916C2">
              <w:rPr>
                <w:rFonts w:asciiTheme="majorBidi" w:hAnsiTheme="majorBidi" w:cstheme="majorBidi"/>
              </w:rPr>
              <w:t>, 2</w:t>
            </w:r>
            <w:r w:rsidR="00043EC5" w:rsidRPr="008916C2">
              <w:rPr>
                <w:rFonts w:asciiTheme="majorBidi" w:hAnsiTheme="majorBidi" w:cstheme="majorBidi"/>
              </w:rPr>
              <w:t>6</w:t>
            </w:r>
            <w:r w:rsidRPr="008916C2">
              <w:rPr>
                <w:rFonts w:asciiTheme="majorBidi" w:hAnsiTheme="majorBidi" w:cstheme="majorBidi"/>
              </w:rPr>
              <w:t>-</w:t>
            </w:r>
            <w:r w:rsidR="00043EC5" w:rsidRPr="008916C2">
              <w:rPr>
                <w:rFonts w:asciiTheme="majorBidi" w:hAnsiTheme="majorBidi" w:cstheme="majorBidi"/>
              </w:rPr>
              <w:t>28</w:t>
            </w:r>
            <w:r w:rsidRPr="008916C2">
              <w:rPr>
                <w:rFonts w:asciiTheme="majorBidi" w:hAnsiTheme="majorBidi" w:cstheme="majorBidi"/>
              </w:rPr>
              <w:t>, 3</w:t>
            </w:r>
            <w:r w:rsidR="00043EC5" w:rsidRPr="008916C2">
              <w:rPr>
                <w:rFonts w:asciiTheme="majorBidi" w:hAnsiTheme="majorBidi" w:cstheme="majorBidi"/>
              </w:rPr>
              <w:t>1</w:t>
            </w:r>
            <w:r w:rsidRPr="008916C2">
              <w:rPr>
                <w:rFonts w:asciiTheme="majorBidi" w:hAnsiTheme="majorBidi" w:cstheme="majorBidi"/>
              </w:rPr>
              <w:t>, 3</w:t>
            </w:r>
            <w:r w:rsidR="00043EC5" w:rsidRPr="008916C2">
              <w:rPr>
                <w:rFonts w:asciiTheme="majorBidi" w:hAnsiTheme="majorBidi" w:cstheme="majorBidi"/>
              </w:rPr>
              <w:t>4</w:t>
            </w:r>
            <w:r w:rsidRPr="008916C2">
              <w:rPr>
                <w:rFonts w:asciiTheme="majorBidi" w:hAnsiTheme="majorBidi" w:cstheme="majorBidi"/>
              </w:rPr>
              <w:t xml:space="preserve">). </w:t>
            </w:r>
          </w:p>
          <w:p w14:paraId="6A02F8CE" w14:textId="77777777" w:rsidR="00A108E1" w:rsidRPr="008916C2" w:rsidRDefault="00A108E1" w:rsidP="00A108E1">
            <w:pPr>
              <w:bidi w:val="0"/>
              <w:spacing w:line="480" w:lineRule="auto"/>
              <w:jc w:val="both"/>
              <w:rPr>
                <w:rFonts w:asciiTheme="majorBidi" w:hAnsiTheme="majorBidi" w:cstheme="majorBidi"/>
              </w:rPr>
            </w:pPr>
            <w:r w:rsidRPr="008916C2">
              <w:rPr>
                <w:rFonts w:asciiTheme="majorBidi" w:hAnsiTheme="majorBidi" w:cstheme="majorBidi"/>
              </w:rPr>
              <w:t>Various methods were employed to assess circulating 25(OH)D concentrations, including radioimmunoassay (RIA) (n=</w:t>
            </w:r>
            <w:r w:rsidR="00043EC5" w:rsidRPr="008916C2">
              <w:rPr>
                <w:rFonts w:asciiTheme="majorBidi" w:hAnsiTheme="majorBidi" w:cstheme="majorBidi"/>
              </w:rPr>
              <w:t>7</w:t>
            </w:r>
            <w:r w:rsidRPr="008916C2">
              <w:rPr>
                <w:rFonts w:asciiTheme="majorBidi" w:hAnsiTheme="majorBidi" w:cstheme="majorBidi"/>
              </w:rPr>
              <w:t>) (1</w:t>
            </w:r>
            <w:r w:rsidR="00043EC5" w:rsidRPr="008916C2">
              <w:rPr>
                <w:rFonts w:asciiTheme="majorBidi" w:hAnsiTheme="majorBidi" w:cstheme="majorBidi"/>
              </w:rPr>
              <w:t>0</w:t>
            </w:r>
            <w:r w:rsidRPr="008916C2">
              <w:rPr>
                <w:rFonts w:asciiTheme="majorBidi" w:hAnsiTheme="majorBidi" w:cstheme="majorBidi"/>
              </w:rPr>
              <w:t>, 1</w:t>
            </w:r>
            <w:r w:rsidR="00043EC5" w:rsidRPr="008916C2">
              <w:rPr>
                <w:rFonts w:asciiTheme="majorBidi" w:hAnsiTheme="majorBidi" w:cstheme="majorBidi"/>
              </w:rPr>
              <w:t>2</w:t>
            </w:r>
            <w:r w:rsidRPr="008916C2">
              <w:rPr>
                <w:rFonts w:asciiTheme="majorBidi" w:hAnsiTheme="majorBidi" w:cstheme="majorBidi"/>
              </w:rPr>
              <w:t>, 1</w:t>
            </w:r>
            <w:r w:rsidR="00043EC5" w:rsidRPr="008916C2">
              <w:rPr>
                <w:rFonts w:asciiTheme="majorBidi" w:hAnsiTheme="majorBidi" w:cstheme="majorBidi"/>
              </w:rPr>
              <w:t>5</w:t>
            </w:r>
            <w:r w:rsidRPr="008916C2">
              <w:rPr>
                <w:rFonts w:asciiTheme="majorBidi" w:hAnsiTheme="majorBidi" w:cstheme="majorBidi"/>
              </w:rPr>
              <w:t xml:space="preserve">, </w:t>
            </w:r>
            <w:r w:rsidR="00043EC5" w:rsidRPr="008916C2">
              <w:rPr>
                <w:rFonts w:asciiTheme="majorBidi" w:hAnsiTheme="majorBidi" w:cstheme="majorBidi"/>
              </w:rPr>
              <w:t>21</w:t>
            </w:r>
            <w:r w:rsidRPr="008916C2">
              <w:rPr>
                <w:rFonts w:asciiTheme="majorBidi" w:hAnsiTheme="majorBidi" w:cstheme="majorBidi"/>
              </w:rPr>
              <w:t>, 2</w:t>
            </w:r>
            <w:r w:rsidR="00043EC5" w:rsidRPr="008916C2">
              <w:rPr>
                <w:rFonts w:asciiTheme="majorBidi" w:hAnsiTheme="majorBidi" w:cstheme="majorBidi"/>
              </w:rPr>
              <w:t>5</w:t>
            </w:r>
            <w:r w:rsidRPr="008916C2">
              <w:rPr>
                <w:rFonts w:asciiTheme="majorBidi" w:hAnsiTheme="majorBidi" w:cstheme="majorBidi"/>
              </w:rPr>
              <w:t xml:space="preserve">, </w:t>
            </w:r>
            <w:r w:rsidR="00043EC5" w:rsidRPr="008916C2">
              <w:rPr>
                <w:rFonts w:asciiTheme="majorBidi" w:hAnsiTheme="majorBidi" w:cstheme="majorBidi"/>
              </w:rPr>
              <w:t>28</w:t>
            </w:r>
            <w:r w:rsidRPr="008916C2">
              <w:rPr>
                <w:rFonts w:asciiTheme="majorBidi" w:hAnsiTheme="majorBidi" w:cstheme="majorBidi"/>
              </w:rPr>
              <w:t>, 3</w:t>
            </w:r>
            <w:r w:rsidR="00043EC5" w:rsidRPr="008916C2">
              <w:rPr>
                <w:rFonts w:asciiTheme="majorBidi" w:hAnsiTheme="majorBidi" w:cstheme="majorBidi"/>
              </w:rPr>
              <w:t>2</w:t>
            </w:r>
            <w:r w:rsidRPr="008916C2">
              <w:rPr>
                <w:rFonts w:asciiTheme="majorBidi" w:hAnsiTheme="majorBidi" w:cstheme="majorBidi"/>
              </w:rPr>
              <w:t>), electrochemiluminescence (ECL) (n=</w:t>
            </w:r>
            <w:r w:rsidR="00043EC5" w:rsidRPr="008916C2">
              <w:rPr>
                <w:rFonts w:asciiTheme="majorBidi" w:hAnsiTheme="majorBidi" w:cstheme="majorBidi"/>
              </w:rPr>
              <w:t>6</w:t>
            </w:r>
            <w:r w:rsidRPr="008916C2">
              <w:rPr>
                <w:rFonts w:asciiTheme="majorBidi" w:hAnsiTheme="majorBidi" w:cstheme="majorBidi"/>
              </w:rPr>
              <w:t>) (1, 6, 8, 2</w:t>
            </w:r>
            <w:r w:rsidR="00043EC5" w:rsidRPr="008916C2">
              <w:rPr>
                <w:rFonts w:asciiTheme="majorBidi" w:hAnsiTheme="majorBidi" w:cstheme="majorBidi"/>
              </w:rPr>
              <w:t>6</w:t>
            </w:r>
            <w:r w:rsidRPr="008916C2">
              <w:rPr>
                <w:rFonts w:asciiTheme="majorBidi" w:hAnsiTheme="majorBidi" w:cstheme="majorBidi"/>
              </w:rPr>
              <w:t>, 3</w:t>
            </w:r>
            <w:r w:rsidR="00043EC5" w:rsidRPr="008916C2">
              <w:rPr>
                <w:rFonts w:asciiTheme="majorBidi" w:hAnsiTheme="majorBidi" w:cstheme="majorBidi"/>
              </w:rPr>
              <w:t>0</w:t>
            </w:r>
            <w:r w:rsidRPr="008916C2">
              <w:rPr>
                <w:rFonts w:asciiTheme="majorBidi" w:hAnsiTheme="majorBidi" w:cstheme="majorBidi"/>
              </w:rPr>
              <w:t>, 3</w:t>
            </w:r>
            <w:r w:rsidR="00043EC5" w:rsidRPr="008916C2">
              <w:rPr>
                <w:rFonts w:asciiTheme="majorBidi" w:hAnsiTheme="majorBidi" w:cstheme="majorBidi"/>
              </w:rPr>
              <w:t>5</w:t>
            </w:r>
            <w:r w:rsidRPr="008916C2">
              <w:rPr>
                <w:rFonts w:asciiTheme="majorBidi" w:hAnsiTheme="majorBidi" w:cstheme="majorBidi"/>
              </w:rPr>
              <w:t>), liquid chromatography-tandem mass spectrometry (LC-MS/ MS) (n=5) (</w:t>
            </w:r>
            <w:r w:rsidR="006D4569" w:rsidRPr="008916C2">
              <w:rPr>
                <w:rFonts w:asciiTheme="majorBidi" w:hAnsiTheme="majorBidi" w:cstheme="majorBidi"/>
              </w:rPr>
              <w:t>2-</w:t>
            </w:r>
            <w:r w:rsidRPr="008916C2">
              <w:rPr>
                <w:rFonts w:asciiTheme="majorBidi" w:hAnsiTheme="majorBidi" w:cstheme="majorBidi"/>
              </w:rPr>
              <w:t xml:space="preserve">4, </w:t>
            </w:r>
            <w:r w:rsidR="00043EC5" w:rsidRPr="008916C2">
              <w:rPr>
                <w:rFonts w:asciiTheme="majorBidi" w:hAnsiTheme="majorBidi" w:cstheme="majorBidi"/>
              </w:rPr>
              <w:t>19</w:t>
            </w:r>
            <w:r w:rsidRPr="008916C2">
              <w:rPr>
                <w:rFonts w:asciiTheme="majorBidi" w:hAnsiTheme="majorBidi" w:cstheme="majorBidi"/>
              </w:rPr>
              <w:t>, 2</w:t>
            </w:r>
            <w:r w:rsidR="00043EC5" w:rsidRPr="008916C2">
              <w:rPr>
                <w:rFonts w:asciiTheme="majorBidi" w:hAnsiTheme="majorBidi" w:cstheme="majorBidi"/>
              </w:rPr>
              <w:t>0</w:t>
            </w:r>
            <w:r w:rsidRPr="008916C2">
              <w:rPr>
                <w:rFonts w:asciiTheme="majorBidi" w:hAnsiTheme="majorBidi" w:cstheme="majorBidi"/>
              </w:rPr>
              <w:t>), immunoassay (n=2) (</w:t>
            </w:r>
            <w:r w:rsidR="00043EC5" w:rsidRPr="008916C2">
              <w:rPr>
                <w:rFonts w:asciiTheme="majorBidi" w:hAnsiTheme="majorBidi" w:cstheme="majorBidi"/>
              </w:rPr>
              <w:t>9</w:t>
            </w:r>
            <w:r w:rsidRPr="008916C2">
              <w:rPr>
                <w:rFonts w:asciiTheme="majorBidi" w:hAnsiTheme="majorBidi" w:cstheme="majorBidi"/>
              </w:rPr>
              <w:t xml:space="preserve">, </w:t>
            </w:r>
            <w:r w:rsidR="00043EC5" w:rsidRPr="008916C2">
              <w:rPr>
                <w:rFonts w:asciiTheme="majorBidi" w:hAnsiTheme="majorBidi" w:cstheme="majorBidi"/>
              </w:rPr>
              <w:t>24</w:t>
            </w:r>
            <w:r w:rsidRPr="008916C2">
              <w:rPr>
                <w:rFonts w:asciiTheme="majorBidi" w:hAnsiTheme="majorBidi" w:cstheme="majorBidi"/>
              </w:rPr>
              <w:t>), enzyme-linked immunosorbent assay (ELISA) (n=1) (1</w:t>
            </w:r>
            <w:r w:rsidR="00043EC5" w:rsidRPr="008916C2">
              <w:rPr>
                <w:rFonts w:asciiTheme="majorBidi" w:hAnsiTheme="majorBidi" w:cstheme="majorBidi"/>
              </w:rPr>
              <w:t>8</w:t>
            </w:r>
            <w:r w:rsidRPr="008916C2">
              <w:rPr>
                <w:rFonts w:asciiTheme="majorBidi" w:hAnsiTheme="majorBidi" w:cstheme="majorBidi"/>
              </w:rPr>
              <w:t xml:space="preserve">), chemiluminescent immunoassay (CLIA) (n=5) (5, 7, </w:t>
            </w:r>
            <w:r w:rsidR="00043EC5" w:rsidRPr="008916C2">
              <w:rPr>
                <w:rFonts w:asciiTheme="majorBidi" w:hAnsiTheme="majorBidi" w:cstheme="majorBidi"/>
              </w:rPr>
              <w:t>29</w:t>
            </w:r>
            <w:r w:rsidRPr="008916C2">
              <w:rPr>
                <w:rFonts w:asciiTheme="majorBidi" w:hAnsiTheme="majorBidi" w:cstheme="majorBidi"/>
              </w:rPr>
              <w:t>, 3</w:t>
            </w:r>
            <w:r w:rsidR="00043EC5" w:rsidRPr="008916C2">
              <w:rPr>
                <w:rFonts w:asciiTheme="majorBidi" w:hAnsiTheme="majorBidi" w:cstheme="majorBidi"/>
              </w:rPr>
              <w:t>3</w:t>
            </w:r>
            <w:r w:rsidRPr="008916C2">
              <w:rPr>
                <w:rFonts w:asciiTheme="majorBidi" w:hAnsiTheme="majorBidi" w:cstheme="majorBidi"/>
              </w:rPr>
              <w:t>, 3</w:t>
            </w:r>
            <w:r w:rsidR="00043EC5" w:rsidRPr="008916C2">
              <w:rPr>
                <w:rFonts w:asciiTheme="majorBidi" w:hAnsiTheme="majorBidi" w:cstheme="majorBidi"/>
              </w:rPr>
              <w:t>4</w:t>
            </w:r>
            <w:r w:rsidRPr="008916C2">
              <w:rPr>
                <w:rFonts w:asciiTheme="majorBidi" w:hAnsiTheme="majorBidi" w:cstheme="majorBidi"/>
              </w:rPr>
              <w:t>), competitive protein binding assay (CPBA) (n=1) (1</w:t>
            </w:r>
            <w:r w:rsidR="00043EC5" w:rsidRPr="008916C2">
              <w:rPr>
                <w:rFonts w:asciiTheme="majorBidi" w:hAnsiTheme="majorBidi" w:cstheme="majorBidi"/>
              </w:rPr>
              <w:t>1</w:t>
            </w:r>
            <w:r w:rsidRPr="008916C2">
              <w:rPr>
                <w:rFonts w:asciiTheme="majorBidi" w:hAnsiTheme="majorBidi" w:cstheme="majorBidi"/>
              </w:rPr>
              <w:t>), radio</w:t>
            </w:r>
            <w:r w:rsidR="00241AA2" w:rsidRPr="008916C2">
              <w:rPr>
                <w:rFonts w:asciiTheme="majorBidi" w:hAnsiTheme="majorBidi" w:cstheme="majorBidi"/>
              </w:rPr>
              <w:t>-</w:t>
            </w:r>
            <w:r w:rsidRPr="008916C2">
              <w:rPr>
                <w:rFonts w:asciiTheme="majorBidi" w:hAnsiTheme="majorBidi" w:cstheme="majorBidi"/>
              </w:rPr>
              <w:t>receptor assay (n=1) (2</w:t>
            </w:r>
            <w:r w:rsidR="00043EC5" w:rsidRPr="008916C2">
              <w:rPr>
                <w:rFonts w:asciiTheme="majorBidi" w:hAnsiTheme="majorBidi" w:cstheme="majorBidi"/>
              </w:rPr>
              <w:t>2</w:t>
            </w:r>
            <w:r w:rsidRPr="008916C2">
              <w:rPr>
                <w:rFonts w:asciiTheme="majorBidi" w:hAnsiTheme="majorBidi" w:cstheme="majorBidi"/>
              </w:rPr>
              <w:t>), liquid chromatography (HPLC) (n=1) (1</w:t>
            </w:r>
            <w:r w:rsidR="00043EC5" w:rsidRPr="008916C2">
              <w:rPr>
                <w:rFonts w:asciiTheme="majorBidi" w:hAnsiTheme="majorBidi" w:cstheme="majorBidi"/>
              </w:rPr>
              <w:t>6</w:t>
            </w:r>
            <w:r w:rsidRPr="008916C2">
              <w:rPr>
                <w:rFonts w:asciiTheme="majorBidi" w:hAnsiTheme="majorBidi" w:cstheme="majorBidi"/>
              </w:rPr>
              <w:t>) and other six studies did not mention the method (1</w:t>
            </w:r>
            <w:r w:rsidR="00043EC5" w:rsidRPr="008916C2">
              <w:rPr>
                <w:rFonts w:asciiTheme="majorBidi" w:hAnsiTheme="majorBidi" w:cstheme="majorBidi"/>
              </w:rPr>
              <w:t>3</w:t>
            </w:r>
            <w:r w:rsidRPr="008916C2">
              <w:rPr>
                <w:rFonts w:asciiTheme="majorBidi" w:hAnsiTheme="majorBidi" w:cstheme="majorBidi"/>
              </w:rPr>
              <w:t>, 1</w:t>
            </w:r>
            <w:r w:rsidR="00043EC5" w:rsidRPr="008916C2">
              <w:rPr>
                <w:rFonts w:asciiTheme="majorBidi" w:hAnsiTheme="majorBidi" w:cstheme="majorBidi"/>
              </w:rPr>
              <w:t>6</w:t>
            </w:r>
            <w:r w:rsidRPr="008916C2">
              <w:rPr>
                <w:rFonts w:asciiTheme="majorBidi" w:hAnsiTheme="majorBidi" w:cstheme="majorBidi"/>
              </w:rPr>
              <w:t>, 1</w:t>
            </w:r>
            <w:r w:rsidR="00043EC5" w:rsidRPr="008916C2">
              <w:rPr>
                <w:rFonts w:asciiTheme="majorBidi" w:hAnsiTheme="majorBidi" w:cstheme="majorBidi"/>
              </w:rPr>
              <w:t>7</w:t>
            </w:r>
            <w:r w:rsidRPr="008916C2">
              <w:rPr>
                <w:rFonts w:asciiTheme="majorBidi" w:hAnsiTheme="majorBidi" w:cstheme="majorBidi"/>
              </w:rPr>
              <w:t>, 2</w:t>
            </w:r>
            <w:r w:rsidR="00043EC5" w:rsidRPr="008916C2">
              <w:rPr>
                <w:rFonts w:asciiTheme="majorBidi" w:hAnsiTheme="majorBidi" w:cstheme="majorBidi"/>
              </w:rPr>
              <w:t>3</w:t>
            </w:r>
            <w:r w:rsidRPr="008916C2">
              <w:rPr>
                <w:rFonts w:asciiTheme="majorBidi" w:hAnsiTheme="majorBidi" w:cstheme="majorBidi"/>
              </w:rPr>
              <w:t xml:space="preserve">, </w:t>
            </w:r>
            <w:r w:rsidR="00043EC5" w:rsidRPr="008916C2">
              <w:rPr>
                <w:rFonts w:asciiTheme="majorBidi" w:hAnsiTheme="majorBidi" w:cstheme="majorBidi"/>
              </w:rPr>
              <w:t>27</w:t>
            </w:r>
            <w:r w:rsidRPr="008916C2">
              <w:rPr>
                <w:rFonts w:asciiTheme="majorBidi" w:hAnsiTheme="majorBidi" w:cstheme="majorBidi"/>
              </w:rPr>
              <w:t>, 3</w:t>
            </w:r>
            <w:r w:rsidR="00043EC5" w:rsidRPr="008916C2">
              <w:rPr>
                <w:rFonts w:asciiTheme="majorBidi" w:hAnsiTheme="majorBidi" w:cstheme="majorBidi"/>
              </w:rPr>
              <w:t>1</w:t>
            </w:r>
            <w:r w:rsidRPr="008916C2">
              <w:rPr>
                <w:rFonts w:asciiTheme="majorBidi" w:hAnsiTheme="majorBidi" w:cstheme="majorBidi"/>
              </w:rPr>
              <w:t>).</w:t>
            </w:r>
          </w:p>
          <w:p w14:paraId="0F0FEECD" w14:textId="77777777" w:rsidR="00A108E1" w:rsidRPr="008916C2" w:rsidRDefault="00A108E1" w:rsidP="00A108E1">
            <w:pPr>
              <w:bidi w:val="0"/>
              <w:spacing w:line="480" w:lineRule="auto"/>
              <w:jc w:val="both"/>
              <w:rPr>
                <w:rFonts w:asciiTheme="majorBidi" w:hAnsiTheme="majorBidi" w:cstheme="majorBidi"/>
              </w:rPr>
            </w:pPr>
            <w:r w:rsidRPr="008916C2">
              <w:rPr>
                <w:rFonts w:asciiTheme="majorBidi" w:hAnsiTheme="majorBidi" w:cstheme="majorBidi"/>
              </w:rPr>
              <w:t>The majority of studies (n = 2</w:t>
            </w:r>
            <w:r w:rsidR="00043EC5" w:rsidRPr="008916C2">
              <w:rPr>
                <w:rFonts w:asciiTheme="majorBidi" w:hAnsiTheme="majorBidi" w:cstheme="majorBidi"/>
              </w:rPr>
              <w:t>1</w:t>
            </w:r>
            <w:r w:rsidRPr="008916C2">
              <w:rPr>
                <w:rFonts w:asciiTheme="majorBidi" w:hAnsiTheme="majorBidi" w:cstheme="majorBidi"/>
              </w:rPr>
              <w:t>) utilized the Fried criteria to evaluate frailty status of participants (1</w:t>
            </w:r>
            <w:r w:rsidR="006D4569" w:rsidRPr="008916C2">
              <w:rPr>
                <w:rFonts w:asciiTheme="majorBidi" w:hAnsiTheme="majorBidi" w:cstheme="majorBidi"/>
              </w:rPr>
              <w:t>-</w:t>
            </w:r>
            <w:r w:rsidRPr="008916C2">
              <w:rPr>
                <w:rFonts w:asciiTheme="majorBidi" w:hAnsiTheme="majorBidi" w:cstheme="majorBidi"/>
              </w:rPr>
              <w:t>3, 5-</w:t>
            </w:r>
            <w:r w:rsidR="00043EC5" w:rsidRPr="008916C2">
              <w:rPr>
                <w:rFonts w:asciiTheme="majorBidi" w:hAnsiTheme="majorBidi" w:cstheme="majorBidi"/>
              </w:rPr>
              <w:t>8</w:t>
            </w:r>
            <w:r w:rsidRPr="008916C2">
              <w:rPr>
                <w:rFonts w:asciiTheme="majorBidi" w:hAnsiTheme="majorBidi" w:cstheme="majorBidi"/>
              </w:rPr>
              <w:t>, 1</w:t>
            </w:r>
            <w:r w:rsidR="00043EC5" w:rsidRPr="008916C2">
              <w:rPr>
                <w:rFonts w:asciiTheme="majorBidi" w:hAnsiTheme="majorBidi" w:cstheme="majorBidi"/>
              </w:rPr>
              <w:t>0</w:t>
            </w:r>
            <w:r w:rsidRPr="008916C2">
              <w:rPr>
                <w:rFonts w:asciiTheme="majorBidi" w:hAnsiTheme="majorBidi" w:cstheme="majorBidi"/>
              </w:rPr>
              <w:t>, 1</w:t>
            </w:r>
            <w:r w:rsidR="00043EC5" w:rsidRPr="008916C2">
              <w:rPr>
                <w:rFonts w:asciiTheme="majorBidi" w:hAnsiTheme="majorBidi" w:cstheme="majorBidi"/>
              </w:rPr>
              <w:t>3</w:t>
            </w:r>
            <w:r w:rsidRPr="008916C2">
              <w:rPr>
                <w:rFonts w:asciiTheme="majorBidi" w:hAnsiTheme="majorBidi" w:cstheme="majorBidi"/>
              </w:rPr>
              <w:t>, 1</w:t>
            </w:r>
            <w:r w:rsidR="00043EC5" w:rsidRPr="008916C2">
              <w:rPr>
                <w:rFonts w:asciiTheme="majorBidi" w:hAnsiTheme="majorBidi" w:cstheme="majorBidi"/>
              </w:rPr>
              <w:t>4</w:t>
            </w:r>
            <w:r w:rsidRPr="008916C2">
              <w:rPr>
                <w:rFonts w:asciiTheme="majorBidi" w:hAnsiTheme="majorBidi" w:cstheme="majorBidi"/>
              </w:rPr>
              <w:t>, 1</w:t>
            </w:r>
            <w:r w:rsidR="00043EC5" w:rsidRPr="008916C2">
              <w:rPr>
                <w:rFonts w:asciiTheme="majorBidi" w:hAnsiTheme="majorBidi" w:cstheme="majorBidi"/>
              </w:rPr>
              <w:t>8</w:t>
            </w:r>
            <w:r w:rsidRPr="008916C2">
              <w:rPr>
                <w:rFonts w:asciiTheme="majorBidi" w:hAnsiTheme="majorBidi" w:cstheme="majorBidi"/>
              </w:rPr>
              <w:t xml:space="preserve">, </w:t>
            </w:r>
            <w:r w:rsidR="00043EC5" w:rsidRPr="008916C2">
              <w:rPr>
                <w:rFonts w:asciiTheme="majorBidi" w:hAnsiTheme="majorBidi" w:cstheme="majorBidi"/>
              </w:rPr>
              <w:t>19</w:t>
            </w:r>
            <w:r w:rsidRPr="008916C2">
              <w:rPr>
                <w:rFonts w:asciiTheme="majorBidi" w:hAnsiTheme="majorBidi" w:cstheme="majorBidi"/>
              </w:rPr>
              <w:t>, 2</w:t>
            </w:r>
            <w:r w:rsidR="00043EC5" w:rsidRPr="008916C2">
              <w:rPr>
                <w:rFonts w:asciiTheme="majorBidi" w:hAnsiTheme="majorBidi" w:cstheme="majorBidi"/>
              </w:rPr>
              <w:t>0</w:t>
            </w:r>
            <w:r w:rsidRPr="008916C2">
              <w:rPr>
                <w:rFonts w:asciiTheme="majorBidi" w:hAnsiTheme="majorBidi" w:cstheme="majorBidi"/>
              </w:rPr>
              <w:t>, 2</w:t>
            </w:r>
            <w:r w:rsidR="00043EC5" w:rsidRPr="008916C2">
              <w:rPr>
                <w:rFonts w:asciiTheme="majorBidi" w:hAnsiTheme="majorBidi" w:cstheme="majorBidi"/>
              </w:rPr>
              <w:t>2, 23</w:t>
            </w:r>
            <w:r w:rsidRPr="008916C2">
              <w:rPr>
                <w:rFonts w:asciiTheme="majorBidi" w:hAnsiTheme="majorBidi" w:cstheme="majorBidi"/>
              </w:rPr>
              <w:t>, 2</w:t>
            </w:r>
            <w:r w:rsidR="00043EC5" w:rsidRPr="008916C2">
              <w:rPr>
                <w:rFonts w:asciiTheme="majorBidi" w:hAnsiTheme="majorBidi" w:cstheme="majorBidi"/>
              </w:rPr>
              <w:t>5</w:t>
            </w:r>
            <w:r w:rsidRPr="008916C2">
              <w:rPr>
                <w:rFonts w:asciiTheme="majorBidi" w:hAnsiTheme="majorBidi" w:cstheme="majorBidi"/>
              </w:rPr>
              <w:t xml:space="preserve">, </w:t>
            </w:r>
            <w:r w:rsidR="00043EC5" w:rsidRPr="008916C2">
              <w:rPr>
                <w:rFonts w:asciiTheme="majorBidi" w:hAnsiTheme="majorBidi" w:cstheme="majorBidi"/>
              </w:rPr>
              <w:t>28</w:t>
            </w:r>
            <w:r w:rsidRPr="008916C2">
              <w:rPr>
                <w:rFonts w:asciiTheme="majorBidi" w:hAnsiTheme="majorBidi" w:cstheme="majorBidi"/>
              </w:rPr>
              <w:t>, 3</w:t>
            </w:r>
            <w:r w:rsidR="00043EC5" w:rsidRPr="008916C2">
              <w:rPr>
                <w:rFonts w:asciiTheme="majorBidi" w:hAnsiTheme="majorBidi" w:cstheme="majorBidi"/>
              </w:rPr>
              <w:t>0</w:t>
            </w:r>
            <w:r w:rsidRPr="008916C2">
              <w:rPr>
                <w:rFonts w:asciiTheme="majorBidi" w:hAnsiTheme="majorBidi" w:cstheme="majorBidi"/>
              </w:rPr>
              <w:t>-3, 37</w:t>
            </w:r>
            <w:r w:rsidR="006D4569" w:rsidRPr="008916C2">
              <w:rPr>
                <w:rFonts w:asciiTheme="majorBidi" w:hAnsiTheme="majorBidi" w:cstheme="majorBidi"/>
              </w:rPr>
              <w:t>, 38</w:t>
            </w:r>
            <w:r w:rsidRPr="008916C2">
              <w:rPr>
                <w:rFonts w:asciiTheme="majorBidi" w:hAnsiTheme="majorBidi" w:cstheme="majorBidi"/>
              </w:rPr>
              <w:t>). Modified Fried criteria (n=2) (2</w:t>
            </w:r>
            <w:r w:rsidR="00043EC5" w:rsidRPr="008916C2">
              <w:rPr>
                <w:rFonts w:asciiTheme="majorBidi" w:hAnsiTheme="majorBidi" w:cstheme="majorBidi"/>
              </w:rPr>
              <w:t>1</w:t>
            </w:r>
            <w:r w:rsidRPr="008916C2">
              <w:rPr>
                <w:rFonts w:asciiTheme="majorBidi" w:hAnsiTheme="majorBidi" w:cstheme="majorBidi"/>
              </w:rPr>
              <w:t xml:space="preserve">, </w:t>
            </w:r>
            <w:r w:rsidR="00043EC5" w:rsidRPr="008916C2">
              <w:rPr>
                <w:rFonts w:asciiTheme="majorBidi" w:hAnsiTheme="majorBidi" w:cstheme="majorBidi"/>
              </w:rPr>
              <w:t>27</w:t>
            </w:r>
            <w:r w:rsidRPr="008916C2">
              <w:rPr>
                <w:rFonts w:asciiTheme="majorBidi" w:hAnsiTheme="majorBidi" w:cstheme="majorBidi"/>
              </w:rPr>
              <w:t>) and Chinese version of Fried criteria (n=1) also were used (2</w:t>
            </w:r>
            <w:r w:rsidR="00043EC5" w:rsidRPr="008916C2">
              <w:rPr>
                <w:rFonts w:asciiTheme="majorBidi" w:hAnsiTheme="majorBidi" w:cstheme="majorBidi"/>
              </w:rPr>
              <w:t>6</w:t>
            </w:r>
            <w:r w:rsidRPr="008916C2">
              <w:rPr>
                <w:rFonts w:asciiTheme="majorBidi" w:hAnsiTheme="majorBidi" w:cstheme="majorBidi"/>
              </w:rPr>
              <w:t>). A frailty index was used in three other studies (</w:t>
            </w:r>
            <w:r w:rsidR="00043EC5" w:rsidRPr="008916C2">
              <w:rPr>
                <w:rFonts w:asciiTheme="majorBidi" w:hAnsiTheme="majorBidi" w:cstheme="majorBidi"/>
              </w:rPr>
              <w:t>9</w:t>
            </w:r>
            <w:r w:rsidRPr="008916C2">
              <w:rPr>
                <w:rFonts w:asciiTheme="majorBidi" w:hAnsiTheme="majorBidi" w:cstheme="majorBidi"/>
              </w:rPr>
              <w:t>, 1</w:t>
            </w:r>
            <w:r w:rsidR="00043EC5" w:rsidRPr="008916C2">
              <w:rPr>
                <w:rFonts w:asciiTheme="majorBidi" w:hAnsiTheme="majorBidi" w:cstheme="majorBidi"/>
              </w:rPr>
              <w:t>6</w:t>
            </w:r>
            <w:r w:rsidRPr="008916C2">
              <w:rPr>
                <w:rFonts w:asciiTheme="majorBidi" w:hAnsiTheme="majorBidi" w:cstheme="majorBidi"/>
              </w:rPr>
              <w:t>, 1</w:t>
            </w:r>
            <w:r w:rsidR="00043EC5" w:rsidRPr="008916C2">
              <w:rPr>
                <w:rFonts w:asciiTheme="majorBidi" w:hAnsiTheme="majorBidi" w:cstheme="majorBidi"/>
              </w:rPr>
              <w:t>7</w:t>
            </w:r>
            <w:r w:rsidRPr="008916C2">
              <w:rPr>
                <w:rFonts w:asciiTheme="majorBidi" w:hAnsiTheme="majorBidi" w:cstheme="majorBidi"/>
              </w:rPr>
              <w:t>), the FRAIL scale in two studies (1</w:t>
            </w:r>
            <w:r w:rsidR="00043EC5" w:rsidRPr="008916C2">
              <w:rPr>
                <w:rFonts w:asciiTheme="majorBidi" w:hAnsiTheme="majorBidi" w:cstheme="majorBidi"/>
              </w:rPr>
              <w:t>5</w:t>
            </w:r>
            <w:r w:rsidRPr="008916C2">
              <w:rPr>
                <w:rFonts w:asciiTheme="majorBidi" w:hAnsiTheme="majorBidi" w:cstheme="majorBidi"/>
              </w:rPr>
              <w:t>, 2</w:t>
            </w:r>
            <w:r w:rsidR="00043EC5" w:rsidRPr="008916C2">
              <w:rPr>
                <w:rFonts w:asciiTheme="majorBidi" w:hAnsiTheme="majorBidi" w:cstheme="majorBidi"/>
              </w:rPr>
              <w:t>4</w:t>
            </w:r>
            <w:r w:rsidRPr="008916C2">
              <w:rPr>
                <w:rFonts w:asciiTheme="majorBidi" w:hAnsiTheme="majorBidi" w:cstheme="majorBidi"/>
              </w:rPr>
              <w:t>), the SOF index in one study (</w:t>
            </w:r>
            <w:r w:rsidR="00043EC5" w:rsidRPr="008916C2">
              <w:rPr>
                <w:rFonts w:asciiTheme="majorBidi" w:hAnsiTheme="majorBidi" w:cstheme="majorBidi"/>
              </w:rPr>
              <w:t>29</w:t>
            </w:r>
            <w:r w:rsidRPr="008916C2">
              <w:rPr>
                <w:rFonts w:asciiTheme="majorBidi" w:hAnsiTheme="majorBidi" w:cstheme="majorBidi"/>
              </w:rPr>
              <w:t>), a frailty indicator in another study (1</w:t>
            </w:r>
            <w:r w:rsidR="00043EC5" w:rsidRPr="008916C2">
              <w:rPr>
                <w:rFonts w:asciiTheme="majorBidi" w:hAnsiTheme="majorBidi" w:cstheme="majorBidi"/>
              </w:rPr>
              <w:t>1</w:t>
            </w:r>
            <w:r w:rsidRPr="008916C2">
              <w:rPr>
                <w:rFonts w:asciiTheme="majorBidi" w:hAnsiTheme="majorBidi" w:cstheme="majorBidi"/>
              </w:rPr>
              <w:t>), Osteoporotic fractures index in one study (3</w:t>
            </w:r>
            <w:r w:rsidR="00043EC5" w:rsidRPr="008916C2">
              <w:rPr>
                <w:rFonts w:asciiTheme="majorBidi" w:hAnsiTheme="majorBidi" w:cstheme="majorBidi"/>
              </w:rPr>
              <w:t>3</w:t>
            </w:r>
            <w:r w:rsidRPr="008916C2">
              <w:rPr>
                <w:rFonts w:asciiTheme="majorBidi" w:hAnsiTheme="majorBidi" w:cstheme="majorBidi"/>
              </w:rPr>
              <w:t>), and one study did not mention the applied criteria (3</w:t>
            </w:r>
            <w:r w:rsidR="00043EC5" w:rsidRPr="008916C2">
              <w:rPr>
                <w:rFonts w:asciiTheme="majorBidi" w:hAnsiTheme="majorBidi" w:cstheme="majorBidi"/>
              </w:rPr>
              <w:t>1</w:t>
            </w:r>
            <w:r w:rsidRPr="008916C2">
              <w:rPr>
                <w:rFonts w:asciiTheme="majorBidi" w:hAnsiTheme="majorBidi" w:cstheme="majorBidi"/>
              </w:rPr>
              <w:t>). Both frailty index and Fried criteria were used in one study (1</w:t>
            </w:r>
            <w:r w:rsidR="00043EC5" w:rsidRPr="008916C2">
              <w:rPr>
                <w:rFonts w:asciiTheme="majorBidi" w:hAnsiTheme="majorBidi" w:cstheme="majorBidi"/>
              </w:rPr>
              <w:t>2</w:t>
            </w:r>
            <w:r w:rsidRPr="008916C2">
              <w:rPr>
                <w:rFonts w:asciiTheme="majorBidi" w:hAnsiTheme="majorBidi" w:cstheme="majorBidi"/>
              </w:rPr>
              <w:t xml:space="preserve">). The last study utilized the frailty index, Fried criteria, and FRAIL scale (4). </w:t>
            </w:r>
          </w:p>
          <w:p w14:paraId="7148DA87" w14:textId="77777777" w:rsidR="00355FC0" w:rsidRPr="008916C2" w:rsidRDefault="00A108E1" w:rsidP="00A108E1">
            <w:pPr>
              <w:bidi w:val="0"/>
              <w:spacing w:line="480" w:lineRule="auto"/>
              <w:jc w:val="both"/>
              <w:rPr>
                <w:rFonts w:asciiTheme="majorBidi" w:hAnsiTheme="majorBidi" w:cstheme="majorBidi"/>
              </w:rPr>
            </w:pPr>
            <w:r w:rsidRPr="008916C2">
              <w:rPr>
                <w:rFonts w:asciiTheme="majorBidi" w:hAnsiTheme="majorBidi" w:cstheme="majorBidi"/>
              </w:rPr>
              <w:t xml:space="preserve">Among the included studies, all of them had adjustment for age. Also, most studies considered sex (n = </w:t>
            </w:r>
            <w:r w:rsidR="0094205A" w:rsidRPr="008916C2">
              <w:rPr>
                <w:rFonts w:asciiTheme="majorBidi" w:hAnsiTheme="majorBidi" w:cstheme="majorBidi"/>
              </w:rPr>
              <w:t>19</w:t>
            </w:r>
            <w:r w:rsidRPr="008916C2">
              <w:rPr>
                <w:rFonts w:asciiTheme="majorBidi" w:hAnsiTheme="majorBidi" w:cstheme="majorBidi"/>
              </w:rPr>
              <w:t xml:space="preserve">), BMI (n = </w:t>
            </w:r>
            <w:r w:rsidR="0094205A" w:rsidRPr="008916C2">
              <w:rPr>
                <w:rFonts w:asciiTheme="majorBidi" w:hAnsiTheme="majorBidi" w:cstheme="majorBidi"/>
              </w:rPr>
              <w:t>18</w:t>
            </w:r>
            <w:r w:rsidRPr="008916C2">
              <w:rPr>
                <w:rFonts w:asciiTheme="majorBidi" w:hAnsiTheme="majorBidi" w:cstheme="majorBidi"/>
              </w:rPr>
              <w:t>), education (n = 1</w:t>
            </w:r>
            <w:r w:rsidR="0094205A" w:rsidRPr="008916C2">
              <w:rPr>
                <w:rFonts w:asciiTheme="majorBidi" w:hAnsiTheme="majorBidi" w:cstheme="majorBidi"/>
              </w:rPr>
              <w:t>5</w:t>
            </w:r>
            <w:r w:rsidRPr="008916C2">
              <w:rPr>
                <w:rFonts w:asciiTheme="majorBidi" w:hAnsiTheme="majorBidi" w:cstheme="majorBidi"/>
              </w:rPr>
              <w:t>), smoking (n = 2</w:t>
            </w:r>
            <w:r w:rsidR="0094205A" w:rsidRPr="008916C2">
              <w:rPr>
                <w:rFonts w:asciiTheme="majorBidi" w:hAnsiTheme="majorBidi" w:cstheme="majorBidi"/>
              </w:rPr>
              <w:t>0</w:t>
            </w:r>
            <w:r w:rsidRPr="008916C2">
              <w:rPr>
                <w:rFonts w:asciiTheme="majorBidi" w:hAnsiTheme="majorBidi" w:cstheme="majorBidi"/>
              </w:rPr>
              <w:t>), alcohol intake (n = 1</w:t>
            </w:r>
            <w:r w:rsidR="0094205A" w:rsidRPr="008916C2">
              <w:rPr>
                <w:rFonts w:asciiTheme="majorBidi" w:hAnsiTheme="majorBidi" w:cstheme="majorBidi"/>
              </w:rPr>
              <w:t>2</w:t>
            </w:r>
            <w:r w:rsidRPr="008916C2">
              <w:rPr>
                <w:rFonts w:asciiTheme="majorBidi" w:hAnsiTheme="majorBidi" w:cstheme="majorBidi"/>
              </w:rPr>
              <w:t>), physical activity (n = 7), season of blood draw (n=1</w:t>
            </w:r>
            <w:r w:rsidR="0094205A" w:rsidRPr="008916C2">
              <w:rPr>
                <w:rFonts w:asciiTheme="majorBidi" w:hAnsiTheme="majorBidi" w:cstheme="majorBidi"/>
              </w:rPr>
              <w:t>7</w:t>
            </w:r>
            <w:r w:rsidRPr="008916C2">
              <w:rPr>
                <w:rFonts w:asciiTheme="majorBidi" w:hAnsiTheme="majorBidi" w:cstheme="majorBidi"/>
              </w:rPr>
              <w:t>) and vitamin D supplementation (n=6) as the potential confounding variables. Two studies did not define any adjustment. According to the ROBINS-I tools, the quality scores of the included studies could be low, moderate or serious risk of bias</w:t>
            </w:r>
            <w:r w:rsidR="00355FC0" w:rsidRPr="008916C2">
              <w:rPr>
                <w:rFonts w:asciiTheme="majorBidi" w:hAnsiTheme="majorBidi" w:cstheme="majorBidi"/>
              </w:rPr>
              <w:t xml:space="preserve">. </w:t>
            </w:r>
            <w:r w:rsidR="00090820" w:rsidRPr="008916C2">
              <w:rPr>
                <w:rFonts w:asciiTheme="majorBidi" w:hAnsiTheme="majorBidi" w:cstheme="majorBidi"/>
              </w:rPr>
              <w:t>Among all studies,</w:t>
            </w:r>
            <w:r w:rsidR="00355FC0" w:rsidRPr="008916C2">
              <w:rPr>
                <w:rFonts w:asciiTheme="majorBidi" w:hAnsiTheme="majorBidi" w:cstheme="majorBidi"/>
              </w:rPr>
              <w:t xml:space="preserve"> </w:t>
            </w:r>
            <w:r w:rsidR="0027786C" w:rsidRPr="008916C2">
              <w:rPr>
                <w:rFonts w:asciiTheme="majorBidi" w:hAnsiTheme="majorBidi" w:cstheme="majorBidi"/>
              </w:rPr>
              <w:t>17</w:t>
            </w:r>
            <w:r w:rsidR="00355FC0" w:rsidRPr="008916C2">
              <w:rPr>
                <w:rFonts w:asciiTheme="majorBidi" w:hAnsiTheme="majorBidi" w:cstheme="majorBidi"/>
              </w:rPr>
              <w:t xml:space="preserve"> studies were included in the moderate group and </w:t>
            </w:r>
            <w:r w:rsidR="0027786C" w:rsidRPr="008916C2">
              <w:rPr>
                <w:rFonts w:asciiTheme="majorBidi" w:hAnsiTheme="majorBidi" w:cstheme="majorBidi"/>
              </w:rPr>
              <w:t>18</w:t>
            </w:r>
            <w:r w:rsidR="00355FC0" w:rsidRPr="008916C2">
              <w:rPr>
                <w:rFonts w:asciiTheme="majorBidi" w:hAnsiTheme="majorBidi" w:cstheme="majorBidi"/>
              </w:rPr>
              <w:t xml:space="preserve"> </w:t>
            </w:r>
            <w:r w:rsidR="00241AA2" w:rsidRPr="008916C2">
              <w:rPr>
                <w:rFonts w:asciiTheme="majorBidi" w:hAnsiTheme="majorBidi" w:cstheme="majorBidi"/>
              </w:rPr>
              <w:t xml:space="preserve">other </w:t>
            </w:r>
            <w:r w:rsidR="00355FC0" w:rsidRPr="008916C2">
              <w:rPr>
                <w:rFonts w:asciiTheme="majorBidi" w:hAnsiTheme="majorBidi" w:cstheme="majorBidi"/>
              </w:rPr>
              <w:t>studies were serious</w:t>
            </w:r>
            <w:r w:rsidR="00241AA2" w:rsidRPr="008916C2">
              <w:rPr>
                <w:rFonts w:asciiTheme="majorBidi" w:hAnsiTheme="majorBidi" w:cstheme="majorBidi"/>
              </w:rPr>
              <w:t>.</w:t>
            </w:r>
          </w:p>
        </w:tc>
      </w:tr>
    </w:tbl>
    <w:p w14:paraId="44F06891" w14:textId="77777777" w:rsidR="00355FC0" w:rsidRPr="008916C2" w:rsidRDefault="00355FC0" w:rsidP="00355FC0">
      <w:pPr>
        <w:bidi w:val="0"/>
        <w:rPr>
          <w:rFonts w:asciiTheme="majorBidi" w:hAnsiTheme="majorBidi" w:cstheme="majorBidi"/>
          <w:b/>
          <w:bCs/>
        </w:rPr>
      </w:pPr>
      <w:r w:rsidRPr="008916C2">
        <w:rPr>
          <w:rFonts w:asciiTheme="majorBidi" w:hAnsiTheme="majorBidi" w:cstheme="majorBidi"/>
          <w:b/>
          <w:bCs/>
        </w:rPr>
        <w:t>REFERENCES</w:t>
      </w:r>
    </w:p>
    <w:p w14:paraId="55E85924" w14:textId="77777777" w:rsidR="003F0F9E" w:rsidRPr="008916C2" w:rsidRDefault="003F0F9E" w:rsidP="003F0F9E">
      <w:pPr>
        <w:bidi w:val="0"/>
      </w:pPr>
      <w:r w:rsidRPr="008916C2">
        <w:t>1.</w:t>
      </w:r>
      <w:r w:rsidRPr="008916C2">
        <w:tab/>
        <w:t>Sousa-Santos AR, Afonso C, Santos A, Borges N, Moreira P, Padrão P, et al. The association between 25(OH)D levels, frailty status and obesity indices in older adults. PLoS One. 2018;13(8):e0198650.</w:t>
      </w:r>
    </w:p>
    <w:p w14:paraId="4DB0AB72" w14:textId="77777777" w:rsidR="006D4569" w:rsidRPr="008916C2" w:rsidRDefault="003F0F9E" w:rsidP="006D4569">
      <w:pPr>
        <w:bidi w:val="0"/>
        <w:rPr>
          <w:rtl/>
        </w:rPr>
      </w:pPr>
      <w:r w:rsidRPr="008916C2">
        <w:t>2.</w:t>
      </w:r>
      <w:r w:rsidRPr="008916C2">
        <w:tab/>
      </w:r>
      <w:r w:rsidR="006D4569" w:rsidRPr="008916C2">
        <w:t>Vaes AMM, Brouwer-Brolsma EM, Toussaint N, de Regt M, Tieland M, van Loon LJC, et al. The association between 25-hydroxyvitamin D concentration, physical performance and frailty status in older adults. European Journal of Nutrition. 2019;58(3):1173-81.</w:t>
      </w:r>
    </w:p>
    <w:p w14:paraId="0DAE0770" w14:textId="77777777" w:rsidR="003F0F9E" w:rsidRPr="008916C2" w:rsidRDefault="003F0F9E" w:rsidP="003F0F9E">
      <w:pPr>
        <w:bidi w:val="0"/>
      </w:pPr>
      <w:r w:rsidRPr="008916C2">
        <w:t>3.</w:t>
      </w:r>
      <w:r w:rsidRPr="008916C2">
        <w:tab/>
        <w:t>van den Berg KS, Arts MHL, Collard RM, van den Brink RHS, Comijs HC, Marijnissen RM, et al. Vitamin D deficiency and course of frailty in a depressed older population. Aging Ment Health. 2020;24(1):49-55.</w:t>
      </w:r>
    </w:p>
    <w:p w14:paraId="6860110D" w14:textId="77777777" w:rsidR="003F0F9E" w:rsidRPr="008916C2" w:rsidRDefault="003F0F9E" w:rsidP="003F0F9E">
      <w:pPr>
        <w:bidi w:val="0"/>
      </w:pPr>
      <w:r w:rsidRPr="008916C2">
        <w:t>4.</w:t>
      </w:r>
      <w:r w:rsidRPr="008916C2">
        <w:tab/>
        <w:t>O'Halloran AM, Laird EJ, Feeney J, Healy M, Moran R, Beatty S, et al. Circulating Micronutrient Biomarkers Are Associated With 3 Measures of Frailty: Evidence From the Irish Longitudinal Study on Ageing. Journal of the American Medical Directors Association. 2020;21(2):240-7.e5.</w:t>
      </w:r>
    </w:p>
    <w:p w14:paraId="487B16DC" w14:textId="77777777" w:rsidR="003F0F9E" w:rsidRPr="008916C2" w:rsidRDefault="003F0F9E" w:rsidP="003F0F9E">
      <w:pPr>
        <w:bidi w:val="0"/>
      </w:pPr>
      <w:r w:rsidRPr="008916C2">
        <w:t>5.</w:t>
      </w:r>
      <w:r w:rsidRPr="008916C2">
        <w:tab/>
        <w:t>Spira D, Buchmann N, König M, Rosada A, Steinhagen-Thiessen E, Demuth I, et al. Sex-specific differences in the association of vitamin D with low lean mass and frailty: Results from the Berlin Aging Study II. Nutrition. 2019;62:1-6.</w:t>
      </w:r>
    </w:p>
    <w:p w14:paraId="0525B3FB" w14:textId="18F5C063" w:rsidR="0033051A" w:rsidRDefault="003F0F9E" w:rsidP="0033051A">
      <w:pPr>
        <w:bidi w:val="0"/>
      </w:pPr>
      <w:r w:rsidRPr="008916C2">
        <w:t>6.</w:t>
      </w:r>
      <w:r w:rsidRPr="008916C2">
        <w:tab/>
      </w:r>
      <w:r w:rsidR="0033051A">
        <w:t>Kilaitė J, Mastavičiūtė A, Tamulaitienė M, Alekna V. Association of frailty with vitamin D in elderly women. Bone Abstracts. 2016;5:P268</w:t>
      </w:r>
      <w:r w:rsidR="00DE5256">
        <w:t>.</w:t>
      </w:r>
    </w:p>
    <w:p w14:paraId="789D8A2F" w14:textId="47CFACD1" w:rsidR="003F0F9E" w:rsidRPr="008916C2" w:rsidRDefault="003F0F9E" w:rsidP="0033051A">
      <w:pPr>
        <w:bidi w:val="0"/>
      </w:pPr>
      <w:r w:rsidRPr="008916C2">
        <w:t>7.</w:t>
      </w:r>
      <w:r w:rsidRPr="008916C2">
        <w:tab/>
        <w:t>Krams T, Cesari M, Guyonnet S, Abellan Van Kan G, Cantet C, Vellas B, et al. Is the 25-Hydroxy-Vitamin D Serum Concentration a Good Marker of Frailty? J Nutr Health Aging. 2016;20(10):1034-9.</w:t>
      </w:r>
    </w:p>
    <w:p w14:paraId="4ECB1AB2" w14:textId="77777777" w:rsidR="003F0F9E" w:rsidRPr="008916C2" w:rsidRDefault="003F0F9E" w:rsidP="003F0F9E">
      <w:pPr>
        <w:bidi w:val="0"/>
      </w:pPr>
      <w:r w:rsidRPr="008916C2">
        <w:t>8.</w:t>
      </w:r>
      <w:r w:rsidRPr="008916C2">
        <w:tab/>
        <w:t>Alvarez-Ríos AI, Guerrero JM, García-García FJ, Rodríguez-Mañas L, Medrano-Campillo P, de la Torre Lanza MA, et al. Associations between frailty and serum N-terminal propeptide of type I procollagen and 25-hydroxyvitamin D in older Spanish women: The Toledo Study for Healthy Aging. Exp Gerontol. 2015;69:79-84.</w:t>
      </w:r>
    </w:p>
    <w:p w14:paraId="60CBEE9C" w14:textId="77777777" w:rsidR="003F0F9E" w:rsidRPr="008916C2" w:rsidRDefault="003F0F9E" w:rsidP="00904846">
      <w:pPr>
        <w:bidi w:val="0"/>
      </w:pPr>
      <w:r w:rsidRPr="008916C2">
        <w:t>9.</w:t>
      </w:r>
      <w:r w:rsidRPr="008916C2">
        <w:tab/>
        <w:t>Schöttker B, Saum KU, Perna L, Ordóñez-Mena JM, Holleczek B, Brenner H. Is vitamin D deficiency a cause of increased morbidity and mortality at older age or simply an indicator of poor health? Eur J Epidemiol. 2014;29(3):199-210.</w:t>
      </w:r>
    </w:p>
    <w:p w14:paraId="0A8DCF9C" w14:textId="77777777" w:rsidR="003F0F9E" w:rsidRPr="008916C2" w:rsidRDefault="003F0F9E" w:rsidP="003F0F9E">
      <w:pPr>
        <w:bidi w:val="0"/>
      </w:pPr>
      <w:r w:rsidRPr="008916C2">
        <w:t>1</w:t>
      </w:r>
      <w:r w:rsidR="00904846" w:rsidRPr="008916C2">
        <w:t>0</w:t>
      </w:r>
      <w:r w:rsidRPr="008916C2">
        <w:t>.</w:t>
      </w:r>
      <w:r w:rsidRPr="008916C2">
        <w:tab/>
        <w:t>Shardell M, Hicks GE, Miller RR, Kritchevsky S, Andersen D, Bandinelli S, et al. Association of low vitamin D levels with the frailty syndrome in men and women. J Gerontol A Biol Sci Med Sci. 2009;64(1):69-75.</w:t>
      </w:r>
    </w:p>
    <w:p w14:paraId="7D624D97" w14:textId="77777777" w:rsidR="003F0F9E" w:rsidRPr="008916C2" w:rsidRDefault="003F0F9E" w:rsidP="003F0F9E">
      <w:pPr>
        <w:bidi w:val="0"/>
      </w:pPr>
      <w:r w:rsidRPr="008916C2">
        <w:t>1</w:t>
      </w:r>
      <w:r w:rsidR="00904846" w:rsidRPr="008916C2">
        <w:t>1</w:t>
      </w:r>
      <w:r w:rsidRPr="008916C2">
        <w:t>.</w:t>
      </w:r>
      <w:r w:rsidRPr="008916C2">
        <w:tab/>
        <w:t>Puts MT, Visser M, Twisk JW, Deeg DJ, Lips P. Endocrine and inflammatory markers as predictors of frailty. Clin Endocrinol (Oxf). 2005;63(4):403-11.</w:t>
      </w:r>
    </w:p>
    <w:p w14:paraId="3F47835B" w14:textId="77777777" w:rsidR="003F0F9E" w:rsidRPr="008916C2" w:rsidRDefault="003F0F9E" w:rsidP="003F0F9E">
      <w:pPr>
        <w:bidi w:val="0"/>
      </w:pPr>
      <w:r w:rsidRPr="008916C2">
        <w:t>1</w:t>
      </w:r>
      <w:r w:rsidR="00904846" w:rsidRPr="008916C2">
        <w:t>2</w:t>
      </w:r>
      <w:r w:rsidRPr="008916C2">
        <w:t>.</w:t>
      </w:r>
      <w:r w:rsidRPr="008916C2">
        <w:tab/>
        <w:t>Tajar A, Lee DM, Pye SR, O'Connell MD, Ravindrarajah R, Gielen E, et al. The association of frailty with serum 25-hydroxyvitamin D and parathyroid hormone levels in older European men. Age Ageing. 2013;42(3):352-9.</w:t>
      </w:r>
    </w:p>
    <w:p w14:paraId="35870A4F" w14:textId="77777777" w:rsidR="003F0F9E" w:rsidRPr="008916C2" w:rsidRDefault="003F0F9E" w:rsidP="003F0F9E">
      <w:pPr>
        <w:bidi w:val="0"/>
      </w:pPr>
      <w:r w:rsidRPr="008916C2">
        <w:t>1</w:t>
      </w:r>
      <w:r w:rsidR="00904846" w:rsidRPr="008916C2">
        <w:t>3</w:t>
      </w:r>
      <w:r w:rsidRPr="008916C2">
        <w:t>.</w:t>
      </w:r>
      <w:r w:rsidRPr="008916C2">
        <w:tab/>
        <w:t>Zhang P, Zhong J, Liu X, Sun W. The association between dynamic changes in vitamin D and frailty alterations: A prospective analysis of UK Biobank participants. J Cachexia Sarcopenia Muscle. 2024;15(5):1722-32.</w:t>
      </w:r>
    </w:p>
    <w:p w14:paraId="18A340C8" w14:textId="77777777" w:rsidR="003F0F9E" w:rsidRPr="008916C2" w:rsidRDefault="003F0F9E" w:rsidP="003F0F9E">
      <w:pPr>
        <w:bidi w:val="0"/>
      </w:pPr>
      <w:r w:rsidRPr="008916C2">
        <w:t>1</w:t>
      </w:r>
      <w:r w:rsidR="00904846" w:rsidRPr="008916C2">
        <w:t>4</w:t>
      </w:r>
      <w:r w:rsidRPr="008916C2">
        <w:t>.</w:t>
      </w:r>
      <w:r w:rsidRPr="008916C2">
        <w:tab/>
        <w:t>Kochlik B, Stuetz W, Pérès K, Pilleron S, Féart C, García García FJ, et al. Associations of fat-soluble micronutrients and redox biomarkers with frailty status in the FRAILOMIC initiative. J Cachexia Sarcopenia Muscle. 2019;10(6):1339-46.</w:t>
      </w:r>
    </w:p>
    <w:p w14:paraId="49F90874" w14:textId="77777777" w:rsidR="003F0F9E" w:rsidRPr="008916C2" w:rsidRDefault="003F0F9E" w:rsidP="003F0F9E">
      <w:pPr>
        <w:bidi w:val="0"/>
      </w:pPr>
      <w:r w:rsidRPr="008916C2">
        <w:t>1</w:t>
      </w:r>
      <w:r w:rsidR="00904846" w:rsidRPr="008916C2">
        <w:t>5</w:t>
      </w:r>
      <w:r w:rsidRPr="008916C2">
        <w:t>.</w:t>
      </w:r>
      <w:r w:rsidRPr="008916C2">
        <w:tab/>
        <w:t>Zheng Z, Xu W, Wang F, Qiu Y, Xue Q. Association between vitamin D3 levels and frailty in the elderly: A large sample cross-sectional study. Frontiers in Nutrition. 2022;9.</w:t>
      </w:r>
    </w:p>
    <w:p w14:paraId="71C63523" w14:textId="77777777" w:rsidR="003F0F9E" w:rsidRPr="008916C2" w:rsidRDefault="003F0F9E" w:rsidP="003F0F9E">
      <w:pPr>
        <w:bidi w:val="0"/>
        <w:rPr>
          <w:rtl/>
        </w:rPr>
      </w:pPr>
      <w:r w:rsidRPr="008916C2">
        <w:t>1</w:t>
      </w:r>
      <w:r w:rsidR="00904846" w:rsidRPr="008916C2">
        <w:t>6</w:t>
      </w:r>
      <w:r w:rsidRPr="008916C2">
        <w:t>.</w:t>
      </w:r>
      <w:r w:rsidRPr="008916C2">
        <w:tab/>
        <w:t>Pérez-Zepeda MU, García-Peña C, Carrillo-Vega MF. Individual and cumulative association of commonly used biomarkers on frailty: a cross-sectional analysis of the Mexican Health and Aging Study. Aging Clinical and Experimental Research. 2019;31(10):1429-34.</w:t>
      </w:r>
    </w:p>
    <w:p w14:paraId="5BF1683D" w14:textId="77777777" w:rsidR="003F0F9E" w:rsidRPr="008916C2" w:rsidRDefault="003F0F9E" w:rsidP="003F0F9E">
      <w:pPr>
        <w:bidi w:val="0"/>
      </w:pPr>
      <w:r w:rsidRPr="008916C2">
        <w:t>1</w:t>
      </w:r>
      <w:r w:rsidR="00904846" w:rsidRPr="008916C2">
        <w:t>7</w:t>
      </w:r>
      <w:r w:rsidRPr="008916C2">
        <w:t>.</w:t>
      </w:r>
      <w:r w:rsidRPr="008916C2">
        <w:tab/>
        <w:t>Kojima G, Iliffe S, Tanabe M. Vitamin D supplementation as a potential cause of U-shaped associations between vitamin D levels and negative health outcomes: a decision tree analysis for risk of frailty. BMC Geriatr. 2017;17(1):236.</w:t>
      </w:r>
    </w:p>
    <w:p w14:paraId="5738D4FC" w14:textId="77777777" w:rsidR="003F0F9E" w:rsidRPr="008916C2" w:rsidRDefault="003F0F9E" w:rsidP="003F0F9E">
      <w:pPr>
        <w:bidi w:val="0"/>
      </w:pPr>
      <w:r w:rsidRPr="008916C2">
        <w:t>1</w:t>
      </w:r>
      <w:r w:rsidR="00904846" w:rsidRPr="008916C2">
        <w:t>8</w:t>
      </w:r>
      <w:r w:rsidRPr="008916C2">
        <w:t>.</w:t>
      </w:r>
      <w:r w:rsidRPr="008916C2">
        <w:tab/>
        <w:t>Gutiérrez-Robledo LM, Ávila-Funes JA, Amieva H, Meillon C, Acosta JL, Navarrete-Reyes AP, et al. Association of low serum 25-hydroxyvitamin D levels with the frailty syndrome in Mexican community-dwelling elderly. Aging Male. 2016;19(1):58-63.</w:t>
      </w:r>
    </w:p>
    <w:p w14:paraId="3A4FA5CF" w14:textId="77777777" w:rsidR="003F0F9E" w:rsidRPr="008916C2" w:rsidRDefault="00904846" w:rsidP="00904846">
      <w:pPr>
        <w:bidi w:val="0"/>
      </w:pPr>
      <w:r w:rsidRPr="008916C2">
        <w:t>19</w:t>
      </w:r>
      <w:r w:rsidR="003F0F9E" w:rsidRPr="008916C2">
        <w:t>.</w:t>
      </w:r>
      <w:r w:rsidR="003F0F9E" w:rsidRPr="008916C2">
        <w:tab/>
        <w:t>Ensrud KE, Blackwell TL, Cauley JA, Cummings SR, Barrett-Connor E, Dam TT, et al. Circulating 25-hydroxyvitamin D levels and frailty in older men: the osteoporotic fractures in men study. J Am Geriatr Soc. 2011;59(1):101-6.</w:t>
      </w:r>
    </w:p>
    <w:p w14:paraId="1C98BD02" w14:textId="77777777" w:rsidR="003F0F9E" w:rsidRPr="008916C2" w:rsidRDefault="003F0F9E" w:rsidP="003F0F9E">
      <w:pPr>
        <w:bidi w:val="0"/>
      </w:pPr>
      <w:r w:rsidRPr="008916C2">
        <w:t>2</w:t>
      </w:r>
      <w:r w:rsidR="00904846" w:rsidRPr="008916C2">
        <w:t>0</w:t>
      </w:r>
      <w:r w:rsidRPr="008916C2">
        <w:t>.</w:t>
      </w:r>
      <w:r w:rsidRPr="008916C2">
        <w:tab/>
        <w:t>Ensrud KE, Ewing SK, Fredman L, Hochberg MC, Cauley JA, Hillier TA, et al. Circulating 25-hydroxyvitamin D levels and frailty status in older women. J Clin Endocrinol Metab. 2010;95(12):5266-73.</w:t>
      </w:r>
    </w:p>
    <w:p w14:paraId="2A97C228" w14:textId="77777777" w:rsidR="003F0F9E" w:rsidRPr="008916C2" w:rsidRDefault="003F0F9E" w:rsidP="003F0F9E">
      <w:pPr>
        <w:bidi w:val="0"/>
      </w:pPr>
      <w:r w:rsidRPr="008916C2">
        <w:t>2</w:t>
      </w:r>
      <w:r w:rsidR="00431358" w:rsidRPr="008916C2">
        <w:t>1</w:t>
      </w:r>
      <w:r w:rsidRPr="008916C2">
        <w:t>.</w:t>
      </w:r>
      <w:r w:rsidRPr="008916C2">
        <w:tab/>
        <w:t>Wilhelm-Leen ER, Hall YN, Deboer IH, Chertow GM. Vitamin D deficiency and frailty in older Americans. J Intern Med. 2010;268(2):171-80.</w:t>
      </w:r>
    </w:p>
    <w:p w14:paraId="1B003680" w14:textId="77777777" w:rsidR="003F0F9E" w:rsidRPr="008916C2" w:rsidRDefault="003F0F9E" w:rsidP="003F0F9E">
      <w:pPr>
        <w:bidi w:val="0"/>
      </w:pPr>
      <w:r w:rsidRPr="008916C2">
        <w:t>2</w:t>
      </w:r>
      <w:r w:rsidR="00431358" w:rsidRPr="008916C2">
        <w:t>2</w:t>
      </w:r>
      <w:r w:rsidRPr="008916C2">
        <w:t>.</w:t>
      </w:r>
      <w:r w:rsidRPr="008916C2">
        <w:tab/>
        <w:t>Michelon E, Blaum C, Semba RD, Xue QL, Ricks MO, Fried LP. Vitamin and carotenoid status in older women: associations with the frailty syndrome. J Gerontol A Biol Sci Med Sci. 2006;61(6):600-7.</w:t>
      </w:r>
    </w:p>
    <w:p w14:paraId="7237884A" w14:textId="77777777" w:rsidR="003F0F9E" w:rsidRPr="008916C2" w:rsidRDefault="003F0F9E" w:rsidP="003F0F9E">
      <w:pPr>
        <w:bidi w:val="0"/>
      </w:pPr>
      <w:r w:rsidRPr="008916C2">
        <w:t>2</w:t>
      </w:r>
      <w:r w:rsidR="00431358" w:rsidRPr="008916C2">
        <w:t>3</w:t>
      </w:r>
      <w:r w:rsidRPr="008916C2">
        <w:t>.</w:t>
      </w:r>
      <w:r w:rsidRPr="008916C2">
        <w:tab/>
        <w:t>Nascimento CMC, Zazzetta MS, Gomes GAO, Orlandi FS, Gramani-Say K, Vasilceac FA, et al. Higher levels of tumor necrosis factor β are associated with frailty in socially vulnerable community-dwelling older adults. BMC Geriatrics. 2018;18(1):268.</w:t>
      </w:r>
    </w:p>
    <w:p w14:paraId="57747D23" w14:textId="77777777" w:rsidR="003F0F9E" w:rsidRPr="008916C2" w:rsidRDefault="003F0F9E" w:rsidP="00904846">
      <w:pPr>
        <w:bidi w:val="0"/>
      </w:pPr>
      <w:r w:rsidRPr="008916C2">
        <w:t>2</w:t>
      </w:r>
      <w:r w:rsidR="00431358" w:rsidRPr="008916C2">
        <w:t>4</w:t>
      </w:r>
      <w:r w:rsidRPr="008916C2">
        <w:t>.</w:t>
      </w:r>
      <w:r w:rsidRPr="008916C2">
        <w:tab/>
        <w:t>Wong YY, McCaul KA, Yeap BB, Hankey GJ, Flicker L. Low vitamin D status is an independent predictor of increased frailty and all-cause mortality in older men: the Health in Men Study. J Clin Endocrinol Metab. 2013;98(9):3821-8.</w:t>
      </w:r>
    </w:p>
    <w:p w14:paraId="2AF1841A" w14:textId="77777777" w:rsidR="003F0F9E" w:rsidRPr="008916C2" w:rsidRDefault="003F0F9E" w:rsidP="003F0F9E">
      <w:pPr>
        <w:bidi w:val="0"/>
      </w:pPr>
      <w:r w:rsidRPr="008916C2">
        <w:t>2</w:t>
      </w:r>
      <w:r w:rsidR="00431358" w:rsidRPr="008916C2">
        <w:t>5</w:t>
      </w:r>
      <w:r w:rsidRPr="008916C2">
        <w:t>.</w:t>
      </w:r>
      <w:r w:rsidRPr="008916C2">
        <w:tab/>
        <w:t>Hirani V, Naganathan V, Cumming RG, Blyth F, Le Couteur DG, Handelsman DJ, et al. Associations between frailty and serum 25-hydroxyvitamin D and 1,25-dihydroxyvitamin D concentrations in older Australian men: the Concord Health and Ageing in Men Project. J Gerontol A Biol Sci Med Sci. 2013;68(9):1112-21.</w:t>
      </w:r>
    </w:p>
    <w:p w14:paraId="0E65B1DD" w14:textId="77777777" w:rsidR="003F0F9E" w:rsidRPr="008916C2" w:rsidRDefault="003F0F9E" w:rsidP="003F0F9E">
      <w:pPr>
        <w:bidi w:val="0"/>
      </w:pPr>
      <w:r w:rsidRPr="008916C2">
        <w:t>2</w:t>
      </w:r>
      <w:r w:rsidR="00431358" w:rsidRPr="008916C2">
        <w:t>6</w:t>
      </w:r>
      <w:r w:rsidRPr="008916C2">
        <w:t>.</w:t>
      </w:r>
      <w:r w:rsidRPr="008916C2">
        <w:tab/>
        <w:t>Dai M, Yue J, Zhang J, Wang H, Wu C. Functional dentition is a modifier of the association between vitamin D and the frailty index among Chinese older adults: a population-based longitudinal study. BMC Geriatr. 2022;22(1):159.</w:t>
      </w:r>
    </w:p>
    <w:p w14:paraId="6E652BA5" w14:textId="77777777" w:rsidR="003F0F9E" w:rsidRPr="008916C2" w:rsidRDefault="00904846" w:rsidP="003F0F9E">
      <w:pPr>
        <w:bidi w:val="0"/>
      </w:pPr>
      <w:r w:rsidRPr="008916C2">
        <w:t>2</w:t>
      </w:r>
      <w:r w:rsidR="00431358" w:rsidRPr="008916C2">
        <w:t>7</w:t>
      </w:r>
      <w:r w:rsidR="003F0F9E" w:rsidRPr="008916C2">
        <w:t>.</w:t>
      </w:r>
      <w:r w:rsidR="003F0F9E" w:rsidRPr="008916C2">
        <w:tab/>
        <w:t>Lv S, Ling L, Shi H, Chen X, Chen S, Zhu S, et al. Application of Muscle Thickness and Quality Measured by Ultrasound in Frailty Assessment in China. Frontiers in Medicine. 2022;9.</w:t>
      </w:r>
    </w:p>
    <w:p w14:paraId="3A485A45" w14:textId="77777777" w:rsidR="003F0F9E" w:rsidRPr="008916C2" w:rsidRDefault="00904846" w:rsidP="003F0F9E">
      <w:pPr>
        <w:bidi w:val="0"/>
      </w:pPr>
      <w:r w:rsidRPr="008916C2">
        <w:t>2</w:t>
      </w:r>
      <w:r w:rsidR="00431358" w:rsidRPr="008916C2">
        <w:t>8</w:t>
      </w:r>
      <w:r w:rsidR="003F0F9E" w:rsidRPr="008916C2">
        <w:t>.</w:t>
      </w:r>
      <w:r w:rsidR="003F0F9E" w:rsidRPr="008916C2">
        <w:tab/>
        <w:t>Xiu S, Mu Z, Zhao L, Sun L. Low free triiodothyronine levels are associated with risk of frailty in older adults with type 2 diabetes mellitus. Experimental Gerontology. 2020;138:111013.</w:t>
      </w:r>
    </w:p>
    <w:p w14:paraId="04BBD054" w14:textId="77777777" w:rsidR="003F0F9E" w:rsidRPr="008916C2" w:rsidRDefault="00431358" w:rsidP="003F0F9E">
      <w:pPr>
        <w:bidi w:val="0"/>
      </w:pPr>
      <w:r w:rsidRPr="008916C2">
        <w:t>29</w:t>
      </w:r>
      <w:r w:rsidR="003F0F9E" w:rsidRPr="008916C2">
        <w:t>.</w:t>
      </w:r>
      <w:r w:rsidR="003F0F9E" w:rsidRPr="008916C2">
        <w:tab/>
        <w:t>Xiao Q, Wu M, Cui J, Yuan M, Chen Y, Zeng T. Plasma 25-hydroxyvitamin D level and the risk of frailty among Chinese community-based oldest-old: evidence from the CLHLS study. BMC Geriatrics. 2020;20(1):126.</w:t>
      </w:r>
    </w:p>
    <w:p w14:paraId="3433D007" w14:textId="77777777" w:rsidR="003F0F9E" w:rsidRPr="008916C2" w:rsidRDefault="003F0F9E" w:rsidP="003F0F9E">
      <w:pPr>
        <w:bidi w:val="0"/>
      </w:pPr>
      <w:r w:rsidRPr="008916C2">
        <w:t>3</w:t>
      </w:r>
      <w:r w:rsidR="00431358" w:rsidRPr="008916C2">
        <w:t>0</w:t>
      </w:r>
      <w:r w:rsidRPr="008916C2">
        <w:t>.</w:t>
      </w:r>
      <w:r w:rsidRPr="008916C2">
        <w:tab/>
        <w:t>Kim J, Lee Y, Won CW, Kye S, Shim JS. Association of serum vitamin D with frailty in older Korean adults. Maturitas. 2020;134:15-20.</w:t>
      </w:r>
    </w:p>
    <w:p w14:paraId="42C06825" w14:textId="77777777" w:rsidR="003F0F9E" w:rsidRPr="008916C2" w:rsidRDefault="003F0F9E" w:rsidP="003F0F9E">
      <w:pPr>
        <w:bidi w:val="0"/>
      </w:pPr>
      <w:r w:rsidRPr="008916C2">
        <w:t>3</w:t>
      </w:r>
      <w:r w:rsidR="00431358" w:rsidRPr="008916C2">
        <w:t>1</w:t>
      </w:r>
      <w:r w:rsidRPr="008916C2">
        <w:t>.</w:t>
      </w:r>
      <w:r w:rsidRPr="008916C2">
        <w:tab/>
        <w:t>Jung H, Kim M, Lee Y, Won CW. Prevalence of Physical Frailty and Its Multidimensional Risk Factors in Korean Community-Dwelling Older Adults: Findings from Korean Frailty and Aging Cohort Study. Int J Environ Res Public Health. 2020;17(21).</w:t>
      </w:r>
    </w:p>
    <w:p w14:paraId="6A6837D8" w14:textId="77777777" w:rsidR="003F0F9E" w:rsidRPr="008916C2" w:rsidRDefault="003F0F9E" w:rsidP="003F0F9E">
      <w:pPr>
        <w:bidi w:val="0"/>
      </w:pPr>
      <w:r w:rsidRPr="008916C2">
        <w:t>3</w:t>
      </w:r>
      <w:r w:rsidR="00431358" w:rsidRPr="008916C2">
        <w:t>2</w:t>
      </w:r>
      <w:r w:rsidRPr="008916C2">
        <w:t>.</w:t>
      </w:r>
      <w:r w:rsidRPr="008916C2">
        <w:tab/>
        <w:t>Chang CI, Chan DC, Kuo KN, Hsiung CA, Chen CY. Vitamin D insufficiency and frailty syndrome in older adults living in a Northern Taiwan community. Arch Gerontol Geriatr. 2010;50 Suppl 1:S17-21.</w:t>
      </w:r>
    </w:p>
    <w:p w14:paraId="3B334298" w14:textId="77777777" w:rsidR="003F0F9E" w:rsidRPr="008916C2" w:rsidRDefault="003F0F9E" w:rsidP="003F0F9E">
      <w:pPr>
        <w:bidi w:val="0"/>
      </w:pPr>
      <w:r w:rsidRPr="008916C2">
        <w:t>3</w:t>
      </w:r>
      <w:r w:rsidR="00431358" w:rsidRPr="008916C2">
        <w:t>3</w:t>
      </w:r>
      <w:r w:rsidRPr="008916C2">
        <w:t>.</w:t>
      </w:r>
      <w:r w:rsidRPr="008916C2">
        <w:tab/>
        <w:t>Liu L, Chen C, Lo K, Huang J, Yu Y, Huang Y, et al. Serum 25-hydroxyvitamin D, frailty, and mortality among the Chinese oldest old: Results from the CLHLS study. Nutr Metab Cardiovasc Dis. 2021;31(9):2707-15.</w:t>
      </w:r>
    </w:p>
    <w:p w14:paraId="388E94FD" w14:textId="77777777" w:rsidR="003F0F9E" w:rsidRPr="008916C2" w:rsidRDefault="003F0F9E" w:rsidP="003F0F9E">
      <w:pPr>
        <w:bidi w:val="0"/>
      </w:pPr>
      <w:r w:rsidRPr="008916C2">
        <w:t>3</w:t>
      </w:r>
      <w:r w:rsidR="00431358" w:rsidRPr="008916C2">
        <w:t>4</w:t>
      </w:r>
      <w:r w:rsidRPr="008916C2">
        <w:t>.</w:t>
      </w:r>
      <w:r w:rsidRPr="008916C2">
        <w:tab/>
        <w:t>Saeki C, Kanai T, Nakano M, Oikawa T, Torisu Y, Saruta M, et al. Low Serum 25-Hydroxyvitamin D Levels Are Related to Frailty and Sarcopenia in Patients with Chronic Liver Disease. Nutrients. 2020;12(12).</w:t>
      </w:r>
    </w:p>
    <w:p w14:paraId="50F68A99" w14:textId="77777777" w:rsidR="003F0F9E" w:rsidRPr="008916C2" w:rsidRDefault="003F0F9E" w:rsidP="003F0F9E">
      <w:pPr>
        <w:bidi w:val="0"/>
      </w:pPr>
      <w:r w:rsidRPr="008916C2">
        <w:t>3</w:t>
      </w:r>
      <w:r w:rsidR="00431358" w:rsidRPr="008916C2">
        <w:t>5</w:t>
      </w:r>
      <w:r w:rsidRPr="008916C2">
        <w:t>.</w:t>
      </w:r>
      <w:r w:rsidRPr="008916C2">
        <w:tab/>
        <w:t>Conzade R, Koenig W, Heier M, Schneider A, Grill E, Peters A, et al. Prevalence and Predictors of Subclinical Micronutrient Deficiency in German Older Adults: Results from the Population-Based KORA-Age Study. Nutrients. 2017;9(12).</w:t>
      </w:r>
    </w:p>
    <w:p w14:paraId="1D2FDD83" w14:textId="4B641553" w:rsidR="00B534EB" w:rsidRDefault="006D4569" w:rsidP="00A331A0">
      <w:pPr>
        <w:bidi w:val="0"/>
        <w:jc w:val="center"/>
        <w:rPr>
          <w:rFonts w:asciiTheme="majorBidi" w:hAnsiTheme="majorBidi" w:cstheme="majorBidi"/>
          <w:sz w:val="24"/>
          <w:szCs w:val="24"/>
        </w:rPr>
      </w:pPr>
      <w:r w:rsidRPr="008916C2">
        <w:rPr>
          <w:rFonts w:asciiTheme="majorBidi" w:hAnsiTheme="majorBidi" w:cstheme="majorBidi"/>
          <w:b/>
          <w:bCs/>
          <w:sz w:val="24"/>
          <w:szCs w:val="24"/>
        </w:rPr>
        <w:br w:type="page"/>
      </w:r>
      <w:r w:rsidR="00B534EB" w:rsidRPr="008916C2">
        <w:rPr>
          <w:rFonts w:asciiTheme="majorBidi" w:hAnsiTheme="majorBidi" w:cstheme="majorBidi"/>
          <w:b/>
          <w:bCs/>
          <w:sz w:val="24"/>
          <w:szCs w:val="24"/>
        </w:rPr>
        <w:t xml:space="preserve">Supplementary Figure 1: </w:t>
      </w:r>
      <w:r w:rsidR="00B534EB" w:rsidRPr="008916C2">
        <w:rPr>
          <w:rFonts w:asciiTheme="majorBidi" w:hAnsiTheme="majorBidi" w:cstheme="majorBidi"/>
          <w:sz w:val="24"/>
          <w:szCs w:val="24"/>
        </w:rPr>
        <w:t>Nonlinear dose-response association between circulating 25(OH)D concentration and frailty odds in cross-sectional studies.</w:t>
      </w:r>
    </w:p>
    <w:p w14:paraId="674A6B67" w14:textId="3FE88459" w:rsidR="00F42FB5" w:rsidRPr="008916C2" w:rsidRDefault="00F42FB5" w:rsidP="00F42FB5">
      <w:pPr>
        <w:bidi w:val="0"/>
        <w:jc w:val="center"/>
        <w:rPr>
          <w:rFonts w:asciiTheme="majorBidi" w:hAnsiTheme="majorBidi" w:cstheme="majorBidi"/>
          <w:sz w:val="24"/>
          <w:szCs w:val="24"/>
          <w:rtl/>
        </w:rPr>
      </w:pPr>
      <w:r>
        <w:rPr>
          <w:rFonts w:asciiTheme="majorBidi" w:hAnsiTheme="majorBidi" w:cstheme="majorBidi"/>
          <w:noProof/>
          <w:sz w:val="24"/>
          <w:szCs w:val="24"/>
          <w:rtl/>
          <w:lang w:val="ar-SA"/>
        </w:rPr>
        <w:drawing>
          <wp:anchor distT="0" distB="0" distL="114300" distR="114300" simplePos="0" relativeHeight="251659264" behindDoc="0" locked="0" layoutInCell="1" allowOverlap="1" wp14:anchorId="562A2FB5" wp14:editId="5D32C416">
            <wp:simplePos x="0" y="0"/>
            <wp:positionH relativeFrom="column">
              <wp:posOffset>760021</wp:posOffset>
            </wp:positionH>
            <wp:positionV relativeFrom="paragraph">
              <wp:posOffset>693478</wp:posOffset>
            </wp:positionV>
            <wp:extent cx="7258050" cy="4936490"/>
            <wp:effectExtent l="0" t="0" r="0" b="0"/>
            <wp:wrapTopAndBottom/>
            <wp:docPr id="1483668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668312" name="Picture 1483668312"/>
                    <pic:cNvPicPr/>
                  </pic:nvPicPr>
                  <pic:blipFill>
                    <a:blip r:embed="rId6">
                      <a:extLst>
                        <a:ext uri="{28A0092B-C50C-407E-A947-70E740481C1C}">
                          <a14:useLocalDpi xmlns:a14="http://schemas.microsoft.com/office/drawing/2010/main" val="0"/>
                        </a:ext>
                      </a:extLst>
                    </a:blip>
                    <a:stretch>
                      <a:fillRect/>
                    </a:stretch>
                  </pic:blipFill>
                  <pic:spPr>
                    <a:xfrm>
                      <a:off x="0" y="0"/>
                      <a:ext cx="7258050" cy="4936490"/>
                    </a:xfrm>
                    <a:prstGeom prst="rect">
                      <a:avLst/>
                    </a:prstGeom>
                  </pic:spPr>
                </pic:pic>
              </a:graphicData>
            </a:graphic>
            <wp14:sizeRelH relativeFrom="margin">
              <wp14:pctWidth>0</wp14:pctWidth>
            </wp14:sizeRelH>
            <wp14:sizeRelV relativeFrom="margin">
              <wp14:pctHeight>0</wp14:pctHeight>
            </wp14:sizeRelV>
          </wp:anchor>
        </w:drawing>
      </w:r>
    </w:p>
    <w:p w14:paraId="659FCA0E" w14:textId="77777777" w:rsidR="00B534EB" w:rsidRPr="00BC2C02" w:rsidRDefault="00B534EB" w:rsidP="00BC2C02">
      <w:pPr>
        <w:suppressLineNumbers/>
        <w:bidi w:val="0"/>
        <w:spacing w:line="480" w:lineRule="auto"/>
        <w:jc w:val="center"/>
        <w:rPr>
          <w:rFonts w:asciiTheme="majorBidi" w:hAnsiTheme="majorBidi" w:cstheme="majorBidi"/>
          <w:sz w:val="24"/>
          <w:szCs w:val="24"/>
        </w:rPr>
      </w:pPr>
      <w:r w:rsidRPr="008916C2">
        <w:rPr>
          <w:rFonts w:asciiTheme="majorBidi" w:hAnsiTheme="majorBidi" w:cstheme="majorBidi"/>
          <w:b/>
          <w:bCs/>
          <w:sz w:val="24"/>
          <w:szCs w:val="24"/>
        </w:rPr>
        <w:t>Supplementary Figure 2:</w:t>
      </w:r>
      <w:r w:rsidRPr="008916C2">
        <w:rPr>
          <w:rFonts w:asciiTheme="majorBidi" w:hAnsiTheme="majorBidi" w:cstheme="majorBidi"/>
          <w:sz w:val="24"/>
          <w:szCs w:val="24"/>
        </w:rPr>
        <w:t xml:space="preserve"> Forest plots of the association of highest vs. lowest level of circulating 25(OH)D and pre-frailty in prospective cohort and cross-sectional studies.</w:t>
      </w:r>
      <w:r w:rsidR="00A331A0">
        <w:rPr>
          <w:rFonts w:asciiTheme="majorBidi" w:hAnsiTheme="majorBidi" w:cstheme="majorBidi"/>
          <w:noProof/>
          <w:sz w:val="24"/>
          <w:szCs w:val="24"/>
          <w:lang w:bidi="fa-IR"/>
        </w:rPr>
        <w:drawing>
          <wp:inline distT="0" distB="0" distL="0" distR="0" wp14:anchorId="2E06CFDE" wp14:editId="56613B3C">
            <wp:extent cx="8582025" cy="4983480"/>
            <wp:effectExtent l="0" t="0" r="0" b="0"/>
            <wp:docPr id="19817982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798252" name="Picture 1981798252"/>
                    <pic:cNvPicPr/>
                  </pic:nvPicPr>
                  <pic:blipFill rotWithShape="1">
                    <a:blip r:embed="rId7" cstate="print">
                      <a:extLst>
                        <a:ext uri="{28A0092B-C50C-407E-A947-70E740481C1C}">
                          <a14:useLocalDpi xmlns:a14="http://schemas.microsoft.com/office/drawing/2010/main" val="0"/>
                        </a:ext>
                      </a:extLst>
                    </a:blip>
                    <a:srcRect r="3174"/>
                    <a:stretch/>
                  </pic:blipFill>
                  <pic:spPr bwMode="auto">
                    <a:xfrm>
                      <a:off x="0" y="0"/>
                      <a:ext cx="8582025" cy="4983480"/>
                    </a:xfrm>
                    <a:prstGeom prst="rect">
                      <a:avLst/>
                    </a:prstGeom>
                    <a:ln>
                      <a:noFill/>
                    </a:ln>
                    <a:extLst>
                      <a:ext uri="{53640926-AAD7-44D8-BBD7-CCE9431645EC}">
                        <a14:shadowObscured xmlns:a14="http://schemas.microsoft.com/office/drawing/2010/main"/>
                      </a:ext>
                    </a:extLst>
                  </pic:spPr>
                </pic:pic>
              </a:graphicData>
            </a:graphic>
          </wp:inline>
        </w:drawing>
      </w:r>
    </w:p>
    <w:sectPr w:rsidR="00B534EB" w:rsidRPr="00BC2C02" w:rsidSect="00424D96">
      <w:pgSz w:w="16838" w:h="11906" w:orient="landscape"/>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altName w:val="Arial"/>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FA4C50"/>
    <w:multiLevelType w:val="hybridMultilevel"/>
    <w:tmpl w:val="82A43EF8"/>
    <w:lvl w:ilvl="0" w:tplc="DD2A1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7855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applyBreakingRules/>
    <w:compatSetting w:name="compatibilityMode" w:uri="http://schemas.microsoft.com/office/word" w:val="12"/>
    <w:compatSetting w:name="useWord2013TrackBottomHyphenation" w:uri="http://schemas.microsoft.com/office/word" w:val="1"/>
  </w:compat>
  <w:rsids>
    <w:rsidRoot w:val="00424D96"/>
    <w:rsid w:val="000216C2"/>
    <w:rsid w:val="00043EC5"/>
    <w:rsid w:val="000453EB"/>
    <w:rsid w:val="00090820"/>
    <w:rsid w:val="000B365C"/>
    <w:rsid w:val="000D0BB4"/>
    <w:rsid w:val="000D64F1"/>
    <w:rsid w:val="0010380C"/>
    <w:rsid w:val="00163C73"/>
    <w:rsid w:val="00182246"/>
    <w:rsid w:val="0019495F"/>
    <w:rsid w:val="001B0018"/>
    <w:rsid w:val="001B125E"/>
    <w:rsid w:val="001B14E8"/>
    <w:rsid w:val="001C09FE"/>
    <w:rsid w:val="00241AA2"/>
    <w:rsid w:val="00246431"/>
    <w:rsid w:val="002566BA"/>
    <w:rsid w:val="0027786C"/>
    <w:rsid w:val="00297194"/>
    <w:rsid w:val="002B31D6"/>
    <w:rsid w:val="002C597E"/>
    <w:rsid w:val="00322C84"/>
    <w:rsid w:val="0033051A"/>
    <w:rsid w:val="00355FC0"/>
    <w:rsid w:val="00371072"/>
    <w:rsid w:val="003A1101"/>
    <w:rsid w:val="003A47FB"/>
    <w:rsid w:val="003F0F9E"/>
    <w:rsid w:val="00424D96"/>
    <w:rsid w:val="00431358"/>
    <w:rsid w:val="00447901"/>
    <w:rsid w:val="00454B77"/>
    <w:rsid w:val="0049311D"/>
    <w:rsid w:val="004F534E"/>
    <w:rsid w:val="005360D3"/>
    <w:rsid w:val="0057276A"/>
    <w:rsid w:val="00596640"/>
    <w:rsid w:val="005A6C9B"/>
    <w:rsid w:val="005E217C"/>
    <w:rsid w:val="0060059A"/>
    <w:rsid w:val="006356A0"/>
    <w:rsid w:val="00667EDA"/>
    <w:rsid w:val="0067402C"/>
    <w:rsid w:val="00686C74"/>
    <w:rsid w:val="006C4DFC"/>
    <w:rsid w:val="006D4569"/>
    <w:rsid w:val="00736F2E"/>
    <w:rsid w:val="00742906"/>
    <w:rsid w:val="007710DE"/>
    <w:rsid w:val="00776D04"/>
    <w:rsid w:val="007772AC"/>
    <w:rsid w:val="00792716"/>
    <w:rsid w:val="00792B14"/>
    <w:rsid w:val="007A7F6F"/>
    <w:rsid w:val="007D3937"/>
    <w:rsid w:val="0080118B"/>
    <w:rsid w:val="0080306B"/>
    <w:rsid w:val="00823B86"/>
    <w:rsid w:val="0082584E"/>
    <w:rsid w:val="008427C8"/>
    <w:rsid w:val="008629A1"/>
    <w:rsid w:val="008657A2"/>
    <w:rsid w:val="008916C2"/>
    <w:rsid w:val="008B2194"/>
    <w:rsid w:val="008D56C8"/>
    <w:rsid w:val="008E43A7"/>
    <w:rsid w:val="008F34DA"/>
    <w:rsid w:val="00904846"/>
    <w:rsid w:val="00915D90"/>
    <w:rsid w:val="0094205A"/>
    <w:rsid w:val="00973895"/>
    <w:rsid w:val="00A108E1"/>
    <w:rsid w:val="00A331A0"/>
    <w:rsid w:val="00A419D0"/>
    <w:rsid w:val="00A4286C"/>
    <w:rsid w:val="00A56CE3"/>
    <w:rsid w:val="00A67C9C"/>
    <w:rsid w:val="00A9286B"/>
    <w:rsid w:val="00AA7C97"/>
    <w:rsid w:val="00AC0592"/>
    <w:rsid w:val="00AD3855"/>
    <w:rsid w:val="00AE7162"/>
    <w:rsid w:val="00B534EB"/>
    <w:rsid w:val="00BC2C02"/>
    <w:rsid w:val="00BC4096"/>
    <w:rsid w:val="00BD7F5A"/>
    <w:rsid w:val="00C024D3"/>
    <w:rsid w:val="00C179C1"/>
    <w:rsid w:val="00C25293"/>
    <w:rsid w:val="00C632C2"/>
    <w:rsid w:val="00CD5D50"/>
    <w:rsid w:val="00D2240B"/>
    <w:rsid w:val="00D95B40"/>
    <w:rsid w:val="00D9632F"/>
    <w:rsid w:val="00DA1866"/>
    <w:rsid w:val="00DA629A"/>
    <w:rsid w:val="00DB7FB8"/>
    <w:rsid w:val="00DE3EDC"/>
    <w:rsid w:val="00DE5256"/>
    <w:rsid w:val="00E040C3"/>
    <w:rsid w:val="00EA5FF3"/>
    <w:rsid w:val="00EB6BEB"/>
    <w:rsid w:val="00EC2D5C"/>
    <w:rsid w:val="00EC3EDA"/>
    <w:rsid w:val="00EC5F1D"/>
    <w:rsid w:val="00EE5C21"/>
    <w:rsid w:val="00F26A75"/>
    <w:rsid w:val="00F42FB5"/>
    <w:rsid w:val="00F5079C"/>
    <w:rsid w:val="00F66109"/>
    <w:rsid w:val="00FB64D3"/>
    <w:rsid w:val="00FC5494"/>
    <w:rsid w:val="00FD7003"/>
    <w:rsid w:val="00FE6FC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F8F77E"/>
  <w15:docId w15:val="{FB866ED2-EDAC-4729-A844-1F2A6CCA5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11D"/>
    <w:pPr>
      <w:bidi/>
    </w:pPr>
  </w:style>
  <w:style w:type="paragraph" w:styleId="Heading4">
    <w:name w:val="heading 4"/>
    <w:basedOn w:val="Normal"/>
    <w:link w:val="Heading4Char"/>
    <w:uiPriority w:val="9"/>
    <w:qFormat/>
    <w:rsid w:val="007D3937"/>
    <w:pPr>
      <w:bidi w:val="0"/>
      <w:spacing w:before="100" w:beforeAutospacing="1" w:after="100" w:afterAutospacing="1" w:line="240" w:lineRule="auto"/>
      <w:outlineLvl w:val="3"/>
    </w:pPr>
    <w:rPr>
      <w:rFonts w:ascii="Times New Roman" w:eastAsiaTheme="minorEastAsia"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24D96"/>
    <w:pPr>
      <w:autoSpaceDE w:val="0"/>
      <w:autoSpaceDN w:val="0"/>
      <w:adjustRightInd w:val="0"/>
      <w:spacing w:after="0" w:line="240" w:lineRule="auto"/>
    </w:pPr>
    <w:rPr>
      <w:rFonts w:ascii="Calibri" w:hAnsi="Calibri" w:cs="Calibri"/>
      <w:color w:val="000000"/>
      <w:sz w:val="24"/>
      <w:szCs w:val="24"/>
    </w:rPr>
  </w:style>
  <w:style w:type="paragraph" w:customStyle="1" w:styleId="a">
    <w:name w:val="متن"/>
    <w:basedOn w:val="Normal"/>
    <w:qFormat/>
    <w:rsid w:val="00424D96"/>
    <w:pPr>
      <w:bidi w:val="0"/>
      <w:spacing w:line="256" w:lineRule="auto"/>
      <w:jc w:val="right"/>
    </w:pPr>
    <w:rPr>
      <w:rFonts w:ascii="Times New Roman" w:hAnsi="Times New Roman" w:cs="B Nazanin"/>
      <w:sz w:val="24"/>
      <w:szCs w:val="28"/>
      <w:lang w:bidi="fa-IR"/>
    </w:rPr>
  </w:style>
  <w:style w:type="table" w:styleId="TableGrid">
    <w:name w:val="Table Grid"/>
    <w:basedOn w:val="TableNormal"/>
    <w:uiPriority w:val="39"/>
    <w:rsid w:val="00424D96"/>
    <w:pPr>
      <w:spacing w:after="0" w:line="240" w:lineRule="auto"/>
    </w:pPr>
    <w:rPr>
      <w:rFonts w:ascii="Cambria" w:eastAsiaTheme="minorEastAsia" w:hAnsi="Cambria"/>
      <w:sz w:val="24"/>
      <w:szCs w:val="24"/>
      <w:lang w:val="en-AU"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4286C"/>
    <w:rPr>
      <w:sz w:val="16"/>
      <w:szCs w:val="16"/>
    </w:rPr>
  </w:style>
  <w:style w:type="paragraph" w:styleId="CommentText">
    <w:name w:val="annotation text"/>
    <w:basedOn w:val="Normal"/>
    <w:link w:val="CommentTextChar"/>
    <w:uiPriority w:val="99"/>
    <w:semiHidden/>
    <w:unhideWhenUsed/>
    <w:rsid w:val="00A4286C"/>
    <w:pPr>
      <w:spacing w:line="240" w:lineRule="auto"/>
    </w:pPr>
    <w:rPr>
      <w:sz w:val="20"/>
      <w:szCs w:val="20"/>
    </w:rPr>
  </w:style>
  <w:style w:type="character" w:customStyle="1" w:styleId="CommentTextChar">
    <w:name w:val="Comment Text Char"/>
    <w:basedOn w:val="DefaultParagraphFont"/>
    <w:link w:val="CommentText"/>
    <w:uiPriority w:val="99"/>
    <w:semiHidden/>
    <w:rsid w:val="00A4286C"/>
    <w:rPr>
      <w:sz w:val="20"/>
      <w:szCs w:val="20"/>
    </w:rPr>
  </w:style>
  <w:style w:type="paragraph" w:styleId="CommentSubject">
    <w:name w:val="annotation subject"/>
    <w:basedOn w:val="CommentText"/>
    <w:next w:val="CommentText"/>
    <w:link w:val="CommentSubjectChar"/>
    <w:uiPriority w:val="99"/>
    <w:semiHidden/>
    <w:unhideWhenUsed/>
    <w:rsid w:val="00A4286C"/>
    <w:rPr>
      <w:b/>
      <w:bCs/>
    </w:rPr>
  </w:style>
  <w:style w:type="character" w:customStyle="1" w:styleId="CommentSubjectChar">
    <w:name w:val="Comment Subject Char"/>
    <w:basedOn w:val="CommentTextChar"/>
    <w:link w:val="CommentSubject"/>
    <w:uiPriority w:val="99"/>
    <w:semiHidden/>
    <w:rsid w:val="00A4286C"/>
    <w:rPr>
      <w:b/>
      <w:bCs/>
      <w:sz w:val="20"/>
      <w:szCs w:val="20"/>
    </w:rPr>
  </w:style>
  <w:style w:type="character" w:customStyle="1" w:styleId="Heading4Char">
    <w:name w:val="Heading 4 Char"/>
    <w:basedOn w:val="DefaultParagraphFont"/>
    <w:link w:val="Heading4"/>
    <w:uiPriority w:val="9"/>
    <w:rsid w:val="007D3937"/>
    <w:rPr>
      <w:rFonts w:ascii="Times New Roman" w:eastAsiaTheme="minorEastAsia" w:hAnsi="Times New Roman" w:cs="Times New Roman"/>
      <w:b/>
      <w:bCs/>
      <w:sz w:val="24"/>
      <w:szCs w:val="24"/>
    </w:rPr>
  </w:style>
  <w:style w:type="character" w:customStyle="1" w:styleId="history-span">
    <w:name w:val="history-span"/>
    <w:basedOn w:val="DefaultParagraphFont"/>
    <w:rsid w:val="007D3937"/>
  </w:style>
  <w:style w:type="character" w:styleId="Strong">
    <w:name w:val="Strong"/>
    <w:basedOn w:val="DefaultParagraphFont"/>
    <w:uiPriority w:val="22"/>
    <w:qFormat/>
    <w:rsid w:val="007D3937"/>
    <w:rPr>
      <w:b/>
      <w:bCs/>
    </w:rPr>
  </w:style>
  <w:style w:type="character" w:customStyle="1" w:styleId="term">
    <w:name w:val="term"/>
    <w:basedOn w:val="DefaultParagraphFont"/>
    <w:rsid w:val="007D3937"/>
  </w:style>
  <w:style w:type="paragraph" w:styleId="Header">
    <w:name w:val="header"/>
    <w:basedOn w:val="Normal"/>
    <w:link w:val="HeaderChar"/>
    <w:uiPriority w:val="99"/>
    <w:unhideWhenUsed/>
    <w:rsid w:val="007D3937"/>
    <w:pPr>
      <w:tabs>
        <w:tab w:val="center" w:pos="4680"/>
        <w:tab w:val="right" w:pos="9360"/>
      </w:tabs>
      <w:bidi w:val="0"/>
      <w:spacing w:after="0" w:line="240" w:lineRule="auto"/>
    </w:pPr>
    <w:rPr>
      <w:rFonts w:ascii="Cambria" w:eastAsiaTheme="minorEastAsia" w:hAnsi="Cambria" w:cs="Cordia New"/>
      <w:sz w:val="24"/>
      <w:szCs w:val="30"/>
      <w:lang w:val="en-AU" w:eastAsia="zh-CN" w:bidi="th-TH"/>
    </w:rPr>
  </w:style>
  <w:style w:type="character" w:customStyle="1" w:styleId="HeaderChar">
    <w:name w:val="Header Char"/>
    <w:basedOn w:val="DefaultParagraphFont"/>
    <w:link w:val="Header"/>
    <w:uiPriority w:val="99"/>
    <w:rsid w:val="007D3937"/>
    <w:rPr>
      <w:rFonts w:ascii="Cambria" w:eastAsiaTheme="minorEastAsia" w:hAnsi="Cambria" w:cs="Cordia New"/>
      <w:sz w:val="24"/>
      <w:szCs w:val="30"/>
      <w:lang w:val="en-AU" w:eastAsia="zh-CN" w:bidi="th-TH"/>
    </w:rPr>
  </w:style>
  <w:style w:type="paragraph" w:styleId="Footer">
    <w:name w:val="footer"/>
    <w:basedOn w:val="Normal"/>
    <w:link w:val="FooterChar"/>
    <w:uiPriority w:val="99"/>
    <w:unhideWhenUsed/>
    <w:rsid w:val="007D3937"/>
    <w:pPr>
      <w:tabs>
        <w:tab w:val="center" w:pos="4680"/>
        <w:tab w:val="right" w:pos="9360"/>
      </w:tabs>
      <w:bidi w:val="0"/>
      <w:spacing w:after="0" w:line="240" w:lineRule="auto"/>
    </w:pPr>
    <w:rPr>
      <w:rFonts w:ascii="Cambria" w:eastAsiaTheme="minorEastAsia" w:hAnsi="Cambria" w:cs="Cordia New"/>
      <w:sz w:val="24"/>
      <w:szCs w:val="30"/>
      <w:lang w:val="en-AU" w:eastAsia="zh-CN" w:bidi="th-TH"/>
    </w:rPr>
  </w:style>
  <w:style w:type="character" w:customStyle="1" w:styleId="FooterChar">
    <w:name w:val="Footer Char"/>
    <w:basedOn w:val="DefaultParagraphFont"/>
    <w:link w:val="Footer"/>
    <w:uiPriority w:val="99"/>
    <w:rsid w:val="007D3937"/>
    <w:rPr>
      <w:rFonts w:ascii="Cambria" w:eastAsiaTheme="minorEastAsia" w:hAnsi="Cambria" w:cs="Cordia New"/>
      <w:sz w:val="24"/>
      <w:szCs w:val="30"/>
      <w:lang w:val="en-AU" w:eastAsia="zh-CN" w:bidi="th-TH"/>
    </w:rPr>
  </w:style>
  <w:style w:type="table" w:customStyle="1" w:styleId="TableGrid1">
    <w:name w:val="Table Grid1"/>
    <w:basedOn w:val="TableNormal"/>
    <w:next w:val="TableGrid"/>
    <w:uiPriority w:val="59"/>
    <w:rsid w:val="007D3937"/>
    <w:pPr>
      <w:spacing w:after="0" w:line="240" w:lineRule="auto"/>
    </w:pPr>
    <w:rPr>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3937"/>
    <w:pPr>
      <w:bidi w:val="0"/>
      <w:spacing w:after="200" w:line="276" w:lineRule="auto"/>
      <w:ind w:left="720"/>
      <w:contextualSpacing/>
    </w:pPr>
    <w:rPr>
      <w:rFonts w:ascii="Cambria" w:eastAsiaTheme="minorEastAsia" w:hAnsi="Cambria" w:cs="Cordia New"/>
      <w:sz w:val="24"/>
      <w:szCs w:val="30"/>
      <w:lang w:val="en-AU" w:eastAsia="zh-CN" w:bidi="th-TH"/>
    </w:rPr>
  </w:style>
  <w:style w:type="paragraph" w:styleId="BalloonText">
    <w:name w:val="Balloon Text"/>
    <w:basedOn w:val="Normal"/>
    <w:link w:val="BalloonTextChar"/>
    <w:uiPriority w:val="99"/>
    <w:semiHidden/>
    <w:unhideWhenUsed/>
    <w:rsid w:val="007D3937"/>
    <w:pPr>
      <w:bidi w:val="0"/>
      <w:spacing w:after="0" w:line="240" w:lineRule="auto"/>
    </w:pPr>
    <w:rPr>
      <w:rFonts w:ascii="Segoe UI" w:eastAsiaTheme="minorEastAsia" w:hAnsi="Segoe UI" w:cs="Angsana New"/>
      <w:sz w:val="18"/>
      <w:lang w:val="en-AU" w:eastAsia="zh-CN" w:bidi="th-TH"/>
    </w:rPr>
  </w:style>
  <w:style w:type="character" w:customStyle="1" w:styleId="BalloonTextChar">
    <w:name w:val="Balloon Text Char"/>
    <w:basedOn w:val="DefaultParagraphFont"/>
    <w:link w:val="BalloonText"/>
    <w:uiPriority w:val="99"/>
    <w:semiHidden/>
    <w:rsid w:val="007D3937"/>
    <w:rPr>
      <w:rFonts w:ascii="Segoe UI" w:eastAsiaTheme="minorEastAsia" w:hAnsi="Segoe UI" w:cs="Angsana New"/>
      <w:sz w:val="18"/>
      <w:lang w:val="en-AU" w:eastAsia="zh-CN" w:bidi="th-TH"/>
    </w:rPr>
  </w:style>
  <w:style w:type="paragraph" w:customStyle="1" w:styleId="EndNoteBibliographyTitle">
    <w:name w:val="EndNote Bibliography Title"/>
    <w:basedOn w:val="Normal"/>
    <w:link w:val="EndNoteBibliographyTitleChar"/>
    <w:rsid w:val="007D3937"/>
    <w:pPr>
      <w:framePr w:hSpace="180" w:wrap="around" w:vAnchor="page" w:hAnchor="margin" w:xAlign="center" w:y="1"/>
      <w:bidi w:val="0"/>
      <w:spacing w:after="0" w:line="276" w:lineRule="auto"/>
      <w:jc w:val="center"/>
    </w:pPr>
    <w:rPr>
      <w:rFonts w:ascii="Cambria" w:eastAsiaTheme="minorEastAsia" w:hAnsi="Cambria"/>
      <w:noProof/>
      <w:sz w:val="24"/>
      <w:szCs w:val="24"/>
      <w:lang w:val="en-AU" w:eastAsia="zh-CN" w:bidi="th-TH"/>
    </w:rPr>
  </w:style>
  <w:style w:type="character" w:customStyle="1" w:styleId="EndNoteBibliographyTitleChar">
    <w:name w:val="EndNote Bibliography Title Char"/>
    <w:basedOn w:val="DefaultParagraphFont"/>
    <w:link w:val="EndNoteBibliographyTitle"/>
    <w:rsid w:val="007D3937"/>
    <w:rPr>
      <w:rFonts w:ascii="Cambria" w:eastAsiaTheme="minorEastAsia" w:hAnsi="Cambria"/>
      <w:noProof/>
      <w:sz w:val="24"/>
      <w:szCs w:val="24"/>
      <w:lang w:val="en-AU" w:eastAsia="zh-CN" w:bidi="th-TH"/>
    </w:rPr>
  </w:style>
  <w:style w:type="paragraph" w:customStyle="1" w:styleId="EndNoteBibliography">
    <w:name w:val="EndNote Bibliography"/>
    <w:basedOn w:val="Normal"/>
    <w:link w:val="EndNoteBibliographyChar"/>
    <w:rsid w:val="007D3937"/>
    <w:pPr>
      <w:framePr w:hSpace="180" w:wrap="around" w:vAnchor="page" w:hAnchor="margin" w:xAlign="center" w:y="1"/>
      <w:bidi w:val="0"/>
      <w:spacing w:after="200" w:line="240" w:lineRule="auto"/>
    </w:pPr>
    <w:rPr>
      <w:rFonts w:ascii="Cambria" w:eastAsiaTheme="minorEastAsia" w:hAnsi="Cambria"/>
      <w:noProof/>
      <w:sz w:val="24"/>
      <w:szCs w:val="24"/>
      <w:lang w:val="en-AU" w:eastAsia="zh-CN" w:bidi="th-TH"/>
    </w:rPr>
  </w:style>
  <w:style w:type="character" w:customStyle="1" w:styleId="EndNoteBibliographyChar">
    <w:name w:val="EndNote Bibliography Char"/>
    <w:basedOn w:val="DefaultParagraphFont"/>
    <w:link w:val="EndNoteBibliography"/>
    <w:rsid w:val="007D3937"/>
    <w:rPr>
      <w:rFonts w:ascii="Cambria" w:eastAsiaTheme="minorEastAsia" w:hAnsi="Cambria"/>
      <w:noProof/>
      <w:sz w:val="24"/>
      <w:szCs w:val="24"/>
      <w:lang w:val="en-AU" w:eastAsia="zh-CN" w:bidi="th-TH"/>
    </w:rPr>
  </w:style>
  <w:style w:type="character" w:styleId="Hyperlink">
    <w:name w:val="Hyperlink"/>
    <w:basedOn w:val="DefaultParagraphFont"/>
    <w:uiPriority w:val="99"/>
    <w:unhideWhenUsed/>
    <w:rsid w:val="007D3937"/>
    <w:rPr>
      <w:color w:val="0563C1" w:themeColor="hyperlink"/>
      <w:u w:val="single"/>
    </w:rPr>
  </w:style>
  <w:style w:type="character" w:customStyle="1" w:styleId="UnresolvedMention1">
    <w:name w:val="Unresolved Mention1"/>
    <w:basedOn w:val="DefaultParagraphFont"/>
    <w:uiPriority w:val="99"/>
    <w:semiHidden/>
    <w:unhideWhenUsed/>
    <w:rsid w:val="007D3937"/>
    <w:rPr>
      <w:color w:val="605E5C"/>
      <w:shd w:val="clear" w:color="auto" w:fill="E1DFDD"/>
    </w:rPr>
  </w:style>
  <w:style w:type="character" w:customStyle="1" w:styleId="label">
    <w:name w:val="label"/>
    <w:basedOn w:val="DefaultParagraphFont"/>
    <w:rsid w:val="007D3937"/>
  </w:style>
  <w:style w:type="character" w:customStyle="1" w:styleId="cell-value">
    <w:name w:val="cell-value"/>
    <w:basedOn w:val="DefaultParagraphFont"/>
    <w:rsid w:val="007D3937"/>
  </w:style>
  <w:style w:type="character" w:customStyle="1" w:styleId="cell">
    <w:name w:val="cell"/>
    <w:basedOn w:val="DefaultParagraphFont"/>
    <w:rsid w:val="007D3937"/>
  </w:style>
  <w:style w:type="character" w:customStyle="1" w:styleId="block">
    <w:name w:val="block"/>
    <w:basedOn w:val="DefaultParagraphFont"/>
    <w:rsid w:val="007D3937"/>
  </w:style>
  <w:style w:type="character" w:customStyle="1" w:styleId="quality-sign">
    <w:name w:val="quality-sign"/>
    <w:basedOn w:val="DefaultParagraphFont"/>
    <w:rsid w:val="007D3937"/>
  </w:style>
  <w:style w:type="character" w:customStyle="1" w:styleId="quality-text">
    <w:name w:val="quality-text"/>
    <w:basedOn w:val="DefaultParagraphFont"/>
    <w:rsid w:val="007D3937"/>
  </w:style>
  <w:style w:type="character" w:customStyle="1" w:styleId="comma">
    <w:name w:val="comma"/>
    <w:basedOn w:val="DefaultParagraphFont"/>
    <w:rsid w:val="007D3937"/>
  </w:style>
  <w:style w:type="paragraph" w:styleId="NormalWeb">
    <w:name w:val="Normal (Web)"/>
    <w:basedOn w:val="Normal"/>
    <w:uiPriority w:val="99"/>
    <w:semiHidden/>
    <w:unhideWhenUsed/>
    <w:rsid w:val="007D3937"/>
    <w:pPr>
      <w:bidi w:val="0"/>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mp"/><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62A7A-A262-4172-96C8-1E1ECB715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22</Pages>
  <Words>6401</Words>
  <Characters>35850</Characters>
  <Application>Microsoft Office Word</Application>
  <DocSecurity>0</DocSecurity>
  <Lines>1558</Lines>
  <Paragraphs>1242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22</cp:revision>
  <dcterms:created xsi:type="dcterms:W3CDTF">2025-01-21T07:40:00Z</dcterms:created>
  <dcterms:modified xsi:type="dcterms:W3CDTF">2025-10-28T08:31:00Z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de288a33-4295-44b5-a71b-6a28daf51928</vt:lpwstr>
  </property>
</Properties>
</file>