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FA" w:rsidRPr="00A34568" w:rsidRDefault="009C70FA" w:rsidP="009C70FA">
      <w:pPr>
        <w:spacing w:after="0" w:line="240" w:lineRule="auto"/>
        <w:jc w:val="both"/>
        <w:rPr>
          <w:rFonts w:cstheme="minorHAnsi"/>
          <w:color w:val="000000" w:themeColor="text1"/>
        </w:rPr>
      </w:pPr>
      <w:proofErr w:type="gramStart"/>
      <w:r w:rsidRPr="00A34568">
        <w:rPr>
          <w:rFonts w:cstheme="minorHAnsi"/>
          <w:color w:val="000000" w:themeColor="text1"/>
          <w:lang w:val="en-US"/>
        </w:rPr>
        <w:t>Fig.</w:t>
      </w:r>
      <w:proofErr w:type="gramEnd"/>
      <w:r w:rsidRPr="00A34568">
        <w:rPr>
          <w:rFonts w:cstheme="minorHAnsi"/>
          <w:color w:val="000000" w:themeColor="text1"/>
          <w:lang w:val="en-US"/>
        </w:rPr>
        <w:t xml:space="preserve"> S1: Correlation and expression analysis of APM-related genes in NPC using the GSE68799 dataset. </w:t>
      </w:r>
      <w:r w:rsidRPr="00A34568">
        <w:rPr>
          <w:rFonts w:cstheme="minorHAnsi"/>
          <w:b/>
          <w:bCs/>
          <w:color w:val="000000" w:themeColor="text1"/>
          <w:lang w:val="en-US"/>
        </w:rPr>
        <w:t>A</w:t>
      </w:r>
      <w:r w:rsidRPr="00A34568">
        <w:rPr>
          <w:rFonts w:cstheme="minorHAnsi"/>
          <w:color w:val="000000" w:themeColor="text1"/>
          <w:lang w:val="en-US"/>
        </w:rPr>
        <w:t xml:space="preserve"> Correlation analysis shows that </w:t>
      </w:r>
      <w:proofErr w:type="spellStart"/>
      <w:r w:rsidRPr="00A34568">
        <w:rPr>
          <w:rFonts w:cstheme="minorHAnsi"/>
          <w:color w:val="000000" w:themeColor="text1"/>
          <w:lang w:val="en-US"/>
        </w:rPr>
        <w:t>downregulated</w:t>
      </w:r>
      <w:proofErr w:type="spellEnd"/>
      <w:r w:rsidRPr="00A34568">
        <w:rPr>
          <w:rFonts w:cstheme="minorHAnsi"/>
          <w:color w:val="000000" w:themeColor="text1"/>
          <w:lang w:val="en-US"/>
        </w:rPr>
        <w:t xml:space="preserve"> APM-related genes (</w:t>
      </w:r>
      <w:r w:rsidRPr="00A34568">
        <w:rPr>
          <w:rFonts w:cstheme="minorHAnsi"/>
          <w:i/>
          <w:iCs/>
          <w:color w:val="000000" w:themeColor="text1"/>
          <w:lang w:val="en-US"/>
        </w:rPr>
        <w:t>PSMB9</w:t>
      </w:r>
      <w:r w:rsidRPr="00A34568">
        <w:rPr>
          <w:rFonts w:cstheme="minorHAnsi"/>
          <w:color w:val="000000" w:themeColor="text1"/>
          <w:lang w:val="en-US"/>
        </w:rPr>
        <w:t xml:space="preserve">, </w:t>
      </w:r>
      <w:r w:rsidRPr="00A34568">
        <w:rPr>
          <w:rFonts w:cstheme="minorHAnsi"/>
          <w:i/>
          <w:iCs/>
          <w:color w:val="000000" w:themeColor="text1"/>
          <w:lang w:val="en-US"/>
        </w:rPr>
        <w:t>PSMB10</w:t>
      </w:r>
      <w:r w:rsidRPr="00A34568">
        <w:rPr>
          <w:rFonts w:cstheme="minorHAnsi"/>
          <w:color w:val="000000" w:themeColor="text1"/>
          <w:lang w:val="en-US"/>
        </w:rPr>
        <w:t xml:space="preserve">, </w:t>
      </w:r>
      <w:r w:rsidRPr="00A34568">
        <w:rPr>
          <w:rFonts w:cstheme="minorHAnsi"/>
          <w:i/>
          <w:iCs/>
          <w:color w:val="000000" w:themeColor="text1"/>
          <w:lang w:val="en-US"/>
        </w:rPr>
        <w:t>PSME1</w:t>
      </w:r>
      <w:r w:rsidRPr="00A34568">
        <w:rPr>
          <w:rFonts w:cstheme="minorHAnsi"/>
          <w:color w:val="000000" w:themeColor="text1"/>
          <w:lang w:val="en-US"/>
        </w:rPr>
        <w:t xml:space="preserve"> and </w:t>
      </w:r>
      <w:r w:rsidRPr="00A34568">
        <w:rPr>
          <w:rFonts w:cstheme="minorHAnsi"/>
          <w:i/>
          <w:iCs/>
          <w:color w:val="000000" w:themeColor="text1"/>
          <w:lang w:val="en-US"/>
        </w:rPr>
        <w:t>CIITA</w:t>
      </w:r>
      <w:r w:rsidRPr="00A34568">
        <w:rPr>
          <w:rFonts w:cstheme="minorHAnsi"/>
          <w:color w:val="000000" w:themeColor="text1"/>
          <w:lang w:val="en-US"/>
        </w:rPr>
        <w:t>) are positively associated with reduced expression of MHC-I genes (</w:t>
      </w:r>
      <w:r w:rsidRPr="00A34568">
        <w:rPr>
          <w:rFonts w:cstheme="minorHAnsi"/>
          <w:i/>
          <w:iCs/>
          <w:color w:val="000000" w:themeColor="text1"/>
          <w:lang w:val="en-US"/>
        </w:rPr>
        <w:t>HLA-A</w:t>
      </w:r>
      <w:r w:rsidRPr="00A34568">
        <w:rPr>
          <w:rFonts w:cstheme="minorHAnsi"/>
          <w:color w:val="000000" w:themeColor="text1"/>
          <w:lang w:val="en-US"/>
        </w:rPr>
        <w:t xml:space="preserve">, </w:t>
      </w:r>
      <w:r w:rsidRPr="00A34568">
        <w:rPr>
          <w:rFonts w:cstheme="minorHAnsi"/>
          <w:i/>
          <w:iCs/>
          <w:color w:val="000000" w:themeColor="text1"/>
          <w:lang w:val="en-US"/>
        </w:rPr>
        <w:t>HLA-B</w:t>
      </w:r>
      <w:r w:rsidRPr="00A34568">
        <w:rPr>
          <w:rFonts w:cstheme="minorHAnsi"/>
          <w:color w:val="000000" w:themeColor="text1"/>
          <w:lang w:val="en-US"/>
        </w:rPr>
        <w:t xml:space="preserve">, and </w:t>
      </w:r>
      <w:r w:rsidRPr="00A34568">
        <w:rPr>
          <w:rFonts w:cstheme="minorHAnsi"/>
          <w:i/>
          <w:iCs/>
          <w:color w:val="000000" w:themeColor="text1"/>
          <w:lang w:val="en-US"/>
        </w:rPr>
        <w:t>HLA-C</w:t>
      </w:r>
      <w:r w:rsidRPr="00A34568">
        <w:rPr>
          <w:rFonts w:cstheme="minorHAnsi"/>
          <w:color w:val="000000" w:themeColor="text1"/>
          <w:lang w:val="en-US"/>
        </w:rPr>
        <w:t xml:space="preserve">) in NPC. </w:t>
      </w:r>
      <w:r w:rsidRPr="00A34568">
        <w:rPr>
          <w:rFonts w:cstheme="minorHAnsi"/>
          <w:b/>
          <w:bCs/>
          <w:color w:val="000000" w:themeColor="text1"/>
          <w:lang w:val="en-US"/>
        </w:rPr>
        <w:t>B</w:t>
      </w:r>
      <w:r w:rsidRPr="00A34568">
        <w:rPr>
          <w:rFonts w:cstheme="minorHAnsi"/>
          <w:color w:val="000000" w:themeColor="text1"/>
          <w:lang w:val="en-US"/>
        </w:rPr>
        <w:t xml:space="preserve"> Expression analysis of differentially expressed genes (DEGs) involved in the KEGG antigen processing and presentation pathway in NPC </w:t>
      </w:r>
      <w:proofErr w:type="spellStart"/>
      <w:r w:rsidRPr="00A34568">
        <w:rPr>
          <w:rFonts w:cstheme="minorHAnsi"/>
          <w:color w:val="000000" w:themeColor="text1"/>
          <w:lang w:val="en-US"/>
        </w:rPr>
        <w:t>tumours</w:t>
      </w:r>
      <w:proofErr w:type="spellEnd"/>
      <w:r w:rsidRPr="00A34568">
        <w:rPr>
          <w:rFonts w:cstheme="minorHAnsi"/>
          <w:color w:val="000000" w:themeColor="text1"/>
          <w:lang w:val="en-US"/>
        </w:rPr>
        <w:t xml:space="preserve"> compared to non-NPC tissues. The boxplot (left) displays </w:t>
      </w:r>
      <w:r w:rsidRPr="00A34568">
        <w:rPr>
          <w:rFonts w:cstheme="minorHAnsi"/>
          <w:color w:val="000000" w:themeColor="text1"/>
        </w:rPr>
        <w:t xml:space="preserve">the expression levels of </w:t>
      </w:r>
      <w:r w:rsidRPr="00A34568">
        <w:rPr>
          <w:rFonts w:cstheme="minorHAnsi"/>
          <w:i/>
          <w:iCs/>
          <w:color w:val="000000" w:themeColor="text1"/>
          <w:lang w:val="en-US"/>
        </w:rPr>
        <w:t>HLA-A</w:t>
      </w:r>
      <w:r w:rsidRPr="00A34568">
        <w:rPr>
          <w:rFonts w:cstheme="minorHAnsi"/>
          <w:color w:val="000000" w:themeColor="text1"/>
          <w:lang w:val="en-US"/>
        </w:rPr>
        <w:t xml:space="preserve">, </w:t>
      </w:r>
      <w:r w:rsidRPr="00A34568">
        <w:rPr>
          <w:rFonts w:cstheme="minorHAnsi"/>
          <w:i/>
          <w:iCs/>
          <w:color w:val="000000" w:themeColor="text1"/>
          <w:lang w:val="en-US"/>
        </w:rPr>
        <w:t>HLA-B</w:t>
      </w:r>
      <w:r w:rsidRPr="00A34568">
        <w:rPr>
          <w:rFonts w:cstheme="minorHAnsi"/>
          <w:color w:val="000000" w:themeColor="text1"/>
          <w:lang w:val="en-US"/>
        </w:rPr>
        <w:t xml:space="preserve"> and </w:t>
      </w:r>
      <w:r w:rsidRPr="00A34568">
        <w:rPr>
          <w:rFonts w:cstheme="minorHAnsi"/>
          <w:i/>
          <w:iCs/>
          <w:color w:val="000000" w:themeColor="text1"/>
          <w:lang w:val="en-US"/>
        </w:rPr>
        <w:t>HLA-C</w:t>
      </w:r>
      <w:r w:rsidRPr="00A34568">
        <w:rPr>
          <w:rFonts w:cstheme="minorHAnsi"/>
          <w:color w:val="000000" w:themeColor="text1"/>
          <w:lang w:val="en-US"/>
        </w:rPr>
        <w:t xml:space="preserve"> between NPC </w:t>
      </w:r>
      <w:proofErr w:type="spellStart"/>
      <w:r w:rsidRPr="00A34568">
        <w:rPr>
          <w:rFonts w:cstheme="minorHAnsi"/>
          <w:color w:val="000000" w:themeColor="text1"/>
          <w:lang w:val="en-US"/>
        </w:rPr>
        <w:t>tumours</w:t>
      </w:r>
      <w:proofErr w:type="spellEnd"/>
      <w:r w:rsidRPr="00A34568">
        <w:rPr>
          <w:rFonts w:cstheme="minorHAnsi"/>
          <w:color w:val="000000" w:themeColor="text1"/>
          <w:lang w:val="en-US"/>
        </w:rPr>
        <w:t xml:space="preserve"> and non-NPC tissues.  The bar graph (right) shows the proportion of </w:t>
      </w:r>
      <w:proofErr w:type="spellStart"/>
      <w:r w:rsidRPr="00A34568">
        <w:rPr>
          <w:rFonts w:cstheme="minorHAnsi"/>
          <w:color w:val="000000" w:themeColor="text1"/>
          <w:lang w:val="en-US"/>
        </w:rPr>
        <w:t>tumour</w:t>
      </w:r>
      <w:proofErr w:type="spellEnd"/>
      <w:r w:rsidRPr="00A34568">
        <w:rPr>
          <w:rFonts w:cstheme="minorHAnsi"/>
          <w:color w:val="000000" w:themeColor="text1"/>
          <w:lang w:val="en-US"/>
        </w:rPr>
        <w:t xml:space="preserve"> samples with lower expression of </w:t>
      </w:r>
      <w:r w:rsidRPr="00A34568">
        <w:rPr>
          <w:rFonts w:cstheme="minorHAnsi"/>
          <w:i/>
          <w:iCs/>
          <w:color w:val="000000" w:themeColor="text1"/>
          <w:lang w:val="en-US"/>
        </w:rPr>
        <w:t>HLA-A</w:t>
      </w:r>
      <w:r w:rsidRPr="00A34568">
        <w:rPr>
          <w:rFonts w:cstheme="minorHAnsi"/>
          <w:color w:val="000000" w:themeColor="text1"/>
          <w:lang w:val="en-US"/>
        </w:rPr>
        <w:t xml:space="preserve">, </w:t>
      </w:r>
      <w:r w:rsidRPr="00A34568">
        <w:rPr>
          <w:rFonts w:cstheme="minorHAnsi"/>
          <w:i/>
          <w:iCs/>
          <w:color w:val="000000" w:themeColor="text1"/>
          <w:lang w:val="en-US"/>
        </w:rPr>
        <w:t>HLA-B</w:t>
      </w:r>
      <w:r w:rsidRPr="00A34568">
        <w:rPr>
          <w:rFonts w:cstheme="minorHAnsi"/>
          <w:color w:val="000000" w:themeColor="text1"/>
          <w:lang w:val="en-US"/>
        </w:rPr>
        <w:t xml:space="preserve"> and </w:t>
      </w:r>
      <w:r w:rsidRPr="00A34568">
        <w:rPr>
          <w:rFonts w:cstheme="minorHAnsi"/>
          <w:i/>
          <w:iCs/>
          <w:color w:val="000000" w:themeColor="text1"/>
          <w:lang w:val="en-US"/>
        </w:rPr>
        <w:t>HLA-C</w:t>
      </w:r>
      <w:r w:rsidRPr="00A34568">
        <w:rPr>
          <w:rFonts w:cstheme="minorHAnsi"/>
          <w:color w:val="000000" w:themeColor="text1"/>
          <w:lang w:val="en-US"/>
        </w:rPr>
        <w:t xml:space="preserve"> relative to non-NPC tissues.</w:t>
      </w:r>
    </w:p>
    <w:p w:rsidR="009C70FA" w:rsidRPr="00A34568" w:rsidRDefault="009C70FA" w:rsidP="009C70FA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9C70FA" w:rsidRPr="00A34568" w:rsidRDefault="009C70FA" w:rsidP="009C70FA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A34568">
        <w:rPr>
          <w:rFonts w:cstheme="minorHAnsi"/>
          <w:color w:val="000000" w:themeColor="text1"/>
          <w:lang w:val="en-US"/>
        </w:rPr>
        <w:t xml:space="preserve">Fig S2: Expression of MHC-I and MAGED4B/FJX1 TAAs in NPC. Representative micrograph of MAGED4B and FJX1 in tissues and the bar graph indicates IHC staining scores. Insets show </w:t>
      </w:r>
      <w:proofErr w:type="gramStart"/>
      <w:r w:rsidRPr="00A34568">
        <w:rPr>
          <w:rFonts w:cstheme="minorHAnsi"/>
          <w:color w:val="000000" w:themeColor="text1"/>
          <w:lang w:val="en-US"/>
        </w:rPr>
        <w:t>20x magnification</w:t>
      </w:r>
      <w:proofErr w:type="gramEnd"/>
      <w:r w:rsidRPr="00A34568">
        <w:rPr>
          <w:rFonts w:cstheme="minorHAnsi"/>
          <w:color w:val="000000" w:themeColor="text1"/>
          <w:lang w:val="en-US"/>
        </w:rPr>
        <w:t xml:space="preserve"> of the selected regions. </w:t>
      </w:r>
      <w:proofErr w:type="gramStart"/>
      <w:r w:rsidRPr="00A34568">
        <w:rPr>
          <w:rFonts w:cstheme="minorHAnsi"/>
          <w:color w:val="000000" w:themeColor="text1"/>
          <w:lang w:val="en-US"/>
        </w:rPr>
        <w:t>Bar chart demonstrating the proportion of cases having high and low expression of MAGED4B and FJX1.</w:t>
      </w:r>
      <w:proofErr w:type="gramEnd"/>
      <w:r w:rsidRPr="00A34568">
        <w:rPr>
          <w:rFonts w:cstheme="minorHAnsi"/>
          <w:color w:val="000000" w:themeColor="text1"/>
          <w:lang w:val="en-US"/>
        </w:rPr>
        <w:t xml:space="preserve"> </w:t>
      </w:r>
    </w:p>
    <w:p w:rsidR="009C70FA" w:rsidRPr="00A34568" w:rsidRDefault="009C70FA" w:rsidP="009C70FA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9C70FA" w:rsidRPr="00A34568" w:rsidRDefault="009C70FA" w:rsidP="009C70FA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34568">
        <w:rPr>
          <w:rFonts w:cstheme="minorHAnsi"/>
          <w:color w:val="000000" w:themeColor="text1"/>
          <w:lang w:val="en-US"/>
        </w:rPr>
        <w:t xml:space="preserve">Fig S3: TAA expression and antigen-specific killing in NPC cell lines. </w:t>
      </w:r>
      <w:proofErr w:type="gramStart"/>
      <w:r w:rsidRPr="00A34568">
        <w:rPr>
          <w:rFonts w:cstheme="minorHAnsi"/>
          <w:b/>
          <w:bCs/>
          <w:color w:val="000000" w:themeColor="text1"/>
        </w:rPr>
        <w:t>A</w:t>
      </w:r>
      <w:r w:rsidRPr="00A34568">
        <w:rPr>
          <w:rFonts w:cstheme="minorHAnsi"/>
          <w:color w:val="000000" w:themeColor="text1"/>
        </w:rPr>
        <w:t xml:space="preserve"> Western blot analysis of MAGED4B and FJX1 expression in NPC cell lines.</w:t>
      </w:r>
      <w:proofErr w:type="gramEnd"/>
      <w:r w:rsidRPr="00A34568">
        <w:rPr>
          <w:rFonts w:cstheme="minorHAnsi"/>
          <w:color w:val="000000" w:themeColor="text1"/>
        </w:rPr>
        <w:t xml:space="preserve"> </w:t>
      </w:r>
      <w:r w:rsidRPr="00A34568">
        <w:rPr>
          <w:rFonts w:cstheme="minorHAnsi"/>
          <w:color w:val="000000" w:themeColor="text1"/>
          <w:lang w:val="en-US"/>
        </w:rPr>
        <w:t>ORL-195/MAGED4B served as positive control with exogenous MAGED4B expression, while ORL-195/</w:t>
      </w:r>
      <w:proofErr w:type="spellStart"/>
      <w:r w:rsidRPr="00A34568">
        <w:rPr>
          <w:rFonts w:cstheme="minorHAnsi"/>
          <w:color w:val="000000" w:themeColor="text1"/>
          <w:lang w:val="en-US"/>
        </w:rPr>
        <w:t>LacZ</w:t>
      </w:r>
      <w:proofErr w:type="spellEnd"/>
      <w:r w:rsidRPr="00A34568">
        <w:rPr>
          <w:rFonts w:cstheme="minorHAnsi"/>
          <w:color w:val="000000" w:themeColor="text1"/>
          <w:lang w:val="en-US"/>
        </w:rPr>
        <w:t xml:space="preserve"> was used as a negative control.</w:t>
      </w:r>
      <w:r w:rsidRPr="00A34568">
        <w:rPr>
          <w:rFonts w:cstheme="minorHAnsi"/>
          <w:color w:val="000000" w:themeColor="text1"/>
        </w:rPr>
        <w:t xml:space="preserve"> </w:t>
      </w:r>
      <w:r w:rsidRPr="00A34568">
        <w:rPr>
          <w:rFonts w:cstheme="minorHAnsi"/>
          <w:b/>
          <w:bCs/>
          <w:color w:val="000000" w:themeColor="text1"/>
        </w:rPr>
        <w:t>B</w:t>
      </w:r>
      <w:r w:rsidRPr="00A34568">
        <w:rPr>
          <w:rFonts w:cstheme="minorHAnsi"/>
          <w:color w:val="000000" w:themeColor="text1"/>
        </w:rPr>
        <w:t xml:space="preserve"> CD8</w:t>
      </w:r>
      <w:r w:rsidRPr="00A34568">
        <w:rPr>
          <w:rFonts w:cstheme="minorHAnsi"/>
          <w:color w:val="000000" w:themeColor="text1"/>
          <w:vertAlign w:val="superscript"/>
        </w:rPr>
        <w:t>+</w:t>
      </w:r>
      <w:r w:rsidRPr="00A34568">
        <w:rPr>
          <w:rFonts w:cstheme="minorHAnsi"/>
          <w:color w:val="000000" w:themeColor="text1"/>
        </w:rPr>
        <w:t xml:space="preserve"> T cells from different donors were stimulated with </w:t>
      </w:r>
      <w:r w:rsidRPr="00A34568">
        <w:rPr>
          <w:rFonts w:cstheme="minorHAnsi"/>
          <w:color w:val="000000" w:themeColor="text1"/>
          <w:lang w:val="en-US"/>
        </w:rPr>
        <w:t xml:space="preserve">overlapping peptide pools of MAGED4B and FJX1, </w:t>
      </w:r>
      <w:proofErr w:type="gramStart"/>
      <w:r w:rsidRPr="00A34568">
        <w:rPr>
          <w:rFonts w:cstheme="minorHAnsi"/>
          <w:color w:val="000000" w:themeColor="text1"/>
          <w:lang w:val="en-US"/>
        </w:rPr>
        <w:t>then</w:t>
      </w:r>
      <w:proofErr w:type="gramEnd"/>
      <w:r w:rsidRPr="00A34568">
        <w:rPr>
          <w:rFonts w:cstheme="minorHAnsi"/>
          <w:color w:val="000000" w:themeColor="text1"/>
          <w:lang w:val="en-US"/>
        </w:rPr>
        <w:t xml:space="preserve"> </w:t>
      </w:r>
      <w:r w:rsidRPr="00A34568">
        <w:rPr>
          <w:rFonts w:cstheme="minorHAnsi"/>
          <w:color w:val="000000" w:themeColor="text1"/>
        </w:rPr>
        <w:t xml:space="preserve">co-cultured with NPC cell lines. </w:t>
      </w:r>
      <w:r w:rsidRPr="00A34568">
        <w:rPr>
          <w:rFonts w:cstheme="minorHAnsi"/>
          <w:color w:val="000000" w:themeColor="text1"/>
          <w:lang w:val="en-US"/>
        </w:rPr>
        <w:t>Peptide-trained T cells selectively killed NPC-53 and NPC-268 cells, demonstrating antigen-specific cytotoxicity.</w:t>
      </w:r>
    </w:p>
    <w:p w:rsidR="004F5853" w:rsidRDefault="004F5853">
      <w:bookmarkStart w:id="0" w:name="_GoBack"/>
      <w:bookmarkEnd w:id="0"/>
    </w:p>
    <w:sectPr w:rsidR="004F5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FA"/>
    <w:rsid w:val="00017435"/>
    <w:rsid w:val="000322A5"/>
    <w:rsid w:val="000418F1"/>
    <w:rsid w:val="000661ED"/>
    <w:rsid w:val="00074B88"/>
    <w:rsid w:val="00084B87"/>
    <w:rsid w:val="00093788"/>
    <w:rsid w:val="000A143C"/>
    <w:rsid w:val="000D2CD8"/>
    <w:rsid w:val="000E1EA3"/>
    <w:rsid w:val="000F02B3"/>
    <w:rsid w:val="000F598E"/>
    <w:rsid w:val="0010205D"/>
    <w:rsid w:val="00105B58"/>
    <w:rsid w:val="00107702"/>
    <w:rsid w:val="0012689F"/>
    <w:rsid w:val="0013570C"/>
    <w:rsid w:val="00140C9F"/>
    <w:rsid w:val="0014544B"/>
    <w:rsid w:val="001454B0"/>
    <w:rsid w:val="00152022"/>
    <w:rsid w:val="001B52EF"/>
    <w:rsid w:val="001B5E9C"/>
    <w:rsid w:val="001E08AC"/>
    <w:rsid w:val="001F60B4"/>
    <w:rsid w:val="00210FA9"/>
    <w:rsid w:val="00215B36"/>
    <w:rsid w:val="00220613"/>
    <w:rsid w:val="002239E4"/>
    <w:rsid w:val="00230AA2"/>
    <w:rsid w:val="00236A88"/>
    <w:rsid w:val="00244102"/>
    <w:rsid w:val="0024785E"/>
    <w:rsid w:val="00260C1E"/>
    <w:rsid w:val="00263116"/>
    <w:rsid w:val="00270B08"/>
    <w:rsid w:val="002723A0"/>
    <w:rsid w:val="00274949"/>
    <w:rsid w:val="00276EA2"/>
    <w:rsid w:val="002976CC"/>
    <w:rsid w:val="002A0987"/>
    <w:rsid w:val="002B4EF9"/>
    <w:rsid w:val="002D7D7B"/>
    <w:rsid w:val="002F7C61"/>
    <w:rsid w:val="00302663"/>
    <w:rsid w:val="00313F13"/>
    <w:rsid w:val="00351F70"/>
    <w:rsid w:val="00356832"/>
    <w:rsid w:val="00357C56"/>
    <w:rsid w:val="00365711"/>
    <w:rsid w:val="0037613D"/>
    <w:rsid w:val="00376798"/>
    <w:rsid w:val="003A1FBE"/>
    <w:rsid w:val="003A51BE"/>
    <w:rsid w:val="003A6123"/>
    <w:rsid w:val="003B603F"/>
    <w:rsid w:val="003B7CE2"/>
    <w:rsid w:val="003D169D"/>
    <w:rsid w:val="003D7089"/>
    <w:rsid w:val="003F33B9"/>
    <w:rsid w:val="003F633C"/>
    <w:rsid w:val="00427C70"/>
    <w:rsid w:val="004378C3"/>
    <w:rsid w:val="004400C7"/>
    <w:rsid w:val="00442CD9"/>
    <w:rsid w:val="00471E12"/>
    <w:rsid w:val="00480BB4"/>
    <w:rsid w:val="004826A6"/>
    <w:rsid w:val="004877CD"/>
    <w:rsid w:val="004A54A1"/>
    <w:rsid w:val="004A5FAA"/>
    <w:rsid w:val="004C772B"/>
    <w:rsid w:val="004D6240"/>
    <w:rsid w:val="004D7DBC"/>
    <w:rsid w:val="004E6B6D"/>
    <w:rsid w:val="004F4573"/>
    <w:rsid w:val="004F5853"/>
    <w:rsid w:val="004F6A52"/>
    <w:rsid w:val="004F7F44"/>
    <w:rsid w:val="0050271E"/>
    <w:rsid w:val="00520029"/>
    <w:rsid w:val="0052453E"/>
    <w:rsid w:val="0053512B"/>
    <w:rsid w:val="00547BB5"/>
    <w:rsid w:val="00552147"/>
    <w:rsid w:val="005538C5"/>
    <w:rsid w:val="00567017"/>
    <w:rsid w:val="005707CB"/>
    <w:rsid w:val="00583CE5"/>
    <w:rsid w:val="0058541B"/>
    <w:rsid w:val="00593F9E"/>
    <w:rsid w:val="00595D29"/>
    <w:rsid w:val="005A371F"/>
    <w:rsid w:val="005B36AE"/>
    <w:rsid w:val="005C29C4"/>
    <w:rsid w:val="005D3B55"/>
    <w:rsid w:val="005E6803"/>
    <w:rsid w:val="00621B23"/>
    <w:rsid w:val="0062611C"/>
    <w:rsid w:val="00636A2C"/>
    <w:rsid w:val="00637694"/>
    <w:rsid w:val="00651BA5"/>
    <w:rsid w:val="00664FA1"/>
    <w:rsid w:val="0066554C"/>
    <w:rsid w:val="00690213"/>
    <w:rsid w:val="00692A88"/>
    <w:rsid w:val="00695A14"/>
    <w:rsid w:val="006B3606"/>
    <w:rsid w:val="00723636"/>
    <w:rsid w:val="00736902"/>
    <w:rsid w:val="00766F28"/>
    <w:rsid w:val="0077732A"/>
    <w:rsid w:val="00784D02"/>
    <w:rsid w:val="00791589"/>
    <w:rsid w:val="007959E0"/>
    <w:rsid w:val="007C0880"/>
    <w:rsid w:val="007C3D1A"/>
    <w:rsid w:val="007F056D"/>
    <w:rsid w:val="00803801"/>
    <w:rsid w:val="00825E5F"/>
    <w:rsid w:val="00842D75"/>
    <w:rsid w:val="008472D2"/>
    <w:rsid w:val="00862E58"/>
    <w:rsid w:val="00871420"/>
    <w:rsid w:val="00890645"/>
    <w:rsid w:val="00890F02"/>
    <w:rsid w:val="00896589"/>
    <w:rsid w:val="00897F48"/>
    <w:rsid w:val="008A5A4F"/>
    <w:rsid w:val="008A7504"/>
    <w:rsid w:val="008B0EDC"/>
    <w:rsid w:val="008B2C8E"/>
    <w:rsid w:val="008B5697"/>
    <w:rsid w:val="008C3138"/>
    <w:rsid w:val="008C4984"/>
    <w:rsid w:val="008D20ED"/>
    <w:rsid w:val="008E54AD"/>
    <w:rsid w:val="009028F0"/>
    <w:rsid w:val="00913891"/>
    <w:rsid w:val="00914BCA"/>
    <w:rsid w:val="00926E65"/>
    <w:rsid w:val="009413D9"/>
    <w:rsid w:val="009515A1"/>
    <w:rsid w:val="0097415F"/>
    <w:rsid w:val="00986338"/>
    <w:rsid w:val="009909F5"/>
    <w:rsid w:val="00992CE4"/>
    <w:rsid w:val="009B012D"/>
    <w:rsid w:val="009C70FA"/>
    <w:rsid w:val="009D38F5"/>
    <w:rsid w:val="00A05E88"/>
    <w:rsid w:val="00A22350"/>
    <w:rsid w:val="00A34C04"/>
    <w:rsid w:val="00A62BF2"/>
    <w:rsid w:val="00A81552"/>
    <w:rsid w:val="00A832A4"/>
    <w:rsid w:val="00A94596"/>
    <w:rsid w:val="00AC14DA"/>
    <w:rsid w:val="00AC6C2C"/>
    <w:rsid w:val="00AF59D9"/>
    <w:rsid w:val="00AF6300"/>
    <w:rsid w:val="00B112B6"/>
    <w:rsid w:val="00B20DA0"/>
    <w:rsid w:val="00B27755"/>
    <w:rsid w:val="00B4281F"/>
    <w:rsid w:val="00B451CD"/>
    <w:rsid w:val="00B5093F"/>
    <w:rsid w:val="00B56A2E"/>
    <w:rsid w:val="00B56D22"/>
    <w:rsid w:val="00B57EC1"/>
    <w:rsid w:val="00B853E7"/>
    <w:rsid w:val="00BA530F"/>
    <w:rsid w:val="00BB3F5B"/>
    <w:rsid w:val="00BC6DDE"/>
    <w:rsid w:val="00BE1127"/>
    <w:rsid w:val="00BE2E74"/>
    <w:rsid w:val="00C04055"/>
    <w:rsid w:val="00C1361A"/>
    <w:rsid w:val="00C142FC"/>
    <w:rsid w:val="00C310DA"/>
    <w:rsid w:val="00C35A95"/>
    <w:rsid w:val="00C42BD4"/>
    <w:rsid w:val="00C524F3"/>
    <w:rsid w:val="00C60BD1"/>
    <w:rsid w:val="00C61B22"/>
    <w:rsid w:val="00C63A2D"/>
    <w:rsid w:val="00C700EF"/>
    <w:rsid w:val="00C9504A"/>
    <w:rsid w:val="00C9597F"/>
    <w:rsid w:val="00CA1F75"/>
    <w:rsid w:val="00CB0D72"/>
    <w:rsid w:val="00CB1182"/>
    <w:rsid w:val="00CD341A"/>
    <w:rsid w:val="00CF1894"/>
    <w:rsid w:val="00CF5D75"/>
    <w:rsid w:val="00CF7525"/>
    <w:rsid w:val="00CF7EA2"/>
    <w:rsid w:val="00D05F59"/>
    <w:rsid w:val="00D15F64"/>
    <w:rsid w:val="00D16290"/>
    <w:rsid w:val="00D26FBF"/>
    <w:rsid w:val="00D451EB"/>
    <w:rsid w:val="00D52BCF"/>
    <w:rsid w:val="00D81892"/>
    <w:rsid w:val="00D86B66"/>
    <w:rsid w:val="00DA3F23"/>
    <w:rsid w:val="00DA6A49"/>
    <w:rsid w:val="00DD6AC1"/>
    <w:rsid w:val="00DD6F20"/>
    <w:rsid w:val="00DE20FD"/>
    <w:rsid w:val="00DE4FEB"/>
    <w:rsid w:val="00DF1D96"/>
    <w:rsid w:val="00DF4D4A"/>
    <w:rsid w:val="00E21FD0"/>
    <w:rsid w:val="00E24E5D"/>
    <w:rsid w:val="00E32F10"/>
    <w:rsid w:val="00E44382"/>
    <w:rsid w:val="00E47813"/>
    <w:rsid w:val="00E644AC"/>
    <w:rsid w:val="00E72F5E"/>
    <w:rsid w:val="00E84B42"/>
    <w:rsid w:val="00E8759A"/>
    <w:rsid w:val="00EA0506"/>
    <w:rsid w:val="00EC1046"/>
    <w:rsid w:val="00EC3C30"/>
    <w:rsid w:val="00EE4B15"/>
    <w:rsid w:val="00EE7B25"/>
    <w:rsid w:val="00F04ED2"/>
    <w:rsid w:val="00F100D9"/>
    <w:rsid w:val="00F14444"/>
    <w:rsid w:val="00F2222C"/>
    <w:rsid w:val="00F2464D"/>
    <w:rsid w:val="00F47CF2"/>
    <w:rsid w:val="00F527DF"/>
    <w:rsid w:val="00F66D7A"/>
    <w:rsid w:val="00F863FC"/>
    <w:rsid w:val="00FA1C7D"/>
    <w:rsid w:val="00FB3254"/>
    <w:rsid w:val="00FB3E14"/>
    <w:rsid w:val="00FB7693"/>
    <w:rsid w:val="00FC32AB"/>
    <w:rsid w:val="00FC5783"/>
    <w:rsid w:val="00FD12E7"/>
    <w:rsid w:val="00FF1D6F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2025-11-06T12:50:00Z</dcterms:created>
  <dcterms:modified xsi:type="dcterms:W3CDTF">2025-11-06T12:51:00Z</dcterms:modified>
</cp:coreProperties>
</file>