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highlight w:val="none"/>
        </w:rPr>
      </w:pPr>
      <w:bookmarkStart w:id="2" w:name="_GoBack"/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  <w:t xml:space="preserve">Isoliquiritigenin Ameliorates Parkinson’s Disease via Gut Microbiota Remodeling: Potential Mediating Role of 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highlight w:val="none"/>
        </w:rPr>
        <w:t>Parabacteroides distasonis</w:t>
      </w:r>
    </w:p>
    <w:p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4"/>
          <w:highlight w:val="none"/>
          <w:vertAlign w:val="superscript"/>
        </w:rPr>
      </w:pPr>
      <w:r>
        <w:rPr>
          <w:rFonts w:hint="eastAsia" w:ascii="Times New Roman" w:hAnsi="Times New Roman" w:cs="Times New Roman"/>
          <w:sz w:val="24"/>
          <w:highlight w:val="none"/>
        </w:rPr>
        <w:t>Mengyun Li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highlight w:val="none"/>
          <w:vertAlign w:val="superscript"/>
          <w:lang w:val="en-US" w:eastAsia="zh-CN"/>
        </w:rPr>
        <w:t>†</w:t>
      </w:r>
      <w:r>
        <w:rPr>
          <w:rFonts w:hint="eastAsia" w:ascii="Times New Roman" w:hAnsi="Times New Roman" w:cs="Times New Roman"/>
          <w:sz w:val="24"/>
          <w:highlight w:val="none"/>
        </w:rPr>
        <w:t>, Xiaobing Zhang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highlight w:val="none"/>
          <w:vertAlign w:val="superscript"/>
          <w:lang w:val="en-US" w:eastAsia="zh-CN"/>
        </w:rPr>
        <w:t>†</w:t>
      </w:r>
      <w:r>
        <w:rPr>
          <w:rFonts w:hint="eastAsia" w:ascii="Times New Roman" w:hAnsi="Times New Roman" w:cs="Times New Roman"/>
          <w:sz w:val="24"/>
          <w:highlight w:val="none"/>
        </w:rPr>
        <w:t>, Jiafeng Lu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highlight w:val="none"/>
        </w:rPr>
        <w:t>, Junjie Xiang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highlight w:val="none"/>
        </w:rPr>
        <w:t>, Jie Wu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highlight w:val="none"/>
        </w:rPr>
        <w:t>, Matao Zheng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  <w:highlight w:val="none"/>
        </w:rPr>
        <w:t>, Siwei Yang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highlight w:val="none"/>
        </w:rPr>
        <w:t>, Lingyan He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5</w:t>
      </w:r>
      <w:r>
        <w:rPr>
          <w:rFonts w:ascii="Times New Roman" w:hAnsi="Times New Roman" w:cs="Times New Roman"/>
          <w:sz w:val="24"/>
          <w:highlight w:val="none"/>
          <w:vertAlign w:val="superscript"/>
        </w:rPr>
        <w:t>*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, Xian Shao 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2</w:t>
      </w:r>
      <w:r>
        <w:rPr>
          <w:rFonts w:ascii="Times New Roman" w:hAnsi="Times New Roman" w:cs="Times New Roman"/>
          <w:sz w:val="24"/>
          <w:highlight w:val="none"/>
          <w:vertAlign w:val="superscript"/>
        </w:rPr>
        <w:t>*</w:t>
      </w:r>
    </w:p>
    <w:p>
      <w:pPr>
        <w:widowControl/>
        <w:numPr>
          <w:ilvl w:val="255"/>
          <w:numId w:val="0"/>
        </w:numPr>
        <w:spacing w:line="480" w:lineRule="auto"/>
        <w:contextualSpacing/>
        <w:rPr>
          <w:rFonts w:ascii="Times New Roman" w:hAnsi="Times New Roman" w:cs="Times New Roman"/>
          <w:sz w:val="24"/>
          <w:highlight w:val="none"/>
          <w:vertAlign w:val="superscript"/>
        </w:rPr>
      </w:pP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  <w:lang w:bidi="ar"/>
        </w:rPr>
        <w:t xml:space="preserve">Department of Neurosurgery, Shaoxing People’s Hospital, Zhejiang University Shaoxing Hospital, Shaoxing, </w:t>
      </w:r>
      <w:r>
        <w:rPr>
          <w:rFonts w:ascii="Times New Roman" w:hAnsi="Times New Roman" w:eastAsia="宋体" w:cs="Times New Roman"/>
          <w:sz w:val="24"/>
          <w:highlight w:val="none"/>
          <w:lang w:bidi="ar"/>
        </w:rPr>
        <w:t>Zhejiang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 w:bidi="ar"/>
        </w:rPr>
        <w:t xml:space="preserve"> 312000</w:t>
      </w:r>
      <w:r>
        <w:rPr>
          <w:rFonts w:ascii="Times New Roman" w:hAnsi="Times New Roman" w:cs="Times New Roman"/>
          <w:sz w:val="24"/>
          <w:highlight w:val="none"/>
          <w:lang w:bidi="ar"/>
        </w:rPr>
        <w:t>, China</w:t>
      </w: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 xml:space="preserve">Department of Medical Research Center, Shaoxing People’s Hospital, Shaoxing, Zhejiang </w:t>
      </w:r>
      <w:bookmarkStart w:id="0" w:name="OLE_LINK47"/>
      <w:r>
        <w:rPr>
          <w:rFonts w:ascii="Times New Roman" w:hAnsi="Times New Roman" w:cs="Times New Roman"/>
          <w:sz w:val="24"/>
          <w:highlight w:val="none"/>
        </w:rPr>
        <w:t>312000,</w:t>
      </w:r>
      <w:bookmarkStart w:id="1" w:name="OLE_LINK48"/>
      <w:r>
        <w:rPr>
          <w:rFonts w:ascii="Times New Roman" w:hAnsi="Times New Roman" w:cs="Times New Roman"/>
          <w:sz w:val="24"/>
          <w:highlight w:val="none"/>
        </w:rPr>
        <w:t xml:space="preserve"> China</w:t>
      </w:r>
      <w:bookmarkEnd w:id="0"/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School of medicine, Shaoxing University, Shaoxing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  <w:highlight w:val="none"/>
        </w:rPr>
        <w:t>Zhejiang</w:t>
      </w:r>
      <w:r>
        <w:rPr>
          <w:rFonts w:ascii="Times New Roman" w:hAnsi="Times New Roman" w:cs="Times New Roman"/>
          <w:sz w:val="24"/>
          <w:highlight w:val="none"/>
        </w:rPr>
        <w:t xml:space="preserve"> 312000, China</w:t>
      </w: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Second Clinical Medical College, Zhejiang Chinese Medical University, Hangzhou, Zhejiang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>310053, China</w:t>
      </w: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5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Department of Traditional Chinese Medicine, Shaoxing People’s Hospital, Shaoxing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 Zhejiang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312000, China</w:t>
      </w: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</w:p>
    <w:p>
      <w:pPr>
        <w:widowControl/>
        <w:spacing w:line="480" w:lineRule="auto"/>
        <w:contextualSpacing/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highlight w:val="none"/>
          <w:vertAlign w:val="superscript"/>
          <w:lang w:val="en-US" w:eastAsia="zh-CN"/>
        </w:rPr>
        <w:t>†</w:t>
      </w:r>
      <w:r>
        <w:rPr>
          <w:rFonts w:hint="eastAsia" w:ascii="Times New Roman" w:hAnsi="Times New Roman"/>
          <w:sz w:val="24"/>
          <w:highlight w:val="none"/>
          <w:vertAlign w:val="superscript"/>
          <w:lang w:bidi="ar"/>
        </w:rPr>
        <w:t xml:space="preserve"> </w:t>
      </w:r>
      <w:r>
        <w:rPr>
          <w:rFonts w:ascii="Times New Roman" w:hAnsi="Times New Roman"/>
          <w:sz w:val="24"/>
          <w:highlight w:val="none"/>
          <w:lang w:bidi="ar"/>
        </w:rPr>
        <w:t>These two authors contributed equally to this work.</w:t>
      </w:r>
    </w:p>
    <w:bookmarkEnd w:id="1"/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highlight w:val="none"/>
        </w:rPr>
        <w:t>*Corresponding authors at: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Department of Medical Research Center, Shaoxing People’s Hospital,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No. 568, Zhongxing North Road,</w:t>
      </w:r>
      <w:r>
        <w:rPr>
          <w:rFonts w:ascii="Times New Roman" w:hAnsi="Times New Roman" w:cs="Times New Roman"/>
          <w:sz w:val="24"/>
          <w:highlight w:val="none"/>
        </w:rPr>
        <w:t xml:space="preserve"> Shaoxing, 312000, P. R. China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</w:p>
    <w:p>
      <w:pPr>
        <w:spacing w:line="480" w:lineRule="auto"/>
        <w:rPr>
          <w:rFonts w:hint="eastAsia" w:ascii="Times New Roman" w:hAnsi="Times New Roman" w:cs="Times New Roman"/>
          <w:sz w:val="24"/>
          <w:highlight w:val="none"/>
        </w:rPr>
      </w:pPr>
      <w:r>
        <w:rPr>
          <w:rFonts w:hint="eastAsia" w:ascii="Times New Roman" w:hAnsi="Times New Roman" w:cs="Times New Roman"/>
          <w:sz w:val="24"/>
          <w:highlight w:val="none"/>
        </w:rPr>
        <w:t xml:space="preserve">E-mail address: </w:t>
      </w: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rmyy03575@usx.edu.cn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(X. Shao) and 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"mailto:Lingyanh_1223@usx.edu.cn" </w:instrText>
      </w:r>
      <w:r>
        <w:rPr>
          <w:highlight w:val="none"/>
        </w:rPr>
        <w:fldChar w:fldCharType="separate"/>
      </w:r>
      <w:r>
        <w:rPr>
          <w:rFonts w:hint="eastAsia" w:ascii="Times New Roman" w:hAnsi="Times New Roman" w:cs="Times New Roman"/>
          <w:sz w:val="24"/>
          <w:highlight w:val="none"/>
        </w:rPr>
        <w:t>Lingyanh_1223@usx.edu.cn</w:t>
      </w:r>
      <w:r>
        <w:rPr>
          <w:rFonts w:hint="eastAsia" w:ascii="Times New Roman" w:hAnsi="Times New Roman" w:cs="Times New Roman"/>
          <w:sz w:val="24"/>
          <w:highlight w:val="none"/>
        </w:rPr>
        <w:fldChar w:fldCharType="end"/>
      </w:r>
      <w:r>
        <w:rPr>
          <w:rFonts w:hint="eastAsia" w:ascii="Times New Roman" w:hAnsi="Times New Roman" w:cs="Times New Roman"/>
          <w:sz w:val="24"/>
          <w:highlight w:val="none"/>
        </w:rPr>
        <w:t xml:space="preserve"> (L. He).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  <w:t>Figure legends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1.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ISL alone does not</w:t>
      </w: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 alter locomotor behavior or TH-related pathology.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highlight w:val="none"/>
        </w:rPr>
        <w:t>A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) Representative movement tracks in the open field test. Quantification of total distance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 xml:space="preserve"> (B)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 xml:space="preserve"> and average velocity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 xml:space="preserve"> (C)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 xml:space="preserve"> in the open field test; 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(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n=6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. (</w:t>
      </w:r>
      <w:r>
        <w:rPr>
          <w:rFonts w:hint="eastAsia" w:ascii="Times New Roman" w:hAnsi="Times New Roman" w:cs="Times New Roman"/>
          <w:sz w:val="24"/>
          <w:highlight w:val="none"/>
        </w:rPr>
        <w:t>D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) Forelimb grip strength test;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(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n=6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b w:val="0"/>
          <w:bCs w:val="0"/>
          <w:sz w:val="24"/>
          <w:highlight w:val="none"/>
        </w:rPr>
        <w:t>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E</w:t>
      </w:r>
      <w:r>
        <w:rPr>
          <w:rFonts w:ascii="Times New Roman" w:hAnsi="Times New Roman" w:cs="Times New Roman"/>
          <w:sz w:val="24"/>
          <w:highlight w:val="none"/>
        </w:rPr>
        <w:t>) Western blot of TH in the striatum. (</w:t>
      </w:r>
      <w:r>
        <w:rPr>
          <w:rFonts w:hint="default" w:ascii="Times New Roman" w:hAnsi="Times New Roman" w:cs="Times New Roman"/>
          <w:sz w:val="24"/>
          <w:highlight w:val="none"/>
          <w:lang w:val="en-US"/>
        </w:rPr>
        <w:t>F</w:t>
      </w:r>
      <w:r>
        <w:rPr>
          <w:rFonts w:ascii="Times New Roman" w:hAnsi="Times New Roman" w:cs="Times New Roman"/>
          <w:sz w:val="24"/>
          <w:highlight w:val="none"/>
        </w:rPr>
        <w:t xml:space="preserve">) Quantification of TH protein expression normalized to GAPDH;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(</w:t>
      </w:r>
      <w:r>
        <w:rPr>
          <w:rFonts w:ascii="Times New Roman" w:hAnsi="Times New Roman" w:cs="Times New Roman"/>
          <w:sz w:val="24"/>
          <w:highlight w:val="none"/>
        </w:rPr>
        <w:t>n=</w:t>
      </w:r>
      <w:r>
        <w:rPr>
          <w:rFonts w:hint="default" w:ascii="Times New Roman" w:hAnsi="Times New Roman" w:cs="Times New Roman"/>
          <w:sz w:val="24"/>
          <w:highlight w:val="none"/>
          <w:lang w:val="en-US"/>
        </w:rPr>
        <w:t>3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sz w:val="24"/>
          <w:highlight w:val="none"/>
        </w:rPr>
        <w:t xml:space="preserve">. Data are shown as mean ± </w:t>
      </w:r>
      <w:r>
        <w:rPr>
          <w:rFonts w:hint="eastAsia" w:ascii="Times New Roman" w:hAnsi="Times New Roman" w:cs="Times New Roman"/>
          <w:sz w:val="24"/>
          <w:highlight w:val="none"/>
        </w:rPr>
        <w:t>SEM</w:t>
      </w:r>
      <w:r>
        <w:rPr>
          <w:rFonts w:ascii="Times New Roman" w:hAnsi="Times New Roman" w:cs="Times New Roman"/>
          <w:sz w:val="24"/>
          <w:highlight w:val="none"/>
        </w:rPr>
        <w:t>. 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&lt;0.05, **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&lt;0.01, ***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&lt;0.001, ****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&lt;0.0001; ns: not significant.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4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2</w:t>
      </w:r>
      <w:r>
        <w:rPr>
          <w:rFonts w:ascii="Times New Roman" w:hAnsi="Times New Roman" w:cs="Times New Roman"/>
          <w:b/>
          <w:bCs/>
          <w:sz w:val="24"/>
          <w:highlight w:val="none"/>
        </w:rPr>
        <w:t>. Tight-junction proteins in the colon.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highlight w:val="none"/>
        </w:rPr>
        <w:t>A</w:t>
      </w:r>
      <w:r>
        <w:rPr>
          <w:rFonts w:ascii="Times New Roman" w:hAnsi="Times New Roman" w:cs="Times New Roman"/>
          <w:sz w:val="24"/>
          <w:highlight w:val="none"/>
        </w:rPr>
        <w:t xml:space="preserve">) Western blot of </w:t>
      </w:r>
      <w:r>
        <w:rPr>
          <w:rFonts w:hint="eastAsia" w:ascii="Times New Roman" w:hAnsi="Times New Roman" w:cs="Times New Roman"/>
          <w:sz w:val="24"/>
          <w:highlight w:val="none"/>
        </w:rPr>
        <w:t>Occludin</w:t>
      </w:r>
      <w:r>
        <w:rPr>
          <w:rFonts w:ascii="Times New Roman" w:hAnsi="Times New Roman" w:cs="Times New Roman"/>
          <w:sz w:val="24"/>
          <w:highlight w:val="none"/>
        </w:rPr>
        <w:t xml:space="preserve"> in the </w:t>
      </w:r>
      <w:r>
        <w:rPr>
          <w:rFonts w:hint="eastAsia" w:ascii="Times New Roman" w:hAnsi="Times New Roman" w:cs="Times New Roman"/>
          <w:sz w:val="24"/>
          <w:highlight w:val="none"/>
        </w:rPr>
        <w:t>colon</w:t>
      </w:r>
      <w:r>
        <w:rPr>
          <w:rFonts w:ascii="Times New Roman" w:hAnsi="Times New Roman" w:cs="Times New Roman"/>
          <w:sz w:val="24"/>
          <w:highlight w:val="none"/>
        </w:rPr>
        <w:t>. (</w:t>
      </w:r>
      <w:r>
        <w:rPr>
          <w:rFonts w:hint="eastAsia" w:ascii="Times New Roman" w:hAnsi="Times New Roman" w:cs="Times New Roman"/>
          <w:sz w:val="24"/>
          <w:highlight w:val="none"/>
        </w:rPr>
        <w:t>B</w:t>
      </w:r>
      <w:r>
        <w:rPr>
          <w:rFonts w:ascii="Times New Roman" w:hAnsi="Times New Roman" w:cs="Times New Roman"/>
          <w:sz w:val="24"/>
          <w:highlight w:val="none"/>
        </w:rPr>
        <w:t xml:space="preserve">) Quantification of </w:t>
      </w:r>
      <w:r>
        <w:rPr>
          <w:rFonts w:hint="eastAsia" w:ascii="Times New Roman" w:hAnsi="Times New Roman" w:cs="Times New Roman"/>
          <w:sz w:val="24"/>
          <w:highlight w:val="none"/>
        </w:rPr>
        <w:t>Occludin</w:t>
      </w:r>
      <w:r>
        <w:rPr>
          <w:rFonts w:ascii="Times New Roman" w:hAnsi="Times New Roman" w:cs="Times New Roman"/>
          <w:sz w:val="24"/>
          <w:highlight w:val="none"/>
        </w:rPr>
        <w:t xml:space="preserve"> protein expression normalized to GAPDH;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(</w:t>
      </w:r>
      <w:r>
        <w:rPr>
          <w:rFonts w:ascii="Times New Roman" w:hAnsi="Times New Roman" w:cs="Times New Roman"/>
          <w:sz w:val="24"/>
          <w:highlight w:val="none"/>
        </w:rPr>
        <w:t>n</w:t>
      </w:r>
      <w:r>
        <w:rPr>
          <w:rFonts w:hint="eastAsia" w:ascii="Times New Roman" w:hAnsi="Times New Roman" w:cs="Times New Roman"/>
          <w:sz w:val="24"/>
          <w:highlight w:val="none"/>
        </w:rPr>
        <w:t>=3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)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. </w:t>
      </w:r>
      <w:r>
        <w:rPr>
          <w:rFonts w:ascii="Times New Roman" w:hAnsi="Times New Roman" w:cs="Times New Roman"/>
          <w:sz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highlight w:val="none"/>
        </w:rPr>
        <w:t>C</w:t>
      </w:r>
      <w:r>
        <w:rPr>
          <w:rFonts w:ascii="Times New Roman" w:hAnsi="Times New Roman" w:cs="Times New Roman"/>
          <w:sz w:val="24"/>
          <w:highlight w:val="none"/>
        </w:rPr>
        <w:t xml:space="preserve">) Western blot of </w:t>
      </w:r>
      <w:r>
        <w:rPr>
          <w:rFonts w:hint="eastAsia" w:ascii="Times New Roman" w:hAnsi="Times New Roman" w:cs="Times New Roman"/>
          <w:sz w:val="24"/>
          <w:highlight w:val="none"/>
        </w:rPr>
        <w:t>Claudin1</w:t>
      </w:r>
      <w:r>
        <w:rPr>
          <w:rFonts w:ascii="Times New Roman" w:hAnsi="Times New Roman" w:cs="Times New Roman"/>
          <w:sz w:val="24"/>
          <w:highlight w:val="none"/>
        </w:rPr>
        <w:t xml:space="preserve"> in the </w:t>
      </w:r>
      <w:r>
        <w:rPr>
          <w:rFonts w:hint="eastAsia" w:ascii="Times New Roman" w:hAnsi="Times New Roman" w:cs="Times New Roman"/>
          <w:sz w:val="24"/>
          <w:highlight w:val="none"/>
        </w:rPr>
        <w:t>colon</w:t>
      </w:r>
      <w:r>
        <w:rPr>
          <w:rFonts w:ascii="Times New Roman" w:hAnsi="Times New Roman" w:cs="Times New Roman"/>
          <w:sz w:val="24"/>
          <w:highlight w:val="none"/>
        </w:rPr>
        <w:t>. (</w:t>
      </w:r>
      <w:r>
        <w:rPr>
          <w:rFonts w:hint="eastAsia" w:ascii="Times New Roman" w:hAnsi="Times New Roman" w:cs="Times New Roman"/>
          <w:sz w:val="24"/>
          <w:highlight w:val="none"/>
        </w:rPr>
        <w:t>D</w:t>
      </w:r>
      <w:r>
        <w:rPr>
          <w:rFonts w:ascii="Times New Roman" w:hAnsi="Times New Roman" w:cs="Times New Roman"/>
          <w:sz w:val="24"/>
          <w:highlight w:val="none"/>
        </w:rPr>
        <w:t xml:space="preserve">) Quantification of </w:t>
      </w:r>
      <w:r>
        <w:rPr>
          <w:rFonts w:hint="eastAsia" w:ascii="Times New Roman" w:hAnsi="Times New Roman" w:cs="Times New Roman"/>
          <w:sz w:val="24"/>
          <w:highlight w:val="none"/>
        </w:rPr>
        <w:t>Claudin1</w:t>
      </w:r>
      <w:r>
        <w:rPr>
          <w:rFonts w:ascii="Times New Roman" w:hAnsi="Times New Roman" w:cs="Times New Roman"/>
          <w:sz w:val="24"/>
          <w:highlight w:val="none"/>
        </w:rPr>
        <w:t xml:space="preserve"> protein expression normalized to GAPDH;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(</w:t>
      </w:r>
      <w:r>
        <w:rPr>
          <w:rFonts w:ascii="Times New Roman" w:hAnsi="Times New Roman" w:cs="Times New Roman"/>
          <w:sz w:val="24"/>
          <w:highlight w:val="none"/>
        </w:rPr>
        <w:t>n</w:t>
      </w:r>
      <w:r>
        <w:rPr>
          <w:rFonts w:hint="eastAsia" w:ascii="Times New Roman" w:hAnsi="Times New Roman" w:cs="Times New Roman"/>
          <w:sz w:val="24"/>
          <w:highlight w:val="none"/>
        </w:rPr>
        <w:t>=6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)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. </w:t>
      </w:r>
      <w:r>
        <w:rPr>
          <w:rFonts w:ascii="Times New Roman" w:hAnsi="Times New Roman" w:cs="Times New Roman"/>
          <w:sz w:val="24"/>
          <w:highlight w:val="none"/>
        </w:rPr>
        <w:t xml:space="preserve">Data are presented as mean ± </w:t>
      </w:r>
      <w:r>
        <w:rPr>
          <w:rFonts w:hint="eastAsia" w:ascii="Times New Roman" w:hAnsi="Times New Roman" w:cs="Times New Roman"/>
          <w:sz w:val="24"/>
          <w:highlight w:val="none"/>
        </w:rPr>
        <w:t>SEM</w:t>
      </w:r>
      <w:r>
        <w:rPr>
          <w:rFonts w:ascii="Times New Roman" w:hAnsi="Times New Roman" w:cs="Times New Roman"/>
          <w:sz w:val="24"/>
          <w:highlight w:val="none"/>
        </w:rPr>
        <w:t>. 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&lt;0.05, ***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&lt;0.001.</w:t>
      </w: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3. </w:t>
      </w:r>
      <w:r>
        <w:rPr>
          <w:rFonts w:ascii="Times New Roman" w:hAnsi="Times New Roman" w:cs="Times New Roman"/>
          <w:b/>
          <w:bCs/>
          <w:i/>
          <w:iCs/>
          <w:sz w:val="24"/>
          <w:highlight w:val="none"/>
        </w:rPr>
        <w:t>P. distasonis</w:t>
      </w: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improves </w:t>
      </w:r>
      <w:r>
        <w:rPr>
          <w:rFonts w:ascii="Times New Roman" w:hAnsi="Times New Roman" w:cs="Times New Roman"/>
          <w:b/>
          <w:bCs/>
          <w:sz w:val="24"/>
          <w:highlight w:val="none"/>
        </w:rPr>
        <w:t>dopaminergic neuron loss in a dose-dependent manner.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highlight w:val="none"/>
        </w:rPr>
        <w:t>A</w:t>
      </w:r>
      <w:r>
        <w:rPr>
          <w:rFonts w:ascii="Times New Roman" w:hAnsi="Times New Roman" w:cs="Times New Roman"/>
          <w:sz w:val="24"/>
          <w:highlight w:val="none"/>
        </w:rPr>
        <w:t>) Western blot of TH in the striatum. (</w:t>
      </w:r>
      <w:r>
        <w:rPr>
          <w:rFonts w:hint="eastAsia" w:ascii="Times New Roman" w:hAnsi="Times New Roman" w:cs="Times New Roman"/>
          <w:sz w:val="24"/>
          <w:highlight w:val="none"/>
        </w:rPr>
        <w:t>B</w:t>
      </w:r>
      <w:r>
        <w:rPr>
          <w:rFonts w:ascii="Times New Roman" w:hAnsi="Times New Roman" w:cs="Times New Roman"/>
          <w:sz w:val="24"/>
          <w:highlight w:val="none"/>
        </w:rPr>
        <w:t xml:space="preserve">) Quantification of TH protein expression normalized to GAPDH;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(</w:t>
      </w:r>
      <w:r>
        <w:rPr>
          <w:rFonts w:ascii="Times New Roman" w:hAnsi="Times New Roman" w:cs="Times New Roman"/>
          <w:sz w:val="24"/>
          <w:highlight w:val="none"/>
        </w:rPr>
        <w:t>n=</w:t>
      </w:r>
      <w:r>
        <w:rPr>
          <w:rFonts w:hint="eastAsia" w:ascii="Times New Roman" w:hAnsi="Times New Roman" w:cs="Times New Roman"/>
          <w:sz w:val="24"/>
          <w:highlight w:val="none"/>
        </w:rPr>
        <w:t>6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sz w:val="24"/>
          <w:highlight w:val="none"/>
        </w:rPr>
        <w:t>. Data are presented as mean ± SEM. 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&lt;0.05, ***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&lt;0.001, ****</w:t>
      </w:r>
      <w:r>
        <w:rPr>
          <w:rFonts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sz w:val="24"/>
          <w:highlight w:val="none"/>
        </w:rPr>
        <w:t>&lt;0.0001.</w:t>
      </w: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4.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16S rRNA gene sequencing of the gut microbiota in mice after administration of </w:t>
      </w:r>
      <w:r>
        <w:rPr>
          <w:rFonts w:ascii="Times New Roman" w:hAnsi="Times New Roman" w:cs="Times New Roman"/>
          <w:b/>
          <w:bCs/>
          <w:i/>
          <w:iCs/>
          <w:sz w:val="24"/>
          <w:highlight w:val="none"/>
        </w:rPr>
        <w:t>P. distasonis</w:t>
      </w:r>
      <w:r>
        <w:rPr>
          <w:rFonts w:hint="eastAsia" w:ascii="Times New Roman" w:hAnsi="Times New Roman" w:cs="Times New Roman"/>
          <w:b/>
          <w:bCs/>
          <w:i/>
          <w:iCs/>
          <w:sz w:val="24"/>
          <w:highlight w:val="none"/>
        </w:rPr>
        <w:t xml:space="preserve">.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(A) Alpha diversity analysis using Simpson index;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(</w:t>
      </w:r>
      <w:r>
        <w:rPr>
          <w:rFonts w:hint="eastAsia" w:ascii="Times New Roman" w:hAnsi="Times New Roman" w:cs="Times New Roman"/>
          <w:sz w:val="24"/>
          <w:highlight w:val="none"/>
        </w:rPr>
        <w:t>n=6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)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. Violin plots with median line; Kruskal–Wallis test. </w:t>
      </w:r>
      <w:r>
        <w:rPr>
          <w:rFonts w:ascii="Times New Roman" w:hAnsi="Times New Roman" w:cs="Times New Roman"/>
          <w:sz w:val="24"/>
          <w:highlight w:val="none"/>
        </w:rPr>
        <w:t>ns: not significant.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(B) </w:t>
      </w:r>
      <w:r>
        <w:rPr>
          <w:rFonts w:ascii="Times New Roman" w:hAnsi="Times New Roman" w:cs="Times New Roman"/>
          <w:sz w:val="24"/>
          <w:highlight w:val="none"/>
        </w:rPr>
        <w:t>PCoA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of </w:t>
      </w:r>
      <w:r>
        <w:rPr>
          <w:rFonts w:ascii="Times New Roman" w:hAnsi="Times New Roman" w:cs="Times New Roman"/>
          <w:sz w:val="24"/>
          <w:highlight w:val="none"/>
        </w:rPr>
        <w:t xml:space="preserve">β-diversity. </w:t>
      </w:r>
      <w:r>
        <w:rPr>
          <w:rFonts w:hint="eastAsia" w:ascii="Times New Roman" w:hAnsi="Times New Roman" w:cs="Times New Roman"/>
          <w:sz w:val="24"/>
          <w:highlight w:val="none"/>
        </w:rPr>
        <w:t>(C)</w:t>
      </w:r>
      <w:r>
        <w:rPr>
          <w:rFonts w:ascii="Times New Roman" w:hAnsi="Times New Roman" w:cs="Times New Roman"/>
          <w:sz w:val="24"/>
          <w:highlight w:val="none"/>
        </w:rPr>
        <w:t xml:space="preserve"> Heatmap of genus level microbial abundance.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4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5</w:t>
      </w: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4"/>
          <w:highlight w:val="none"/>
        </w:rPr>
        <w:t>P. distasonis</w:t>
      </w: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 treatment reshapes serum metabolomic profile in MPTP-induced mice.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 xml:space="preserve">(A) PLS-DA plot shows distinct clustering between </w:t>
      </w:r>
      <w:r>
        <w:rPr>
          <w:rFonts w:ascii="Times New Roman" w:hAnsi="Times New Roman" w:cs="Times New Roman"/>
          <w:i/>
          <w:iCs/>
          <w:sz w:val="24"/>
          <w:highlight w:val="none"/>
        </w:rPr>
        <w:t>P. distasonis-</w:t>
      </w:r>
      <w:r>
        <w:rPr>
          <w:rFonts w:ascii="Times New Roman" w:hAnsi="Times New Roman" w:cs="Times New Roman"/>
          <w:sz w:val="24"/>
          <w:highlight w:val="none"/>
        </w:rPr>
        <w:t>treated and MPTP groups, indicating significantly altered serum metabolite profiles.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 xml:space="preserve">(B) Volcano plot of differential metabolites between </w:t>
      </w:r>
      <w:r>
        <w:rPr>
          <w:rFonts w:ascii="Times New Roman" w:hAnsi="Times New Roman" w:cs="Times New Roman"/>
          <w:i/>
          <w:iCs/>
          <w:sz w:val="24"/>
          <w:highlight w:val="none"/>
        </w:rPr>
        <w:t xml:space="preserve">P. distasonis </w:t>
      </w:r>
      <w:r>
        <w:rPr>
          <w:rFonts w:ascii="Times New Roman" w:hAnsi="Times New Roman" w:cs="Times New Roman"/>
          <w:sz w:val="24"/>
          <w:highlight w:val="none"/>
        </w:rPr>
        <w:t>and MPTP groups. Pink and blue dots represent significantly upregulated and downregulated metabolites, respectively.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(C) Heatmap of representative differential metabolites. Red indicates higher abundance, blue indicates lower abundance.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(D) KEGG pathway enrichment analysis of differential metabolites reveals enrichment in ferroptosis, efferocytosis, bile secretion, ABC transporters, and amino acid metabolism.</w:t>
      </w:r>
    </w:p>
    <w:p>
      <w:pPr>
        <w:rPr>
          <w:highlight w:val="none"/>
        </w:rPr>
      </w:pPr>
      <w:r>
        <w:rPr>
          <w:highlight w:val="none"/>
        </w:rPr>
        <w:br w:type="page"/>
      </w:r>
    </w:p>
    <w:p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Supplementary Figure 1.</w:t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5271770" cy="5118100"/>
            <wp:effectExtent l="0" t="0" r="11430" b="0"/>
            <wp:docPr id="1" name="图片 1" descr="Supplementary Fig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br w:type="page"/>
      </w:r>
    </w:p>
    <w:p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highlight w:val="none"/>
        </w:rPr>
        <w:t>.</w:t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5271770" cy="3134360"/>
            <wp:effectExtent l="0" t="0" r="11430" b="2540"/>
            <wp:docPr id="2" name="图片 2" descr="Supplementary 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br w:type="page"/>
      </w:r>
    </w:p>
    <w:p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highlight w:val="none"/>
        </w:rPr>
        <w:t>.</w:t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5271770" cy="2034540"/>
            <wp:effectExtent l="0" t="0" r="11430" b="10160"/>
            <wp:docPr id="3" name="图片 3" descr="Supplementary Fig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br w:type="page"/>
      </w:r>
    </w:p>
    <w:p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highlight w:val="none"/>
        </w:rPr>
        <w:t>.</w:t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5267325" cy="6749415"/>
            <wp:effectExtent l="0" t="0" r="3175" b="6985"/>
            <wp:docPr id="4" name="图片 4" descr="Supplementary Fig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74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br w:type="page"/>
      </w:r>
    </w:p>
    <w:p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  <w:highlight w:val="none"/>
        </w:rPr>
        <w:t>.</w:t>
      </w:r>
    </w:p>
    <w:p>
      <w:pP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highlight w:val="none"/>
          <w:lang w:eastAsia="zh-CN"/>
        </w:rPr>
        <w:drawing>
          <wp:inline distT="0" distB="0" distL="114300" distR="114300">
            <wp:extent cx="5259705" cy="7428865"/>
            <wp:effectExtent l="0" t="0" r="10795" b="635"/>
            <wp:docPr id="6" name="图片 6" descr="Supplementary Fig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ure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2YTU5NTkwMTg1YWE1ZWMwZjE2ZWRhYmZlODI0YjMifQ=="/>
  </w:docVars>
  <w:rsids>
    <w:rsidRoot w:val="00000000"/>
    <w:rsid w:val="02DD774B"/>
    <w:rsid w:val="037B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513"/>
        <w:tab w:val="right" w:pos="9026"/>
      </w:tabs>
    </w:p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2025-10-24T14:26:00Z</dcterms:created>
  <dc:creator>12716</dc:creator>
  <cp:lastModifiedBy>十七</cp:lastModifiedBy>
  <dcterms:modified xsi:type="dcterms:W3CDTF">2025-10-24T14:35:52Z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40ECD50CEB1D4AD7B587EA78066DC320_12</vt:lpwstr>
  </property>
</Properties>
</file>