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DA2C1" w14:textId="32525C7C" w:rsidR="00C46089" w:rsidRPr="00045249" w:rsidRDefault="007A1A65" w:rsidP="007A1A65">
      <w:pPr>
        <w:keepNext/>
        <w:keepLines/>
        <w:spacing w:before="340" w:after="330" w:line="360" w:lineRule="auto"/>
        <w:outlineLvl w:val="0"/>
        <w:rPr>
          <w:rFonts w:ascii="Arial" w:hAnsi="Arial"/>
          <w:b/>
          <w:color w:val="000000" w:themeColor="text1"/>
          <w:kern w:val="44"/>
          <w:sz w:val="20"/>
        </w:rPr>
      </w:pPr>
      <w:r w:rsidRPr="00045249">
        <w:rPr>
          <w:rFonts w:ascii="Arial" w:hAnsi="Arial" w:cs="Arial"/>
          <w:b/>
          <w:bCs/>
          <w:color w:val="000000" w:themeColor="text1"/>
          <w:kern w:val="44"/>
          <w:sz w:val="20"/>
          <w:szCs w:val="20"/>
        </w:rPr>
        <w:t xml:space="preserve">Supplemental </w:t>
      </w:r>
      <w:r w:rsidR="00C67512" w:rsidRPr="00045249">
        <w:rPr>
          <w:rFonts w:ascii="Arial" w:hAnsi="Arial" w:cs="Arial" w:hint="eastAsia"/>
          <w:b/>
          <w:bCs/>
          <w:color w:val="000000" w:themeColor="text1"/>
          <w:kern w:val="44"/>
          <w:sz w:val="20"/>
          <w:szCs w:val="20"/>
        </w:rPr>
        <w:t>information</w:t>
      </w:r>
    </w:p>
    <w:p w14:paraId="2BFA4CFE" w14:textId="284E25A9" w:rsidR="00C46089" w:rsidRPr="00B46BE7" w:rsidRDefault="00B46BE7" w:rsidP="00C46089">
      <w:pPr>
        <w:rPr>
          <w:rStyle w:val="a3"/>
          <w:rFonts w:ascii="Arial" w:hAnsi="Arial" w:cs="Arial"/>
          <w:color w:val="000000" w:themeColor="text1"/>
          <w:kern w:val="44"/>
          <w:sz w:val="20"/>
          <w:szCs w:val="20"/>
        </w:rPr>
      </w:pPr>
      <w:r>
        <w:rPr>
          <w:rFonts w:ascii="Arial" w:hAnsi="Arial" w:cs="Arial"/>
          <w:b/>
          <w:bCs/>
          <w:noProof/>
          <w:color w:val="000000" w:themeColor="text1"/>
          <w:kern w:val="44"/>
          <w:sz w:val="20"/>
          <w:szCs w:val="20"/>
        </w:rPr>
        <w:drawing>
          <wp:inline distT="0" distB="0" distL="0" distR="0" wp14:anchorId="59078668" wp14:editId="299A924B">
            <wp:extent cx="5274310" cy="3015615"/>
            <wp:effectExtent l="0" t="0" r="0" b="0"/>
            <wp:docPr id="6401190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19059" name="图片 64011905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015615"/>
                    </a:xfrm>
                    <a:prstGeom prst="rect">
                      <a:avLst/>
                    </a:prstGeom>
                  </pic:spPr>
                </pic:pic>
              </a:graphicData>
            </a:graphic>
          </wp:inline>
        </w:drawing>
      </w:r>
    </w:p>
    <w:p w14:paraId="026F587D" w14:textId="67186970" w:rsidR="00933A68" w:rsidRPr="00045249" w:rsidRDefault="00933A68" w:rsidP="00933A68">
      <w:pPr>
        <w:rPr>
          <w:rStyle w:val="a3"/>
          <w:rFonts w:ascii="Times New Roman" w:hAnsi="Times New Roman"/>
          <w:b w:val="0"/>
          <w:color w:val="000000" w:themeColor="text1"/>
          <w:sz w:val="18"/>
        </w:rPr>
      </w:pPr>
      <w:r w:rsidRPr="00045249">
        <w:rPr>
          <w:rStyle w:val="a3"/>
          <w:rFonts w:ascii="Times New Roman" w:hAnsi="Times New Roman" w:cs="Times New Roman"/>
          <w:color w:val="000000" w:themeColor="text1"/>
          <w:sz w:val="18"/>
          <w:szCs w:val="18"/>
        </w:rPr>
        <w:t>Fig. S1 Transcriptomic enrichment analysis reveals dysregulation of ubiquitination-related pathways.</w:t>
      </w:r>
      <w:r w:rsidRPr="00045249">
        <w:rPr>
          <w:rFonts w:ascii="Times New Roman" w:hAnsi="Times New Roman" w:cs="Times New Roman" w:hint="eastAsia"/>
          <w:color w:val="000000" w:themeColor="text1"/>
          <w:sz w:val="18"/>
          <w:szCs w:val="18"/>
        </w:rPr>
        <w:t xml:space="preserve"> </w:t>
      </w:r>
      <w:r w:rsidRPr="00045249">
        <w:rPr>
          <w:rFonts w:ascii="Times New Roman" w:hAnsi="Times New Roman" w:cs="Times New Roman"/>
          <w:color w:val="000000" w:themeColor="text1"/>
          <w:sz w:val="18"/>
          <w:szCs w:val="18"/>
        </w:rPr>
        <w:t>(A) GO enrichment analysis based on DEGs between NESCs and EESCs indicates significant alterations in biological processes. (B</w:t>
      </w:r>
      <w:r w:rsidR="002F3A99">
        <w:rPr>
          <w:rFonts w:ascii="Times New Roman" w:hAnsi="Times New Roman" w:cs="Times New Roman"/>
          <w:color w:val="000000" w:themeColor="text1"/>
          <w:sz w:val="18"/>
          <w:szCs w:val="18"/>
        </w:rPr>
        <w:t>-</w:t>
      </w:r>
      <w:r w:rsidR="002F3A99">
        <w:rPr>
          <w:rFonts w:ascii="Times New Roman" w:hAnsi="Times New Roman" w:cs="Times New Roman" w:hint="eastAsia"/>
          <w:color w:val="000000" w:themeColor="text1"/>
          <w:sz w:val="18"/>
          <w:szCs w:val="18"/>
        </w:rPr>
        <w:t>D</w:t>
      </w:r>
      <w:r w:rsidRPr="00045249">
        <w:rPr>
          <w:rFonts w:ascii="Times New Roman" w:hAnsi="Times New Roman" w:cs="Times New Roman"/>
          <w:color w:val="000000" w:themeColor="text1"/>
          <w:sz w:val="18"/>
          <w:szCs w:val="18"/>
        </w:rPr>
        <w:t>) GSEA conducted reveals enrichment of gene sets involved in ubiquitination-related pathways, NES: normalized enrichment score.</w:t>
      </w:r>
    </w:p>
    <w:p w14:paraId="1E3EA977" w14:textId="1BAE5584" w:rsidR="007B44A2" w:rsidRPr="00127DE0" w:rsidRDefault="00B46BE7" w:rsidP="00870FDA">
      <w:pPr>
        <w:rPr>
          <w:rStyle w:val="a3"/>
          <w:rFonts w:ascii="Times New Roman" w:hAnsi="Times New Roman"/>
          <w:b w:val="0"/>
          <w:color w:val="000000" w:themeColor="text1"/>
          <w:sz w:val="18"/>
        </w:rPr>
      </w:pPr>
      <w:r>
        <w:rPr>
          <w:rFonts w:ascii="Times New Roman" w:hAnsi="Times New Roman"/>
          <w:bCs/>
          <w:noProof/>
          <w:color w:val="000000" w:themeColor="text1"/>
          <w:sz w:val="18"/>
        </w:rPr>
        <w:drawing>
          <wp:inline distT="0" distB="0" distL="0" distR="0" wp14:anchorId="0A135A2F" wp14:editId="164691D8">
            <wp:extent cx="5274310" cy="3870960"/>
            <wp:effectExtent l="0" t="0" r="0" b="2540"/>
            <wp:docPr id="14800564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56418" name="图片 1480056418"/>
                    <pic:cNvPicPr/>
                  </pic:nvPicPr>
                  <pic:blipFill rotWithShape="1">
                    <a:blip r:embed="rId8" cstate="print">
                      <a:extLst>
                        <a:ext uri="{28A0092B-C50C-407E-A947-70E740481C1C}">
                          <a14:useLocalDpi xmlns:a14="http://schemas.microsoft.com/office/drawing/2010/main" val="0"/>
                        </a:ext>
                      </a:extLst>
                    </a:blip>
                    <a:srcRect t="7580"/>
                    <a:stretch/>
                  </pic:blipFill>
                  <pic:spPr bwMode="auto">
                    <a:xfrm>
                      <a:off x="0" y="0"/>
                      <a:ext cx="5274310" cy="3870960"/>
                    </a:xfrm>
                    <a:prstGeom prst="rect">
                      <a:avLst/>
                    </a:prstGeom>
                    <a:ln>
                      <a:noFill/>
                    </a:ln>
                    <a:extLst>
                      <a:ext uri="{53640926-AAD7-44D8-BBD7-CCE9431645EC}">
                        <a14:shadowObscured xmlns:a14="http://schemas.microsoft.com/office/drawing/2010/main"/>
                      </a:ext>
                    </a:extLst>
                  </pic:spPr>
                </pic:pic>
              </a:graphicData>
            </a:graphic>
          </wp:inline>
        </w:drawing>
      </w:r>
    </w:p>
    <w:p w14:paraId="44907265" w14:textId="500ED969" w:rsidR="007B44A2" w:rsidRPr="00045249" w:rsidRDefault="007B44A2" w:rsidP="007B44A2">
      <w:pPr>
        <w:jc w:val="both"/>
        <w:rPr>
          <w:rFonts w:ascii="Times New Roman" w:hAnsi="Times New Roman" w:cs="Times New Roman"/>
          <w:color w:val="000000" w:themeColor="text1"/>
          <w:sz w:val="18"/>
          <w:szCs w:val="18"/>
        </w:rPr>
      </w:pPr>
      <w:r w:rsidRPr="00045249">
        <w:rPr>
          <w:rStyle w:val="a3"/>
          <w:rFonts w:ascii="Times New Roman" w:hAnsi="Times New Roman" w:cs="Times New Roman"/>
          <w:color w:val="000000" w:themeColor="text1"/>
          <w:sz w:val="18"/>
          <w:szCs w:val="18"/>
        </w:rPr>
        <w:lastRenderedPageBreak/>
        <w:t>Fig</w:t>
      </w:r>
      <w:r w:rsidR="00467CC3" w:rsidRPr="00045249">
        <w:rPr>
          <w:rStyle w:val="a3"/>
          <w:rFonts w:ascii="Times New Roman" w:hAnsi="Times New Roman" w:cs="Times New Roman"/>
          <w:color w:val="000000" w:themeColor="text1"/>
          <w:sz w:val="18"/>
          <w:szCs w:val="18"/>
        </w:rPr>
        <w:t>.</w:t>
      </w:r>
      <w:r w:rsidRPr="00045249">
        <w:rPr>
          <w:rStyle w:val="a3"/>
          <w:rFonts w:ascii="Times New Roman" w:hAnsi="Times New Roman" w:cs="Times New Roman"/>
          <w:color w:val="000000" w:themeColor="text1"/>
          <w:sz w:val="18"/>
          <w:szCs w:val="18"/>
        </w:rPr>
        <w:t xml:space="preserve"> S</w:t>
      </w:r>
      <w:r w:rsidR="00E6653A" w:rsidRPr="00045249">
        <w:rPr>
          <w:rStyle w:val="a3"/>
          <w:rFonts w:ascii="Times New Roman" w:hAnsi="Times New Roman" w:cs="Times New Roman"/>
          <w:color w:val="000000" w:themeColor="text1"/>
          <w:sz w:val="18"/>
          <w:szCs w:val="18"/>
        </w:rPr>
        <w:t>2</w:t>
      </w:r>
      <w:r w:rsidRPr="00045249">
        <w:rPr>
          <w:rStyle w:val="a3"/>
          <w:rFonts w:ascii="Times New Roman" w:hAnsi="Times New Roman" w:cs="Times New Roman"/>
          <w:color w:val="000000" w:themeColor="text1"/>
          <w:sz w:val="18"/>
          <w:szCs w:val="18"/>
        </w:rPr>
        <w:t xml:space="preserve"> UBE2S forms a protein complex with GLUT1. </w:t>
      </w:r>
      <w:r w:rsidRPr="00045249">
        <w:rPr>
          <w:rFonts w:ascii="Times New Roman" w:hAnsi="Times New Roman" w:cs="Times New Roman"/>
          <w:color w:val="000000" w:themeColor="text1"/>
          <w:sz w:val="18"/>
          <w:szCs w:val="18"/>
        </w:rPr>
        <w:t>(A-B) Co-IP analysis of whole-cell lysates from HEK293T cells transfected with the indicated plasmids. (C) Diagram of UBE2S truncated mutants. (D) Co-IP and Western blot analyses of whole-cell lysates from HEK293T cells transfected with the indicated plasmids.</w:t>
      </w:r>
    </w:p>
    <w:p w14:paraId="14214A98" w14:textId="0745F8A4" w:rsidR="007B44A2" w:rsidRPr="00045249" w:rsidRDefault="00B46BE7" w:rsidP="007B44A2">
      <w:pPr>
        <w:jc w:val="both"/>
        <w:rPr>
          <w:rFonts w:ascii="Times New Roman" w:hAnsi="Times New Roman" w:cs="Times New Roman"/>
          <w:color w:val="000000" w:themeColor="text1"/>
          <w:sz w:val="18"/>
          <w:szCs w:val="18"/>
        </w:rPr>
      </w:pPr>
      <w:r>
        <w:rPr>
          <w:rFonts w:ascii="Times New Roman" w:hAnsi="Times New Roman" w:cs="Times New Roman"/>
          <w:noProof/>
          <w:color w:val="000000" w:themeColor="text1"/>
          <w:sz w:val="18"/>
          <w:szCs w:val="18"/>
        </w:rPr>
        <w:drawing>
          <wp:inline distT="0" distB="0" distL="0" distR="0" wp14:anchorId="22604E7F" wp14:editId="73FACA0F">
            <wp:extent cx="5274310" cy="3530600"/>
            <wp:effectExtent l="0" t="0" r="0" b="0"/>
            <wp:docPr id="14762355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35516" name="图片 14762355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530600"/>
                    </a:xfrm>
                    <a:prstGeom prst="rect">
                      <a:avLst/>
                    </a:prstGeom>
                  </pic:spPr>
                </pic:pic>
              </a:graphicData>
            </a:graphic>
          </wp:inline>
        </w:drawing>
      </w:r>
    </w:p>
    <w:p w14:paraId="64160654" w14:textId="635CEED5" w:rsidR="00933A68" w:rsidRPr="00045249" w:rsidRDefault="00933A68" w:rsidP="00933A68">
      <w:pPr>
        <w:jc w:val="both"/>
        <w:rPr>
          <w:rFonts w:ascii="Times New Roman" w:hAnsi="Times New Roman" w:cs="Times New Roman"/>
          <w:color w:val="000000" w:themeColor="text1"/>
          <w:sz w:val="18"/>
          <w:szCs w:val="18"/>
        </w:rPr>
      </w:pPr>
      <w:r w:rsidRPr="00045249">
        <w:rPr>
          <w:rStyle w:val="a3"/>
          <w:rFonts w:ascii="Times New Roman" w:hAnsi="Times New Roman" w:cs="Times New Roman"/>
          <w:color w:val="000000" w:themeColor="text1"/>
          <w:sz w:val="18"/>
          <w:szCs w:val="18"/>
        </w:rPr>
        <w:t xml:space="preserve">Fig. S3 Expression levels of UBE2S and GLUT1 in EM. </w:t>
      </w:r>
      <w:r w:rsidRPr="00045249">
        <w:rPr>
          <w:rFonts w:ascii="Times New Roman" w:hAnsi="Times New Roman" w:cs="Times New Roman"/>
          <w:color w:val="000000" w:themeColor="text1"/>
          <w:sz w:val="18"/>
          <w:szCs w:val="18"/>
        </w:rPr>
        <w:t xml:space="preserve">(A) IHC demonstrating the expression of UBE2S and GLUT1 in ectopic (EM), </w:t>
      </w:r>
      <w:proofErr w:type="spellStart"/>
      <w:r w:rsidRPr="00045249">
        <w:rPr>
          <w:rFonts w:ascii="Times New Roman" w:hAnsi="Times New Roman" w:cs="Times New Roman"/>
          <w:color w:val="000000" w:themeColor="text1"/>
          <w:sz w:val="18"/>
          <w:szCs w:val="18"/>
        </w:rPr>
        <w:t>eutopic</w:t>
      </w:r>
      <w:proofErr w:type="spellEnd"/>
      <w:r w:rsidRPr="00045249">
        <w:rPr>
          <w:rFonts w:ascii="Times New Roman" w:hAnsi="Times New Roman" w:cs="Times New Roman"/>
          <w:color w:val="000000" w:themeColor="text1"/>
          <w:sz w:val="18"/>
          <w:szCs w:val="18"/>
        </w:rPr>
        <w:t xml:space="preserve"> (Eu), and normal (NM) endometrial tissues. Quantification of staining intensity was performed using ImageJ software. (B) Western blot analysis of GLUT1 expression in NM, Eu, and EC tissue. (C) Western blot analysis of GLUT1 expression in NESCs, </w:t>
      </w:r>
      <w:proofErr w:type="spellStart"/>
      <w:r w:rsidRPr="00045249">
        <w:rPr>
          <w:rFonts w:ascii="Times New Roman" w:hAnsi="Times New Roman" w:cs="Times New Roman"/>
          <w:color w:val="000000" w:themeColor="text1"/>
          <w:sz w:val="18"/>
          <w:szCs w:val="18"/>
        </w:rPr>
        <w:t>EuSCs</w:t>
      </w:r>
      <w:proofErr w:type="spellEnd"/>
      <w:r w:rsidRPr="00045249">
        <w:rPr>
          <w:rFonts w:ascii="Times New Roman" w:hAnsi="Times New Roman" w:cs="Times New Roman"/>
          <w:color w:val="000000" w:themeColor="text1"/>
          <w:sz w:val="18"/>
          <w:szCs w:val="18"/>
        </w:rPr>
        <w:t>, and EESCs.</w:t>
      </w:r>
    </w:p>
    <w:p w14:paraId="6F09C04F" w14:textId="189FA180" w:rsidR="007B44A2" w:rsidRPr="00045249" w:rsidRDefault="00B46BE7" w:rsidP="007B44A2">
      <w:pPr>
        <w:jc w:val="both"/>
        <w:rPr>
          <w:rFonts w:ascii="Times New Roman" w:hAnsi="Times New Roman" w:cs="Times New Roman"/>
          <w:color w:val="000000" w:themeColor="text1"/>
          <w:sz w:val="18"/>
          <w:szCs w:val="18"/>
        </w:rPr>
      </w:pPr>
      <w:r>
        <w:rPr>
          <w:rFonts w:ascii="Times New Roman" w:hAnsi="Times New Roman" w:cs="Times New Roman"/>
          <w:noProof/>
          <w:color w:val="000000" w:themeColor="text1"/>
          <w:sz w:val="18"/>
          <w:szCs w:val="18"/>
        </w:rPr>
        <w:drawing>
          <wp:inline distT="0" distB="0" distL="0" distR="0" wp14:anchorId="3F036F16" wp14:editId="7896C214">
            <wp:extent cx="5274310" cy="1490980"/>
            <wp:effectExtent l="0" t="0" r="0" b="0"/>
            <wp:docPr id="3359137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13736" name="图片 33591373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490980"/>
                    </a:xfrm>
                    <a:prstGeom prst="rect">
                      <a:avLst/>
                    </a:prstGeom>
                  </pic:spPr>
                </pic:pic>
              </a:graphicData>
            </a:graphic>
          </wp:inline>
        </w:drawing>
      </w:r>
    </w:p>
    <w:p w14:paraId="216176F0" w14:textId="64B76E21" w:rsidR="007B44A2" w:rsidRPr="00045249" w:rsidRDefault="007B44A2" w:rsidP="007B44A2">
      <w:pPr>
        <w:jc w:val="both"/>
        <w:rPr>
          <w:rStyle w:val="a3"/>
          <w:rFonts w:ascii="Times New Roman" w:hAnsi="Times New Roman" w:cs="Times New Roman"/>
          <w:color w:val="000000" w:themeColor="text1"/>
          <w:sz w:val="18"/>
          <w:szCs w:val="18"/>
        </w:rPr>
      </w:pPr>
      <w:r w:rsidRPr="00045249">
        <w:rPr>
          <w:rStyle w:val="a3"/>
          <w:rFonts w:ascii="Times New Roman" w:hAnsi="Times New Roman" w:cs="Times New Roman"/>
          <w:color w:val="000000" w:themeColor="text1"/>
          <w:sz w:val="18"/>
          <w:szCs w:val="18"/>
        </w:rPr>
        <w:t>Fig</w:t>
      </w:r>
      <w:r w:rsidR="00467CC3" w:rsidRPr="00045249">
        <w:rPr>
          <w:rStyle w:val="a3"/>
          <w:rFonts w:ascii="Times New Roman" w:hAnsi="Times New Roman" w:cs="Times New Roman"/>
          <w:color w:val="000000" w:themeColor="text1"/>
          <w:sz w:val="18"/>
          <w:szCs w:val="18"/>
        </w:rPr>
        <w:t>.</w:t>
      </w:r>
      <w:r w:rsidRPr="00045249">
        <w:rPr>
          <w:rStyle w:val="a3"/>
          <w:rFonts w:ascii="Times New Roman" w:hAnsi="Times New Roman" w:cs="Times New Roman"/>
          <w:color w:val="000000" w:themeColor="text1"/>
          <w:sz w:val="18"/>
          <w:szCs w:val="18"/>
        </w:rPr>
        <w:t xml:space="preserve"> S</w:t>
      </w:r>
      <w:r w:rsidR="00E6653A" w:rsidRPr="00045249">
        <w:rPr>
          <w:rStyle w:val="a3"/>
          <w:rFonts w:ascii="Times New Roman" w:hAnsi="Times New Roman" w:cs="Times New Roman"/>
          <w:color w:val="000000" w:themeColor="text1"/>
          <w:sz w:val="18"/>
          <w:szCs w:val="18"/>
        </w:rPr>
        <w:t>4</w:t>
      </w:r>
      <w:r w:rsidRPr="00045249">
        <w:rPr>
          <w:rStyle w:val="a3"/>
          <w:rFonts w:ascii="Times New Roman" w:hAnsi="Times New Roman" w:cs="Times New Roman"/>
          <w:color w:val="000000" w:themeColor="text1"/>
          <w:sz w:val="18"/>
          <w:szCs w:val="18"/>
        </w:rPr>
        <w:t xml:space="preserve"> Efficiency of GLUT1 knockdown in EESCs.</w:t>
      </w:r>
    </w:p>
    <w:p w14:paraId="574C61C7" w14:textId="2D726DBC" w:rsidR="00B251E2" w:rsidRPr="00045249" w:rsidRDefault="00B46BE7" w:rsidP="007B44A2">
      <w:pPr>
        <w:jc w:val="both"/>
        <w:rPr>
          <w:rStyle w:val="a3"/>
          <w:rFonts w:ascii="Times New Roman" w:hAnsi="Times New Roman" w:cs="Times New Roman"/>
          <w:color w:val="000000" w:themeColor="text1"/>
          <w:sz w:val="18"/>
          <w:szCs w:val="18"/>
        </w:rPr>
      </w:pPr>
      <w:r>
        <w:rPr>
          <w:rFonts w:ascii="Times New Roman" w:hAnsi="Times New Roman" w:cs="Times New Roman"/>
          <w:b/>
          <w:bCs/>
          <w:noProof/>
          <w:color w:val="000000" w:themeColor="text1"/>
          <w:sz w:val="18"/>
          <w:szCs w:val="18"/>
        </w:rPr>
        <w:lastRenderedPageBreak/>
        <w:drawing>
          <wp:inline distT="0" distB="0" distL="0" distR="0" wp14:anchorId="19E87FE5" wp14:editId="0830275A">
            <wp:extent cx="5274310" cy="1995805"/>
            <wp:effectExtent l="0" t="0" r="0" b="0"/>
            <wp:docPr id="588815668" name="图片 5" descr="图表, 条形图, 瀑布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15668" name="图片 5" descr="图表, 条形图, 瀑布图&#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995805"/>
                    </a:xfrm>
                    <a:prstGeom prst="rect">
                      <a:avLst/>
                    </a:prstGeom>
                  </pic:spPr>
                </pic:pic>
              </a:graphicData>
            </a:graphic>
          </wp:inline>
        </w:drawing>
      </w:r>
    </w:p>
    <w:p w14:paraId="7ABFF8B1" w14:textId="717A5A8F" w:rsidR="00933A68" w:rsidRPr="00045249" w:rsidRDefault="00933A68" w:rsidP="00933A68">
      <w:pPr>
        <w:jc w:val="both"/>
        <w:rPr>
          <w:rFonts w:ascii="Times New Roman" w:hAnsi="Times New Roman" w:cs="Times New Roman"/>
          <w:b/>
          <w:bCs/>
          <w:color w:val="000000" w:themeColor="text1"/>
          <w:sz w:val="18"/>
          <w:szCs w:val="18"/>
        </w:rPr>
      </w:pPr>
      <w:r w:rsidRPr="00045249">
        <w:rPr>
          <w:rStyle w:val="a3"/>
          <w:rFonts w:ascii="Times New Roman" w:hAnsi="Times New Roman" w:cs="Times New Roman"/>
          <w:color w:val="000000" w:themeColor="text1"/>
          <w:sz w:val="18"/>
          <w:szCs w:val="18"/>
        </w:rPr>
        <w:t>Fig. S5 UBE2S modulates glycolysis under glucose-deprived conditions.</w:t>
      </w:r>
      <w:r w:rsidRPr="00045249">
        <w:rPr>
          <w:rStyle w:val="a3"/>
          <w:rFonts w:ascii="Times New Roman" w:hAnsi="Times New Roman" w:cs="Times New Roman" w:hint="eastAsia"/>
          <w:color w:val="000000" w:themeColor="text1"/>
          <w:sz w:val="18"/>
          <w:szCs w:val="18"/>
        </w:rPr>
        <w:t xml:space="preserve"> </w:t>
      </w:r>
      <w:r w:rsidRPr="00045249">
        <w:rPr>
          <w:rFonts w:ascii="Times New Roman" w:hAnsi="Times New Roman" w:cs="Times New Roman"/>
          <w:color w:val="000000" w:themeColor="text1"/>
          <w:sz w:val="18"/>
          <w:szCs w:val="18"/>
        </w:rPr>
        <w:t>(A-B) Lactate levels in EESCs transfected with the indicated plasmids and cultured in glucose-free medium supplemented with 0, 5, or 25 mM glucose. ns: not significant, *</w:t>
      </w:r>
      <w:r w:rsidRPr="00045249">
        <w:rPr>
          <w:rFonts w:ascii="Times New Roman" w:hAnsi="Times New Roman" w:cs="Times New Roman"/>
          <w:i/>
          <w:iCs/>
          <w:color w:val="000000" w:themeColor="text1"/>
          <w:sz w:val="18"/>
          <w:szCs w:val="18"/>
        </w:rPr>
        <w:t xml:space="preserve"> p </w:t>
      </w:r>
      <w:r w:rsidRPr="00045249">
        <w:rPr>
          <w:rFonts w:ascii="Times New Roman" w:hAnsi="Times New Roman" w:cs="Times New Roman"/>
          <w:color w:val="000000" w:themeColor="text1"/>
          <w:sz w:val="18"/>
          <w:szCs w:val="18"/>
        </w:rPr>
        <w:t xml:space="preserve">&lt; 0.05,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 xml:space="preserve">&lt; 0.01,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 xml:space="preserve">&lt; 0.001,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&lt; 0.0001.</w:t>
      </w:r>
    </w:p>
    <w:p w14:paraId="42F0FE38" w14:textId="13A783F8" w:rsidR="007B44A2" w:rsidRPr="00045249" w:rsidRDefault="00B46BE7" w:rsidP="007B44A2">
      <w:pPr>
        <w:jc w:val="both"/>
        <w:rPr>
          <w:rFonts w:ascii="Times New Roman" w:hAnsi="Times New Roman" w:cs="Times New Roman"/>
          <w:color w:val="000000" w:themeColor="text1"/>
          <w:sz w:val="18"/>
          <w:szCs w:val="18"/>
        </w:rPr>
      </w:pPr>
      <w:r>
        <w:rPr>
          <w:rFonts w:ascii="Times New Roman" w:hAnsi="Times New Roman" w:cs="Times New Roman"/>
          <w:noProof/>
          <w:color w:val="000000" w:themeColor="text1"/>
          <w:sz w:val="18"/>
          <w:szCs w:val="18"/>
        </w:rPr>
        <w:drawing>
          <wp:inline distT="0" distB="0" distL="0" distR="0" wp14:anchorId="1C7E88CD" wp14:editId="4D5B5D85">
            <wp:extent cx="5274310" cy="3136265"/>
            <wp:effectExtent l="0" t="0" r="0" b="635"/>
            <wp:docPr id="9294080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08058" name="图片 92940805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136265"/>
                    </a:xfrm>
                    <a:prstGeom prst="rect">
                      <a:avLst/>
                    </a:prstGeom>
                  </pic:spPr>
                </pic:pic>
              </a:graphicData>
            </a:graphic>
          </wp:inline>
        </w:drawing>
      </w:r>
    </w:p>
    <w:p w14:paraId="298EC57E" w14:textId="5AC2DC99" w:rsidR="00933A68" w:rsidRPr="00045249" w:rsidRDefault="00933A68" w:rsidP="00933A68">
      <w:pPr>
        <w:jc w:val="both"/>
        <w:rPr>
          <w:rFonts w:ascii="Times New Roman" w:hAnsi="Times New Roman" w:cs="Times New Roman"/>
          <w:color w:val="000000" w:themeColor="text1"/>
          <w:sz w:val="18"/>
          <w:szCs w:val="18"/>
        </w:rPr>
      </w:pPr>
      <w:r w:rsidRPr="00045249">
        <w:rPr>
          <w:rFonts w:ascii="Times New Roman" w:hAnsi="Times New Roman" w:cs="Times New Roman"/>
          <w:b/>
          <w:bCs/>
          <w:color w:val="000000" w:themeColor="text1"/>
          <w:sz w:val="18"/>
          <w:szCs w:val="18"/>
        </w:rPr>
        <w:t>Fig. S6 Exogenous lactate rescues M2 macrophage polarization in UBE2S- or GLUT1-knockdown co-cultures.</w:t>
      </w:r>
      <w:r w:rsidRPr="00045249">
        <w:rPr>
          <w:rFonts w:ascii="Times New Roman" w:hAnsi="Times New Roman" w:cs="Times New Roman" w:hint="eastAsia"/>
          <w:b/>
          <w:bCs/>
          <w:color w:val="000000" w:themeColor="text1"/>
          <w:sz w:val="18"/>
          <w:szCs w:val="18"/>
        </w:rPr>
        <w:t xml:space="preserve"> </w:t>
      </w:r>
      <w:r w:rsidRPr="00045249">
        <w:rPr>
          <w:rFonts w:ascii="Times New Roman" w:hAnsi="Times New Roman" w:cs="Times New Roman"/>
          <w:color w:val="000000" w:themeColor="text1"/>
          <w:sz w:val="18"/>
          <w:szCs w:val="18"/>
        </w:rPr>
        <w:t xml:space="preserve">(A) Representative Western blot images of CD206, Arg1, and CD163 expression in macrophages co-cultured with UBE2S-shRNA cells with or without sodium lactate supplementation (10 mM). (B) Similar analysis performed in GLUT1-shRNA co-cultures. </w:t>
      </w:r>
      <w:r w:rsidR="007B68AC">
        <w:rPr>
          <w:rFonts w:ascii="Times New Roman" w:hAnsi="Times New Roman" w:cs="Times New Roman"/>
          <w:color w:val="000000" w:themeColor="text1"/>
          <w:sz w:val="18"/>
          <w:szCs w:val="18"/>
        </w:rPr>
        <w:t>β-Tubulin</w:t>
      </w:r>
      <w:r w:rsidRPr="00045249">
        <w:rPr>
          <w:rFonts w:ascii="Times New Roman" w:hAnsi="Times New Roman" w:cs="Times New Roman"/>
          <w:color w:val="000000" w:themeColor="text1"/>
          <w:sz w:val="18"/>
          <w:szCs w:val="18"/>
        </w:rPr>
        <w:t xml:space="preserve"> was used as a loading control. Quantification of band intensities is indicated on the right. *</w:t>
      </w:r>
      <w:r w:rsidRPr="00045249">
        <w:rPr>
          <w:rFonts w:ascii="Times New Roman" w:hAnsi="Times New Roman" w:cs="Times New Roman"/>
          <w:i/>
          <w:iCs/>
          <w:color w:val="000000" w:themeColor="text1"/>
          <w:sz w:val="18"/>
          <w:szCs w:val="18"/>
        </w:rPr>
        <w:t xml:space="preserve"> p </w:t>
      </w:r>
      <w:r w:rsidRPr="00045249">
        <w:rPr>
          <w:rFonts w:ascii="Times New Roman" w:hAnsi="Times New Roman" w:cs="Times New Roman"/>
          <w:color w:val="000000" w:themeColor="text1"/>
          <w:sz w:val="18"/>
          <w:szCs w:val="18"/>
        </w:rPr>
        <w:t xml:space="preserve">&lt; 0.05,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 xml:space="preserve">&lt; 0.01,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 xml:space="preserve">&lt; 0.001,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&lt; 0.0001.</w:t>
      </w:r>
    </w:p>
    <w:p w14:paraId="676605A9" w14:textId="0507555D" w:rsidR="00860269" w:rsidRPr="00045249" w:rsidRDefault="00B46BE7" w:rsidP="00E0245E">
      <w:pPr>
        <w:jc w:val="both"/>
        <w:rPr>
          <w:rFonts w:ascii="Times New Roman" w:hAnsi="Times New Roman" w:cs="Times New Roman"/>
          <w:color w:val="000000" w:themeColor="text1"/>
          <w:sz w:val="18"/>
          <w:szCs w:val="18"/>
        </w:rPr>
      </w:pPr>
      <w:r>
        <w:rPr>
          <w:rFonts w:ascii="Times New Roman" w:hAnsi="Times New Roman" w:cs="Times New Roman"/>
          <w:noProof/>
          <w:color w:val="000000" w:themeColor="text1"/>
          <w:sz w:val="18"/>
          <w:szCs w:val="18"/>
        </w:rPr>
        <w:lastRenderedPageBreak/>
        <w:drawing>
          <wp:inline distT="0" distB="0" distL="0" distR="0" wp14:anchorId="05627ECC" wp14:editId="36FBD476">
            <wp:extent cx="5274310" cy="3070225"/>
            <wp:effectExtent l="0" t="0" r="0" b="3175"/>
            <wp:docPr id="44702515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025154" name="图片 4470251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070225"/>
                    </a:xfrm>
                    <a:prstGeom prst="rect">
                      <a:avLst/>
                    </a:prstGeom>
                  </pic:spPr>
                </pic:pic>
              </a:graphicData>
            </a:graphic>
          </wp:inline>
        </w:drawing>
      </w:r>
    </w:p>
    <w:p w14:paraId="0E4C8A33" w14:textId="0AE4A78C" w:rsidR="005A2831" w:rsidRPr="00045249" w:rsidRDefault="00622E9F" w:rsidP="008A11CF">
      <w:pPr>
        <w:jc w:val="both"/>
        <w:rPr>
          <w:rFonts w:ascii="Times New Roman" w:hAnsi="Times New Roman" w:cs="Times New Roman"/>
          <w:color w:val="000000" w:themeColor="text1"/>
          <w:sz w:val="18"/>
          <w:szCs w:val="18"/>
        </w:rPr>
      </w:pPr>
      <w:r w:rsidRPr="00045249">
        <w:rPr>
          <w:rStyle w:val="a3"/>
          <w:rFonts w:ascii="Times New Roman" w:hAnsi="Times New Roman" w:cs="Times New Roman"/>
          <w:color w:val="000000" w:themeColor="text1"/>
          <w:sz w:val="18"/>
          <w:szCs w:val="18"/>
        </w:rPr>
        <w:t xml:space="preserve">Fig. S7 UBE2S overexpression enhances glycolysis and promotes TGF-β1 expression in M2 macrophages. </w:t>
      </w:r>
      <w:r w:rsidRPr="00045249">
        <w:rPr>
          <w:rFonts w:ascii="Times New Roman" w:hAnsi="Times New Roman" w:cs="Times New Roman"/>
          <w:color w:val="000000" w:themeColor="text1"/>
          <w:sz w:val="18"/>
          <w:szCs w:val="18"/>
        </w:rPr>
        <w:t xml:space="preserve">(A) </w:t>
      </w:r>
      <w:proofErr w:type="spellStart"/>
      <w:r w:rsidRPr="00045249">
        <w:rPr>
          <w:rFonts w:ascii="Times New Roman" w:hAnsi="Times New Roman" w:cs="Times New Roman"/>
          <w:color w:val="000000" w:themeColor="text1"/>
          <w:sz w:val="18"/>
          <w:szCs w:val="18"/>
        </w:rPr>
        <w:t>qRT</w:t>
      </w:r>
      <w:proofErr w:type="spellEnd"/>
      <w:r w:rsidRPr="00045249">
        <w:rPr>
          <w:rFonts w:ascii="Times New Roman" w:hAnsi="Times New Roman" w:cs="Times New Roman"/>
          <w:color w:val="000000" w:themeColor="text1"/>
          <w:sz w:val="18"/>
          <w:szCs w:val="18"/>
        </w:rPr>
        <w:t>-PCR analysis of TGF-β1 protein expression in macrophages co-cultured with EESCs transfected with different plasmids. (B) TGF-β1 protein expression levels in macrophages treated with conditioned media from EESCs overexpressing UBE2S and treated with CPM or 2-DG for 24 h. *</w:t>
      </w:r>
      <w:r w:rsidRPr="00045249">
        <w:rPr>
          <w:rFonts w:ascii="Times New Roman" w:hAnsi="Times New Roman" w:cs="Times New Roman"/>
          <w:i/>
          <w:iCs/>
          <w:color w:val="000000" w:themeColor="text1"/>
          <w:sz w:val="18"/>
          <w:szCs w:val="18"/>
        </w:rPr>
        <w:t xml:space="preserve"> p </w:t>
      </w:r>
      <w:r w:rsidRPr="00045249">
        <w:rPr>
          <w:rFonts w:ascii="Times New Roman" w:hAnsi="Times New Roman" w:cs="Times New Roman"/>
          <w:color w:val="000000" w:themeColor="text1"/>
          <w:sz w:val="18"/>
          <w:szCs w:val="18"/>
        </w:rPr>
        <w:t xml:space="preserve">&lt; 0.05,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 xml:space="preserve">&lt; 0.01,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 xml:space="preserve">&lt; 0.001, ****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&lt; 0.0001.</w:t>
      </w:r>
    </w:p>
    <w:p w14:paraId="2B997FEC" w14:textId="34A91A0F" w:rsidR="00933A68" w:rsidRPr="00045249" w:rsidRDefault="00B46BE7" w:rsidP="00933A68">
      <w:pPr>
        <w:jc w:val="both"/>
        <w:rPr>
          <w:rStyle w:val="a3"/>
          <w:rFonts w:ascii="Times New Roman" w:hAnsi="Times New Roman" w:cs="Times New Roman"/>
          <w:color w:val="000000" w:themeColor="text1"/>
          <w:sz w:val="18"/>
          <w:szCs w:val="18"/>
        </w:rPr>
      </w:pPr>
      <w:r>
        <w:rPr>
          <w:rFonts w:ascii="Times New Roman" w:hAnsi="Times New Roman" w:cs="Times New Roman"/>
          <w:b/>
          <w:bCs/>
          <w:noProof/>
          <w:color w:val="000000" w:themeColor="text1"/>
          <w:sz w:val="18"/>
          <w:szCs w:val="18"/>
        </w:rPr>
        <w:drawing>
          <wp:inline distT="0" distB="0" distL="0" distR="0" wp14:anchorId="56598D03" wp14:editId="0C97F8B6">
            <wp:extent cx="5274310" cy="3530600"/>
            <wp:effectExtent l="0" t="0" r="0" b="0"/>
            <wp:docPr id="14644109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10910" name="图片 14644109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530600"/>
                    </a:xfrm>
                    <a:prstGeom prst="rect">
                      <a:avLst/>
                    </a:prstGeom>
                  </pic:spPr>
                </pic:pic>
              </a:graphicData>
            </a:graphic>
          </wp:inline>
        </w:drawing>
      </w:r>
    </w:p>
    <w:p w14:paraId="4A1CEE47" w14:textId="15D87B93" w:rsidR="00933A68" w:rsidRPr="00045249" w:rsidRDefault="00933A68" w:rsidP="00933A68">
      <w:pPr>
        <w:jc w:val="both"/>
        <w:rPr>
          <w:rFonts w:ascii="Times New Roman" w:hAnsi="Times New Roman" w:cs="Times New Roman"/>
          <w:color w:val="000000" w:themeColor="text1"/>
          <w:sz w:val="18"/>
          <w:szCs w:val="18"/>
        </w:rPr>
      </w:pPr>
      <w:r w:rsidRPr="00045249">
        <w:rPr>
          <w:rStyle w:val="a3"/>
          <w:rFonts w:ascii="Times New Roman" w:hAnsi="Times New Roman" w:cs="Times New Roman"/>
          <w:color w:val="000000" w:themeColor="text1"/>
          <w:sz w:val="18"/>
          <w:szCs w:val="18"/>
        </w:rPr>
        <w:t>Fig. S8 Validation of CPM specificity for UBE2S.</w:t>
      </w:r>
      <w:r w:rsidRPr="00045249">
        <w:rPr>
          <w:rFonts w:ascii="Times New Roman" w:hAnsi="Times New Roman" w:cs="Times New Roman"/>
          <w:color w:val="000000" w:themeColor="text1"/>
          <w:sz w:val="18"/>
          <w:szCs w:val="18"/>
        </w:rPr>
        <w:t xml:space="preserve"> (A) Molecular docking analysis of CPM with UBE2S. (B) Relative lactate production in UBE2S WT and UBE2S</w:t>
      </w:r>
      <w:r w:rsidRPr="00045249">
        <w:rPr>
          <w:rFonts w:ascii="Times New Roman" w:hAnsi="Times New Roman" w:cs="Times New Roman"/>
          <w:color w:val="000000" w:themeColor="text1"/>
          <w:sz w:val="18"/>
          <w:szCs w:val="18"/>
          <w:vertAlign w:val="superscript"/>
        </w:rPr>
        <w:t>–/–</w:t>
      </w:r>
      <w:r w:rsidRPr="00045249">
        <w:rPr>
          <w:rFonts w:ascii="Times New Roman" w:hAnsi="Times New Roman" w:cs="Times New Roman"/>
          <w:color w:val="000000" w:themeColor="text1"/>
          <w:sz w:val="18"/>
          <w:szCs w:val="18"/>
        </w:rPr>
        <w:t xml:space="preserve"> EESCs treated with or without CPM (100 µM, 24 h). (C) Western blot analysis of FMT markers in EESCs after 48 h of CM treatment. ns: not significant; *</w:t>
      </w:r>
      <w:r w:rsidR="0016191D" w:rsidRPr="00045249">
        <w:rPr>
          <w:rFonts w:ascii="Times New Roman" w:hAnsi="Times New Roman" w:cs="Times New Roman"/>
          <w:color w:val="000000" w:themeColor="text1"/>
          <w:sz w:val="18"/>
          <w:szCs w:val="18"/>
        </w:rPr>
        <w:t xml:space="preserve"> </w:t>
      </w:r>
      <w:r w:rsidRPr="00045249">
        <w:rPr>
          <w:rFonts w:ascii="Times New Roman" w:hAnsi="Times New Roman" w:cs="Times New Roman"/>
          <w:i/>
          <w:iCs/>
          <w:color w:val="000000" w:themeColor="text1"/>
          <w:sz w:val="18"/>
          <w:szCs w:val="18"/>
        </w:rPr>
        <w:t xml:space="preserve">p </w:t>
      </w:r>
      <w:r w:rsidRPr="00045249">
        <w:rPr>
          <w:rFonts w:ascii="Times New Roman" w:hAnsi="Times New Roman" w:cs="Times New Roman"/>
          <w:color w:val="000000" w:themeColor="text1"/>
          <w:sz w:val="18"/>
          <w:szCs w:val="18"/>
        </w:rPr>
        <w:t>&lt; 0.05; **</w:t>
      </w:r>
      <w:r w:rsidR="0016191D" w:rsidRPr="00045249">
        <w:rPr>
          <w:rFonts w:ascii="Times New Roman" w:hAnsi="Times New Roman" w:cs="Times New Roman"/>
          <w:color w:val="000000" w:themeColor="text1"/>
          <w:sz w:val="18"/>
          <w:szCs w:val="18"/>
        </w:rPr>
        <w:t xml:space="preserve"> </w:t>
      </w:r>
      <w:r w:rsidRPr="00045249">
        <w:rPr>
          <w:rFonts w:ascii="Times New Roman" w:hAnsi="Times New Roman" w:cs="Times New Roman"/>
          <w:i/>
          <w:iCs/>
          <w:color w:val="000000" w:themeColor="text1"/>
          <w:sz w:val="18"/>
          <w:szCs w:val="18"/>
        </w:rPr>
        <w:t>p</w:t>
      </w:r>
      <w:r w:rsidRPr="00045249">
        <w:rPr>
          <w:rFonts w:ascii="Times New Roman" w:hAnsi="Times New Roman" w:cs="Times New Roman"/>
          <w:color w:val="000000" w:themeColor="text1"/>
          <w:sz w:val="18"/>
          <w:szCs w:val="18"/>
        </w:rPr>
        <w:t xml:space="preserve"> &lt; 0.01.</w:t>
      </w:r>
    </w:p>
    <w:p w14:paraId="1681F040" w14:textId="14F30913" w:rsidR="00D77A5A" w:rsidRPr="00045249" w:rsidRDefault="00B46BE7" w:rsidP="00D77A5A">
      <w:pPr>
        <w:rPr>
          <w:color w:val="000000" w:themeColor="text1"/>
        </w:rPr>
      </w:pPr>
      <w:r>
        <w:rPr>
          <w:noProof/>
          <w:color w:val="000000" w:themeColor="text1"/>
        </w:rPr>
        <w:lastRenderedPageBreak/>
        <w:drawing>
          <wp:inline distT="0" distB="0" distL="0" distR="0" wp14:anchorId="4AAFE16A" wp14:editId="07EE25E4">
            <wp:extent cx="5274310" cy="2466975"/>
            <wp:effectExtent l="0" t="0" r="0" b="0"/>
            <wp:docPr id="14282545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54519" name="图片 14282545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466975"/>
                    </a:xfrm>
                    <a:prstGeom prst="rect">
                      <a:avLst/>
                    </a:prstGeom>
                  </pic:spPr>
                </pic:pic>
              </a:graphicData>
            </a:graphic>
          </wp:inline>
        </w:drawing>
      </w:r>
    </w:p>
    <w:p w14:paraId="3D159225" w14:textId="41C9A88B" w:rsidR="00677CE6" w:rsidRPr="00045249" w:rsidRDefault="00933A68" w:rsidP="00933A68">
      <w:pPr>
        <w:jc w:val="both"/>
        <w:rPr>
          <w:rFonts w:ascii="Times New Roman" w:hAnsi="Times New Roman"/>
          <w:color w:val="000000" w:themeColor="text1"/>
          <w:sz w:val="18"/>
        </w:rPr>
      </w:pPr>
      <w:r w:rsidRPr="00045249">
        <w:rPr>
          <w:rStyle w:val="a3"/>
          <w:rFonts w:ascii="Times New Roman" w:hAnsi="Times New Roman" w:cs="Times New Roman"/>
          <w:color w:val="000000" w:themeColor="text1"/>
          <w:sz w:val="18"/>
          <w:szCs w:val="18"/>
        </w:rPr>
        <w:t xml:space="preserve">Fig. S9 </w:t>
      </w:r>
      <w:r w:rsidRPr="00045249">
        <w:rPr>
          <w:rFonts w:ascii="Times New Roman" w:hAnsi="Times New Roman" w:cs="Times New Roman"/>
          <w:b/>
          <w:bCs/>
          <w:color w:val="000000" w:themeColor="text1"/>
          <w:sz w:val="18"/>
          <w:szCs w:val="18"/>
        </w:rPr>
        <w:t xml:space="preserve">UBE2S regulates GLUT1-associated macrophage polarization and fibrosis </w:t>
      </w:r>
      <w:r w:rsidRPr="00045249">
        <w:rPr>
          <w:rFonts w:ascii="Times New Roman" w:hAnsi="Times New Roman" w:cs="Times New Roman"/>
          <w:b/>
          <w:bCs/>
          <w:i/>
          <w:iCs/>
          <w:color w:val="000000" w:themeColor="text1"/>
          <w:sz w:val="18"/>
          <w:szCs w:val="18"/>
        </w:rPr>
        <w:t>in vivo</w:t>
      </w:r>
      <w:r w:rsidRPr="00045249">
        <w:rPr>
          <w:rFonts w:ascii="Times New Roman" w:hAnsi="Times New Roman" w:cs="Times New Roman"/>
          <w:b/>
          <w:bCs/>
          <w:color w:val="000000" w:themeColor="text1"/>
          <w:sz w:val="18"/>
          <w:szCs w:val="18"/>
        </w:rPr>
        <w:t>.</w:t>
      </w:r>
      <w:r w:rsidRPr="00045249">
        <w:rPr>
          <w:rFonts w:ascii="Times New Roman" w:hAnsi="Times New Roman" w:cs="Times New Roman" w:hint="eastAsia"/>
          <w:color w:val="000000" w:themeColor="text1"/>
          <w:sz w:val="18"/>
          <w:szCs w:val="18"/>
        </w:rPr>
        <w:t xml:space="preserve"> </w:t>
      </w:r>
      <w:r w:rsidRPr="00045249">
        <w:rPr>
          <w:rFonts w:ascii="Times New Roman" w:hAnsi="Times New Roman" w:cs="Times New Roman"/>
          <w:color w:val="000000" w:themeColor="text1"/>
          <w:sz w:val="18"/>
          <w:szCs w:val="18"/>
        </w:rPr>
        <w:t>(A) Immunofluorescence staining of lesion tissues from UBE2S WT and UBE2S</w:t>
      </w:r>
      <w:r w:rsidRPr="00045249">
        <w:rPr>
          <w:rFonts w:ascii="Times New Roman" w:hAnsi="Times New Roman" w:cs="Times New Roman"/>
          <w:color w:val="000000" w:themeColor="text1"/>
          <w:sz w:val="18"/>
          <w:szCs w:val="18"/>
          <w:vertAlign w:val="superscript"/>
        </w:rPr>
        <w:t>–/–</w:t>
      </w:r>
      <w:r w:rsidRPr="00045249">
        <w:rPr>
          <w:rFonts w:ascii="Times New Roman" w:hAnsi="Times New Roman" w:cs="Times New Roman"/>
          <w:color w:val="000000" w:themeColor="text1"/>
          <w:sz w:val="18"/>
          <w:szCs w:val="18"/>
        </w:rPr>
        <w:t xml:space="preserve"> mice using GLUT1 (green), CD163 (red), and DAPI (blue). Right panel: Quantification of CD163⁺ and GLUT1</w:t>
      </w:r>
      <w:r w:rsidRPr="00045249">
        <w:rPr>
          <w:rFonts w:ascii="Times New Roman" w:hAnsi="Times New Roman" w:cs="Times New Roman"/>
          <w:color w:val="000000" w:themeColor="text1"/>
          <w:sz w:val="18"/>
          <w:szCs w:val="18"/>
          <w:vertAlign w:val="superscript"/>
        </w:rPr>
        <w:t>+</w:t>
      </w:r>
      <w:r w:rsidRPr="00045249">
        <w:rPr>
          <w:rFonts w:ascii="Times New Roman" w:hAnsi="Times New Roman" w:cs="Times New Roman"/>
          <w:color w:val="000000" w:themeColor="text1"/>
          <w:sz w:val="18"/>
          <w:szCs w:val="18"/>
        </w:rPr>
        <w:t xml:space="preserve"> fluorescence intensity. (B) Immunofluorescence staining of lesion tissues from UBE2S WT and UBE2S</w:t>
      </w:r>
      <w:r w:rsidRPr="00045249">
        <w:rPr>
          <w:rFonts w:ascii="Times New Roman" w:hAnsi="Times New Roman" w:cs="Times New Roman"/>
          <w:color w:val="000000" w:themeColor="text1"/>
          <w:sz w:val="18"/>
          <w:szCs w:val="18"/>
          <w:vertAlign w:val="superscript"/>
        </w:rPr>
        <w:t>–/–</w:t>
      </w:r>
      <w:r w:rsidRPr="00045249">
        <w:rPr>
          <w:rFonts w:ascii="Times New Roman" w:hAnsi="Times New Roman" w:cs="Times New Roman"/>
          <w:color w:val="000000" w:themeColor="text1"/>
          <w:sz w:val="18"/>
          <w:szCs w:val="18"/>
        </w:rPr>
        <w:t xml:space="preserve"> mice using GLUT1 (green), α-SMA (red), and DAPI (blue). Right panel: Quantification of α-SMA⁺ and GLUT1</w:t>
      </w:r>
      <w:r w:rsidRPr="00045249">
        <w:rPr>
          <w:rFonts w:ascii="Times New Roman" w:hAnsi="Times New Roman" w:cs="Times New Roman"/>
          <w:color w:val="000000" w:themeColor="text1"/>
          <w:sz w:val="18"/>
          <w:szCs w:val="18"/>
          <w:vertAlign w:val="superscript"/>
        </w:rPr>
        <w:t>+</w:t>
      </w:r>
      <w:r w:rsidRPr="00045249">
        <w:rPr>
          <w:rFonts w:ascii="Times New Roman" w:hAnsi="Times New Roman" w:cs="Times New Roman"/>
          <w:color w:val="000000" w:themeColor="text1"/>
          <w:sz w:val="18"/>
          <w:szCs w:val="18"/>
        </w:rPr>
        <w:t xml:space="preserve"> fluorescence intensity. **</w:t>
      </w:r>
      <w:r w:rsidR="0016191D" w:rsidRPr="00045249">
        <w:rPr>
          <w:rFonts w:ascii="Times New Roman" w:hAnsi="Times New Roman" w:cs="Times New Roman"/>
          <w:color w:val="000000" w:themeColor="text1"/>
          <w:sz w:val="18"/>
          <w:szCs w:val="18"/>
        </w:rPr>
        <w:t xml:space="preserve"> </w:t>
      </w:r>
      <w:r w:rsidRPr="00045249">
        <w:rPr>
          <w:rFonts w:ascii="Times New Roman" w:hAnsi="Times New Roman" w:cs="Times New Roman"/>
          <w:i/>
          <w:iCs/>
          <w:color w:val="000000" w:themeColor="text1"/>
          <w:sz w:val="18"/>
          <w:szCs w:val="18"/>
        </w:rPr>
        <w:t>p</w:t>
      </w:r>
      <w:r w:rsidRPr="00045249">
        <w:rPr>
          <w:rFonts w:ascii="Times New Roman" w:hAnsi="Times New Roman" w:cs="Times New Roman"/>
          <w:color w:val="000000" w:themeColor="text1"/>
          <w:sz w:val="18"/>
          <w:szCs w:val="18"/>
        </w:rPr>
        <w:t xml:space="preserve"> &lt; 0.01. Scale bars: 50 </w:t>
      </w:r>
      <w:proofErr w:type="spellStart"/>
      <w:r w:rsidRPr="00045249">
        <w:rPr>
          <w:rFonts w:ascii="Times New Roman" w:hAnsi="Times New Roman" w:cs="Times New Roman"/>
          <w:color w:val="000000" w:themeColor="text1"/>
          <w:sz w:val="18"/>
          <w:szCs w:val="18"/>
        </w:rPr>
        <w:t>μm</w:t>
      </w:r>
      <w:proofErr w:type="spellEnd"/>
      <w:r w:rsidRPr="00045249">
        <w:rPr>
          <w:rFonts w:ascii="Times New Roman" w:hAnsi="Times New Roman" w:cs="Times New Roman"/>
          <w:color w:val="000000" w:themeColor="text1"/>
          <w:sz w:val="18"/>
          <w:szCs w:val="18"/>
        </w:rPr>
        <w:t>.</w:t>
      </w:r>
    </w:p>
    <w:sectPr w:rsidR="00677CE6" w:rsidRPr="00045249" w:rsidSect="00870FDA">
      <w:footerReference w:type="even" r:id="rId16"/>
      <w:footerReference w:type="default" r:id="rId17"/>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E72FF" w14:textId="77777777" w:rsidR="00945CA3" w:rsidRDefault="00945CA3" w:rsidP="00E0245E">
      <w:r>
        <w:separator/>
      </w:r>
    </w:p>
  </w:endnote>
  <w:endnote w:type="continuationSeparator" w:id="0">
    <w:p w14:paraId="36797268" w14:textId="77777777" w:rsidR="00945CA3" w:rsidRDefault="00945CA3" w:rsidP="00E0245E">
      <w:r>
        <w:continuationSeparator/>
      </w:r>
    </w:p>
  </w:endnote>
  <w:endnote w:type="continuationNotice" w:id="1">
    <w:p w14:paraId="29521C1E" w14:textId="77777777" w:rsidR="00945CA3" w:rsidRDefault="00945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865636646"/>
      <w:docPartObj>
        <w:docPartGallery w:val="Page Numbers (Bottom of Page)"/>
        <w:docPartUnique/>
      </w:docPartObj>
    </w:sdtPr>
    <w:sdtContent>
      <w:p w14:paraId="05DCFDBE" w14:textId="1CBD0096" w:rsidR="00E0245E" w:rsidRDefault="00E0245E" w:rsidP="003074A6">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14:paraId="7A50B92D" w14:textId="77777777" w:rsidR="00E0245E" w:rsidRDefault="00E0245E" w:rsidP="00561CD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1164319635"/>
      <w:docPartObj>
        <w:docPartGallery w:val="Page Numbers (Bottom of Page)"/>
        <w:docPartUnique/>
      </w:docPartObj>
    </w:sdtPr>
    <w:sdtContent>
      <w:p w14:paraId="3B2148AB" w14:textId="65D7F34C" w:rsidR="00E0245E" w:rsidRDefault="00E0245E" w:rsidP="003074A6">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Pr>
            <w:rStyle w:val="a7"/>
            <w:noProof/>
          </w:rPr>
          <w:t>1</w:t>
        </w:r>
        <w:r>
          <w:rPr>
            <w:rStyle w:val="a7"/>
          </w:rPr>
          <w:fldChar w:fldCharType="end"/>
        </w:r>
      </w:p>
    </w:sdtContent>
  </w:sdt>
  <w:p w14:paraId="53F6B8ED" w14:textId="77777777" w:rsidR="00E0245E" w:rsidRDefault="00E0245E" w:rsidP="00B128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31EAA" w14:textId="77777777" w:rsidR="00945CA3" w:rsidRDefault="00945CA3" w:rsidP="00E0245E">
      <w:r>
        <w:separator/>
      </w:r>
    </w:p>
  </w:footnote>
  <w:footnote w:type="continuationSeparator" w:id="0">
    <w:p w14:paraId="44F37B71" w14:textId="77777777" w:rsidR="00945CA3" w:rsidRDefault="00945CA3" w:rsidP="00E0245E">
      <w:r>
        <w:continuationSeparator/>
      </w:r>
    </w:p>
  </w:footnote>
  <w:footnote w:type="continuationNotice" w:id="1">
    <w:p w14:paraId="0801F627" w14:textId="77777777" w:rsidR="00945CA3" w:rsidRDefault="00945CA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4A2"/>
    <w:rsid w:val="00001AA4"/>
    <w:rsid w:val="00003BA8"/>
    <w:rsid w:val="00004B06"/>
    <w:rsid w:val="0000786D"/>
    <w:rsid w:val="000235CD"/>
    <w:rsid w:val="000237BD"/>
    <w:rsid w:val="00023AFC"/>
    <w:rsid w:val="000315FF"/>
    <w:rsid w:val="00045249"/>
    <w:rsid w:val="00051FF8"/>
    <w:rsid w:val="000579D1"/>
    <w:rsid w:val="00062F9F"/>
    <w:rsid w:val="000753FE"/>
    <w:rsid w:val="00077E87"/>
    <w:rsid w:val="00080104"/>
    <w:rsid w:val="00085EC7"/>
    <w:rsid w:val="00093904"/>
    <w:rsid w:val="000C773A"/>
    <w:rsid w:val="000D5DF6"/>
    <w:rsid w:val="000E26CF"/>
    <w:rsid w:val="000F41E6"/>
    <w:rsid w:val="00120523"/>
    <w:rsid w:val="001256EB"/>
    <w:rsid w:val="00127DE0"/>
    <w:rsid w:val="001308F4"/>
    <w:rsid w:val="00133D7B"/>
    <w:rsid w:val="00136C1A"/>
    <w:rsid w:val="0014137A"/>
    <w:rsid w:val="00146071"/>
    <w:rsid w:val="0014755B"/>
    <w:rsid w:val="00157DA4"/>
    <w:rsid w:val="0016191D"/>
    <w:rsid w:val="00165A3D"/>
    <w:rsid w:val="00170BF5"/>
    <w:rsid w:val="001727A4"/>
    <w:rsid w:val="0019791A"/>
    <w:rsid w:val="001B29F2"/>
    <w:rsid w:val="001B2C3E"/>
    <w:rsid w:val="001B3C9E"/>
    <w:rsid w:val="001D7DCE"/>
    <w:rsid w:val="001E32AA"/>
    <w:rsid w:val="001E3B4A"/>
    <w:rsid w:val="001E7661"/>
    <w:rsid w:val="001F0FDE"/>
    <w:rsid w:val="001F2782"/>
    <w:rsid w:val="001F4635"/>
    <w:rsid w:val="00215029"/>
    <w:rsid w:val="0023689F"/>
    <w:rsid w:val="00242935"/>
    <w:rsid w:val="0024512C"/>
    <w:rsid w:val="002673D5"/>
    <w:rsid w:val="0027382F"/>
    <w:rsid w:val="00277B92"/>
    <w:rsid w:val="00282033"/>
    <w:rsid w:val="002866C9"/>
    <w:rsid w:val="00292222"/>
    <w:rsid w:val="0029278D"/>
    <w:rsid w:val="002A56EF"/>
    <w:rsid w:val="002A6BDA"/>
    <w:rsid w:val="002B16C2"/>
    <w:rsid w:val="002B5C51"/>
    <w:rsid w:val="002C02E3"/>
    <w:rsid w:val="002C19F0"/>
    <w:rsid w:val="002D3C16"/>
    <w:rsid w:val="002E240B"/>
    <w:rsid w:val="002E71EC"/>
    <w:rsid w:val="002F28C2"/>
    <w:rsid w:val="002F3A99"/>
    <w:rsid w:val="0030792E"/>
    <w:rsid w:val="00311141"/>
    <w:rsid w:val="00313853"/>
    <w:rsid w:val="003170BC"/>
    <w:rsid w:val="00326B2D"/>
    <w:rsid w:val="00331A2B"/>
    <w:rsid w:val="00354F67"/>
    <w:rsid w:val="00355EAA"/>
    <w:rsid w:val="003876FA"/>
    <w:rsid w:val="0039273F"/>
    <w:rsid w:val="003A7EFB"/>
    <w:rsid w:val="003B6A29"/>
    <w:rsid w:val="003D0ADF"/>
    <w:rsid w:val="003D1652"/>
    <w:rsid w:val="003D3230"/>
    <w:rsid w:val="003D72F8"/>
    <w:rsid w:val="003E6547"/>
    <w:rsid w:val="003F1B72"/>
    <w:rsid w:val="003F2938"/>
    <w:rsid w:val="0041098C"/>
    <w:rsid w:val="0041519C"/>
    <w:rsid w:val="0041696F"/>
    <w:rsid w:val="00440F09"/>
    <w:rsid w:val="00451445"/>
    <w:rsid w:val="00452291"/>
    <w:rsid w:val="00457FCE"/>
    <w:rsid w:val="00461182"/>
    <w:rsid w:val="00467CC3"/>
    <w:rsid w:val="004747CA"/>
    <w:rsid w:val="0047539C"/>
    <w:rsid w:val="00485691"/>
    <w:rsid w:val="004B26F6"/>
    <w:rsid w:val="004D3E2D"/>
    <w:rsid w:val="004E29C7"/>
    <w:rsid w:val="004F4055"/>
    <w:rsid w:val="00501257"/>
    <w:rsid w:val="00506DAB"/>
    <w:rsid w:val="0050779C"/>
    <w:rsid w:val="00507D8B"/>
    <w:rsid w:val="00512689"/>
    <w:rsid w:val="005128A3"/>
    <w:rsid w:val="00513BBD"/>
    <w:rsid w:val="0051769F"/>
    <w:rsid w:val="0053269A"/>
    <w:rsid w:val="00553F48"/>
    <w:rsid w:val="005618CC"/>
    <w:rsid w:val="00561CDC"/>
    <w:rsid w:val="00562258"/>
    <w:rsid w:val="00565A12"/>
    <w:rsid w:val="00572831"/>
    <w:rsid w:val="005770B2"/>
    <w:rsid w:val="005840AD"/>
    <w:rsid w:val="00586521"/>
    <w:rsid w:val="00586E0C"/>
    <w:rsid w:val="005A2831"/>
    <w:rsid w:val="005A4E0C"/>
    <w:rsid w:val="005C6094"/>
    <w:rsid w:val="005D05F4"/>
    <w:rsid w:val="005F4BA2"/>
    <w:rsid w:val="005F74BA"/>
    <w:rsid w:val="00601190"/>
    <w:rsid w:val="00603594"/>
    <w:rsid w:val="0061031B"/>
    <w:rsid w:val="00615813"/>
    <w:rsid w:val="00616310"/>
    <w:rsid w:val="00616B76"/>
    <w:rsid w:val="00620021"/>
    <w:rsid w:val="00622D6E"/>
    <w:rsid w:val="00622E9F"/>
    <w:rsid w:val="006235AB"/>
    <w:rsid w:val="006262EC"/>
    <w:rsid w:val="00627F64"/>
    <w:rsid w:val="00632DCA"/>
    <w:rsid w:val="006336A8"/>
    <w:rsid w:val="00651D1D"/>
    <w:rsid w:val="00654E3A"/>
    <w:rsid w:val="00657A2D"/>
    <w:rsid w:val="00663984"/>
    <w:rsid w:val="00674676"/>
    <w:rsid w:val="00677CE6"/>
    <w:rsid w:val="006816C1"/>
    <w:rsid w:val="00683012"/>
    <w:rsid w:val="00685968"/>
    <w:rsid w:val="00686EE1"/>
    <w:rsid w:val="006908E8"/>
    <w:rsid w:val="006A2384"/>
    <w:rsid w:val="006A44DC"/>
    <w:rsid w:val="006B6A2A"/>
    <w:rsid w:val="006B7E30"/>
    <w:rsid w:val="006D1CEB"/>
    <w:rsid w:val="006D551E"/>
    <w:rsid w:val="006D6622"/>
    <w:rsid w:val="006E128E"/>
    <w:rsid w:val="006E2FC0"/>
    <w:rsid w:val="006F24C3"/>
    <w:rsid w:val="006F3042"/>
    <w:rsid w:val="00707742"/>
    <w:rsid w:val="007101CA"/>
    <w:rsid w:val="00711FD2"/>
    <w:rsid w:val="007167C8"/>
    <w:rsid w:val="0073198B"/>
    <w:rsid w:val="00732817"/>
    <w:rsid w:val="007363B7"/>
    <w:rsid w:val="00740EDE"/>
    <w:rsid w:val="0074799E"/>
    <w:rsid w:val="00750724"/>
    <w:rsid w:val="00754659"/>
    <w:rsid w:val="007902C2"/>
    <w:rsid w:val="007920FD"/>
    <w:rsid w:val="007A1A65"/>
    <w:rsid w:val="007B2E92"/>
    <w:rsid w:val="007B44A2"/>
    <w:rsid w:val="007B5F33"/>
    <w:rsid w:val="007B68AC"/>
    <w:rsid w:val="007B77EF"/>
    <w:rsid w:val="007D0788"/>
    <w:rsid w:val="007E0B4F"/>
    <w:rsid w:val="007E2631"/>
    <w:rsid w:val="007F0C11"/>
    <w:rsid w:val="00801EE1"/>
    <w:rsid w:val="008029C3"/>
    <w:rsid w:val="00834163"/>
    <w:rsid w:val="0084097D"/>
    <w:rsid w:val="00860269"/>
    <w:rsid w:val="00870FDA"/>
    <w:rsid w:val="00874393"/>
    <w:rsid w:val="00890337"/>
    <w:rsid w:val="008964C3"/>
    <w:rsid w:val="008A0C31"/>
    <w:rsid w:val="008A11CF"/>
    <w:rsid w:val="008A53D8"/>
    <w:rsid w:val="008B4CE0"/>
    <w:rsid w:val="008C7DB1"/>
    <w:rsid w:val="008D0E1C"/>
    <w:rsid w:val="008F3DEA"/>
    <w:rsid w:val="00901502"/>
    <w:rsid w:val="00901AE0"/>
    <w:rsid w:val="00910E00"/>
    <w:rsid w:val="009118C4"/>
    <w:rsid w:val="009178B6"/>
    <w:rsid w:val="00927F73"/>
    <w:rsid w:val="00933A68"/>
    <w:rsid w:val="00936811"/>
    <w:rsid w:val="00943B4B"/>
    <w:rsid w:val="009441F0"/>
    <w:rsid w:val="00945CA3"/>
    <w:rsid w:val="00962215"/>
    <w:rsid w:val="00973699"/>
    <w:rsid w:val="009779D6"/>
    <w:rsid w:val="00977A67"/>
    <w:rsid w:val="00977CF5"/>
    <w:rsid w:val="00982131"/>
    <w:rsid w:val="00991438"/>
    <w:rsid w:val="00991FE0"/>
    <w:rsid w:val="009A56D4"/>
    <w:rsid w:val="009B0087"/>
    <w:rsid w:val="009C263B"/>
    <w:rsid w:val="009D5C09"/>
    <w:rsid w:val="009D752A"/>
    <w:rsid w:val="00A17A2E"/>
    <w:rsid w:val="00A248EE"/>
    <w:rsid w:val="00A445CE"/>
    <w:rsid w:val="00A603E3"/>
    <w:rsid w:val="00A61767"/>
    <w:rsid w:val="00A67CAD"/>
    <w:rsid w:val="00A7014D"/>
    <w:rsid w:val="00A800FE"/>
    <w:rsid w:val="00A80D31"/>
    <w:rsid w:val="00A9676D"/>
    <w:rsid w:val="00AA0EF0"/>
    <w:rsid w:val="00AB426F"/>
    <w:rsid w:val="00AB4573"/>
    <w:rsid w:val="00AB7B8E"/>
    <w:rsid w:val="00AC3255"/>
    <w:rsid w:val="00AD6052"/>
    <w:rsid w:val="00AD6B03"/>
    <w:rsid w:val="00AE6DB2"/>
    <w:rsid w:val="00B004D6"/>
    <w:rsid w:val="00B0344F"/>
    <w:rsid w:val="00B10635"/>
    <w:rsid w:val="00B120B7"/>
    <w:rsid w:val="00B1284C"/>
    <w:rsid w:val="00B15F18"/>
    <w:rsid w:val="00B22589"/>
    <w:rsid w:val="00B251E2"/>
    <w:rsid w:val="00B270B6"/>
    <w:rsid w:val="00B45F83"/>
    <w:rsid w:val="00B46BE7"/>
    <w:rsid w:val="00B56F23"/>
    <w:rsid w:val="00B57DDE"/>
    <w:rsid w:val="00B65D7F"/>
    <w:rsid w:val="00B74A81"/>
    <w:rsid w:val="00B76B2A"/>
    <w:rsid w:val="00B82300"/>
    <w:rsid w:val="00B83D6B"/>
    <w:rsid w:val="00B955A0"/>
    <w:rsid w:val="00B95DF2"/>
    <w:rsid w:val="00BA236A"/>
    <w:rsid w:val="00BA5433"/>
    <w:rsid w:val="00BA6F2A"/>
    <w:rsid w:val="00BB76A1"/>
    <w:rsid w:val="00BC5E23"/>
    <w:rsid w:val="00BE0F6C"/>
    <w:rsid w:val="00BE35A3"/>
    <w:rsid w:val="00BE55FD"/>
    <w:rsid w:val="00BE5851"/>
    <w:rsid w:val="00BF4BC3"/>
    <w:rsid w:val="00C07994"/>
    <w:rsid w:val="00C07BCD"/>
    <w:rsid w:val="00C27DC3"/>
    <w:rsid w:val="00C3358E"/>
    <w:rsid w:val="00C440E9"/>
    <w:rsid w:val="00C46089"/>
    <w:rsid w:val="00C55A92"/>
    <w:rsid w:val="00C573D8"/>
    <w:rsid w:val="00C57B8C"/>
    <w:rsid w:val="00C67512"/>
    <w:rsid w:val="00C831B1"/>
    <w:rsid w:val="00C9260E"/>
    <w:rsid w:val="00C92DCB"/>
    <w:rsid w:val="00CC0BAF"/>
    <w:rsid w:val="00CC7665"/>
    <w:rsid w:val="00CE0035"/>
    <w:rsid w:val="00CE6F10"/>
    <w:rsid w:val="00CF2438"/>
    <w:rsid w:val="00D02AB3"/>
    <w:rsid w:val="00D053EF"/>
    <w:rsid w:val="00D06AA6"/>
    <w:rsid w:val="00D15305"/>
    <w:rsid w:val="00D237DD"/>
    <w:rsid w:val="00D31398"/>
    <w:rsid w:val="00D50328"/>
    <w:rsid w:val="00D60C45"/>
    <w:rsid w:val="00D6635C"/>
    <w:rsid w:val="00D72162"/>
    <w:rsid w:val="00D72340"/>
    <w:rsid w:val="00D7437E"/>
    <w:rsid w:val="00D75006"/>
    <w:rsid w:val="00D77A5A"/>
    <w:rsid w:val="00D82A77"/>
    <w:rsid w:val="00DB0430"/>
    <w:rsid w:val="00DC029F"/>
    <w:rsid w:val="00DC1D16"/>
    <w:rsid w:val="00DC6E01"/>
    <w:rsid w:val="00DD06AE"/>
    <w:rsid w:val="00DE2190"/>
    <w:rsid w:val="00E0245E"/>
    <w:rsid w:val="00E161C2"/>
    <w:rsid w:val="00E351D0"/>
    <w:rsid w:val="00E41210"/>
    <w:rsid w:val="00E50902"/>
    <w:rsid w:val="00E53F2F"/>
    <w:rsid w:val="00E61EA3"/>
    <w:rsid w:val="00E65EF6"/>
    <w:rsid w:val="00E6653A"/>
    <w:rsid w:val="00E81102"/>
    <w:rsid w:val="00E82C21"/>
    <w:rsid w:val="00E87A7B"/>
    <w:rsid w:val="00E96C83"/>
    <w:rsid w:val="00EB5E79"/>
    <w:rsid w:val="00ED228A"/>
    <w:rsid w:val="00ED5491"/>
    <w:rsid w:val="00ED5A9E"/>
    <w:rsid w:val="00EE171B"/>
    <w:rsid w:val="00EE2B7A"/>
    <w:rsid w:val="00EE76E8"/>
    <w:rsid w:val="00EF4C28"/>
    <w:rsid w:val="00EF641B"/>
    <w:rsid w:val="00F13BDB"/>
    <w:rsid w:val="00F154B0"/>
    <w:rsid w:val="00F15691"/>
    <w:rsid w:val="00F15A1F"/>
    <w:rsid w:val="00F24F3B"/>
    <w:rsid w:val="00F254D8"/>
    <w:rsid w:val="00F26A91"/>
    <w:rsid w:val="00F30A9F"/>
    <w:rsid w:val="00F322F8"/>
    <w:rsid w:val="00F41DDF"/>
    <w:rsid w:val="00F477D2"/>
    <w:rsid w:val="00F51827"/>
    <w:rsid w:val="00F6088F"/>
    <w:rsid w:val="00F62ADF"/>
    <w:rsid w:val="00F745BA"/>
    <w:rsid w:val="00F83386"/>
    <w:rsid w:val="00F83DBE"/>
    <w:rsid w:val="00FA31D3"/>
    <w:rsid w:val="00FA32CD"/>
    <w:rsid w:val="00FA5FE5"/>
    <w:rsid w:val="00FB36F5"/>
    <w:rsid w:val="00FB51E0"/>
    <w:rsid w:val="00FC360D"/>
    <w:rsid w:val="00FC6838"/>
    <w:rsid w:val="00FD3139"/>
    <w:rsid w:val="00FE07BC"/>
    <w:rsid w:val="00FE114C"/>
    <w:rsid w:val="00FF21FC"/>
    <w:rsid w:val="00FF4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DBD5D"/>
  <w15:chartTrackingRefBased/>
  <w15:docId w15:val="{D1716935-C28B-BC49-859E-BC13EB2D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44A2"/>
    <w:rPr>
      <w:rFonts w:ascii="宋体" w:eastAsia="宋体" w:hAnsi="宋体" w:cs="宋体"/>
      <w:kern w:val="0"/>
      <w:sz w:val="24"/>
    </w:rPr>
  </w:style>
  <w:style w:type="paragraph" w:styleId="1">
    <w:name w:val="heading 1"/>
    <w:basedOn w:val="a"/>
    <w:next w:val="a"/>
    <w:link w:val="10"/>
    <w:uiPriority w:val="9"/>
    <w:qFormat/>
    <w:rsid w:val="00C46089"/>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B44A2"/>
    <w:rPr>
      <w:b/>
      <w:bCs/>
    </w:rPr>
  </w:style>
  <w:style w:type="character" w:styleId="a4">
    <w:name w:val="line number"/>
    <w:basedOn w:val="a0"/>
    <w:uiPriority w:val="99"/>
    <w:semiHidden/>
    <w:unhideWhenUsed/>
    <w:rsid w:val="00E0245E"/>
  </w:style>
  <w:style w:type="paragraph" w:styleId="a5">
    <w:name w:val="footer"/>
    <w:basedOn w:val="a"/>
    <w:link w:val="a6"/>
    <w:uiPriority w:val="99"/>
    <w:unhideWhenUsed/>
    <w:rsid w:val="00E0245E"/>
    <w:pPr>
      <w:tabs>
        <w:tab w:val="center" w:pos="4153"/>
        <w:tab w:val="right" w:pos="8306"/>
      </w:tabs>
      <w:snapToGrid w:val="0"/>
    </w:pPr>
    <w:rPr>
      <w:sz w:val="18"/>
      <w:szCs w:val="18"/>
    </w:rPr>
  </w:style>
  <w:style w:type="character" w:customStyle="1" w:styleId="a6">
    <w:name w:val="页脚 字符"/>
    <w:basedOn w:val="a0"/>
    <w:link w:val="a5"/>
    <w:uiPriority w:val="99"/>
    <w:rsid w:val="00E0245E"/>
    <w:rPr>
      <w:rFonts w:ascii="宋体" w:eastAsia="宋体" w:hAnsi="宋体" w:cs="宋体"/>
      <w:kern w:val="0"/>
      <w:sz w:val="18"/>
      <w:szCs w:val="18"/>
    </w:rPr>
  </w:style>
  <w:style w:type="character" w:styleId="a7">
    <w:name w:val="page number"/>
    <w:basedOn w:val="a0"/>
    <w:uiPriority w:val="99"/>
    <w:semiHidden/>
    <w:unhideWhenUsed/>
    <w:rsid w:val="00E0245E"/>
  </w:style>
  <w:style w:type="character" w:customStyle="1" w:styleId="10">
    <w:name w:val="标题 1 字符"/>
    <w:basedOn w:val="a0"/>
    <w:link w:val="1"/>
    <w:uiPriority w:val="9"/>
    <w:rsid w:val="00C46089"/>
    <w:rPr>
      <w:rFonts w:ascii="宋体" w:eastAsia="宋体" w:hAnsi="宋体" w:cs="宋体"/>
      <w:b/>
      <w:bCs/>
      <w:kern w:val="44"/>
      <w:sz w:val="44"/>
      <w:szCs w:val="44"/>
    </w:rPr>
  </w:style>
  <w:style w:type="character" w:customStyle="1" w:styleId="apple-converted-space">
    <w:name w:val="apple-converted-space"/>
    <w:basedOn w:val="a0"/>
    <w:rsid w:val="00C46089"/>
  </w:style>
  <w:style w:type="character" w:styleId="a8">
    <w:name w:val="Emphasis"/>
    <w:basedOn w:val="a0"/>
    <w:uiPriority w:val="20"/>
    <w:qFormat/>
    <w:rsid w:val="00C46089"/>
    <w:rPr>
      <w:i/>
      <w:iCs/>
    </w:rPr>
  </w:style>
  <w:style w:type="paragraph" w:styleId="a9">
    <w:name w:val="header"/>
    <w:basedOn w:val="a"/>
    <w:link w:val="aa"/>
    <w:uiPriority w:val="99"/>
    <w:unhideWhenUsed/>
    <w:rsid w:val="00870FDA"/>
    <w:pPr>
      <w:tabs>
        <w:tab w:val="center" w:pos="4153"/>
        <w:tab w:val="right" w:pos="8306"/>
      </w:tabs>
      <w:snapToGrid w:val="0"/>
      <w:jc w:val="center"/>
    </w:pPr>
    <w:rPr>
      <w:sz w:val="18"/>
      <w:szCs w:val="18"/>
    </w:rPr>
  </w:style>
  <w:style w:type="character" w:customStyle="1" w:styleId="aa">
    <w:name w:val="页眉 字符"/>
    <w:basedOn w:val="a0"/>
    <w:link w:val="a9"/>
    <w:uiPriority w:val="99"/>
    <w:rsid w:val="00870FDA"/>
    <w:rPr>
      <w:rFonts w:ascii="宋体" w:eastAsia="宋体" w:hAnsi="宋体" w:cs="宋体"/>
      <w:kern w:val="0"/>
      <w:sz w:val="18"/>
      <w:szCs w:val="18"/>
    </w:rPr>
  </w:style>
  <w:style w:type="paragraph" w:styleId="ab">
    <w:name w:val="Revision"/>
    <w:hidden/>
    <w:uiPriority w:val="99"/>
    <w:semiHidden/>
    <w:rsid w:val="00870FDA"/>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t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ti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image" Target="media/image9.tif"/><Relationship Id="rId10" Type="http://schemas.openxmlformats.org/officeDocument/2006/relationships/image" Target="media/image4.t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tif"/></Relationships>
</file>

<file path=word/theme/theme1.xml><?xml version="1.0" encoding="utf-8"?>
<a:theme xmlns:a="http://schemas.openxmlformats.org/drawingml/2006/main" name="Office 主题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90D17-C742-0041-8A8A-786C74EB5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5</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6984</dc:creator>
  <cp:keywords/>
  <dc:description/>
  <cp:lastModifiedBy>6984</cp:lastModifiedBy>
  <cp:revision>28</cp:revision>
  <dcterms:created xsi:type="dcterms:W3CDTF">2025-04-12T15:21:00Z</dcterms:created>
  <dcterms:modified xsi:type="dcterms:W3CDTF">2025-09-28T10:40:00Z</dcterms:modified>
</cp:coreProperties>
</file>