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C8D0C" w14:textId="6CDF7329" w:rsidR="004540B2" w:rsidRPr="007C3C97" w:rsidRDefault="007811B2" w:rsidP="007C3C97">
      <w:pPr>
        <w:pStyle w:val="af2"/>
        <w:rPr>
          <w:rFonts w:ascii="Cambria" w:hAnsi="Cambria" w:hint="eastAsia"/>
          <w:b/>
          <w:bCs/>
        </w:rPr>
      </w:pPr>
      <w:r w:rsidRPr="004540B2">
        <w:rPr>
          <w:rStyle w:val="af3"/>
          <w:rFonts w:ascii="Cambria" w:hAnsi="Cambria" w:hint="eastAsia"/>
        </w:rPr>
        <w:t>Supplementary Figure</w:t>
      </w:r>
      <w:r w:rsidR="00BE100A">
        <w:rPr>
          <w:rStyle w:val="af3"/>
          <w:rFonts w:ascii="Cambria" w:hAnsi="Cambria" w:hint="eastAsia"/>
        </w:rPr>
        <w:t>s</w:t>
      </w:r>
    </w:p>
    <w:tbl>
      <w:tblPr>
        <w:tblStyle w:val="af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7524A9" w14:paraId="6D3BC58E" w14:textId="77777777" w:rsidTr="007C3C97">
        <w:tc>
          <w:tcPr>
            <w:tcW w:w="5000" w:type="pct"/>
          </w:tcPr>
          <w:p w14:paraId="624431EA" w14:textId="73BA18E4" w:rsidR="007524A9" w:rsidRDefault="007C3C97" w:rsidP="00E56D2D">
            <w:pPr>
              <w:rPr>
                <w:rFonts w:ascii="Cambria" w:hAnsi="Cambria"/>
              </w:rPr>
            </w:pPr>
            <w:r>
              <w:rPr>
                <w:noProof/>
              </w:rPr>
              <w:drawing>
                <wp:inline distT="0" distB="0" distL="0" distR="0" wp14:anchorId="0C7F75B3" wp14:editId="5980F524">
                  <wp:extent cx="5303241" cy="6862762"/>
                  <wp:effectExtent l="0" t="0" r="0" b="0"/>
                  <wp:docPr id="656914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9745" cy="6897060"/>
                          </a:xfrm>
                          <a:prstGeom prst="rect">
                            <a:avLst/>
                          </a:prstGeom>
                          <a:noFill/>
                          <a:ln>
                            <a:noFill/>
                          </a:ln>
                        </pic:spPr>
                      </pic:pic>
                    </a:graphicData>
                  </a:graphic>
                </wp:inline>
              </w:drawing>
            </w:r>
          </w:p>
        </w:tc>
      </w:tr>
      <w:tr w:rsidR="007524A9" w14:paraId="32300F7D" w14:textId="77777777" w:rsidTr="007C3C97">
        <w:tc>
          <w:tcPr>
            <w:tcW w:w="5000" w:type="pct"/>
          </w:tcPr>
          <w:p w14:paraId="169D78CD" w14:textId="0B1D0496" w:rsidR="007524A9" w:rsidRDefault="007524A9" w:rsidP="00E56D2D">
            <w:pPr>
              <w:rPr>
                <w:rFonts w:ascii="Cambria" w:hAnsi="Cambria"/>
              </w:rPr>
            </w:pPr>
            <w:r w:rsidRPr="004540B2">
              <w:rPr>
                <w:rStyle w:val="af3"/>
                <w:rFonts w:ascii="Cambria" w:hAnsi="Cambria"/>
              </w:rPr>
              <w:t>Figure S1.</w:t>
            </w:r>
            <w:r w:rsidRPr="004540B2">
              <w:rPr>
                <w:rFonts w:ascii="Cambria" w:hAnsi="Cambria"/>
              </w:rPr>
              <w:t xml:space="preserve"> </w:t>
            </w:r>
            <w:r>
              <w:rPr>
                <w:rFonts w:ascii="Cambria" w:hAnsi="Cambria" w:hint="eastAsia"/>
              </w:rPr>
              <w:t xml:space="preserve">A. </w:t>
            </w:r>
            <w:r w:rsidRPr="004540B2">
              <w:rPr>
                <w:rFonts w:ascii="Cambria" w:hAnsi="Cambria"/>
              </w:rPr>
              <w:t>Integrated single-cell atlas of bladder cancer (</w:t>
            </w:r>
            <w:proofErr w:type="gramStart"/>
            <w:r w:rsidRPr="004540B2">
              <w:rPr>
                <w:rFonts w:ascii="Cambria" w:hAnsi="Cambria"/>
              </w:rPr>
              <w:t>n =</w:t>
            </w:r>
            <w:proofErr w:type="gramEnd"/>
            <w:r w:rsidRPr="004540B2">
              <w:rPr>
                <w:rFonts w:ascii="Cambria" w:hAnsi="Cambria"/>
              </w:rPr>
              <w:t xml:space="preserve"> 32). Major cell lineages were defined based on the expression of canonical marker genes, as shown in </w:t>
            </w:r>
            <w:r w:rsidRPr="004540B2">
              <w:rPr>
                <w:rFonts w:ascii="Cambria" w:hAnsi="Cambria"/>
                <w:b/>
                <w:bCs/>
              </w:rPr>
              <w:t>Figure 1B</w:t>
            </w:r>
            <w:r>
              <w:rPr>
                <w:rFonts w:ascii="Cambria" w:hAnsi="Cambria" w:hint="eastAsia"/>
              </w:rPr>
              <w:t xml:space="preserve">; B. </w:t>
            </w:r>
            <w:r w:rsidRPr="00C80503">
              <w:rPr>
                <w:rFonts w:ascii="Cambria" w:hAnsi="Cambria" w:hint="eastAsia"/>
              </w:rPr>
              <w:t>Boxplots display the PC1 and PC2 scores across different tissue types, with pairwise comparisons performed using the Wilcoxon test.</w:t>
            </w:r>
            <w:r>
              <w:rPr>
                <w:rFonts w:ascii="Cambria" w:hAnsi="Cambria" w:hint="eastAsia"/>
              </w:rPr>
              <w:t xml:space="preserve"> </w:t>
            </w:r>
            <w:r w:rsidRPr="00C80503">
              <w:rPr>
                <w:rFonts w:ascii="Cambria" w:hAnsi="Cambria" w:hint="eastAsia"/>
              </w:rPr>
              <w:t xml:space="preserve">The PCA was performed based on the relative abundance matrix of the major cell </w:t>
            </w:r>
            <w:r>
              <w:rPr>
                <w:rFonts w:ascii="Cambria" w:hAnsi="Cambria" w:hint="eastAsia"/>
              </w:rPr>
              <w:t>types</w:t>
            </w:r>
            <w:r w:rsidRPr="00C80503">
              <w:rPr>
                <w:rFonts w:ascii="Cambria" w:hAnsi="Cambria" w:hint="eastAsia"/>
              </w:rPr>
              <w:t xml:space="preserve"> defined in </w:t>
            </w:r>
            <w:r w:rsidRPr="00C80503">
              <w:rPr>
                <w:rFonts w:ascii="Cambria" w:hAnsi="Cambria" w:hint="eastAsia"/>
                <w:b/>
                <w:bCs/>
              </w:rPr>
              <w:t>Figure 1A</w:t>
            </w:r>
            <w:r w:rsidRPr="00C80503">
              <w:rPr>
                <w:rFonts w:ascii="Cambria" w:hAnsi="Cambria" w:hint="eastAsia"/>
              </w:rPr>
              <w:t>, excluding the epithelial compartment.</w:t>
            </w:r>
            <w:r>
              <w:rPr>
                <w:rFonts w:ascii="Cambria" w:hAnsi="Cambria" w:hint="eastAsia"/>
              </w:rPr>
              <w:t xml:space="preserve"> </w:t>
            </w:r>
            <w:r w:rsidRPr="00664FDB">
              <w:rPr>
                <w:rFonts w:ascii="Cambria" w:hAnsi="Cambria" w:hint="eastAsia"/>
              </w:rPr>
              <w:t xml:space="preserve">ns, p &gt; 0.05; * p </w:t>
            </w:r>
            <w:r w:rsidRPr="00664FDB">
              <w:rPr>
                <w:rFonts w:ascii="Cambria" w:hAnsi="Cambria" w:hint="eastAsia"/>
              </w:rPr>
              <w:t>≤</w:t>
            </w:r>
            <w:r w:rsidRPr="00664FDB">
              <w:rPr>
                <w:rFonts w:ascii="Cambria" w:hAnsi="Cambria" w:hint="eastAsia"/>
              </w:rPr>
              <w:t xml:space="preserve"> 0.05; ** p </w:t>
            </w:r>
            <w:r w:rsidRPr="00664FDB">
              <w:rPr>
                <w:rFonts w:ascii="Cambria" w:hAnsi="Cambria" w:hint="eastAsia"/>
              </w:rPr>
              <w:t>≤</w:t>
            </w:r>
            <w:r w:rsidRPr="00664FDB">
              <w:rPr>
                <w:rFonts w:ascii="Cambria" w:hAnsi="Cambria" w:hint="eastAsia"/>
              </w:rPr>
              <w:t xml:space="preserve"> 0.01; *** p </w:t>
            </w:r>
            <w:r w:rsidRPr="00664FDB">
              <w:rPr>
                <w:rFonts w:ascii="Cambria" w:hAnsi="Cambria" w:hint="eastAsia"/>
              </w:rPr>
              <w:t>≤</w:t>
            </w:r>
            <w:r w:rsidRPr="00664FDB">
              <w:rPr>
                <w:rFonts w:ascii="Cambria" w:hAnsi="Cambria" w:hint="eastAsia"/>
              </w:rPr>
              <w:t xml:space="preserve"> 0.001; **** p </w:t>
            </w:r>
            <w:r w:rsidRPr="00664FDB">
              <w:rPr>
                <w:rFonts w:ascii="Cambria" w:hAnsi="Cambria" w:hint="eastAsia"/>
              </w:rPr>
              <w:t>≤</w:t>
            </w:r>
            <w:r w:rsidRPr="00664FDB">
              <w:rPr>
                <w:rFonts w:ascii="Cambria" w:hAnsi="Cambria" w:hint="eastAsia"/>
              </w:rPr>
              <w:t xml:space="preserve"> 0.0001.</w:t>
            </w:r>
          </w:p>
        </w:tc>
      </w:tr>
      <w:tr w:rsidR="007524A9" w14:paraId="468D377F" w14:textId="77777777" w:rsidTr="007C3C97">
        <w:tc>
          <w:tcPr>
            <w:tcW w:w="5000" w:type="pct"/>
          </w:tcPr>
          <w:p w14:paraId="182A0EB5" w14:textId="77777777" w:rsidR="007C3C97" w:rsidRDefault="007C3C97" w:rsidP="00E56D2D">
            <w:pPr>
              <w:rPr>
                <w:noProof/>
              </w:rPr>
            </w:pPr>
          </w:p>
          <w:p w14:paraId="0FC9AA0C" w14:textId="1610A8D7" w:rsidR="007524A9" w:rsidRDefault="007C3C97" w:rsidP="00E56D2D">
            <w:pPr>
              <w:rPr>
                <w:rFonts w:ascii="Cambria" w:hAnsi="Cambria"/>
              </w:rPr>
            </w:pPr>
            <w:r>
              <w:rPr>
                <w:noProof/>
              </w:rPr>
              <w:lastRenderedPageBreak/>
              <w:drawing>
                <wp:inline distT="0" distB="0" distL="0" distR="0" wp14:anchorId="279AEA59" wp14:editId="0C98B5BE">
                  <wp:extent cx="3552508" cy="6733278"/>
                  <wp:effectExtent l="0" t="0" r="0" b="0"/>
                  <wp:docPr id="14436952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984" t="4097" r="36001" b="9468"/>
                          <a:stretch>
                            <a:fillRect/>
                          </a:stretch>
                        </pic:blipFill>
                        <pic:spPr bwMode="auto">
                          <a:xfrm>
                            <a:off x="0" y="0"/>
                            <a:ext cx="3557214" cy="67421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64C9C90A" w14:textId="77777777" w:rsidTr="007C3C97">
        <w:tc>
          <w:tcPr>
            <w:tcW w:w="5000" w:type="pct"/>
          </w:tcPr>
          <w:p w14:paraId="78014BE7" w14:textId="5722579B" w:rsidR="007524A9" w:rsidRDefault="007524A9" w:rsidP="00E56D2D">
            <w:pPr>
              <w:rPr>
                <w:rFonts w:ascii="Cambria" w:hAnsi="Cambria"/>
              </w:rPr>
            </w:pPr>
            <w:r w:rsidRPr="004540B2">
              <w:rPr>
                <w:rStyle w:val="af3"/>
                <w:rFonts w:ascii="Cambria" w:hAnsi="Cambria"/>
              </w:rPr>
              <w:lastRenderedPageBreak/>
              <w:t>Figure S2.</w:t>
            </w:r>
            <w:r w:rsidRPr="004540B2">
              <w:rPr>
                <w:rFonts w:ascii="Cambria" w:hAnsi="Cambria"/>
              </w:rPr>
              <w:t xml:space="preserve"> Bhattacharyya distances of the same major cell populations across different tissue types. A statistical test was performed to assess whether the </w:t>
            </w:r>
            <w:proofErr w:type="gramStart"/>
            <w:r w:rsidRPr="004540B2">
              <w:rPr>
                <w:rFonts w:ascii="Cambria" w:hAnsi="Cambria"/>
              </w:rPr>
              <w:t>mean</w:t>
            </w:r>
            <w:proofErr w:type="gramEnd"/>
            <w:r w:rsidRPr="004540B2">
              <w:rPr>
                <w:rFonts w:ascii="Cambria" w:hAnsi="Cambria"/>
              </w:rPr>
              <w:t xml:space="preserve"> of the Bhattacharyya distance distribution is significantly different from zero.</w:t>
            </w:r>
          </w:p>
        </w:tc>
      </w:tr>
      <w:tr w:rsidR="007524A9" w14:paraId="401F1035" w14:textId="77777777" w:rsidTr="007C3C97">
        <w:tc>
          <w:tcPr>
            <w:tcW w:w="5000" w:type="pct"/>
          </w:tcPr>
          <w:p w14:paraId="3668F039" w14:textId="77777777" w:rsidR="007C3C97" w:rsidRDefault="007C3C97" w:rsidP="00E56D2D">
            <w:pPr>
              <w:rPr>
                <w:noProof/>
              </w:rPr>
            </w:pPr>
          </w:p>
          <w:p w14:paraId="6513B54C" w14:textId="017D13B0" w:rsidR="007524A9" w:rsidRPr="007C3C97" w:rsidRDefault="007C3C97" w:rsidP="00E56D2D">
            <w:pPr>
              <w:rPr>
                <w:rFonts w:ascii="Cambria" w:hAnsi="Cambria"/>
              </w:rPr>
            </w:pPr>
            <w:r>
              <w:rPr>
                <w:noProof/>
              </w:rPr>
              <w:lastRenderedPageBreak/>
              <w:drawing>
                <wp:inline distT="0" distB="0" distL="0" distR="0" wp14:anchorId="705BE28C" wp14:editId="3A669617">
                  <wp:extent cx="3695700" cy="6934200"/>
                  <wp:effectExtent l="0" t="0" r="0" b="0"/>
                  <wp:docPr id="10685675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495" t="5217" r="33585" b="6455"/>
                          <a:stretch>
                            <a:fillRect/>
                          </a:stretch>
                        </pic:blipFill>
                        <pic:spPr bwMode="auto">
                          <a:xfrm>
                            <a:off x="0" y="0"/>
                            <a:ext cx="3698524" cy="69394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6CAFCD51" w14:textId="77777777" w:rsidTr="007C3C97">
        <w:tc>
          <w:tcPr>
            <w:tcW w:w="5000" w:type="pct"/>
          </w:tcPr>
          <w:p w14:paraId="2916D9D7" w14:textId="5F964996" w:rsidR="007524A9" w:rsidRDefault="007524A9" w:rsidP="00E56D2D">
            <w:pPr>
              <w:rPr>
                <w:rFonts w:ascii="Cambria" w:hAnsi="Cambria"/>
              </w:rPr>
            </w:pPr>
            <w:r w:rsidRPr="004540B2">
              <w:rPr>
                <w:rStyle w:val="af3"/>
                <w:rFonts w:ascii="Cambria" w:hAnsi="Cambria"/>
              </w:rPr>
              <w:lastRenderedPageBreak/>
              <w:t>Figure S3.</w:t>
            </w:r>
            <w:r w:rsidRPr="004540B2">
              <w:rPr>
                <w:rFonts w:ascii="Cambria" w:hAnsi="Cambria"/>
              </w:rPr>
              <w:t xml:space="preserve"> UMAP plots of integrated single-cell data </w:t>
            </w:r>
            <w:proofErr w:type="gramStart"/>
            <w:r w:rsidRPr="004540B2">
              <w:rPr>
                <w:rFonts w:ascii="Cambria" w:hAnsi="Cambria"/>
              </w:rPr>
              <w:t>illustrating</w:t>
            </w:r>
            <w:proofErr w:type="gramEnd"/>
            <w:r w:rsidRPr="004540B2">
              <w:rPr>
                <w:rFonts w:ascii="Cambria" w:hAnsi="Cambria"/>
              </w:rPr>
              <w:t xml:space="preserve"> the major subpopulations of </w:t>
            </w:r>
            <w:proofErr w:type="spellStart"/>
            <w:r w:rsidRPr="004540B2">
              <w:rPr>
                <w:rFonts w:ascii="Cambria" w:hAnsi="Cambria"/>
              </w:rPr>
              <w:t>myoCAFs</w:t>
            </w:r>
            <w:proofErr w:type="spellEnd"/>
            <w:r w:rsidRPr="004540B2">
              <w:rPr>
                <w:rFonts w:ascii="Cambria" w:hAnsi="Cambria"/>
              </w:rPr>
              <w:t xml:space="preserve">, </w:t>
            </w:r>
            <w:proofErr w:type="spellStart"/>
            <w:r w:rsidRPr="004540B2">
              <w:rPr>
                <w:rFonts w:ascii="Cambria" w:hAnsi="Cambria"/>
              </w:rPr>
              <w:t>iCAFs</w:t>
            </w:r>
            <w:proofErr w:type="spellEnd"/>
            <w:r w:rsidRPr="004540B2">
              <w:rPr>
                <w:rFonts w:ascii="Cambria" w:hAnsi="Cambria"/>
              </w:rPr>
              <w:t>, CD8+ T cells, B cells, monocytes/macrophages, endothelial cells, CD4+ T cells, and NK cells, displayed from top to bottom and left to right, respectively, along with subcluster annotations.</w:t>
            </w:r>
          </w:p>
        </w:tc>
      </w:tr>
      <w:tr w:rsidR="007524A9" w14:paraId="3FEE1446" w14:textId="77777777" w:rsidTr="007C3C97">
        <w:tc>
          <w:tcPr>
            <w:tcW w:w="5000" w:type="pct"/>
          </w:tcPr>
          <w:p w14:paraId="2F648FD1" w14:textId="790FD853" w:rsidR="007524A9" w:rsidRDefault="007C3C97" w:rsidP="00E56D2D">
            <w:pPr>
              <w:rPr>
                <w:rFonts w:ascii="Cambria" w:hAnsi="Cambria"/>
              </w:rPr>
            </w:pPr>
            <w:r>
              <w:rPr>
                <w:noProof/>
              </w:rPr>
              <w:lastRenderedPageBreak/>
              <w:drawing>
                <wp:inline distT="0" distB="0" distL="0" distR="0" wp14:anchorId="1A17C5E5" wp14:editId="25C61028">
                  <wp:extent cx="5987769" cy="7748588"/>
                  <wp:effectExtent l="0" t="0" r="0" b="5080"/>
                  <wp:docPr id="13838896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92303" cy="7754456"/>
                          </a:xfrm>
                          <a:prstGeom prst="rect">
                            <a:avLst/>
                          </a:prstGeom>
                          <a:noFill/>
                          <a:ln>
                            <a:noFill/>
                          </a:ln>
                        </pic:spPr>
                      </pic:pic>
                    </a:graphicData>
                  </a:graphic>
                </wp:inline>
              </w:drawing>
            </w:r>
          </w:p>
        </w:tc>
      </w:tr>
      <w:tr w:rsidR="007524A9" w14:paraId="4E3B8012" w14:textId="77777777" w:rsidTr="007C3C97">
        <w:tc>
          <w:tcPr>
            <w:tcW w:w="5000" w:type="pct"/>
          </w:tcPr>
          <w:p w14:paraId="2B8CA8FB" w14:textId="7CE7E788" w:rsidR="007524A9" w:rsidRDefault="007524A9" w:rsidP="00E56D2D">
            <w:pPr>
              <w:rPr>
                <w:rFonts w:ascii="Cambria" w:hAnsi="Cambria"/>
              </w:rPr>
            </w:pPr>
            <w:r w:rsidRPr="004540B2">
              <w:rPr>
                <w:rStyle w:val="af3"/>
                <w:rFonts w:ascii="Cambria" w:hAnsi="Cambria"/>
              </w:rPr>
              <w:t>Figure S4.</w:t>
            </w:r>
            <w:r w:rsidRPr="004540B2">
              <w:rPr>
                <w:rFonts w:ascii="Cambria" w:hAnsi="Cambria"/>
              </w:rPr>
              <w:t xml:space="preserve"> </w:t>
            </w:r>
            <w:r w:rsidRPr="004540B2">
              <w:rPr>
                <w:rFonts w:ascii="Cambria" w:hAnsi="Cambria" w:hint="eastAsia"/>
              </w:rPr>
              <w:t>Scaled average expression of DEGs within each cell subtype is shown; genes indicative of cellular function was selected and annotated alongside the heatmap. Genes were identified according to the Methods section and ordered by significance level. Genes identified as marker genes in multiple cell subtypes are allowed to appear multiple times in the heatmap. DEG, differentially expressed gene.</w:t>
            </w:r>
          </w:p>
        </w:tc>
      </w:tr>
      <w:tr w:rsidR="007524A9" w14:paraId="1AA6810F" w14:textId="77777777" w:rsidTr="007C3C97">
        <w:tc>
          <w:tcPr>
            <w:tcW w:w="5000" w:type="pct"/>
          </w:tcPr>
          <w:p w14:paraId="3DF8600F" w14:textId="77777777" w:rsidR="007C3C97" w:rsidRDefault="007C3C97" w:rsidP="00E56D2D">
            <w:pPr>
              <w:rPr>
                <w:noProof/>
              </w:rPr>
            </w:pPr>
          </w:p>
          <w:p w14:paraId="5BAD190A" w14:textId="08F87049" w:rsidR="007524A9" w:rsidRDefault="007C3C97" w:rsidP="00E56D2D">
            <w:pPr>
              <w:rPr>
                <w:rFonts w:ascii="Cambria" w:hAnsi="Cambria"/>
              </w:rPr>
            </w:pPr>
            <w:r>
              <w:rPr>
                <w:noProof/>
              </w:rPr>
              <w:drawing>
                <wp:inline distT="0" distB="0" distL="0" distR="0" wp14:anchorId="02893538" wp14:editId="790DE98F">
                  <wp:extent cx="5505136" cy="5662295"/>
                  <wp:effectExtent l="0" t="0" r="635" b="0"/>
                  <wp:docPr id="11874934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800" t="7095" r="4693" b="20174"/>
                          <a:stretch>
                            <a:fillRect/>
                          </a:stretch>
                        </pic:blipFill>
                        <pic:spPr bwMode="auto">
                          <a:xfrm>
                            <a:off x="0" y="0"/>
                            <a:ext cx="5508325" cy="56655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3F8E33C3" w14:textId="77777777" w:rsidTr="007C3C97">
        <w:tc>
          <w:tcPr>
            <w:tcW w:w="5000" w:type="pct"/>
          </w:tcPr>
          <w:p w14:paraId="00B1C98F" w14:textId="614BA512" w:rsidR="007524A9" w:rsidRDefault="007524A9" w:rsidP="00E56D2D">
            <w:pPr>
              <w:rPr>
                <w:rFonts w:ascii="Cambria" w:hAnsi="Cambria"/>
              </w:rPr>
            </w:pPr>
            <w:r w:rsidRPr="004540B2">
              <w:rPr>
                <w:rStyle w:val="af3"/>
                <w:rFonts w:ascii="Cambria" w:hAnsi="Cambria"/>
              </w:rPr>
              <w:t>Figure S5.</w:t>
            </w:r>
            <w:r w:rsidRPr="004540B2">
              <w:rPr>
                <w:rStyle w:val="af3"/>
                <w:rFonts w:ascii="Cambria" w:hAnsi="Cambria" w:hint="eastAsia"/>
              </w:rPr>
              <w:t xml:space="preserve"> </w:t>
            </w:r>
            <w:r w:rsidRPr="005253BF">
              <w:rPr>
                <w:rStyle w:val="af3"/>
                <w:rFonts w:ascii="Cambria" w:hAnsi="Cambria" w:hint="eastAsia"/>
                <w:b w:val="0"/>
                <w:bCs w:val="0"/>
              </w:rPr>
              <w:t xml:space="preserve">A. Boxplots display the PC1 and PC2 scores across different tissue types, with pairwise comparisons performed using the Wilcoxon test. The PCA was performed based on the relative abundance matrix of the cell </w:t>
            </w:r>
            <w:r>
              <w:rPr>
                <w:rStyle w:val="af3"/>
                <w:rFonts w:ascii="Cambria" w:hAnsi="Cambria" w:hint="eastAsia"/>
                <w:b w:val="0"/>
                <w:bCs w:val="0"/>
              </w:rPr>
              <w:t>sub</w:t>
            </w:r>
            <w:r w:rsidRPr="005253BF">
              <w:rPr>
                <w:rStyle w:val="af3"/>
                <w:rFonts w:ascii="Cambria" w:hAnsi="Cambria" w:hint="eastAsia"/>
                <w:b w:val="0"/>
                <w:bCs w:val="0"/>
              </w:rPr>
              <w:t xml:space="preserve">types defined in </w:t>
            </w:r>
            <w:r w:rsidRPr="005253BF">
              <w:rPr>
                <w:rStyle w:val="af3"/>
                <w:rFonts w:ascii="Cambria" w:hAnsi="Cambria" w:hint="eastAsia"/>
              </w:rPr>
              <w:t>Figure 2A</w:t>
            </w:r>
            <w:r w:rsidRPr="005253BF">
              <w:rPr>
                <w:rStyle w:val="af3"/>
                <w:rFonts w:ascii="Cambria" w:hAnsi="Cambria" w:hint="eastAsia"/>
                <w:b w:val="0"/>
                <w:bCs w:val="0"/>
              </w:rPr>
              <w:t xml:space="preserve">, excluding the epithelial compartment. B. PCA based on </w:t>
            </w:r>
            <w:proofErr w:type="spellStart"/>
            <w:r w:rsidRPr="005253BF">
              <w:rPr>
                <w:rStyle w:val="af3"/>
                <w:rFonts w:ascii="Cambria" w:hAnsi="Cambria" w:hint="eastAsia"/>
                <w:b w:val="0"/>
                <w:bCs w:val="0"/>
              </w:rPr>
              <w:t>pseudobulk</w:t>
            </w:r>
            <w:proofErr w:type="spellEnd"/>
            <w:r w:rsidRPr="005253BF">
              <w:rPr>
                <w:rStyle w:val="af3"/>
                <w:rFonts w:ascii="Cambria" w:hAnsi="Cambria" w:hint="eastAsia"/>
                <w:b w:val="0"/>
                <w:bCs w:val="0"/>
              </w:rPr>
              <w:t xml:space="preserve"> profiles excluding epithelial c</w:t>
            </w:r>
            <w:r w:rsidRPr="004540B2">
              <w:rPr>
                <w:rStyle w:val="af3"/>
                <w:rFonts w:ascii="Cambria" w:hAnsi="Cambria" w:hint="eastAsia"/>
                <w:b w:val="0"/>
                <w:bCs w:val="0"/>
              </w:rPr>
              <w:t xml:space="preserve">ompartment; </w:t>
            </w:r>
            <w:r>
              <w:rPr>
                <w:rStyle w:val="af3"/>
                <w:rFonts w:ascii="Cambria" w:hAnsi="Cambria" w:hint="eastAsia"/>
                <w:b w:val="0"/>
                <w:bCs w:val="0"/>
              </w:rPr>
              <w:t>C</w:t>
            </w:r>
            <w:r w:rsidRPr="004540B2">
              <w:rPr>
                <w:rStyle w:val="af3"/>
                <w:rFonts w:ascii="Cambria" w:hAnsi="Cambria" w:hint="eastAsia"/>
                <w:b w:val="0"/>
                <w:bCs w:val="0"/>
              </w:rPr>
              <w:t>. PCA based on the abundance matrix derived from unsupervised clustering</w:t>
            </w:r>
            <w:r>
              <w:rPr>
                <w:rStyle w:val="af3"/>
                <w:rFonts w:ascii="Cambria" w:hAnsi="Cambria" w:hint="eastAsia"/>
                <w:b w:val="0"/>
                <w:bCs w:val="0"/>
              </w:rPr>
              <w:t xml:space="preserve">. </w:t>
            </w:r>
            <w:r w:rsidRPr="00664FDB">
              <w:rPr>
                <w:rStyle w:val="af3"/>
                <w:rFonts w:ascii="Cambria" w:hAnsi="Cambria" w:hint="eastAsia"/>
                <w:b w:val="0"/>
                <w:bCs w:val="0"/>
              </w:rPr>
              <w:t xml:space="preserve">ns, p &gt; 0.05; * p </w:t>
            </w:r>
            <w:r w:rsidRPr="00664FDB">
              <w:rPr>
                <w:rStyle w:val="af3"/>
                <w:rFonts w:ascii="Cambria" w:hAnsi="Cambria" w:hint="eastAsia"/>
                <w:b w:val="0"/>
                <w:bCs w:val="0"/>
              </w:rPr>
              <w:t>≤</w:t>
            </w:r>
            <w:r w:rsidRPr="00664FDB">
              <w:rPr>
                <w:rStyle w:val="af3"/>
                <w:rFonts w:ascii="Cambria" w:hAnsi="Cambria" w:hint="eastAsia"/>
                <w:b w:val="0"/>
                <w:bCs w:val="0"/>
              </w:rPr>
              <w:t xml:space="preserve"> 0.05; ** p </w:t>
            </w:r>
            <w:r w:rsidRPr="00664FDB">
              <w:rPr>
                <w:rStyle w:val="af3"/>
                <w:rFonts w:ascii="Cambria" w:hAnsi="Cambria" w:hint="eastAsia"/>
                <w:b w:val="0"/>
                <w:bCs w:val="0"/>
              </w:rPr>
              <w:t>≤</w:t>
            </w:r>
            <w:r w:rsidRPr="00664FDB">
              <w:rPr>
                <w:rStyle w:val="af3"/>
                <w:rFonts w:ascii="Cambria" w:hAnsi="Cambria" w:hint="eastAsia"/>
                <w:b w:val="0"/>
                <w:bCs w:val="0"/>
              </w:rPr>
              <w:t xml:space="preserve"> 0.01; *** p </w:t>
            </w:r>
            <w:r w:rsidRPr="00664FDB">
              <w:rPr>
                <w:rStyle w:val="af3"/>
                <w:rFonts w:ascii="Cambria" w:hAnsi="Cambria" w:hint="eastAsia"/>
                <w:b w:val="0"/>
                <w:bCs w:val="0"/>
              </w:rPr>
              <w:t>≤</w:t>
            </w:r>
            <w:r w:rsidRPr="00664FDB">
              <w:rPr>
                <w:rStyle w:val="af3"/>
                <w:rFonts w:ascii="Cambria" w:hAnsi="Cambria" w:hint="eastAsia"/>
                <w:b w:val="0"/>
                <w:bCs w:val="0"/>
              </w:rPr>
              <w:t xml:space="preserve"> 0.001; **** p </w:t>
            </w:r>
            <w:r w:rsidRPr="00664FDB">
              <w:rPr>
                <w:rStyle w:val="af3"/>
                <w:rFonts w:ascii="Cambria" w:hAnsi="Cambria" w:hint="eastAsia"/>
                <w:b w:val="0"/>
                <w:bCs w:val="0"/>
              </w:rPr>
              <w:t>≤</w:t>
            </w:r>
            <w:r w:rsidRPr="00664FDB">
              <w:rPr>
                <w:rStyle w:val="af3"/>
                <w:rFonts w:ascii="Cambria" w:hAnsi="Cambria" w:hint="eastAsia"/>
                <w:b w:val="0"/>
                <w:bCs w:val="0"/>
              </w:rPr>
              <w:t xml:space="preserve"> 0.0001.</w:t>
            </w:r>
          </w:p>
        </w:tc>
      </w:tr>
      <w:tr w:rsidR="007524A9" w14:paraId="2817DD76" w14:textId="77777777" w:rsidTr="007C3C97">
        <w:tc>
          <w:tcPr>
            <w:tcW w:w="5000" w:type="pct"/>
          </w:tcPr>
          <w:p w14:paraId="3EF3460D" w14:textId="77777777" w:rsidR="007C3C97" w:rsidRDefault="007C3C97" w:rsidP="00E56D2D">
            <w:pPr>
              <w:rPr>
                <w:noProof/>
              </w:rPr>
            </w:pPr>
          </w:p>
          <w:p w14:paraId="4D649E40" w14:textId="7C14A462" w:rsidR="007524A9" w:rsidRDefault="007C3C97" w:rsidP="00E56D2D">
            <w:pPr>
              <w:rPr>
                <w:rFonts w:ascii="Cambria" w:hAnsi="Cambria"/>
              </w:rPr>
            </w:pPr>
            <w:r>
              <w:rPr>
                <w:noProof/>
              </w:rPr>
              <w:lastRenderedPageBreak/>
              <w:drawing>
                <wp:inline distT="0" distB="0" distL="0" distR="0" wp14:anchorId="365A21FA" wp14:editId="287DB177">
                  <wp:extent cx="5667375" cy="7157632"/>
                  <wp:effectExtent l="0" t="0" r="0" b="5715"/>
                  <wp:docPr id="4110547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53" t="3112" r="3946" b="5147"/>
                          <a:stretch>
                            <a:fillRect/>
                          </a:stretch>
                        </pic:blipFill>
                        <pic:spPr bwMode="auto">
                          <a:xfrm>
                            <a:off x="0" y="0"/>
                            <a:ext cx="5674145" cy="71661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74E291A3" w14:textId="77777777" w:rsidTr="007C3C97">
        <w:tc>
          <w:tcPr>
            <w:tcW w:w="5000" w:type="pct"/>
          </w:tcPr>
          <w:p w14:paraId="3697B409" w14:textId="508252B9" w:rsidR="007524A9" w:rsidRDefault="007524A9" w:rsidP="00E56D2D">
            <w:pPr>
              <w:rPr>
                <w:rFonts w:ascii="Cambria" w:hAnsi="Cambria"/>
              </w:rPr>
            </w:pPr>
            <w:r w:rsidRPr="004540B2">
              <w:rPr>
                <w:rFonts w:ascii="Cambria" w:hAnsi="Cambria" w:hint="eastAsia"/>
                <w:b/>
                <w:bCs/>
              </w:rPr>
              <w:lastRenderedPageBreak/>
              <w:t>Figure S6</w:t>
            </w:r>
            <w:r w:rsidRPr="004540B2">
              <w:rPr>
                <w:rFonts w:ascii="Cambria" w:hAnsi="Cambria" w:hint="eastAsia"/>
              </w:rPr>
              <w:t xml:space="preserve">. A. </w:t>
            </w:r>
            <w:proofErr w:type="spellStart"/>
            <w:r w:rsidRPr="004540B2">
              <w:rPr>
                <w:rFonts w:ascii="Cambria" w:hAnsi="Cambria"/>
              </w:rPr>
              <w:t>Pseudobulk</w:t>
            </w:r>
            <w:proofErr w:type="spellEnd"/>
            <w:r w:rsidRPr="004540B2">
              <w:rPr>
                <w:rFonts w:ascii="Cambria" w:hAnsi="Cambria"/>
              </w:rPr>
              <w:t xml:space="preserve"> expression profiles were generated from single-cell transcriptomes for each sample, and deconvolution was performed using </w:t>
            </w:r>
            <w:proofErr w:type="spellStart"/>
            <w:r w:rsidRPr="004540B2">
              <w:rPr>
                <w:rFonts w:ascii="Cambria" w:hAnsi="Cambria"/>
              </w:rPr>
              <w:t>BayesPrism</w:t>
            </w:r>
            <w:proofErr w:type="spellEnd"/>
            <w:r w:rsidRPr="004540B2">
              <w:rPr>
                <w:rFonts w:ascii="Cambria" w:hAnsi="Cambria"/>
              </w:rPr>
              <w:t>. The consistency between predicted and true cell-type abundances was evaluated using Pearson correlation and MAE.</w:t>
            </w:r>
            <w:r w:rsidRPr="004540B2">
              <w:rPr>
                <w:rFonts w:ascii="Cambria" w:hAnsi="Cambria" w:hint="eastAsia"/>
              </w:rPr>
              <w:t xml:space="preserve"> B. </w:t>
            </w:r>
            <w:r w:rsidRPr="004540B2">
              <w:rPr>
                <w:rFonts w:ascii="Cambria" w:hAnsi="Cambria"/>
              </w:rPr>
              <w:t xml:space="preserve">Signature genes for each cell subpopulation were identified through differential expression analysis. </w:t>
            </w:r>
            <w:proofErr w:type="spellStart"/>
            <w:r w:rsidRPr="004540B2">
              <w:rPr>
                <w:rFonts w:ascii="Cambria" w:hAnsi="Cambria"/>
              </w:rPr>
              <w:t>AUCell</w:t>
            </w:r>
            <w:proofErr w:type="spellEnd"/>
            <w:r w:rsidRPr="004540B2">
              <w:rPr>
                <w:rFonts w:ascii="Cambria" w:hAnsi="Cambria"/>
              </w:rPr>
              <w:t xml:space="preserve"> was used to assess the specificity and enrichment of these gene signatures across individual cells.</w:t>
            </w:r>
            <w:r w:rsidRPr="004540B2">
              <w:rPr>
                <w:rFonts w:ascii="Cambria" w:hAnsi="Cambria" w:hint="eastAsia"/>
              </w:rPr>
              <w:t xml:space="preserve"> </w:t>
            </w:r>
            <w:proofErr w:type="gramStart"/>
            <w:r w:rsidRPr="004540B2">
              <w:rPr>
                <w:rFonts w:ascii="Cambria" w:hAnsi="Cambria" w:hint="eastAsia"/>
              </w:rPr>
              <w:t>MAE,</w:t>
            </w:r>
            <w:proofErr w:type="gramEnd"/>
            <w:r w:rsidRPr="004540B2">
              <w:rPr>
                <w:rFonts w:ascii="Cambria" w:hAnsi="Cambria" w:hint="eastAsia"/>
              </w:rPr>
              <w:t xml:space="preserve"> </w:t>
            </w:r>
            <w:proofErr w:type="gramStart"/>
            <w:r w:rsidRPr="004540B2">
              <w:rPr>
                <w:rFonts w:ascii="Cambria" w:hAnsi="Cambria" w:hint="eastAsia"/>
              </w:rPr>
              <w:t>mean</w:t>
            </w:r>
            <w:proofErr w:type="gramEnd"/>
            <w:r w:rsidRPr="004540B2">
              <w:rPr>
                <w:rFonts w:ascii="Cambria" w:hAnsi="Cambria" w:hint="eastAsia"/>
              </w:rPr>
              <w:t xml:space="preserve"> absolute error.</w:t>
            </w:r>
          </w:p>
        </w:tc>
      </w:tr>
      <w:tr w:rsidR="007524A9" w14:paraId="3D1CABEA" w14:textId="77777777" w:rsidTr="007C3C97">
        <w:tc>
          <w:tcPr>
            <w:tcW w:w="5000" w:type="pct"/>
          </w:tcPr>
          <w:p w14:paraId="2B01CAD4" w14:textId="77777777" w:rsidR="007C3C97" w:rsidRDefault="007C3C97" w:rsidP="00E56D2D">
            <w:pPr>
              <w:rPr>
                <w:noProof/>
              </w:rPr>
            </w:pPr>
          </w:p>
          <w:p w14:paraId="32FA0849" w14:textId="68C364E0" w:rsidR="007524A9" w:rsidRDefault="007C3C97" w:rsidP="00E56D2D">
            <w:pPr>
              <w:rPr>
                <w:rFonts w:ascii="Cambria" w:hAnsi="Cambria"/>
              </w:rPr>
            </w:pPr>
            <w:r>
              <w:rPr>
                <w:noProof/>
              </w:rPr>
              <w:lastRenderedPageBreak/>
              <w:drawing>
                <wp:inline distT="0" distB="0" distL="0" distR="0" wp14:anchorId="0D0F7907" wp14:editId="36279B4D">
                  <wp:extent cx="5291137" cy="7438609"/>
                  <wp:effectExtent l="0" t="0" r="5080" b="0"/>
                  <wp:docPr id="12543345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463" t="4817" r="11030" b="2291"/>
                          <a:stretch>
                            <a:fillRect/>
                          </a:stretch>
                        </pic:blipFill>
                        <pic:spPr bwMode="auto">
                          <a:xfrm>
                            <a:off x="0" y="0"/>
                            <a:ext cx="5291713" cy="74394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5406F083" w14:textId="77777777" w:rsidTr="007C3C97">
        <w:tc>
          <w:tcPr>
            <w:tcW w:w="5000" w:type="pct"/>
          </w:tcPr>
          <w:p w14:paraId="0FFC1038" w14:textId="0CA4364F" w:rsidR="007524A9" w:rsidRDefault="007524A9" w:rsidP="00E56D2D">
            <w:pPr>
              <w:rPr>
                <w:rFonts w:ascii="Cambria" w:hAnsi="Cambria"/>
              </w:rPr>
            </w:pPr>
            <w:r w:rsidRPr="004540B2">
              <w:rPr>
                <w:rStyle w:val="af3"/>
                <w:rFonts w:ascii="Cambria" w:hAnsi="Cambria"/>
              </w:rPr>
              <w:lastRenderedPageBreak/>
              <w:t>Figure S</w:t>
            </w:r>
            <w:r w:rsidRPr="004540B2">
              <w:rPr>
                <w:rStyle w:val="af3"/>
                <w:rFonts w:ascii="Cambria" w:hAnsi="Cambria" w:hint="eastAsia"/>
              </w:rPr>
              <w:t>7</w:t>
            </w:r>
            <w:r w:rsidRPr="004540B2">
              <w:rPr>
                <w:rStyle w:val="af3"/>
                <w:rFonts w:ascii="Cambria" w:hAnsi="Cambria"/>
              </w:rPr>
              <w:t>.</w:t>
            </w:r>
            <w:r w:rsidRPr="004540B2">
              <w:rPr>
                <w:rFonts w:ascii="Cambria" w:hAnsi="Cambria"/>
              </w:rPr>
              <w:t xml:space="preserve"> </w:t>
            </w:r>
            <w:r w:rsidRPr="004540B2">
              <w:rPr>
                <w:rFonts w:ascii="Cambria" w:hAnsi="Cambria" w:hint="eastAsia"/>
              </w:rPr>
              <w:t>A. Heatmaps showing differences (quantified by Cohen</w:t>
            </w:r>
            <w:r w:rsidRPr="004540B2">
              <w:rPr>
                <w:rFonts w:ascii="Cambria" w:hAnsi="Cambria"/>
              </w:rPr>
              <w:t>’</w:t>
            </w:r>
            <w:r w:rsidRPr="004540B2">
              <w:rPr>
                <w:rFonts w:ascii="Cambria" w:hAnsi="Cambria" w:hint="eastAsia"/>
              </w:rPr>
              <w:t>s d) in cell subtype proportions between tumor and adjacent tissues in SYUCC (n = 22) and TCGA-BLCA (n = 19), presented using both non-epithelial compartment-normalized (Norm) and unnormalized (Un-norm) values; B. Scatter plots further illustrating the results from (A), based on unnormalized proportions.</w:t>
            </w:r>
          </w:p>
        </w:tc>
      </w:tr>
      <w:tr w:rsidR="007524A9" w14:paraId="6FFC9612" w14:textId="77777777" w:rsidTr="007C3C97">
        <w:tc>
          <w:tcPr>
            <w:tcW w:w="5000" w:type="pct"/>
          </w:tcPr>
          <w:p w14:paraId="56D890C0" w14:textId="77777777" w:rsidR="007C3C97" w:rsidRDefault="007C3C97" w:rsidP="00E56D2D">
            <w:pPr>
              <w:rPr>
                <w:noProof/>
              </w:rPr>
            </w:pPr>
          </w:p>
          <w:p w14:paraId="2945A5F6" w14:textId="48148900" w:rsidR="007524A9" w:rsidRDefault="007C3C97" w:rsidP="00E56D2D">
            <w:pPr>
              <w:rPr>
                <w:rFonts w:ascii="Cambria" w:hAnsi="Cambria"/>
              </w:rPr>
            </w:pPr>
            <w:r>
              <w:rPr>
                <w:noProof/>
              </w:rPr>
              <w:lastRenderedPageBreak/>
              <w:drawing>
                <wp:inline distT="0" distB="0" distL="0" distR="0" wp14:anchorId="64D65D10" wp14:editId="543CA8E1">
                  <wp:extent cx="5495925" cy="7126382"/>
                  <wp:effectExtent l="0" t="0" r="0" b="0"/>
                  <wp:docPr id="14532289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617" t="5589" r="4033" b="1875"/>
                          <a:stretch>
                            <a:fillRect/>
                          </a:stretch>
                        </pic:blipFill>
                        <pic:spPr bwMode="auto">
                          <a:xfrm>
                            <a:off x="0" y="0"/>
                            <a:ext cx="5506352" cy="71399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155EA5F3" w14:textId="77777777" w:rsidTr="007C3C97">
        <w:tc>
          <w:tcPr>
            <w:tcW w:w="5000" w:type="pct"/>
          </w:tcPr>
          <w:p w14:paraId="48162A39" w14:textId="618A6FAB" w:rsidR="007524A9" w:rsidRDefault="007524A9" w:rsidP="00E56D2D">
            <w:pPr>
              <w:rPr>
                <w:rFonts w:ascii="Cambria" w:hAnsi="Cambria"/>
              </w:rPr>
            </w:pPr>
            <w:r w:rsidRPr="004540B2">
              <w:rPr>
                <w:rStyle w:val="af3"/>
                <w:rFonts w:ascii="Cambria" w:hAnsi="Cambria"/>
              </w:rPr>
              <w:lastRenderedPageBreak/>
              <w:t>Figure S8.</w:t>
            </w:r>
            <w:r w:rsidRPr="004540B2">
              <w:rPr>
                <w:rStyle w:val="af3"/>
                <w:rFonts w:ascii="Cambria" w:hAnsi="Cambria" w:hint="eastAsia"/>
              </w:rPr>
              <w:t xml:space="preserve"> </w:t>
            </w:r>
            <w:r w:rsidRPr="004540B2">
              <w:rPr>
                <w:rStyle w:val="af3"/>
                <w:rFonts w:ascii="Cambria" w:hAnsi="Cambria" w:hint="eastAsia"/>
                <w:b w:val="0"/>
                <w:bCs w:val="0"/>
              </w:rPr>
              <w:t>A. Typical GC structures in lymph_3 (upper), and vascular structures in stroma_5 (lower), all slides are 6.5 mm</w:t>
            </w:r>
            <w:r w:rsidRPr="004540B2">
              <w:rPr>
                <w:rStyle w:val="af3"/>
                <w:rFonts w:ascii="Cambria" w:hAnsi="Cambria" w:hint="eastAsia"/>
                <w:b w:val="0"/>
                <w:bCs w:val="0"/>
              </w:rPr>
              <w:t>×</w:t>
            </w:r>
            <w:r w:rsidRPr="004540B2">
              <w:rPr>
                <w:rStyle w:val="af3"/>
                <w:rFonts w:ascii="Cambria" w:hAnsi="Cambria" w:hint="eastAsia"/>
                <w:b w:val="0"/>
                <w:bCs w:val="0"/>
              </w:rPr>
              <w:t xml:space="preserve">6.5 mm; B. </w:t>
            </w:r>
            <w:r w:rsidRPr="000E41E1">
              <w:rPr>
                <w:rStyle w:val="af3"/>
                <w:rFonts w:ascii="Cambria" w:hAnsi="Cambria" w:hint="eastAsia"/>
                <w:b w:val="0"/>
                <w:bCs w:val="0"/>
              </w:rPr>
              <w:t>Mean differences in subniche proportions between RI-T and LN-T across paired samples. Positive values indicate higher abundance in PRI-T; negative values indicate higher abundance in LN-T. Bar colors denote consistent dominance: red = RI-T, blue = LN-T, gray = mixed. Numbers in parentheses (</w:t>
            </w:r>
            <w:proofErr w:type="spellStart"/>
            <w:r w:rsidRPr="000E41E1">
              <w:rPr>
                <w:rStyle w:val="af3"/>
                <w:rFonts w:ascii="Cambria" w:hAnsi="Cambria" w:hint="eastAsia"/>
                <w:b w:val="0"/>
                <w:bCs w:val="0"/>
              </w:rPr>
              <w:t>PRI_detected</w:t>
            </w:r>
            <w:proofErr w:type="spellEnd"/>
            <w:r w:rsidRPr="000E41E1">
              <w:rPr>
                <w:rStyle w:val="af3"/>
                <w:rFonts w:ascii="Cambria" w:hAnsi="Cambria" w:hint="eastAsia"/>
                <w:b w:val="0"/>
                <w:bCs w:val="0"/>
              </w:rPr>
              <w:t xml:space="preserve"> / </w:t>
            </w:r>
            <w:proofErr w:type="spellStart"/>
            <w:r w:rsidRPr="000E41E1">
              <w:rPr>
                <w:rStyle w:val="af3"/>
                <w:rFonts w:ascii="Cambria" w:hAnsi="Cambria" w:hint="eastAsia"/>
                <w:b w:val="0"/>
                <w:bCs w:val="0"/>
              </w:rPr>
              <w:t>LN_detected</w:t>
            </w:r>
            <w:proofErr w:type="spellEnd"/>
            <w:r w:rsidRPr="000E41E1">
              <w:rPr>
                <w:rStyle w:val="af3"/>
                <w:rFonts w:ascii="Cambria" w:hAnsi="Cambria" w:hint="eastAsia"/>
                <w:b w:val="0"/>
                <w:bCs w:val="0"/>
              </w:rPr>
              <w:t>) show in how many corresponding tissues each subniche was detected.</w:t>
            </w:r>
            <w:r>
              <w:rPr>
                <w:rStyle w:val="af3"/>
                <w:rFonts w:ascii="Cambria" w:hAnsi="Cambria" w:hint="eastAsia"/>
                <w:b w:val="0"/>
                <w:bCs w:val="0"/>
              </w:rPr>
              <w:t xml:space="preserve"> </w:t>
            </w:r>
            <w:r w:rsidRPr="000E41E1">
              <w:rPr>
                <w:rStyle w:val="af3"/>
                <w:rFonts w:ascii="Cambria" w:hAnsi="Cambria" w:hint="eastAsia"/>
                <w:b w:val="0"/>
                <w:bCs w:val="0"/>
              </w:rPr>
              <w:t xml:space="preserve">C. </w:t>
            </w:r>
            <w:r w:rsidRPr="004540B2">
              <w:rPr>
                <w:rStyle w:val="af3"/>
                <w:rFonts w:ascii="Cambria" w:hAnsi="Cambria" w:hint="eastAsia"/>
                <w:b w:val="0"/>
                <w:bCs w:val="0"/>
              </w:rPr>
              <w:t>DEGs among subniches in tumor, stroma, and lymph were identified and subjected to ORA; GC, germinal center; DEGs, differentially expressed genes; ORA, over-representation analysis.</w:t>
            </w:r>
          </w:p>
        </w:tc>
      </w:tr>
      <w:tr w:rsidR="007524A9" w14:paraId="0A5B5DAD" w14:textId="77777777" w:rsidTr="007C3C97">
        <w:tc>
          <w:tcPr>
            <w:tcW w:w="5000" w:type="pct"/>
          </w:tcPr>
          <w:p w14:paraId="6B111B90" w14:textId="757D8CBF" w:rsidR="007524A9" w:rsidRDefault="007C3C97" w:rsidP="00E56D2D">
            <w:pPr>
              <w:rPr>
                <w:rFonts w:ascii="Cambria" w:hAnsi="Cambria"/>
              </w:rPr>
            </w:pPr>
            <w:r>
              <w:rPr>
                <w:noProof/>
              </w:rPr>
              <w:lastRenderedPageBreak/>
              <w:drawing>
                <wp:inline distT="0" distB="0" distL="0" distR="0" wp14:anchorId="55490DDB" wp14:editId="57E701CB">
                  <wp:extent cx="5395912" cy="6933808"/>
                  <wp:effectExtent l="0" t="0" r="0" b="635"/>
                  <wp:docPr id="1386243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078" t="6184" r="8722" b="7227"/>
                          <a:stretch>
                            <a:fillRect/>
                          </a:stretch>
                        </pic:blipFill>
                        <pic:spPr bwMode="auto">
                          <a:xfrm>
                            <a:off x="0" y="0"/>
                            <a:ext cx="5396506" cy="69345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2A18BFEA" w14:textId="77777777" w:rsidTr="007C3C97">
        <w:tc>
          <w:tcPr>
            <w:tcW w:w="5000" w:type="pct"/>
          </w:tcPr>
          <w:p w14:paraId="6E255AC9" w14:textId="1792C3A2" w:rsidR="007524A9" w:rsidRPr="007524A9" w:rsidRDefault="007524A9" w:rsidP="007524A9">
            <w:pPr>
              <w:pStyle w:val="af2"/>
              <w:rPr>
                <w:rFonts w:ascii="Cambria" w:hAnsi="Cambria"/>
              </w:rPr>
            </w:pPr>
            <w:r w:rsidRPr="004540B2">
              <w:rPr>
                <w:rFonts w:ascii="Cambria" w:hAnsi="Cambria" w:hint="eastAsia"/>
                <w:b/>
                <w:bCs/>
              </w:rPr>
              <w:t>Figure S9</w:t>
            </w:r>
            <w:r w:rsidRPr="004540B2">
              <w:rPr>
                <w:rFonts w:ascii="Cambria" w:hAnsi="Cambria" w:hint="eastAsia"/>
              </w:rPr>
              <w:t>. For each cell subtype, univariate Cox regression was performed to evaluate the HRs of both the gene score (</w:t>
            </w:r>
            <w:proofErr w:type="spellStart"/>
            <w:r w:rsidRPr="004540B2">
              <w:rPr>
                <w:rFonts w:ascii="Cambria" w:hAnsi="Cambria" w:hint="eastAsia"/>
              </w:rPr>
              <w:t>ssGSEA</w:t>
            </w:r>
            <w:proofErr w:type="spellEnd"/>
            <w:r w:rsidRPr="004540B2">
              <w:rPr>
                <w:rFonts w:ascii="Cambria" w:hAnsi="Cambria" w:hint="eastAsia"/>
              </w:rPr>
              <w:t>) and the relative abundance ratio (</w:t>
            </w:r>
            <w:proofErr w:type="spellStart"/>
            <w:r w:rsidRPr="004540B2">
              <w:rPr>
                <w:rFonts w:ascii="Cambria" w:hAnsi="Cambria" w:hint="eastAsia"/>
              </w:rPr>
              <w:t>BayesPrism</w:t>
            </w:r>
            <w:proofErr w:type="spellEnd"/>
            <w:r w:rsidRPr="004540B2">
              <w:rPr>
                <w:rFonts w:ascii="Cambria" w:hAnsi="Cambria" w:hint="eastAsia"/>
              </w:rPr>
              <w:t xml:space="preserve">). HR, hazard ratio; </w:t>
            </w:r>
            <w:proofErr w:type="spellStart"/>
            <w:r w:rsidRPr="004540B2">
              <w:rPr>
                <w:rFonts w:ascii="Cambria" w:hAnsi="Cambria" w:hint="eastAsia"/>
              </w:rPr>
              <w:t>ssGSEA</w:t>
            </w:r>
            <w:proofErr w:type="spellEnd"/>
            <w:r w:rsidRPr="004540B2">
              <w:rPr>
                <w:rFonts w:ascii="Cambria" w:hAnsi="Cambria" w:hint="eastAsia"/>
              </w:rPr>
              <w:t>, single-sample Gene Set Enrichment Analysis.</w:t>
            </w:r>
          </w:p>
        </w:tc>
      </w:tr>
      <w:tr w:rsidR="007524A9" w14:paraId="6AC55AE2" w14:textId="77777777" w:rsidTr="007C3C97">
        <w:tc>
          <w:tcPr>
            <w:tcW w:w="5000" w:type="pct"/>
          </w:tcPr>
          <w:p w14:paraId="12874742" w14:textId="31EEF643" w:rsidR="007524A9" w:rsidRDefault="007C3C97" w:rsidP="00E56D2D">
            <w:pPr>
              <w:rPr>
                <w:rFonts w:ascii="Cambria" w:hAnsi="Cambria"/>
              </w:rPr>
            </w:pPr>
            <w:r>
              <w:rPr>
                <w:noProof/>
              </w:rPr>
              <w:lastRenderedPageBreak/>
              <w:drawing>
                <wp:inline distT="0" distB="0" distL="0" distR="0" wp14:anchorId="22CCC6DB" wp14:editId="4D5884AF">
                  <wp:extent cx="5715000" cy="6996112"/>
                  <wp:effectExtent l="0" t="0" r="0" b="0"/>
                  <wp:docPr id="17264434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46" t="4936" r="4802" b="7702"/>
                          <a:stretch>
                            <a:fillRect/>
                          </a:stretch>
                        </pic:blipFill>
                        <pic:spPr bwMode="auto">
                          <a:xfrm>
                            <a:off x="0" y="0"/>
                            <a:ext cx="5715302" cy="69964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1B42B713" w14:textId="77777777" w:rsidTr="007C3C97">
        <w:tc>
          <w:tcPr>
            <w:tcW w:w="5000" w:type="pct"/>
          </w:tcPr>
          <w:p w14:paraId="303C7AE0" w14:textId="0DCBA6AC" w:rsidR="007524A9" w:rsidRPr="007524A9" w:rsidRDefault="007524A9" w:rsidP="007524A9">
            <w:pPr>
              <w:pStyle w:val="af2"/>
              <w:rPr>
                <w:rFonts w:ascii="Cambria" w:hAnsi="Cambria"/>
              </w:rPr>
            </w:pPr>
            <w:r w:rsidRPr="004540B2">
              <w:rPr>
                <w:rFonts w:ascii="Cambria" w:hAnsi="Cambria" w:hint="eastAsia"/>
                <w:b/>
                <w:bCs/>
              </w:rPr>
              <w:t>Figure S10.</w:t>
            </w:r>
            <w:r w:rsidRPr="004540B2">
              <w:rPr>
                <w:rFonts w:ascii="Cambria" w:hAnsi="Cambria" w:hint="eastAsia"/>
              </w:rPr>
              <w:t xml:space="preserve"> A. Meta-analysis of univariable HRs for gene signature scores of myoCAF_PLXDC1 with OS and RFS across 13 cohorts; B. Meta-analysis of multivariable-adjusted HRs for gene signature scores of myoCAF_PLXDC1 with OS and RFS across 6 cohorts; C. Boxplots comparing the abundance of myoCAF_PLXDC1 across different T and N stages and molecular subtypes in the TCGA-BLCA cohort; D. Forest plot showing multivariable-adjusted HR of myoCAF_PLXDC1 in the TCGA-BLCA cohort for OS and RFS. HR, hazard ratio; OS, overall survival; RFS, recurrence-free survival.</w:t>
            </w:r>
          </w:p>
        </w:tc>
      </w:tr>
      <w:tr w:rsidR="007524A9" w14:paraId="6F67CD05" w14:textId="77777777" w:rsidTr="007C3C97">
        <w:tc>
          <w:tcPr>
            <w:tcW w:w="5000" w:type="pct"/>
          </w:tcPr>
          <w:p w14:paraId="48FA2331" w14:textId="77777777" w:rsidR="007C3C97" w:rsidRDefault="007C3C97" w:rsidP="00E56D2D">
            <w:pPr>
              <w:rPr>
                <w:noProof/>
              </w:rPr>
            </w:pPr>
          </w:p>
          <w:p w14:paraId="69760341" w14:textId="03254CA6" w:rsidR="007524A9" w:rsidRDefault="007C3C97" w:rsidP="00E56D2D">
            <w:pPr>
              <w:rPr>
                <w:rFonts w:ascii="Cambria" w:hAnsi="Cambria"/>
              </w:rPr>
            </w:pPr>
            <w:r>
              <w:rPr>
                <w:noProof/>
              </w:rPr>
              <w:lastRenderedPageBreak/>
              <w:drawing>
                <wp:inline distT="0" distB="0" distL="0" distR="0" wp14:anchorId="21C93F6C" wp14:editId="5050F875">
                  <wp:extent cx="5581650" cy="5514975"/>
                  <wp:effectExtent l="0" t="0" r="0" b="9525"/>
                  <wp:docPr id="17911130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464" t="5708" r="4340" b="25425"/>
                          <a:stretch>
                            <a:fillRect/>
                          </a:stretch>
                        </pic:blipFill>
                        <pic:spPr bwMode="auto">
                          <a:xfrm>
                            <a:off x="0" y="0"/>
                            <a:ext cx="5581953" cy="55152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06CCED7F" w14:textId="77777777" w:rsidTr="007C3C97">
        <w:tc>
          <w:tcPr>
            <w:tcW w:w="5000" w:type="pct"/>
          </w:tcPr>
          <w:p w14:paraId="094F1037" w14:textId="580AB40D" w:rsidR="007524A9" w:rsidRPr="004540B2" w:rsidRDefault="007524A9" w:rsidP="007524A9">
            <w:pPr>
              <w:pStyle w:val="af2"/>
              <w:rPr>
                <w:rFonts w:ascii="Cambria" w:hAnsi="Cambria"/>
              </w:rPr>
            </w:pPr>
            <w:r w:rsidRPr="004540B2">
              <w:rPr>
                <w:rFonts w:ascii="Cambria" w:hAnsi="Cambria" w:hint="eastAsia"/>
                <w:b/>
                <w:bCs/>
              </w:rPr>
              <w:lastRenderedPageBreak/>
              <w:t>Figure S11.</w:t>
            </w:r>
            <w:r w:rsidRPr="004540B2">
              <w:rPr>
                <w:rFonts w:ascii="Cambria" w:hAnsi="Cambria" w:hint="eastAsia"/>
              </w:rPr>
              <w:t xml:space="preserve"> A-B. In situ </w:t>
            </w:r>
            <w:r w:rsidRPr="004540B2">
              <w:rPr>
                <w:rFonts w:ascii="Cambria" w:hAnsi="Cambria"/>
              </w:rPr>
              <w:t>expressions</w:t>
            </w:r>
            <w:r w:rsidRPr="004540B2">
              <w:rPr>
                <w:rFonts w:ascii="Cambria" w:hAnsi="Cambria" w:hint="eastAsia"/>
              </w:rPr>
              <w:t xml:space="preserve"> of PDGFRA, PDGFRB, CSPG4, and MMP11 detected by IHC in additional bladder cancer samples. IHC staining revealed three discernible stromal cell populations in bladder tissues: SMCs within the muscularis layer, spindle-shaped fibroblasts in the loose connective stroma, and pericytes surrounding vascular walls. PDGFRA was restricted to fibroblasts, whereas PDGFRB was detected in both fibroblasts and pericytes, but not in SMCs. CSPG4 stained pericytes and SMCs but was absent in fibroblasts. The PLXDC1 antibody yielded suboptimal staining (data not shown). MMP11 was expressed in all three stromal cell types, with the strongest signal in pericytes.</w:t>
            </w:r>
          </w:p>
          <w:p w14:paraId="7C31350B" w14:textId="77777777" w:rsidR="007524A9" w:rsidRPr="007524A9" w:rsidRDefault="007524A9" w:rsidP="00E56D2D">
            <w:pPr>
              <w:rPr>
                <w:rFonts w:ascii="Cambria" w:hAnsi="Cambria"/>
              </w:rPr>
            </w:pPr>
          </w:p>
        </w:tc>
      </w:tr>
      <w:tr w:rsidR="007524A9" w14:paraId="2091599B" w14:textId="77777777" w:rsidTr="007C3C97">
        <w:tc>
          <w:tcPr>
            <w:tcW w:w="5000" w:type="pct"/>
          </w:tcPr>
          <w:p w14:paraId="078D9203" w14:textId="77777777" w:rsidR="007C3C97" w:rsidRDefault="007C3C97" w:rsidP="00E56D2D">
            <w:pPr>
              <w:rPr>
                <w:noProof/>
              </w:rPr>
            </w:pPr>
          </w:p>
          <w:p w14:paraId="7EBFD668" w14:textId="73405F1B" w:rsidR="007524A9" w:rsidRDefault="007C3C97" w:rsidP="00E56D2D">
            <w:pPr>
              <w:rPr>
                <w:rFonts w:ascii="Cambria" w:hAnsi="Cambria"/>
              </w:rPr>
            </w:pPr>
            <w:r>
              <w:rPr>
                <w:noProof/>
              </w:rPr>
              <w:lastRenderedPageBreak/>
              <w:drawing>
                <wp:inline distT="0" distB="0" distL="0" distR="0" wp14:anchorId="31D0E283" wp14:editId="2DA93B34">
                  <wp:extent cx="6059855" cy="6862445"/>
                  <wp:effectExtent l="0" t="0" r="0" b="0"/>
                  <wp:docPr id="7687318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078" t="5708" b="8600"/>
                          <a:stretch>
                            <a:fillRect/>
                          </a:stretch>
                        </pic:blipFill>
                        <pic:spPr bwMode="auto">
                          <a:xfrm>
                            <a:off x="0" y="0"/>
                            <a:ext cx="6060117" cy="68627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169B4F47" w14:textId="77777777" w:rsidTr="007C3C97">
        <w:tc>
          <w:tcPr>
            <w:tcW w:w="5000" w:type="pct"/>
          </w:tcPr>
          <w:p w14:paraId="032752AC" w14:textId="6C925ECA" w:rsidR="007524A9" w:rsidRDefault="007524A9" w:rsidP="007524A9">
            <w:pPr>
              <w:pStyle w:val="af2"/>
              <w:rPr>
                <w:rFonts w:ascii="Cambria" w:hAnsi="Cambria" w:hint="eastAsia"/>
              </w:rPr>
            </w:pPr>
            <w:r w:rsidRPr="004540B2">
              <w:rPr>
                <w:rFonts w:ascii="Cambria" w:hAnsi="Cambria" w:hint="eastAsia"/>
                <w:b/>
                <w:bCs/>
              </w:rPr>
              <w:lastRenderedPageBreak/>
              <w:t>Figure S12</w:t>
            </w:r>
            <w:r w:rsidRPr="004540B2">
              <w:rPr>
                <w:rFonts w:ascii="Cambria" w:hAnsi="Cambria" w:hint="eastAsia"/>
              </w:rPr>
              <w:t xml:space="preserve">. </w:t>
            </w:r>
            <w:r w:rsidRPr="004540B2">
              <w:rPr>
                <w:rFonts w:ascii="Cambria" w:hAnsi="Cambria"/>
              </w:rPr>
              <w:t xml:space="preserve">TF regulatory activities inferred using </w:t>
            </w:r>
            <w:proofErr w:type="spellStart"/>
            <w:r w:rsidRPr="004540B2">
              <w:rPr>
                <w:rFonts w:ascii="Cambria" w:hAnsi="Cambria"/>
              </w:rPr>
              <w:t>pySCENIC</w:t>
            </w:r>
            <w:proofErr w:type="spellEnd"/>
            <w:r w:rsidRPr="004540B2">
              <w:rPr>
                <w:rFonts w:ascii="Cambria" w:hAnsi="Cambria"/>
              </w:rPr>
              <w:t xml:space="preserve"> are shown for major cell lineages and their respective </w:t>
            </w:r>
            <w:r w:rsidRPr="004540B2">
              <w:rPr>
                <w:rFonts w:ascii="Cambria" w:hAnsi="Cambria" w:hint="eastAsia"/>
              </w:rPr>
              <w:t>subtypes</w:t>
            </w:r>
            <w:r w:rsidRPr="004540B2">
              <w:rPr>
                <w:rFonts w:ascii="Cambria" w:hAnsi="Cambria"/>
              </w:rPr>
              <w:t>, providing insights into lineage-specific regulatory programs.</w:t>
            </w:r>
            <w:r w:rsidRPr="004540B2">
              <w:rPr>
                <w:rFonts w:ascii="Cambria" w:hAnsi="Cambria" w:hint="eastAsia"/>
              </w:rPr>
              <w:t xml:space="preserve"> TF, transcription factor</w:t>
            </w:r>
            <w:r>
              <w:rPr>
                <w:rFonts w:ascii="Cambria" w:hAnsi="Cambria" w:hint="eastAsia"/>
              </w:rPr>
              <w:t>.</w:t>
            </w:r>
          </w:p>
        </w:tc>
      </w:tr>
      <w:tr w:rsidR="007524A9" w14:paraId="44FC1384" w14:textId="77777777" w:rsidTr="007C3C97">
        <w:tc>
          <w:tcPr>
            <w:tcW w:w="5000" w:type="pct"/>
          </w:tcPr>
          <w:p w14:paraId="3BA13C0A" w14:textId="77777777" w:rsidR="007C3C97" w:rsidRDefault="007C3C97" w:rsidP="00E56D2D">
            <w:pPr>
              <w:rPr>
                <w:noProof/>
              </w:rPr>
            </w:pPr>
          </w:p>
          <w:p w14:paraId="5F3D1283" w14:textId="59B97A9A" w:rsidR="007524A9" w:rsidRDefault="007C3C97" w:rsidP="00E56D2D">
            <w:pPr>
              <w:rPr>
                <w:rFonts w:ascii="Cambria" w:hAnsi="Cambria"/>
              </w:rPr>
            </w:pPr>
            <w:r>
              <w:rPr>
                <w:noProof/>
              </w:rPr>
              <w:lastRenderedPageBreak/>
              <w:drawing>
                <wp:inline distT="0" distB="0" distL="0" distR="0" wp14:anchorId="69CEFB67" wp14:editId="02AC78F7">
                  <wp:extent cx="5681662" cy="6910387"/>
                  <wp:effectExtent l="0" t="0" r="0" b="5080"/>
                  <wp:docPr id="193224664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232" t="5115" r="4961" b="8599"/>
                          <a:stretch>
                            <a:fillRect/>
                          </a:stretch>
                        </pic:blipFill>
                        <pic:spPr bwMode="auto">
                          <a:xfrm>
                            <a:off x="0" y="0"/>
                            <a:ext cx="5681662" cy="69103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3E7EC9B0" w14:textId="77777777" w:rsidTr="007C3C97">
        <w:tc>
          <w:tcPr>
            <w:tcW w:w="5000" w:type="pct"/>
          </w:tcPr>
          <w:p w14:paraId="15858653" w14:textId="2B74E4BA" w:rsidR="007524A9" w:rsidRDefault="007524A9" w:rsidP="007524A9">
            <w:pPr>
              <w:pStyle w:val="af2"/>
              <w:rPr>
                <w:rFonts w:ascii="Cambria" w:hAnsi="Cambria" w:hint="eastAsia"/>
              </w:rPr>
            </w:pPr>
            <w:r w:rsidRPr="004540B2">
              <w:rPr>
                <w:rStyle w:val="af3"/>
                <w:rFonts w:ascii="Cambria" w:hAnsi="Cambria"/>
              </w:rPr>
              <w:lastRenderedPageBreak/>
              <w:t>Figure S</w:t>
            </w:r>
            <w:r w:rsidRPr="004540B2">
              <w:rPr>
                <w:rStyle w:val="af3"/>
                <w:rFonts w:ascii="Cambria" w:hAnsi="Cambria" w:hint="eastAsia"/>
              </w:rPr>
              <w:t>13</w:t>
            </w:r>
            <w:r w:rsidRPr="004540B2">
              <w:rPr>
                <w:rStyle w:val="af3"/>
                <w:rFonts w:ascii="Cambria" w:hAnsi="Cambria"/>
              </w:rPr>
              <w:t>.</w:t>
            </w:r>
            <w:r w:rsidRPr="004540B2">
              <w:rPr>
                <w:rFonts w:ascii="Cambria" w:hAnsi="Cambria"/>
              </w:rPr>
              <w:t xml:space="preserve"> </w:t>
            </w:r>
            <w:r w:rsidRPr="004540B2">
              <w:rPr>
                <w:rFonts w:ascii="Cambria" w:hAnsi="Cambria" w:hint="eastAsia"/>
              </w:rPr>
              <w:t xml:space="preserve">RNA expressions of TFs inferred using </w:t>
            </w:r>
            <w:proofErr w:type="spellStart"/>
            <w:r w:rsidRPr="004540B2">
              <w:rPr>
                <w:rFonts w:ascii="Cambria" w:hAnsi="Cambria" w:hint="eastAsia"/>
              </w:rPr>
              <w:t>pySCENIC</w:t>
            </w:r>
            <w:proofErr w:type="spellEnd"/>
            <w:r w:rsidRPr="004540B2">
              <w:rPr>
                <w:rFonts w:ascii="Cambria" w:hAnsi="Cambria" w:hint="eastAsia"/>
              </w:rPr>
              <w:t xml:space="preserve"> are shown for major cell lineages and their respective subtypes. TF, transcription factor.</w:t>
            </w:r>
          </w:p>
        </w:tc>
      </w:tr>
      <w:tr w:rsidR="007524A9" w14:paraId="6B2228DF" w14:textId="77777777" w:rsidTr="007C3C97">
        <w:tc>
          <w:tcPr>
            <w:tcW w:w="5000" w:type="pct"/>
          </w:tcPr>
          <w:p w14:paraId="3E0197F2" w14:textId="77777777" w:rsidR="007C3C97" w:rsidRDefault="007C3C97" w:rsidP="00E56D2D">
            <w:pPr>
              <w:rPr>
                <w:noProof/>
              </w:rPr>
            </w:pPr>
          </w:p>
          <w:p w14:paraId="210C2CDF" w14:textId="6D49A9BD" w:rsidR="007524A9" w:rsidRDefault="007C3C97" w:rsidP="00E56D2D">
            <w:pPr>
              <w:rPr>
                <w:rFonts w:ascii="Cambria" w:hAnsi="Cambria"/>
              </w:rPr>
            </w:pPr>
            <w:r>
              <w:rPr>
                <w:noProof/>
              </w:rPr>
              <w:lastRenderedPageBreak/>
              <w:drawing>
                <wp:inline distT="0" distB="0" distL="0" distR="0" wp14:anchorId="4C52DCE6" wp14:editId="2B7D582D">
                  <wp:extent cx="5648325" cy="7210425"/>
                  <wp:effectExtent l="0" t="0" r="9525" b="9525"/>
                  <wp:docPr id="19413663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924" t="2796" r="4802" b="7166"/>
                          <a:stretch>
                            <a:fillRect/>
                          </a:stretch>
                        </pic:blipFill>
                        <pic:spPr bwMode="auto">
                          <a:xfrm>
                            <a:off x="0" y="0"/>
                            <a:ext cx="5648627" cy="72108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0A3C0D2E" w14:textId="77777777" w:rsidTr="007C3C97">
        <w:tc>
          <w:tcPr>
            <w:tcW w:w="5000" w:type="pct"/>
          </w:tcPr>
          <w:p w14:paraId="1886E641" w14:textId="6349A327" w:rsidR="007524A9" w:rsidRPr="007524A9" w:rsidRDefault="007524A9" w:rsidP="007C3C97">
            <w:pPr>
              <w:pStyle w:val="af2"/>
              <w:rPr>
                <w:rFonts w:ascii="Cambria" w:hAnsi="Cambria"/>
              </w:rPr>
            </w:pPr>
            <w:r w:rsidRPr="004540B2">
              <w:rPr>
                <w:rFonts w:ascii="Cambria" w:hAnsi="Cambria" w:hint="eastAsia"/>
                <w:b/>
                <w:bCs/>
              </w:rPr>
              <w:lastRenderedPageBreak/>
              <w:t>Figure S14.</w:t>
            </w:r>
            <w:r w:rsidRPr="004540B2">
              <w:rPr>
                <w:rFonts w:ascii="Cambria" w:hAnsi="Cambria" w:hint="eastAsia"/>
              </w:rPr>
              <w:t xml:space="preserve"> A. </w:t>
            </w:r>
            <w:r w:rsidRPr="004540B2">
              <w:rPr>
                <w:rFonts w:ascii="Cambria" w:hAnsi="Cambria"/>
              </w:rPr>
              <w:t xml:space="preserve">Spatial distribution of PLXDC1+ </w:t>
            </w:r>
            <w:proofErr w:type="spellStart"/>
            <w:r w:rsidRPr="004540B2">
              <w:rPr>
                <w:rFonts w:ascii="Cambria" w:hAnsi="Cambria"/>
              </w:rPr>
              <w:t>myoCAFs</w:t>
            </w:r>
            <w:proofErr w:type="spellEnd"/>
            <w:r w:rsidRPr="004540B2">
              <w:rPr>
                <w:rFonts w:ascii="Cambria" w:hAnsi="Cambria"/>
              </w:rPr>
              <w:t xml:space="preserve"> and ITGA8+ endothelial cells in an external spatial transcriptomic cohort of bladder cancer. Absolute cell-type abundances were inferred using </w:t>
            </w:r>
            <w:proofErr w:type="gramStart"/>
            <w:r w:rsidRPr="004540B2">
              <w:rPr>
                <w:rFonts w:ascii="Cambria" w:hAnsi="Cambria"/>
              </w:rPr>
              <w:t>cell2location</w:t>
            </w:r>
            <w:r w:rsidRPr="004540B2">
              <w:rPr>
                <w:rFonts w:ascii="Cambria" w:hAnsi="Cambria" w:hint="eastAsia"/>
              </w:rPr>
              <w:t>;</w:t>
            </w:r>
            <w:proofErr w:type="gramEnd"/>
            <w:r w:rsidRPr="004540B2">
              <w:rPr>
                <w:rFonts w:ascii="Cambria" w:hAnsi="Cambria" w:hint="eastAsia"/>
              </w:rPr>
              <w:t xml:space="preserve"> </w:t>
            </w:r>
            <w:r>
              <w:rPr>
                <w:rFonts w:ascii="Cambria" w:hAnsi="Cambria" w:hint="eastAsia"/>
              </w:rPr>
              <w:t>B. For</w:t>
            </w:r>
            <w:r w:rsidRPr="00F56B10">
              <w:rPr>
                <w:rFonts w:ascii="Cambria" w:hAnsi="Cambria" w:hint="eastAsia"/>
              </w:rPr>
              <w:t xml:space="preserve"> the </w:t>
            </w:r>
            <w:proofErr w:type="spellStart"/>
            <w:r w:rsidRPr="00F56B10">
              <w:rPr>
                <w:rFonts w:ascii="Cambria" w:hAnsi="Cambria" w:hint="eastAsia"/>
              </w:rPr>
              <w:t>Etsaer</w:t>
            </w:r>
            <w:proofErr w:type="spellEnd"/>
            <w:r w:rsidRPr="00F56B10">
              <w:rPr>
                <w:rFonts w:ascii="Cambria" w:hAnsi="Cambria" w:hint="eastAsia"/>
              </w:rPr>
              <w:t xml:space="preserve"> et al. 2022 cohort</w:t>
            </w:r>
            <w:r>
              <w:rPr>
                <w:rFonts w:ascii="Cambria" w:hAnsi="Cambria" w:hint="eastAsia"/>
              </w:rPr>
              <w:t xml:space="preserve">, </w:t>
            </w:r>
            <w:proofErr w:type="spellStart"/>
            <w:r w:rsidRPr="00F56B10">
              <w:rPr>
                <w:rFonts w:ascii="Cambria" w:hAnsi="Cambria" w:hint="eastAsia"/>
              </w:rPr>
              <w:t>MistyR</w:t>
            </w:r>
            <w:proofErr w:type="spellEnd"/>
            <w:r w:rsidRPr="00F56B10">
              <w:rPr>
                <w:rFonts w:ascii="Cambria" w:hAnsi="Cambria" w:hint="eastAsia"/>
              </w:rPr>
              <w:t xml:space="preserve"> was applied to evaluate the ability of cell subtypes in the rows to predict the locations of cell subtypes in the columns, quantified by importance using the </w:t>
            </w:r>
            <w:proofErr w:type="spellStart"/>
            <w:r w:rsidRPr="00F56B10">
              <w:rPr>
                <w:rFonts w:ascii="Cambria" w:hAnsi="Cambria" w:hint="eastAsia"/>
              </w:rPr>
              <w:t>intraview</w:t>
            </w:r>
            <w:proofErr w:type="spellEnd"/>
            <w:r w:rsidRPr="00F56B10">
              <w:rPr>
                <w:rFonts w:ascii="Cambria" w:hAnsi="Cambria" w:hint="eastAsia"/>
              </w:rPr>
              <w:t xml:space="preserve">. </w:t>
            </w:r>
            <w:proofErr w:type="gramStart"/>
            <w:r w:rsidRPr="00F56B10">
              <w:rPr>
                <w:rFonts w:ascii="Cambria" w:hAnsi="Cambria" w:hint="eastAsia"/>
              </w:rPr>
              <w:t xml:space="preserve">The </w:t>
            </w:r>
            <w:proofErr w:type="spellStart"/>
            <w:r w:rsidRPr="00F56B10">
              <w:rPr>
                <w:rFonts w:ascii="Cambria" w:hAnsi="Cambria" w:hint="eastAsia"/>
              </w:rPr>
              <w:t>the</w:t>
            </w:r>
            <w:proofErr w:type="spellEnd"/>
            <w:proofErr w:type="gramEnd"/>
            <w:r w:rsidRPr="00F56B10">
              <w:rPr>
                <w:rFonts w:ascii="Cambria" w:hAnsi="Cambria" w:hint="eastAsia"/>
              </w:rPr>
              <w:t xml:space="preserve"> color of the grid indicates the aggregated Importance across </w:t>
            </w:r>
            <w:r>
              <w:rPr>
                <w:rFonts w:ascii="Cambria" w:hAnsi="Cambria" w:hint="eastAsia"/>
              </w:rPr>
              <w:t>four</w:t>
            </w:r>
            <w:r w:rsidRPr="00F56B10">
              <w:rPr>
                <w:rFonts w:ascii="Cambria" w:hAnsi="Cambria" w:hint="eastAsia"/>
              </w:rPr>
              <w:t xml:space="preserve"> </w:t>
            </w:r>
            <w:proofErr w:type="gramStart"/>
            <w:r w:rsidRPr="00F56B10">
              <w:rPr>
                <w:rFonts w:ascii="Cambria" w:hAnsi="Cambria" w:hint="eastAsia"/>
              </w:rPr>
              <w:t>samples</w:t>
            </w:r>
            <w:r>
              <w:rPr>
                <w:rFonts w:ascii="Cambria" w:hAnsi="Cambria" w:hint="eastAsia"/>
              </w:rPr>
              <w:t>;</w:t>
            </w:r>
            <w:proofErr w:type="gramEnd"/>
            <w:r>
              <w:rPr>
                <w:rFonts w:ascii="Cambria" w:hAnsi="Cambria" w:hint="eastAsia"/>
              </w:rPr>
              <w:t xml:space="preserve"> C. </w:t>
            </w:r>
            <w:r w:rsidRPr="00F56B10">
              <w:rPr>
                <w:rFonts w:ascii="Cambria" w:hAnsi="Cambria" w:hint="eastAsia"/>
              </w:rPr>
              <w:t>All cel</w:t>
            </w:r>
            <w:r>
              <w:rPr>
                <w:rFonts w:ascii="Cambria" w:hAnsi="Cambria" w:hint="eastAsia"/>
              </w:rPr>
              <w:t>l-</w:t>
            </w:r>
            <w:r w:rsidRPr="00F56B10">
              <w:rPr>
                <w:rFonts w:ascii="Cambria" w:hAnsi="Cambria" w:hint="eastAsia"/>
              </w:rPr>
              <w:t xml:space="preserve">cell pairs </w:t>
            </w:r>
            <w:r>
              <w:rPr>
                <w:rFonts w:ascii="Cambria" w:hAnsi="Cambria" w:hint="eastAsia"/>
              </w:rPr>
              <w:t xml:space="preserve">(n=3,660) </w:t>
            </w:r>
            <w:r w:rsidRPr="00F56B10">
              <w:rPr>
                <w:rFonts w:ascii="Cambria" w:hAnsi="Cambria" w:hint="eastAsia"/>
              </w:rPr>
              <w:t xml:space="preserve">were ranked by their aggregated importance from high to low, with the co-localization between </w:t>
            </w:r>
            <w:r w:rsidRPr="00F56B10">
              <w:rPr>
                <w:rFonts w:ascii="Cambria" w:hAnsi="Cambria" w:hint="eastAsia"/>
              </w:rPr>
              <w:lastRenderedPageBreak/>
              <w:t>myoCAF_PLXDC1 (predictor) and EC_ITGA8 (target) highlighted in red</w:t>
            </w:r>
            <w:r>
              <w:rPr>
                <w:rFonts w:ascii="Cambria" w:hAnsi="Cambria" w:hint="eastAsia"/>
              </w:rPr>
              <w:t>; D</w:t>
            </w:r>
            <w:r w:rsidRPr="004540B2">
              <w:rPr>
                <w:rFonts w:ascii="Cambria" w:hAnsi="Cambria" w:hint="eastAsia"/>
              </w:rPr>
              <w:t xml:space="preserve">. Sankey plot illustrating primary- and metastasis-specific cell-cell colocalization relationships. Cell subtypes are color-coded according to their corresponding major cell lineages, as in </w:t>
            </w:r>
            <w:r w:rsidRPr="004540B2">
              <w:rPr>
                <w:rFonts w:ascii="Cambria" w:hAnsi="Cambria" w:hint="eastAsia"/>
                <w:b/>
                <w:bCs/>
              </w:rPr>
              <w:t>Figure 1</w:t>
            </w:r>
            <w:r w:rsidRPr="004540B2">
              <w:rPr>
                <w:rFonts w:ascii="Cambria" w:hAnsi="Cambria" w:hint="eastAsia"/>
              </w:rPr>
              <w:t xml:space="preserve">; </w:t>
            </w:r>
            <w:r>
              <w:rPr>
                <w:rFonts w:ascii="Cambria" w:hAnsi="Cambria" w:hint="eastAsia"/>
              </w:rPr>
              <w:t>E</w:t>
            </w:r>
            <w:r w:rsidRPr="004540B2">
              <w:rPr>
                <w:rFonts w:ascii="Cambria" w:hAnsi="Cambria" w:hint="eastAsia"/>
              </w:rPr>
              <w:t>. in situ spatial plot showing the absolute abundance of iCAF_MATN2 and MonoMacro_FOLR2</w:t>
            </w:r>
            <w:r>
              <w:rPr>
                <w:rFonts w:ascii="Cambria" w:hAnsi="Cambria" w:hint="eastAsia"/>
              </w:rPr>
              <w:t>.</w:t>
            </w:r>
          </w:p>
        </w:tc>
      </w:tr>
      <w:tr w:rsidR="007C3C97" w14:paraId="615EE503" w14:textId="77777777" w:rsidTr="007C3C97">
        <w:tc>
          <w:tcPr>
            <w:tcW w:w="5000" w:type="pct"/>
          </w:tcPr>
          <w:p w14:paraId="45F6E419" w14:textId="77777777" w:rsidR="007C3C97" w:rsidRDefault="007C3C97" w:rsidP="007C3C97">
            <w:pPr>
              <w:pStyle w:val="af2"/>
              <w:rPr>
                <w:rFonts w:ascii="Cambria" w:hAnsi="Cambria"/>
                <w:b/>
                <w:bCs/>
              </w:rPr>
            </w:pPr>
          </w:p>
          <w:p w14:paraId="38B222DF" w14:textId="77777777" w:rsidR="007C3C97" w:rsidRDefault="007C3C97" w:rsidP="007C3C97">
            <w:pPr>
              <w:pStyle w:val="af2"/>
              <w:rPr>
                <w:rFonts w:ascii="Cambria" w:hAnsi="Cambria"/>
                <w:b/>
                <w:bCs/>
              </w:rPr>
            </w:pPr>
          </w:p>
          <w:p w14:paraId="3D756998" w14:textId="77777777" w:rsidR="007C3C97" w:rsidRDefault="007C3C97" w:rsidP="007C3C97">
            <w:pPr>
              <w:pStyle w:val="af2"/>
              <w:rPr>
                <w:rFonts w:ascii="Cambria" w:hAnsi="Cambria"/>
                <w:b/>
                <w:bCs/>
              </w:rPr>
            </w:pPr>
          </w:p>
          <w:p w14:paraId="4800CA54" w14:textId="77777777" w:rsidR="007C3C97" w:rsidRPr="004540B2" w:rsidRDefault="007C3C97" w:rsidP="007C3C97">
            <w:pPr>
              <w:pStyle w:val="af2"/>
              <w:rPr>
                <w:rFonts w:ascii="Cambria" w:hAnsi="Cambria" w:hint="eastAsia"/>
                <w:b/>
                <w:bCs/>
              </w:rPr>
            </w:pPr>
          </w:p>
        </w:tc>
      </w:tr>
      <w:tr w:rsidR="007C3C97" w14:paraId="319BC9C0" w14:textId="77777777" w:rsidTr="007C3C97">
        <w:tc>
          <w:tcPr>
            <w:tcW w:w="5000" w:type="pct"/>
          </w:tcPr>
          <w:p w14:paraId="77D7EC93" w14:textId="5E507472" w:rsidR="007C3C97" w:rsidRPr="004540B2" w:rsidRDefault="007C3C97" w:rsidP="007C3C97">
            <w:pPr>
              <w:pStyle w:val="af2"/>
              <w:rPr>
                <w:rFonts w:ascii="Cambria" w:hAnsi="Cambria" w:hint="eastAsia"/>
                <w:b/>
                <w:bCs/>
              </w:rPr>
            </w:pPr>
            <w:r>
              <w:rPr>
                <w:noProof/>
              </w:rPr>
              <w:lastRenderedPageBreak/>
              <w:drawing>
                <wp:inline distT="0" distB="0" distL="0" distR="0" wp14:anchorId="003B05C1" wp14:editId="2860FAAC">
                  <wp:extent cx="5610225" cy="6953250"/>
                  <wp:effectExtent l="0" t="0" r="0" b="0"/>
                  <wp:docPr id="119186370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925" t="5708" r="3417" b="7464"/>
                          <a:stretch>
                            <a:fillRect/>
                          </a:stretch>
                        </pic:blipFill>
                        <pic:spPr bwMode="auto">
                          <a:xfrm>
                            <a:off x="0" y="0"/>
                            <a:ext cx="5610531" cy="69536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524A9" w14:paraId="136FFAD9" w14:textId="77777777" w:rsidTr="007C3C97">
        <w:tc>
          <w:tcPr>
            <w:tcW w:w="5000" w:type="pct"/>
          </w:tcPr>
          <w:p w14:paraId="28A3152C" w14:textId="2C32BD5D" w:rsidR="007524A9" w:rsidRDefault="007524A9" w:rsidP="00E56D2D">
            <w:pPr>
              <w:rPr>
                <w:rFonts w:ascii="Cambria" w:hAnsi="Cambria"/>
              </w:rPr>
            </w:pPr>
            <w:r w:rsidRPr="004540B2">
              <w:rPr>
                <w:rFonts w:ascii="Cambria" w:hAnsi="Cambria" w:hint="eastAsia"/>
                <w:b/>
                <w:bCs/>
              </w:rPr>
              <w:t>Figure S15</w:t>
            </w:r>
            <w:r w:rsidRPr="004540B2">
              <w:rPr>
                <w:rFonts w:ascii="Cambria" w:hAnsi="Cambria" w:hint="eastAsia"/>
              </w:rPr>
              <w:t xml:space="preserve">. </w:t>
            </w:r>
            <w:proofErr w:type="spellStart"/>
            <w:r w:rsidRPr="004540B2">
              <w:rPr>
                <w:rFonts w:ascii="Cambria" w:hAnsi="Cambria" w:hint="eastAsia"/>
              </w:rPr>
              <w:t>Dotplot</w:t>
            </w:r>
            <w:proofErr w:type="spellEnd"/>
            <w:r w:rsidRPr="004540B2">
              <w:rPr>
                <w:rFonts w:ascii="Cambria" w:hAnsi="Cambria" w:hint="eastAsia"/>
              </w:rPr>
              <w:t xml:space="preserve"> showing interactions between myoCAF_CCL21/myoCAF_PLXDC1 and EC subtypes. </w:t>
            </w:r>
            <w:proofErr w:type="spellStart"/>
            <w:r w:rsidRPr="004540B2">
              <w:rPr>
                <w:rFonts w:ascii="Cambria" w:hAnsi="Cambria" w:hint="eastAsia"/>
              </w:rPr>
              <w:t>myoCAFs</w:t>
            </w:r>
            <w:proofErr w:type="spellEnd"/>
            <w:r w:rsidRPr="004540B2">
              <w:rPr>
                <w:rFonts w:ascii="Cambria" w:hAnsi="Cambria" w:hint="eastAsia"/>
              </w:rPr>
              <w:t xml:space="preserve"> were designated as source cells and ECs as target cells. The top 300 LIANA-predicted LRs with the lowest aggregate ranks were visualized, showing their strengths and aggregate ranks across samples. EC, endothelial cell.</w:t>
            </w:r>
          </w:p>
        </w:tc>
      </w:tr>
    </w:tbl>
    <w:p w14:paraId="28650C07" w14:textId="4155969C" w:rsidR="00E56D2D" w:rsidRPr="004540B2" w:rsidRDefault="00E56D2D" w:rsidP="00E56D2D">
      <w:pPr>
        <w:rPr>
          <w:rFonts w:ascii="Cambria" w:hAnsi="Cambria"/>
        </w:rPr>
      </w:pPr>
    </w:p>
    <w:sectPr w:rsidR="00E56D2D" w:rsidRPr="004540B2" w:rsidSect="00BE100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72463" w14:textId="77777777" w:rsidR="00D86357" w:rsidRDefault="00D86357" w:rsidP="00E56D2D">
      <w:pPr>
        <w:spacing w:after="0" w:line="240" w:lineRule="auto"/>
        <w:rPr>
          <w:rFonts w:hint="eastAsia"/>
        </w:rPr>
      </w:pPr>
      <w:r>
        <w:separator/>
      </w:r>
    </w:p>
  </w:endnote>
  <w:endnote w:type="continuationSeparator" w:id="0">
    <w:p w14:paraId="52865CFA" w14:textId="77777777" w:rsidR="00D86357" w:rsidRDefault="00D86357" w:rsidP="00E56D2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13633" w14:textId="77777777" w:rsidR="00D86357" w:rsidRDefault="00D86357" w:rsidP="00E56D2D">
      <w:pPr>
        <w:spacing w:after="0" w:line="240" w:lineRule="auto"/>
        <w:rPr>
          <w:rFonts w:hint="eastAsia"/>
        </w:rPr>
      </w:pPr>
      <w:r>
        <w:separator/>
      </w:r>
    </w:p>
  </w:footnote>
  <w:footnote w:type="continuationSeparator" w:id="0">
    <w:p w14:paraId="4E9D4CD6" w14:textId="77777777" w:rsidR="00D86357" w:rsidRDefault="00D86357" w:rsidP="00E56D2D">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B2"/>
    <w:rsid w:val="00015A2A"/>
    <w:rsid w:val="000E41E1"/>
    <w:rsid w:val="002A51FB"/>
    <w:rsid w:val="004540B2"/>
    <w:rsid w:val="004876B1"/>
    <w:rsid w:val="004A6DE5"/>
    <w:rsid w:val="005253BF"/>
    <w:rsid w:val="00664FDB"/>
    <w:rsid w:val="0068659A"/>
    <w:rsid w:val="006E14B2"/>
    <w:rsid w:val="007524A9"/>
    <w:rsid w:val="007811B2"/>
    <w:rsid w:val="007C3C97"/>
    <w:rsid w:val="0090001A"/>
    <w:rsid w:val="009565E1"/>
    <w:rsid w:val="00AD29D0"/>
    <w:rsid w:val="00B41B3D"/>
    <w:rsid w:val="00B516B7"/>
    <w:rsid w:val="00B77FD8"/>
    <w:rsid w:val="00BE100A"/>
    <w:rsid w:val="00C47488"/>
    <w:rsid w:val="00C661EB"/>
    <w:rsid w:val="00C77905"/>
    <w:rsid w:val="00C80503"/>
    <w:rsid w:val="00D165E0"/>
    <w:rsid w:val="00D35150"/>
    <w:rsid w:val="00D604A4"/>
    <w:rsid w:val="00D86357"/>
    <w:rsid w:val="00D8738F"/>
    <w:rsid w:val="00E56D2D"/>
    <w:rsid w:val="00E65FE9"/>
    <w:rsid w:val="00EF5477"/>
    <w:rsid w:val="00F56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7423A"/>
  <w15:chartTrackingRefBased/>
  <w15:docId w15:val="{0E253B55-F232-4BE7-AFAE-1092E198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E14B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E14B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E14B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E14B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E14B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E14B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E14B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14B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E14B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14B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E14B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E14B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E14B2"/>
    <w:rPr>
      <w:rFonts w:cstheme="majorBidi"/>
      <w:color w:val="0F4761" w:themeColor="accent1" w:themeShade="BF"/>
      <w:sz w:val="28"/>
      <w:szCs w:val="28"/>
    </w:rPr>
  </w:style>
  <w:style w:type="character" w:customStyle="1" w:styleId="50">
    <w:name w:val="标题 5 字符"/>
    <w:basedOn w:val="a0"/>
    <w:link w:val="5"/>
    <w:uiPriority w:val="9"/>
    <w:semiHidden/>
    <w:rsid w:val="006E14B2"/>
    <w:rPr>
      <w:rFonts w:cstheme="majorBidi"/>
      <w:color w:val="0F4761" w:themeColor="accent1" w:themeShade="BF"/>
      <w:sz w:val="24"/>
    </w:rPr>
  </w:style>
  <w:style w:type="character" w:customStyle="1" w:styleId="60">
    <w:name w:val="标题 6 字符"/>
    <w:basedOn w:val="a0"/>
    <w:link w:val="6"/>
    <w:uiPriority w:val="9"/>
    <w:semiHidden/>
    <w:rsid w:val="006E14B2"/>
    <w:rPr>
      <w:rFonts w:cstheme="majorBidi"/>
      <w:b/>
      <w:bCs/>
      <w:color w:val="0F4761" w:themeColor="accent1" w:themeShade="BF"/>
    </w:rPr>
  </w:style>
  <w:style w:type="character" w:customStyle="1" w:styleId="70">
    <w:name w:val="标题 7 字符"/>
    <w:basedOn w:val="a0"/>
    <w:link w:val="7"/>
    <w:uiPriority w:val="9"/>
    <w:semiHidden/>
    <w:rsid w:val="006E14B2"/>
    <w:rPr>
      <w:rFonts w:cstheme="majorBidi"/>
      <w:b/>
      <w:bCs/>
      <w:color w:val="595959" w:themeColor="text1" w:themeTint="A6"/>
    </w:rPr>
  </w:style>
  <w:style w:type="character" w:customStyle="1" w:styleId="80">
    <w:name w:val="标题 8 字符"/>
    <w:basedOn w:val="a0"/>
    <w:link w:val="8"/>
    <w:uiPriority w:val="9"/>
    <w:semiHidden/>
    <w:rsid w:val="006E14B2"/>
    <w:rPr>
      <w:rFonts w:cstheme="majorBidi"/>
      <w:color w:val="595959" w:themeColor="text1" w:themeTint="A6"/>
    </w:rPr>
  </w:style>
  <w:style w:type="character" w:customStyle="1" w:styleId="90">
    <w:name w:val="标题 9 字符"/>
    <w:basedOn w:val="a0"/>
    <w:link w:val="9"/>
    <w:uiPriority w:val="9"/>
    <w:semiHidden/>
    <w:rsid w:val="006E14B2"/>
    <w:rPr>
      <w:rFonts w:eastAsiaTheme="majorEastAsia" w:cstheme="majorBidi"/>
      <w:color w:val="595959" w:themeColor="text1" w:themeTint="A6"/>
    </w:rPr>
  </w:style>
  <w:style w:type="paragraph" w:styleId="a3">
    <w:name w:val="Title"/>
    <w:basedOn w:val="a"/>
    <w:next w:val="a"/>
    <w:link w:val="a4"/>
    <w:uiPriority w:val="10"/>
    <w:qFormat/>
    <w:rsid w:val="006E14B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14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14B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14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14B2"/>
    <w:pPr>
      <w:spacing w:before="160"/>
      <w:jc w:val="center"/>
    </w:pPr>
    <w:rPr>
      <w:i/>
      <w:iCs/>
      <w:color w:val="404040" w:themeColor="text1" w:themeTint="BF"/>
    </w:rPr>
  </w:style>
  <w:style w:type="character" w:customStyle="1" w:styleId="a8">
    <w:name w:val="引用 字符"/>
    <w:basedOn w:val="a0"/>
    <w:link w:val="a7"/>
    <w:uiPriority w:val="29"/>
    <w:rsid w:val="006E14B2"/>
    <w:rPr>
      <w:i/>
      <w:iCs/>
      <w:color w:val="404040" w:themeColor="text1" w:themeTint="BF"/>
    </w:rPr>
  </w:style>
  <w:style w:type="paragraph" w:styleId="a9">
    <w:name w:val="List Paragraph"/>
    <w:basedOn w:val="a"/>
    <w:uiPriority w:val="34"/>
    <w:qFormat/>
    <w:rsid w:val="006E14B2"/>
    <w:pPr>
      <w:ind w:left="720"/>
      <w:contextualSpacing/>
    </w:pPr>
  </w:style>
  <w:style w:type="character" w:styleId="aa">
    <w:name w:val="Intense Emphasis"/>
    <w:basedOn w:val="a0"/>
    <w:uiPriority w:val="21"/>
    <w:qFormat/>
    <w:rsid w:val="006E14B2"/>
    <w:rPr>
      <w:i/>
      <w:iCs/>
      <w:color w:val="0F4761" w:themeColor="accent1" w:themeShade="BF"/>
    </w:rPr>
  </w:style>
  <w:style w:type="paragraph" w:styleId="ab">
    <w:name w:val="Intense Quote"/>
    <w:basedOn w:val="a"/>
    <w:next w:val="a"/>
    <w:link w:val="ac"/>
    <w:uiPriority w:val="30"/>
    <w:qFormat/>
    <w:rsid w:val="006E1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E14B2"/>
    <w:rPr>
      <w:i/>
      <w:iCs/>
      <w:color w:val="0F4761" w:themeColor="accent1" w:themeShade="BF"/>
    </w:rPr>
  </w:style>
  <w:style w:type="character" w:styleId="ad">
    <w:name w:val="Intense Reference"/>
    <w:basedOn w:val="a0"/>
    <w:uiPriority w:val="32"/>
    <w:qFormat/>
    <w:rsid w:val="006E14B2"/>
    <w:rPr>
      <w:b/>
      <w:bCs/>
      <w:smallCaps/>
      <w:color w:val="0F4761" w:themeColor="accent1" w:themeShade="BF"/>
      <w:spacing w:val="5"/>
    </w:rPr>
  </w:style>
  <w:style w:type="paragraph" w:styleId="ae">
    <w:name w:val="header"/>
    <w:basedOn w:val="a"/>
    <w:link w:val="af"/>
    <w:uiPriority w:val="99"/>
    <w:unhideWhenUsed/>
    <w:rsid w:val="00E56D2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56D2D"/>
    <w:rPr>
      <w:sz w:val="18"/>
      <w:szCs w:val="18"/>
    </w:rPr>
  </w:style>
  <w:style w:type="paragraph" w:styleId="af0">
    <w:name w:val="footer"/>
    <w:basedOn w:val="a"/>
    <w:link w:val="af1"/>
    <w:uiPriority w:val="99"/>
    <w:unhideWhenUsed/>
    <w:rsid w:val="00E56D2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56D2D"/>
    <w:rPr>
      <w:sz w:val="18"/>
      <w:szCs w:val="18"/>
    </w:rPr>
  </w:style>
  <w:style w:type="paragraph" w:styleId="af2">
    <w:name w:val="Normal (Web)"/>
    <w:basedOn w:val="a"/>
    <w:uiPriority w:val="99"/>
    <w:unhideWhenUsed/>
    <w:rsid w:val="00E56D2D"/>
    <w:pPr>
      <w:widowControl/>
      <w:spacing w:before="100" w:beforeAutospacing="1" w:after="100" w:afterAutospacing="1" w:line="240" w:lineRule="auto"/>
    </w:pPr>
    <w:rPr>
      <w:rFonts w:ascii="宋体" w:eastAsia="宋体" w:hAnsi="宋体" w:cs="宋体"/>
      <w:kern w:val="0"/>
      <w:sz w:val="24"/>
      <w14:ligatures w14:val="none"/>
    </w:rPr>
  </w:style>
  <w:style w:type="character" w:styleId="af3">
    <w:name w:val="Strong"/>
    <w:basedOn w:val="a0"/>
    <w:uiPriority w:val="22"/>
    <w:qFormat/>
    <w:rsid w:val="00E56D2D"/>
    <w:rPr>
      <w:b/>
      <w:bCs/>
    </w:rPr>
  </w:style>
  <w:style w:type="character" w:styleId="af4">
    <w:name w:val="line number"/>
    <w:basedOn w:val="a0"/>
    <w:uiPriority w:val="99"/>
    <w:semiHidden/>
    <w:unhideWhenUsed/>
    <w:rsid w:val="004540B2"/>
  </w:style>
  <w:style w:type="table" w:styleId="af5">
    <w:name w:val="Table Grid"/>
    <w:basedOn w:val="a1"/>
    <w:uiPriority w:val="39"/>
    <w:rsid w:val="00752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3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F4E23-EE26-4867-9122-3E6A180C3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王子威</dc:creator>
  <cp:keywords/>
  <dc:description/>
  <cp:lastModifiedBy>王子威</cp:lastModifiedBy>
  <cp:revision>17</cp:revision>
  <dcterms:created xsi:type="dcterms:W3CDTF">2025-06-08T16:54:00Z</dcterms:created>
  <dcterms:modified xsi:type="dcterms:W3CDTF">2025-12-09T08:07:00Z</dcterms:modified>
</cp:coreProperties>
</file>