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1A755">
      <w:pPr>
        <w:pStyle w:val="8"/>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Supplementary Figure Legend</w:t>
      </w:r>
    </w:p>
    <w:p w14:paraId="2B6E4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b/>
          <w:bCs/>
          <w:kern w:val="2"/>
          <w:sz w:val="24"/>
          <w:szCs w:val="24"/>
          <w:lang w:val="en-US" w:eastAsia="zh-CN" w:bidi="ar"/>
        </w:rPr>
      </w:pPr>
      <w:r>
        <w:rPr>
          <w:rFonts w:hint="default" w:ascii="Times New Roman" w:hAnsi="Times New Roman" w:eastAsia="宋体" w:cs="Times New Roman"/>
          <w:b/>
          <w:bCs/>
          <w:kern w:val="2"/>
          <w:sz w:val="24"/>
          <w:szCs w:val="24"/>
          <w:lang w:val="en-US" w:eastAsia="zh-CN" w:bidi="ar"/>
        </w:rPr>
        <w:drawing>
          <wp:inline distT="0" distB="0" distL="114300" distR="114300">
            <wp:extent cx="5972175" cy="6134100"/>
            <wp:effectExtent l="0" t="0" r="0" b="0"/>
            <wp:docPr id="2" name="图片 2"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1"/>
                    <pic:cNvPicPr>
                      <a:picLocks noChangeAspect="1"/>
                    </pic:cNvPicPr>
                  </pic:nvPicPr>
                  <pic:blipFill>
                    <a:blip r:embed="rId4"/>
                    <a:stretch>
                      <a:fillRect/>
                    </a:stretch>
                  </pic:blipFill>
                  <pic:spPr>
                    <a:xfrm>
                      <a:off x="0" y="0"/>
                      <a:ext cx="5972175" cy="6134100"/>
                    </a:xfrm>
                    <a:prstGeom prst="rect">
                      <a:avLst/>
                    </a:prstGeom>
                  </pic:spPr>
                </pic:pic>
              </a:graphicData>
            </a:graphic>
          </wp:inline>
        </w:drawing>
      </w:r>
    </w:p>
    <w:p w14:paraId="3E7D7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S1</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 xml:space="preserve">ANOSIM analysis of gut microbiota at the genus level based on metagenomic data. </w:t>
      </w:r>
      <w:r>
        <w:rPr>
          <w:rFonts w:hint="default" w:ascii="Times New Roman" w:hAnsi="Times New Roman" w:eastAsia="宋体" w:cs="Times New Roman"/>
          <w:b w:val="0"/>
          <w:bCs w:val="0"/>
          <w:kern w:val="2"/>
          <w:sz w:val="24"/>
          <w:szCs w:val="24"/>
          <w:lang w:val="en-US" w:eastAsia="zh-CN" w:bidi="ar"/>
        </w:rPr>
        <w:t>An R</w:t>
      </w:r>
      <w:r>
        <w:rPr>
          <w:rFonts w:hint="eastAsia" w:ascii="Times New Roman" w:hAnsi="Times New Roman" w:eastAsia="宋体" w:cs="Times New Roman"/>
          <w:b w:val="0"/>
          <w:bCs w:val="0"/>
          <w:kern w:val="2"/>
          <w:sz w:val="24"/>
          <w:szCs w:val="24"/>
          <w:lang w:val="en-US" w:eastAsia="zh-CN" w:bidi="ar"/>
        </w:rPr>
        <w:t xml:space="preserve"> </w:t>
      </w:r>
      <w:r>
        <w:rPr>
          <w:rFonts w:hint="default" w:ascii="Times New Roman" w:hAnsi="Times New Roman" w:eastAsia="宋体" w:cs="Times New Roman"/>
          <w:b w:val="0"/>
          <w:bCs w:val="0"/>
          <w:kern w:val="2"/>
          <w:sz w:val="24"/>
          <w:szCs w:val="24"/>
          <w:lang w:val="en-US" w:eastAsia="zh-CN" w:bidi="ar"/>
        </w:rPr>
        <w:t xml:space="preserve">value &gt; 0 indicates that between-group differences are more significant than within-group differences, while an R-value &lt; 0 suggests the opposite. A </w:t>
      </w:r>
      <w:r>
        <w:rPr>
          <w:rFonts w:hint="eastAsia" w:ascii="Times New Roman" w:hAnsi="Times New Roman" w:eastAsia="宋体" w:cs="Times New Roman"/>
          <w:b w:val="0"/>
          <w:bCs w:val="0"/>
          <w:i/>
          <w:iCs/>
          <w:kern w:val="2"/>
          <w:sz w:val="24"/>
          <w:szCs w:val="24"/>
          <w:lang w:val="en-US" w:eastAsia="zh-CN" w:bidi="ar"/>
        </w:rPr>
        <w:t>p</w:t>
      </w:r>
      <w:r>
        <w:rPr>
          <w:rFonts w:hint="eastAsia" w:ascii="Times New Roman" w:hAnsi="Times New Roman" w:eastAsia="宋体" w:cs="Times New Roman"/>
          <w:b w:val="0"/>
          <w:bCs w:val="0"/>
          <w:kern w:val="2"/>
          <w:sz w:val="24"/>
          <w:szCs w:val="24"/>
          <w:lang w:val="en-US" w:eastAsia="zh-CN" w:bidi="ar"/>
        </w:rPr>
        <w:t xml:space="preserve"> </w:t>
      </w:r>
      <w:r>
        <w:rPr>
          <w:rFonts w:hint="default" w:ascii="Times New Roman" w:hAnsi="Times New Roman" w:eastAsia="宋体" w:cs="Times New Roman"/>
          <w:b w:val="0"/>
          <w:bCs w:val="0"/>
          <w:kern w:val="2"/>
          <w:sz w:val="24"/>
          <w:szCs w:val="24"/>
          <w:lang w:val="en-US" w:eastAsia="zh-CN" w:bidi="ar"/>
        </w:rPr>
        <w:t>value &lt; 0.05 indicates statistical significance.</w:t>
      </w:r>
    </w:p>
    <w:p w14:paraId="5D5CB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p>
    <w:p w14:paraId="2199A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3876040"/>
            <wp:effectExtent l="0" t="0" r="0" b="635"/>
            <wp:docPr id="3" name="图片 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2"/>
                    <pic:cNvPicPr>
                      <a:picLocks noChangeAspect="1"/>
                    </pic:cNvPicPr>
                  </pic:nvPicPr>
                  <pic:blipFill>
                    <a:blip r:embed="rId5"/>
                    <a:stretch>
                      <a:fillRect/>
                    </a:stretch>
                  </pic:blipFill>
                  <pic:spPr>
                    <a:xfrm>
                      <a:off x="0" y="0"/>
                      <a:ext cx="5972175" cy="3876040"/>
                    </a:xfrm>
                    <a:prstGeom prst="rect">
                      <a:avLst/>
                    </a:prstGeom>
                  </pic:spPr>
                </pic:pic>
              </a:graphicData>
            </a:graphic>
          </wp:inline>
        </w:drawing>
      </w:r>
    </w:p>
    <w:p w14:paraId="6DB66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S2</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Overview of gut microbiota structure across groups.</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val="0"/>
          <w:bCs w:val="0"/>
          <w:kern w:val="2"/>
          <w:sz w:val="24"/>
          <w:szCs w:val="24"/>
          <w:lang w:val="en-US" w:eastAsia="zh-CN" w:bidi="ar"/>
        </w:rPr>
        <w:t>A: Gene counts in each group based on metagenomic sequencing; B: Venn diagram showing the shared and unique genes among groups based on metagenomic sequencing; C: Phylogenetic tree of the top 50 genera are identified by 16S r</w:t>
      </w:r>
      <w:r>
        <w:rPr>
          <w:rFonts w:hint="eastAsia" w:ascii="Times New Roman" w:hAnsi="Times New Roman" w:eastAsia="宋体" w:cs="Times New Roman"/>
          <w:b w:val="0"/>
          <w:bCs w:val="0"/>
          <w:kern w:val="2"/>
          <w:sz w:val="24"/>
          <w:szCs w:val="24"/>
          <w:lang w:val="en-US" w:eastAsia="zh-CN" w:bidi="ar"/>
        </w:rPr>
        <w:t>D</w:t>
      </w:r>
      <w:r>
        <w:rPr>
          <w:rFonts w:hint="default" w:ascii="Times New Roman" w:hAnsi="Times New Roman" w:eastAsia="宋体" w:cs="Times New Roman"/>
          <w:b w:val="0"/>
          <w:bCs w:val="0"/>
          <w:kern w:val="2"/>
          <w:sz w:val="24"/>
          <w:szCs w:val="24"/>
          <w:lang w:val="en-US" w:eastAsia="zh-CN" w:bidi="ar"/>
        </w:rPr>
        <w:t>NA amplicon sequencing. Sector colors represent d</w:t>
      </w:r>
      <w:r>
        <w:rPr>
          <w:rFonts w:hint="default" w:ascii="Times New Roman" w:hAnsi="Times New Roman" w:eastAsia="宋体" w:cs="Times New Roman"/>
          <w:kern w:val="2"/>
          <w:sz w:val="24"/>
          <w:szCs w:val="24"/>
          <w:lang w:val="en-US" w:eastAsia="zh-CN" w:bidi="ar"/>
        </w:rPr>
        <w:t>ifferent phyla; stacked bar plots on the outer rings indicate genus-level abundance across groups. The left-side annotation indicates group identity and the color legend denotes phylum-level classification.</w:t>
      </w:r>
    </w:p>
    <w:p w14:paraId="67336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p>
    <w:p w14:paraId="7468D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2047240"/>
            <wp:effectExtent l="0" t="0" r="0" b="635"/>
            <wp:docPr id="4" name="图片 4"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3"/>
                    <pic:cNvPicPr>
                      <a:picLocks noChangeAspect="1"/>
                    </pic:cNvPicPr>
                  </pic:nvPicPr>
                  <pic:blipFill>
                    <a:blip r:embed="rId6"/>
                    <a:stretch>
                      <a:fillRect/>
                    </a:stretch>
                  </pic:blipFill>
                  <pic:spPr>
                    <a:xfrm>
                      <a:off x="0" y="0"/>
                      <a:ext cx="5972175" cy="2047240"/>
                    </a:xfrm>
                    <a:prstGeom prst="rect">
                      <a:avLst/>
                    </a:prstGeom>
                  </pic:spPr>
                </pic:pic>
              </a:graphicData>
            </a:graphic>
          </wp:inline>
        </w:drawing>
      </w:r>
    </w:p>
    <w:p w14:paraId="2FCB3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S3</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Enterotype analysis at the genus level based on 16S r</w:t>
      </w:r>
      <w:r>
        <w:rPr>
          <w:rFonts w:hint="eastAsia" w:ascii="Times New Roman" w:hAnsi="Times New Roman" w:eastAsia="宋体" w:cs="Times New Roman"/>
          <w:b/>
          <w:bCs/>
          <w:kern w:val="2"/>
          <w:sz w:val="24"/>
          <w:szCs w:val="24"/>
          <w:lang w:val="en-US" w:eastAsia="zh-CN" w:bidi="ar"/>
        </w:rPr>
        <w:t>D</w:t>
      </w:r>
      <w:r>
        <w:rPr>
          <w:rFonts w:hint="default" w:ascii="Times New Roman" w:hAnsi="Times New Roman" w:eastAsia="宋体" w:cs="Times New Roman"/>
          <w:b/>
          <w:bCs/>
          <w:kern w:val="2"/>
          <w:sz w:val="24"/>
          <w:szCs w:val="24"/>
          <w:lang w:val="en-US" w:eastAsia="zh-CN" w:bidi="ar"/>
        </w:rPr>
        <w:t>NA amplicon sequencing.</w:t>
      </w:r>
      <w:r>
        <w:rPr>
          <w:rFonts w:hint="default" w:ascii="Times New Roman" w:hAnsi="Times New Roman" w:eastAsia="宋体" w:cs="Times New Roman"/>
          <w:b w:val="0"/>
          <w:bCs w:val="0"/>
          <w:kern w:val="2"/>
          <w:sz w:val="24"/>
          <w:szCs w:val="24"/>
          <w:lang w:val="en-US" w:eastAsia="zh-CN" w:bidi="ar"/>
        </w:rPr>
        <w:t xml:space="preserve"> A: The calinski-</w:t>
      </w:r>
      <w:r>
        <w:rPr>
          <w:rFonts w:hint="eastAsia" w:ascii="Times New Roman" w:hAnsi="Times New Roman" w:eastAsia="宋体" w:cs="Times New Roman"/>
          <w:b w:val="0"/>
          <w:bCs w:val="0"/>
          <w:kern w:val="2"/>
          <w:sz w:val="24"/>
          <w:szCs w:val="24"/>
          <w:lang w:val="en-US" w:eastAsia="zh-CN" w:bidi="ar"/>
        </w:rPr>
        <w:t>h</w:t>
      </w:r>
      <w:r>
        <w:rPr>
          <w:rFonts w:hint="default" w:ascii="Times New Roman" w:hAnsi="Times New Roman" w:eastAsia="宋体" w:cs="Times New Roman"/>
          <w:b w:val="0"/>
          <w:bCs w:val="0"/>
          <w:kern w:val="2"/>
          <w:sz w:val="24"/>
          <w:szCs w:val="24"/>
          <w:lang w:val="en-US" w:eastAsia="zh-CN" w:bidi="ar"/>
        </w:rPr>
        <w:t xml:space="preserve">arabasz index indicates optimal clustering into three enterotypes; B: Samples were distributed across the three identified enterotypes, dominated by </w:t>
      </w:r>
      <w:r>
        <w:rPr>
          <w:rFonts w:hint="default" w:ascii="Times New Roman" w:hAnsi="Times New Roman" w:eastAsia="宋体" w:cs="Times New Roman"/>
          <w:b w:val="0"/>
          <w:bCs w:val="0"/>
          <w:i/>
          <w:iCs/>
          <w:kern w:val="2"/>
          <w:sz w:val="24"/>
          <w:szCs w:val="24"/>
          <w:lang w:val="en-US" w:eastAsia="zh-CN" w:bidi="ar"/>
        </w:rPr>
        <w:t>Bacteroides</w:t>
      </w:r>
      <w:r>
        <w:rPr>
          <w:rFonts w:hint="default" w:ascii="Times New Roman" w:hAnsi="Times New Roman" w:eastAsia="宋体" w:cs="Times New Roman"/>
          <w:b w:val="0"/>
          <w:bCs w:val="0"/>
          <w:kern w:val="2"/>
          <w:sz w:val="24"/>
          <w:szCs w:val="24"/>
          <w:lang w:val="en-US" w:eastAsia="zh-CN" w:bidi="ar"/>
        </w:rPr>
        <w:t xml:space="preserve">, </w:t>
      </w:r>
      <w:r>
        <w:rPr>
          <w:rFonts w:hint="default" w:ascii="Times New Roman" w:hAnsi="Times New Roman" w:eastAsia="宋体" w:cs="Times New Roman"/>
          <w:b w:val="0"/>
          <w:bCs w:val="0"/>
          <w:i/>
          <w:iCs/>
          <w:kern w:val="2"/>
          <w:sz w:val="24"/>
          <w:szCs w:val="24"/>
          <w:lang w:val="en-US" w:eastAsia="zh-CN" w:bidi="ar"/>
        </w:rPr>
        <w:t>Faecalibacterium</w:t>
      </w:r>
      <w:r>
        <w:rPr>
          <w:rFonts w:hint="default" w:ascii="Times New Roman" w:hAnsi="Times New Roman" w:eastAsia="宋体" w:cs="Times New Roman"/>
          <w:b w:val="0"/>
          <w:bCs w:val="0"/>
          <w:kern w:val="2"/>
          <w:sz w:val="24"/>
          <w:szCs w:val="24"/>
          <w:lang w:val="en-US" w:eastAsia="zh-CN" w:bidi="ar"/>
        </w:rPr>
        <w:t xml:space="preserve">, and </w:t>
      </w:r>
      <w:r>
        <w:rPr>
          <w:rFonts w:hint="default" w:ascii="Times New Roman" w:hAnsi="Times New Roman" w:eastAsia="宋体" w:cs="Times New Roman"/>
          <w:b w:val="0"/>
          <w:bCs w:val="0"/>
          <w:i/>
          <w:iCs/>
          <w:kern w:val="2"/>
          <w:sz w:val="24"/>
          <w:szCs w:val="24"/>
          <w:lang w:val="en-US" w:eastAsia="zh-CN" w:bidi="ar"/>
        </w:rPr>
        <w:t>Escherichia-Shigella</w:t>
      </w:r>
      <w:r>
        <w:rPr>
          <w:rFonts w:hint="default" w:ascii="Times New Roman" w:hAnsi="Times New Roman" w:eastAsia="宋体" w:cs="Times New Roman"/>
          <w:b w:val="0"/>
          <w:bCs w:val="0"/>
          <w:kern w:val="2"/>
          <w:sz w:val="24"/>
          <w:szCs w:val="24"/>
          <w:lang w:val="en-US" w:eastAsia="zh-CN" w:bidi="ar"/>
        </w:rPr>
        <w:t>, respectively; C: The p</w:t>
      </w:r>
      <w:r>
        <w:rPr>
          <w:rFonts w:hint="default" w:ascii="Times New Roman" w:hAnsi="Times New Roman" w:eastAsia="宋体" w:cs="Times New Roman"/>
          <w:kern w:val="2"/>
          <w:sz w:val="24"/>
          <w:szCs w:val="24"/>
          <w:lang w:val="en-US" w:eastAsia="zh-CN" w:bidi="ar"/>
        </w:rPr>
        <w:t>roportion of samples from each group assigned to the three enterotypes.</w:t>
      </w:r>
    </w:p>
    <w:p w14:paraId="57C64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p>
    <w:p w14:paraId="15BD7C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5297805"/>
            <wp:effectExtent l="0" t="0" r="0" b="7620"/>
            <wp:docPr id="5" name="图片 5"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4"/>
                    <pic:cNvPicPr>
                      <a:picLocks noChangeAspect="1"/>
                    </pic:cNvPicPr>
                  </pic:nvPicPr>
                  <pic:blipFill>
                    <a:blip r:embed="rId7"/>
                    <a:stretch>
                      <a:fillRect/>
                    </a:stretch>
                  </pic:blipFill>
                  <pic:spPr>
                    <a:xfrm>
                      <a:off x="0" y="0"/>
                      <a:ext cx="5972175" cy="5297805"/>
                    </a:xfrm>
                    <a:prstGeom prst="rect">
                      <a:avLst/>
                    </a:prstGeom>
                  </pic:spPr>
                </pic:pic>
              </a:graphicData>
            </a:graphic>
          </wp:inline>
        </w:drawing>
      </w:r>
    </w:p>
    <w:p w14:paraId="1271F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S4</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Overview of untargeted gut metabolomic profiling.</w:t>
      </w:r>
      <w:r>
        <w:rPr>
          <w:rFonts w:hint="default" w:ascii="Times New Roman" w:hAnsi="Times New Roman" w:eastAsia="宋体" w:cs="Times New Roman"/>
          <w:b w:val="0"/>
          <w:bCs w:val="0"/>
          <w:kern w:val="2"/>
          <w:sz w:val="24"/>
          <w:szCs w:val="24"/>
          <w:lang w:val="en-US" w:eastAsia="zh-CN" w:bidi="ar"/>
        </w:rPr>
        <w:t xml:space="preserve"> A-C: Annotation of identified metabolites based on the KEGG, HMDB, and LIPID MAPS databases, respectively; D: Pr</w:t>
      </w:r>
      <w:r>
        <w:rPr>
          <w:rFonts w:hint="default" w:ascii="Times New Roman" w:hAnsi="Times New Roman" w:eastAsia="宋体" w:cs="Times New Roman"/>
          <w:kern w:val="2"/>
          <w:sz w:val="24"/>
          <w:szCs w:val="24"/>
          <w:lang w:val="en-US" w:eastAsia="zh-CN" w:bidi="ar"/>
        </w:rPr>
        <w:t xml:space="preserve">oportional distribution of metabolites according to the ClassyFire (CASS1) classification system. </w:t>
      </w:r>
    </w:p>
    <w:p w14:paraId="51953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4037965"/>
            <wp:effectExtent l="0" t="0" r="0" b="635"/>
            <wp:docPr id="6" name="图片 6"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5"/>
                    <pic:cNvPicPr>
                      <a:picLocks noChangeAspect="1"/>
                    </pic:cNvPicPr>
                  </pic:nvPicPr>
                  <pic:blipFill>
                    <a:blip r:embed="rId8"/>
                    <a:stretch>
                      <a:fillRect/>
                    </a:stretch>
                  </pic:blipFill>
                  <pic:spPr>
                    <a:xfrm>
                      <a:off x="0" y="0"/>
                      <a:ext cx="5972175" cy="4037965"/>
                    </a:xfrm>
                    <a:prstGeom prst="rect">
                      <a:avLst/>
                    </a:prstGeom>
                  </pic:spPr>
                </pic:pic>
              </a:graphicData>
            </a:graphic>
          </wp:inline>
        </w:drawing>
      </w:r>
    </w:p>
    <w:p w14:paraId="39F381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p>
    <w:p w14:paraId="0B2D24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S5 Correlation networks among the top 20 differential metabolites identified by volcano plots.</w:t>
      </w:r>
      <w:r>
        <w:rPr>
          <w:rFonts w:hint="default" w:ascii="Times New Roman" w:hAnsi="Times New Roman" w:eastAsia="宋体" w:cs="Times New Roman"/>
          <w:b w:val="0"/>
          <w:bCs w:val="0"/>
          <w:kern w:val="2"/>
          <w:sz w:val="24"/>
          <w:szCs w:val="24"/>
          <w:lang w:val="en-US" w:eastAsia="zh-CN" w:bidi="ar"/>
        </w:rPr>
        <w:t xml:space="preserve"> A: Top 20 metabolites differing between LC and CG groups; B: Top 20 metabolites differing between HFrEF and CG groups; C: Top 20 metabolites differing between LC and HFrEF groups. The thickness of the red edges reflects the strength of the correlation.</w:t>
      </w:r>
    </w:p>
    <w:p w14:paraId="53AE13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3998595"/>
            <wp:effectExtent l="0" t="0" r="0" b="1905"/>
            <wp:docPr id="7" name="图片 7"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6"/>
                    <pic:cNvPicPr>
                      <a:picLocks noChangeAspect="1"/>
                    </pic:cNvPicPr>
                  </pic:nvPicPr>
                  <pic:blipFill>
                    <a:blip r:embed="rId9"/>
                    <a:stretch>
                      <a:fillRect/>
                    </a:stretch>
                  </pic:blipFill>
                  <pic:spPr>
                    <a:xfrm>
                      <a:off x="0" y="0"/>
                      <a:ext cx="5972175" cy="3998595"/>
                    </a:xfrm>
                    <a:prstGeom prst="rect">
                      <a:avLst/>
                    </a:prstGeom>
                  </pic:spPr>
                </pic:pic>
              </a:graphicData>
            </a:graphic>
          </wp:inline>
        </w:drawing>
      </w:r>
    </w:p>
    <w:p w14:paraId="72D72A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S6. Seven tripeptides significantly decreased in the LC and HFrEF groups.</w:t>
      </w:r>
      <w:r>
        <w:rPr>
          <w:rFonts w:hint="default" w:ascii="Times New Roman" w:hAnsi="Times New Roman" w:eastAsia="宋体" w:cs="Times New Roman"/>
          <w:kern w:val="2"/>
          <w:sz w:val="24"/>
          <w:szCs w:val="24"/>
          <w:lang w:val="en-US" w:eastAsia="zh-CN" w:bidi="ar"/>
        </w:rPr>
        <w:t xml:space="preserve"> A: Arginine Phenylalanine Threonine; B: Arginine Phenylalanine Glutamic acid; C: Tyrosine Valine Arginine; D: Serine Phenylalanine Arginine; E: Glycine Arginine Tyrosine; F: Arginine Valine Phenylalanine; G: Proline Glutamine Histidine.</w:t>
      </w:r>
    </w:p>
    <w:p w14:paraId="35712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5972175" cy="5972175"/>
            <wp:effectExtent l="0" t="0" r="0" b="0"/>
            <wp:docPr id="8" name="图片 8"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7"/>
                    <pic:cNvPicPr>
                      <a:picLocks noChangeAspect="1"/>
                    </pic:cNvPicPr>
                  </pic:nvPicPr>
                  <pic:blipFill>
                    <a:blip r:embed="rId10"/>
                    <a:stretch>
                      <a:fillRect/>
                    </a:stretch>
                  </pic:blipFill>
                  <pic:spPr>
                    <a:xfrm>
                      <a:off x="0" y="0"/>
                      <a:ext cx="5972175" cy="5972175"/>
                    </a:xfrm>
                    <a:prstGeom prst="rect">
                      <a:avLst/>
                    </a:prstGeom>
                  </pic:spPr>
                </pic:pic>
              </a:graphicData>
            </a:graphic>
          </wp:inline>
        </w:drawing>
      </w:r>
    </w:p>
    <w:p w14:paraId="2A0DA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S7.</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Integrated analysis of differential gut metabolites and microbial genera using bidirectional orthogonal partial least squares (O2PLS).</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val="0"/>
          <w:bCs w:val="0"/>
          <w:kern w:val="2"/>
          <w:sz w:val="24"/>
          <w:szCs w:val="24"/>
          <w:lang w:val="en-US" w:eastAsia="zh-CN" w:bidi="ar"/>
        </w:rPr>
        <w:t>A-B: Associations between top five differential genera and metabolites (in negative and positive ion modes) between the LC and CG groups; C-D: Associations between top five differential genera and metabolites (in negative and positive ion modes) between the HFrEF and CG groups. Green circles represent metabolites, and yellow triangles represent bacterial genera. Axes indicate the integrated scores from metabolomic and microbiome data. Greater distance from the origin reflects a higher contribution to the correlation, while closer proximity between points indicates strong associations.</w:t>
      </w:r>
    </w:p>
    <w:p w14:paraId="1631F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val="0"/>
          <w:bCs w:val="0"/>
          <w:kern w:val="2"/>
          <w:sz w:val="24"/>
          <w:szCs w:val="24"/>
          <w:lang w:val="en-US" w:eastAsia="zh-CN" w:bidi="ar"/>
        </w:rPr>
        <w:drawing>
          <wp:inline distT="0" distB="0" distL="114300" distR="114300">
            <wp:extent cx="5967095" cy="3929380"/>
            <wp:effectExtent l="0" t="0" r="5080" b="4445"/>
            <wp:docPr id="1" name="图片 1"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8"/>
                    <pic:cNvPicPr>
                      <a:picLocks noChangeAspect="1"/>
                    </pic:cNvPicPr>
                  </pic:nvPicPr>
                  <pic:blipFill>
                    <a:blip r:embed="rId11"/>
                    <a:stretch>
                      <a:fillRect/>
                    </a:stretch>
                  </pic:blipFill>
                  <pic:spPr>
                    <a:xfrm>
                      <a:off x="0" y="0"/>
                      <a:ext cx="5967095" cy="3929380"/>
                    </a:xfrm>
                    <a:prstGeom prst="rect">
                      <a:avLst/>
                    </a:prstGeom>
                  </pic:spPr>
                </pic:pic>
              </a:graphicData>
            </a:graphic>
          </wp:inline>
        </w:drawing>
      </w:r>
    </w:p>
    <w:p w14:paraId="0646F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uto"/>
        <w:ind w:left="0" w:right="0"/>
        <w:jc w:val="both"/>
        <w:textAlignment w:val="auto"/>
        <w:rPr>
          <w:rFonts w:hint="default" w:ascii="Times New Roman" w:hAnsi="Times New Roman" w:eastAsia="宋体" w:cs="Times New Roman"/>
          <w:b w:val="0"/>
          <w:bCs w:val="0"/>
          <w:kern w:val="2"/>
          <w:sz w:val="24"/>
          <w:szCs w:val="24"/>
          <w:lang w:val="en-US" w:eastAsia="zh-CN" w:bidi="ar"/>
        </w:rPr>
      </w:pPr>
      <w:r>
        <w:rPr>
          <w:rFonts w:hint="default" w:ascii="Times New Roman" w:hAnsi="Times New Roman" w:eastAsia="宋体" w:cs="Times New Roman"/>
          <w:b/>
          <w:bCs/>
          <w:kern w:val="2"/>
          <w:sz w:val="24"/>
          <w:szCs w:val="24"/>
          <w:lang w:val="en-US" w:eastAsia="zh-CN" w:bidi="ar"/>
        </w:rPr>
        <w:t>Figure S</w:t>
      </w:r>
      <w:r>
        <w:rPr>
          <w:rFonts w:hint="eastAsia" w:ascii="Times New Roman" w:hAnsi="Times New Roman" w:eastAsia="宋体" w:cs="Times New Roman"/>
          <w:b/>
          <w:bCs/>
          <w:kern w:val="2"/>
          <w:sz w:val="24"/>
          <w:szCs w:val="24"/>
          <w:lang w:val="en-US" w:eastAsia="zh-CN" w:bidi="ar"/>
        </w:rPr>
        <w:t>8</w:t>
      </w:r>
      <w:r>
        <w:rPr>
          <w:rFonts w:hint="default" w:ascii="Times New Roman" w:hAnsi="Times New Roman" w:eastAsia="宋体" w:cs="Times New Roman"/>
          <w:b/>
          <w:bCs/>
          <w:kern w:val="2"/>
          <w:sz w:val="24"/>
          <w:szCs w:val="24"/>
          <w:lang w:val="en-US" w:eastAsia="zh-CN" w:bidi="ar"/>
        </w:rPr>
        <w:t>.</w:t>
      </w:r>
      <w:r>
        <w:rPr>
          <w:rFonts w:hint="eastAsia" w:ascii="Times New Roman" w:hAnsi="Times New Roman" w:eastAsia="宋体" w:cs="Times New Roman"/>
          <w:b/>
          <w:bCs/>
          <w:kern w:val="2"/>
          <w:sz w:val="24"/>
          <w:szCs w:val="24"/>
          <w:lang w:val="en-US" w:eastAsia="zh-CN" w:bidi="ar"/>
        </w:rPr>
        <w:t xml:space="preserve"> Spearman correlation analysis between differential gut microbial taxa and metabolic biomarkers. </w:t>
      </w:r>
      <w:r>
        <w:rPr>
          <w:rFonts w:hint="eastAsia" w:ascii="Times New Roman" w:hAnsi="Times New Roman" w:eastAsia="宋体" w:cs="Times New Roman"/>
          <w:b w:val="0"/>
          <w:bCs w:val="0"/>
          <w:kern w:val="2"/>
          <w:sz w:val="24"/>
          <w:szCs w:val="24"/>
          <w:lang w:val="en-US" w:eastAsia="zh-CN" w:bidi="ar"/>
        </w:rPr>
        <w:t>(*</w:t>
      </w:r>
      <w:r>
        <w:rPr>
          <w:rFonts w:hint="eastAsia" w:ascii="Times New Roman" w:hAnsi="Times New Roman" w:eastAsia="宋体" w:cs="Times New Roman"/>
          <w:b w:val="0"/>
          <w:bCs w:val="0"/>
          <w:i/>
          <w:iCs/>
          <w:kern w:val="2"/>
          <w:sz w:val="24"/>
          <w:szCs w:val="24"/>
          <w:lang w:val="en-US" w:eastAsia="zh-CN" w:bidi="ar"/>
        </w:rPr>
        <w:t xml:space="preserve">p </w:t>
      </w:r>
      <w:bookmarkStart w:id="0" w:name="_GoBack"/>
      <w:bookmarkEnd w:id="0"/>
      <w:r>
        <w:rPr>
          <w:rFonts w:hint="eastAsia" w:ascii="Times New Roman" w:hAnsi="Times New Roman" w:eastAsia="宋体" w:cs="Times New Roman"/>
          <w:b w:val="0"/>
          <w:bCs w:val="0"/>
          <w:kern w:val="2"/>
          <w:sz w:val="24"/>
          <w:szCs w:val="24"/>
          <w:lang w:val="en-US" w:eastAsia="zh-CN" w:bidi="ar"/>
        </w:rPr>
        <w:t>&lt; 0.05, **</w:t>
      </w:r>
      <w:r>
        <w:rPr>
          <w:rFonts w:hint="eastAsia" w:ascii="Times New Roman" w:hAnsi="Times New Roman" w:eastAsia="宋体" w:cs="Times New Roman"/>
          <w:b w:val="0"/>
          <w:bCs w:val="0"/>
          <w:i/>
          <w:iCs/>
          <w:kern w:val="2"/>
          <w:sz w:val="24"/>
          <w:szCs w:val="24"/>
          <w:lang w:val="en-US" w:eastAsia="zh-CN" w:bidi="ar"/>
        </w:rPr>
        <w:t xml:space="preserve">p </w:t>
      </w:r>
      <w:r>
        <w:rPr>
          <w:rFonts w:hint="eastAsia" w:ascii="Times New Roman" w:hAnsi="Times New Roman" w:eastAsia="宋体" w:cs="Times New Roman"/>
          <w:b w:val="0"/>
          <w:bCs w:val="0"/>
          <w:kern w:val="2"/>
          <w:sz w:val="24"/>
          <w:szCs w:val="24"/>
          <w:lang w:val="en-US" w:eastAsia="zh-CN" w:bidi="ar"/>
        </w:rPr>
        <w:t>&lt; 0.01, ***</w:t>
      </w:r>
      <w:r>
        <w:rPr>
          <w:rFonts w:hint="eastAsia" w:ascii="Times New Roman" w:hAnsi="Times New Roman" w:eastAsia="宋体" w:cs="Times New Roman"/>
          <w:b w:val="0"/>
          <w:bCs w:val="0"/>
          <w:i/>
          <w:iCs/>
          <w:kern w:val="2"/>
          <w:sz w:val="24"/>
          <w:szCs w:val="24"/>
          <w:lang w:val="en-US" w:eastAsia="zh-CN" w:bidi="ar"/>
        </w:rPr>
        <w:t xml:space="preserve">p </w:t>
      </w:r>
      <w:r>
        <w:rPr>
          <w:rFonts w:hint="eastAsia" w:ascii="Times New Roman" w:hAnsi="Times New Roman" w:eastAsia="宋体" w:cs="Times New Roman"/>
          <w:b w:val="0"/>
          <w:bCs w:val="0"/>
          <w:kern w:val="2"/>
          <w:sz w:val="24"/>
          <w:szCs w:val="24"/>
          <w:lang w:val="en-US" w:eastAsia="zh-CN" w:bidi="ar"/>
        </w:rPr>
        <w:t>&lt; 0.001)</w:t>
      </w:r>
    </w:p>
    <w:sectPr>
      <w:pgSz w:w="12240" w:h="15840"/>
      <w:pgMar w:top="1417" w:right="1417" w:bottom="1417" w:left="1417"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26C71"/>
    <w:rsid w:val="0E0A4C8C"/>
    <w:rsid w:val="104D641E"/>
    <w:rsid w:val="121C2511"/>
    <w:rsid w:val="1CE539BD"/>
    <w:rsid w:val="2AC0755D"/>
    <w:rsid w:val="2C7130F9"/>
    <w:rsid w:val="30D86F86"/>
    <w:rsid w:val="332E4E75"/>
    <w:rsid w:val="35C72D60"/>
    <w:rsid w:val="3C432C9E"/>
    <w:rsid w:val="3F4B2857"/>
    <w:rsid w:val="3F9B561F"/>
    <w:rsid w:val="41031B51"/>
    <w:rsid w:val="439B478B"/>
    <w:rsid w:val="475B47E7"/>
    <w:rsid w:val="4C135EF8"/>
    <w:rsid w:val="4C8C5A08"/>
    <w:rsid w:val="4CFF2296"/>
    <w:rsid w:val="4E3D5399"/>
    <w:rsid w:val="4F1A2242"/>
    <w:rsid w:val="53467600"/>
    <w:rsid w:val="594604CC"/>
    <w:rsid w:val="5AF820D3"/>
    <w:rsid w:val="5D4C34D0"/>
    <w:rsid w:val="5D5E76A4"/>
    <w:rsid w:val="687A31A5"/>
    <w:rsid w:val="6A500FC6"/>
    <w:rsid w:val="70B87CCA"/>
    <w:rsid w:val="73BB62CA"/>
    <w:rsid w:val="74851FD2"/>
    <w:rsid w:val="7BBE7E88"/>
    <w:rsid w:val="7C001E43"/>
    <w:rsid w:val="7EFB0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customStyle="1" w:styleId="6">
    <w:name w:val="自定义样式1"/>
    <w:basedOn w:val="3"/>
    <w:next w:val="1"/>
    <w:qFormat/>
    <w:uiPriority w:val="0"/>
    <w:pPr>
      <w:keepNext/>
      <w:keepLines/>
      <w:spacing w:beforeLines="0" w:line="360" w:lineRule="auto"/>
      <w:outlineLvl w:val="1"/>
    </w:pPr>
    <w:rPr>
      <w:rFonts w:ascii="Times New Roman" w:hAnsi="Times New Roman" w:eastAsia="宋体"/>
      <w:b/>
      <w:sz w:val="28"/>
      <w:szCs w:val="22"/>
      <w14:ligatures w14:val="standardContextual"/>
    </w:rPr>
  </w:style>
  <w:style w:type="paragraph" w:customStyle="1" w:styleId="7">
    <w:name w:val="自定义样式2"/>
    <w:basedOn w:val="1"/>
    <w:next w:val="3"/>
    <w:qFormat/>
    <w:uiPriority w:val="0"/>
    <w:pPr>
      <w:spacing w:line="360" w:lineRule="auto"/>
    </w:pPr>
    <w:rPr>
      <w:rFonts w:hint="default" w:ascii="Times New Roman" w:hAnsi="Times New Roman" w:eastAsia="宋体" w:cs="Times New Roman"/>
      <w:kern w:val="0"/>
      <w:sz w:val="24"/>
      <w:szCs w:val="24"/>
      <w14:ligatures w14:val="none"/>
    </w:rPr>
  </w:style>
  <w:style w:type="paragraph" w:customStyle="1" w:styleId="8">
    <w:name w:val="自定义1"/>
    <w:basedOn w:val="2"/>
    <w:next w:val="1"/>
    <w:qFormat/>
    <w:uiPriority w:val="0"/>
    <w:pPr>
      <w:keepNext/>
      <w:keepLines/>
      <w:spacing w:beforeLines="0" w:line="360" w:lineRule="auto"/>
      <w:outlineLvl w:val="1"/>
    </w:pPr>
    <w:rPr>
      <w:rFonts w:ascii="Times New Roman" w:hAnsi="Times New Roman" w:eastAsia="宋体"/>
      <w:b w:val="0"/>
      <w:sz w:val="28"/>
      <w:szCs w:val="22"/>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429</Words>
  <Characters>2663</Characters>
  <Lines>0</Lines>
  <Paragraphs>0</Paragraphs>
  <TotalTime>0</TotalTime>
  <ScaleCrop>false</ScaleCrop>
  <LinksUpToDate>false</LinksUpToDate>
  <CharactersWithSpaces>3084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2025-01-13T03:29:00Z</dcterms:created>
  <dc:creator>86188</dc:creator>
  <cp:lastModifiedBy>五指山</cp:lastModifiedBy>
  <dcterms:modified xsi:type="dcterms:W3CDTF">2025-10-23T10:19:33Z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589098D6C5414CA4B401B9CA4C5C60E5_12</vt:lpwstr>
  </property>
  <property fmtid="{D5CDD505-2E9C-101B-9397-08002B2CF9AE}" pid="4" name="KSOTemplateDocerSaveRecord">
    <vt:lpwstr>eyJoZGlkIjoiZTNiMmJjMGUyMDNhMGI0MjllZTc4OTE3ODRjOTBjMWQiLCJ1c2VySWQiOiIzODg4MjI2MzEifQ==</vt:lpwstr>
  </property>
</Properties>
</file>