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9E77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Post hoc statistical power was calculated based on observed group means and variances using GraphPad Prism (two-tailed α = 0.05). Effect sizes are reported as partial eta-squared (ηp²) for ANOVA-based analyses and Cohen’s d for pairwise comparisons where applicable.</w:t>
      </w:r>
    </w:p>
    <w:tbl>
      <w:tblPr>
        <w:tblStyle w:val="3"/>
        <w:tblW w:w="8614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1"/>
        <w:gridCol w:w="2502"/>
        <w:gridCol w:w="2142"/>
        <w:gridCol w:w="973"/>
        <w:gridCol w:w="1306"/>
      </w:tblGrid>
      <w:tr w14:paraId="3AB75F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16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vAlign w:val="center"/>
          </w:tcPr>
          <w:p w14:paraId="6F895C2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Endpoint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vAlign w:val="center"/>
          </w:tcPr>
          <w:p w14:paraId="397CACB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Experimental groups</w:t>
            </w:r>
          </w:p>
        </w:tc>
        <w:tc>
          <w:tcPr>
            <w:tcW w:w="214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vAlign w:val="center"/>
          </w:tcPr>
          <w:p w14:paraId="128B6B7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Statistical test</w:t>
            </w:r>
          </w:p>
        </w:tc>
        <w:tc>
          <w:tcPr>
            <w:tcW w:w="97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vAlign w:val="center"/>
          </w:tcPr>
          <w:p w14:paraId="45EDF00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Effect size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vAlign w:val="center"/>
          </w:tcPr>
          <w:p w14:paraId="4CEB6AE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Post hoc power</w:t>
            </w:r>
          </w:p>
        </w:tc>
      </w:tr>
      <w:tr w14:paraId="005E22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1691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vAlign w:val="center"/>
          </w:tcPr>
          <w:p w14:paraId="0FB121D8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vAlign w:val="center"/>
          </w:tcPr>
          <w:p w14:paraId="56E61E4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(n)</w:t>
            </w:r>
          </w:p>
        </w:tc>
        <w:tc>
          <w:tcPr>
            <w:tcW w:w="2142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vAlign w:val="center"/>
          </w:tcPr>
          <w:p w14:paraId="7C70800E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73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vAlign w:val="center"/>
          </w:tcPr>
          <w:p w14:paraId="403B237A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vAlign w:val="center"/>
          </w:tcPr>
          <w:p w14:paraId="168EA71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(α = 0.05)</w:t>
            </w:r>
          </w:p>
        </w:tc>
      </w:tr>
      <w:tr w14:paraId="7D81FF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EDC61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kern w:val="0"/>
                <w:sz w:val="24"/>
                <w:szCs w:val="24"/>
                <w:u w:val="none"/>
                <w:lang w:val="en-US" w:eastAsia="zh-CN" w:bidi="ar"/>
              </w:rPr>
              <w:t>L</w:t>
            </w:r>
            <w:r>
              <w:rPr>
                <w:rStyle w:val="7"/>
                <w:rFonts w:eastAsia="宋体"/>
                <w:lang w:val="en-US" w:eastAsia="zh-CN" w:bidi="ar"/>
              </w:rPr>
              <w:t>atency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9AE57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kern w:val="0"/>
                <w:sz w:val="24"/>
                <w:szCs w:val="24"/>
                <w:u w:val="none"/>
                <w:lang w:val="en-US" w:eastAsia="zh-CN" w:bidi="ar"/>
              </w:rPr>
              <w:t>Control (6), PD (6), PD+tDCS (6)</w:t>
            </w:r>
          </w:p>
        </w:tc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8F32E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kern w:val="0"/>
                <w:sz w:val="24"/>
                <w:szCs w:val="24"/>
                <w:u w:val="none"/>
                <w:lang w:val="en-US" w:eastAsia="zh-CN" w:bidi="ar"/>
              </w:rPr>
              <w:t>Repeated-measures ANOVA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C5D7A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kern w:val="0"/>
                <w:sz w:val="24"/>
                <w:szCs w:val="24"/>
                <w:u w:val="none"/>
                <w:lang w:val="en-US" w:eastAsia="zh-CN" w:bidi="ar"/>
              </w:rPr>
              <w:t>partial η² = 0.31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9BE88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kern w:val="0"/>
                <w:sz w:val="24"/>
                <w:szCs w:val="24"/>
                <w:u w:val="none"/>
                <w:lang w:val="en-US" w:eastAsia="zh-CN" w:bidi="ar"/>
              </w:rPr>
              <w:t>0.8</w:t>
            </w:r>
          </w:p>
        </w:tc>
      </w:tr>
      <w:tr w14:paraId="16A610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738A7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kern w:val="0"/>
                <w:sz w:val="24"/>
                <w:szCs w:val="24"/>
                <w:u w:val="none"/>
                <w:lang w:val="en-US" w:eastAsia="zh-CN" w:bidi="ar"/>
              </w:rPr>
              <w:t>Time in Zone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25CAC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kern w:val="0"/>
                <w:sz w:val="24"/>
                <w:szCs w:val="24"/>
                <w:u w:val="none"/>
                <w:lang w:val="en-US" w:eastAsia="zh-CN" w:bidi="ar"/>
              </w:rPr>
              <w:t>Control (6), PD (6), PD+tDCS (6)</w:t>
            </w:r>
          </w:p>
        </w:tc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43099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kern w:val="0"/>
                <w:sz w:val="24"/>
                <w:szCs w:val="24"/>
                <w:u w:val="none"/>
                <w:lang w:val="en-US" w:eastAsia="zh-CN" w:bidi="ar"/>
              </w:rPr>
              <w:t>Repeated-measures ANOVA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A4968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kern w:val="0"/>
                <w:sz w:val="24"/>
                <w:szCs w:val="24"/>
                <w:u w:val="none"/>
                <w:lang w:val="en-US" w:eastAsia="zh-CN" w:bidi="ar"/>
              </w:rPr>
              <w:t>partial η² = 0.42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80505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kern w:val="0"/>
                <w:sz w:val="24"/>
                <w:szCs w:val="24"/>
                <w:u w:val="none"/>
                <w:lang w:val="en-US" w:eastAsia="zh-CN" w:bidi="ar"/>
              </w:rPr>
              <w:t>0.85</w:t>
            </w:r>
          </w:p>
        </w:tc>
      </w:tr>
      <w:tr w14:paraId="5A4851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80858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kern w:val="0"/>
                <w:sz w:val="24"/>
                <w:szCs w:val="24"/>
                <w:u w:val="none"/>
                <w:lang w:val="en-US" w:eastAsia="zh-CN" w:bidi="ar"/>
              </w:rPr>
              <w:t>Distance in Zone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59384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kern w:val="0"/>
                <w:sz w:val="24"/>
                <w:szCs w:val="24"/>
                <w:u w:val="none"/>
                <w:lang w:val="en-US" w:eastAsia="zh-CN" w:bidi="ar"/>
              </w:rPr>
              <w:t>Control (6), PD (6), PD+tDCS (6)</w:t>
            </w:r>
          </w:p>
        </w:tc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7FD5F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kern w:val="0"/>
                <w:sz w:val="24"/>
                <w:szCs w:val="24"/>
                <w:u w:val="none"/>
                <w:lang w:val="en-US" w:eastAsia="zh-CN" w:bidi="ar"/>
              </w:rPr>
              <w:t>Repeated-measures ANOVA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86888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kern w:val="0"/>
                <w:sz w:val="24"/>
                <w:szCs w:val="24"/>
                <w:u w:val="none"/>
                <w:lang w:val="en-US" w:eastAsia="zh-CN" w:bidi="ar"/>
              </w:rPr>
              <w:t>partial η² = 0.48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4D8AC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kern w:val="0"/>
                <w:sz w:val="24"/>
                <w:szCs w:val="24"/>
                <w:u w:val="none"/>
                <w:lang w:val="en-US" w:eastAsia="zh-CN" w:bidi="ar"/>
              </w:rPr>
              <w:t>0.88</w:t>
            </w:r>
          </w:p>
        </w:tc>
      </w:tr>
      <w:tr w14:paraId="2E9992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DEA9B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Mlst8(vivo)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929DD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kern w:val="0"/>
                <w:sz w:val="24"/>
                <w:szCs w:val="24"/>
                <w:u w:val="none"/>
                <w:lang w:val="en-US" w:eastAsia="zh-CN" w:bidi="ar"/>
              </w:rPr>
              <w:t>Control (4), PD (4), PD+tDCS (4)</w:t>
            </w:r>
          </w:p>
        </w:tc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16083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kern w:val="0"/>
                <w:sz w:val="24"/>
                <w:szCs w:val="24"/>
                <w:u w:val="none"/>
                <w:lang w:val="en-US" w:eastAsia="zh-CN" w:bidi="ar"/>
              </w:rPr>
              <w:t>One-way ANOVA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394BB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kern w:val="0"/>
                <w:sz w:val="24"/>
                <w:szCs w:val="24"/>
                <w:u w:val="none"/>
                <w:lang w:val="en-US" w:eastAsia="zh-CN" w:bidi="ar"/>
              </w:rPr>
              <w:t>partial η² = 0.84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39039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kern w:val="0"/>
                <w:sz w:val="24"/>
                <w:szCs w:val="24"/>
                <w:u w:val="none"/>
                <w:lang w:val="en-US" w:eastAsia="zh-CN" w:bidi="ar"/>
              </w:rPr>
              <w:t>0.99</w:t>
            </w:r>
          </w:p>
        </w:tc>
      </w:tr>
      <w:tr w14:paraId="2A5B9D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DDFB3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Atg7(vivo)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BB290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kern w:val="0"/>
                <w:sz w:val="24"/>
                <w:szCs w:val="24"/>
                <w:u w:val="none"/>
                <w:lang w:val="en-US" w:eastAsia="zh-CN" w:bidi="ar"/>
              </w:rPr>
              <w:t>Control (4), PD (4), PD+tDCS (4)</w:t>
            </w:r>
          </w:p>
        </w:tc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DC0BD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kern w:val="0"/>
                <w:sz w:val="24"/>
                <w:szCs w:val="24"/>
                <w:u w:val="none"/>
                <w:lang w:val="en-US" w:eastAsia="zh-CN" w:bidi="ar"/>
              </w:rPr>
              <w:t>One-way ANOVA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CFB93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kern w:val="0"/>
                <w:sz w:val="24"/>
                <w:szCs w:val="24"/>
                <w:u w:val="none"/>
                <w:lang w:val="en-US" w:eastAsia="zh-CN" w:bidi="ar"/>
              </w:rPr>
              <w:t>partial η² = 0.74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D7CD7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kern w:val="0"/>
                <w:sz w:val="24"/>
                <w:szCs w:val="24"/>
                <w:u w:val="none"/>
                <w:lang w:val="en-US" w:eastAsia="zh-CN" w:bidi="ar"/>
              </w:rPr>
              <w:t>0.99</w:t>
            </w:r>
          </w:p>
        </w:tc>
      </w:tr>
      <w:tr w14:paraId="2814E7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54C86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LC3-II/I(vivo)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0E8DF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kern w:val="0"/>
                <w:sz w:val="24"/>
                <w:szCs w:val="24"/>
                <w:u w:val="none"/>
                <w:lang w:val="en-US" w:eastAsia="zh-CN" w:bidi="ar"/>
              </w:rPr>
              <w:t>Control (4), PD (4), PD+tDCS (4)</w:t>
            </w:r>
          </w:p>
        </w:tc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0C049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kern w:val="0"/>
                <w:sz w:val="24"/>
                <w:szCs w:val="24"/>
                <w:u w:val="none"/>
                <w:lang w:val="en-US" w:eastAsia="zh-CN" w:bidi="ar"/>
              </w:rPr>
              <w:t>One-way ANOVA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B20AE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kern w:val="0"/>
                <w:sz w:val="24"/>
                <w:szCs w:val="24"/>
                <w:u w:val="none"/>
                <w:lang w:val="en-US" w:eastAsia="zh-CN" w:bidi="ar"/>
              </w:rPr>
              <w:t>partial η² = 0.84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37C46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kern w:val="0"/>
                <w:sz w:val="24"/>
                <w:szCs w:val="24"/>
                <w:u w:val="none"/>
                <w:lang w:val="en-US" w:eastAsia="zh-CN" w:bidi="ar"/>
              </w:rPr>
              <w:t>0.99</w:t>
            </w:r>
          </w:p>
        </w:tc>
      </w:tr>
      <w:tr w14:paraId="7FD60B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58B3B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P62(vivo)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C8ABA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kern w:val="0"/>
                <w:sz w:val="24"/>
                <w:szCs w:val="24"/>
                <w:u w:val="none"/>
                <w:lang w:val="en-US" w:eastAsia="zh-CN" w:bidi="ar"/>
              </w:rPr>
              <w:t>Control (4), PD (4), PD+tDCS (4)</w:t>
            </w:r>
          </w:p>
        </w:tc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9C3DB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kern w:val="0"/>
                <w:sz w:val="24"/>
                <w:szCs w:val="24"/>
                <w:u w:val="none"/>
                <w:lang w:val="en-US" w:eastAsia="zh-CN" w:bidi="ar"/>
              </w:rPr>
              <w:t>One-way ANOVA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42DC2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kern w:val="0"/>
                <w:sz w:val="24"/>
                <w:szCs w:val="24"/>
                <w:u w:val="none"/>
                <w:lang w:val="en-US" w:eastAsia="zh-CN" w:bidi="ar"/>
              </w:rPr>
              <w:t>partial η² = 0.8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78414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kern w:val="0"/>
                <w:sz w:val="24"/>
                <w:szCs w:val="24"/>
                <w:u w:val="none"/>
                <w:lang w:val="en-US" w:eastAsia="zh-CN" w:bidi="ar"/>
              </w:rPr>
              <w:t>0.99</w:t>
            </w:r>
          </w:p>
        </w:tc>
      </w:tr>
      <w:tr w14:paraId="77B507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7EC23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Mlst8(vitro)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439DB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kern w:val="0"/>
                <w:sz w:val="24"/>
                <w:szCs w:val="24"/>
                <w:u w:val="none"/>
                <w:lang w:val="en-US" w:eastAsia="zh-CN" w:bidi="ar"/>
              </w:rPr>
              <w:t>Control (3), 1.0mM (3), DCEF + 1.0 mM (3), DCEF + siNC (3), DCEF + siMlst8 (3)</w:t>
            </w:r>
          </w:p>
        </w:tc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5A3E6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kern w:val="0"/>
                <w:sz w:val="24"/>
                <w:szCs w:val="24"/>
                <w:u w:val="none"/>
                <w:lang w:val="en-US" w:eastAsia="zh-CN" w:bidi="ar"/>
              </w:rPr>
              <w:t>One-way ANOVA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EADF1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kern w:val="0"/>
                <w:sz w:val="24"/>
                <w:szCs w:val="24"/>
                <w:u w:val="none"/>
                <w:lang w:val="en-US" w:eastAsia="zh-CN" w:bidi="ar"/>
              </w:rPr>
              <w:t>partial η² = 0.91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4F9F3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kern w:val="0"/>
                <w:sz w:val="24"/>
                <w:szCs w:val="24"/>
                <w:u w:val="none"/>
                <w:lang w:val="en-US" w:eastAsia="zh-CN" w:bidi="ar"/>
              </w:rPr>
              <w:t>0.99</w:t>
            </w:r>
          </w:p>
        </w:tc>
      </w:tr>
      <w:tr w14:paraId="0408AA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C7034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LC3-II/I(vitro)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36868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kern w:val="0"/>
                <w:sz w:val="24"/>
                <w:szCs w:val="24"/>
                <w:u w:val="none"/>
                <w:lang w:val="en-US" w:eastAsia="zh-CN" w:bidi="ar"/>
              </w:rPr>
              <w:t>Control (3), 1.0mM (3), DCEF + 1.0 mM (3), DCEF + siNC (3), DCEF + siMlst8 (3)</w:t>
            </w:r>
          </w:p>
        </w:tc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954EF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kern w:val="0"/>
                <w:sz w:val="24"/>
                <w:szCs w:val="24"/>
                <w:u w:val="none"/>
                <w:lang w:val="en-US" w:eastAsia="zh-CN" w:bidi="ar"/>
              </w:rPr>
              <w:t>One-way ANOVA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DB22F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kern w:val="0"/>
                <w:sz w:val="24"/>
                <w:szCs w:val="24"/>
                <w:u w:val="none"/>
                <w:lang w:val="en-US" w:eastAsia="zh-CN" w:bidi="ar"/>
              </w:rPr>
              <w:t>partial η² = 0.9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0B9BB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kern w:val="0"/>
                <w:sz w:val="24"/>
                <w:szCs w:val="24"/>
                <w:u w:val="none"/>
                <w:lang w:val="en-US" w:eastAsia="zh-CN" w:bidi="ar"/>
              </w:rPr>
              <w:t>0.99</w:t>
            </w:r>
          </w:p>
        </w:tc>
      </w:tr>
      <w:tr w14:paraId="1E0061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1EF20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P62(vitro)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CD347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kern w:val="0"/>
                <w:sz w:val="24"/>
                <w:szCs w:val="24"/>
                <w:u w:val="none"/>
                <w:lang w:val="en-US" w:eastAsia="zh-CN" w:bidi="ar"/>
              </w:rPr>
              <w:t>Control (3), 1.0mM (3), DCEF + 1.0 mM (3), DCEF + siNC (3), DCEF + siMlst8 (3)</w:t>
            </w:r>
          </w:p>
        </w:tc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4B3EC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kern w:val="0"/>
                <w:sz w:val="24"/>
                <w:szCs w:val="24"/>
                <w:u w:val="none"/>
                <w:lang w:val="en-US" w:eastAsia="zh-CN" w:bidi="ar"/>
              </w:rPr>
              <w:t>One-way ANOVA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2D459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kern w:val="0"/>
                <w:sz w:val="24"/>
                <w:szCs w:val="24"/>
                <w:u w:val="none"/>
                <w:lang w:val="en-US" w:eastAsia="zh-CN" w:bidi="ar"/>
              </w:rPr>
              <w:t>partial η² = 0.87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FC975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kern w:val="0"/>
                <w:sz w:val="24"/>
                <w:szCs w:val="24"/>
                <w:u w:val="none"/>
                <w:lang w:val="en-US" w:eastAsia="zh-CN" w:bidi="ar"/>
              </w:rPr>
              <w:t>0.99</w:t>
            </w:r>
          </w:p>
        </w:tc>
      </w:tr>
    </w:tbl>
    <w:p w14:paraId="2F497D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Effect sizes are reported as partial eta-squared (ηp²). Post hoc power was calculated based on observed effect sizes using a two-sided α of 0.05. In vitro experiments were performed with n = 3 biological replicates per group and should be interpreted as exploratory.</w:t>
      </w:r>
    </w:p>
    <w:p w14:paraId="5F0E64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</w:pPr>
    </w:p>
    <w:tbl>
      <w:tblPr>
        <w:tblStyle w:val="3"/>
        <w:tblW w:w="8396" w:type="dxa"/>
        <w:jc w:val="center"/>
        <w:tblCellSpacing w:w="1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826"/>
        <w:gridCol w:w="1617"/>
        <w:gridCol w:w="2528"/>
        <w:gridCol w:w="2425"/>
      </w:tblGrid>
      <w:tr w14:paraId="4A838F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56" w:hRule="atLeast"/>
          <w:tblHeader/>
          <w:tblCellSpacing w:w="15" w:type="dxa"/>
          <w:jc w:val="center"/>
        </w:trPr>
        <w:tc>
          <w:tcPr>
            <w:tcW w:w="1781" w:type="dxa"/>
            <w:tcBorders>
              <w:top w:val="single" w:color="000000" w:themeColor="dark1" w:sz="12" w:space="0"/>
              <w:left w:val="nil"/>
              <w:bottom w:val="single" w:color="000000" w:themeColor="dark1" w:sz="6" w:space="0"/>
              <w:right w:val="nil"/>
            </w:tcBorders>
            <w:shd w:val="clear" w:color="auto" w:fill="FFFFFF"/>
            <w:vAlign w:val="center"/>
          </w:tcPr>
          <w:p w14:paraId="55030E4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 w:themeColor="dark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 w:themeColor="dark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dk1"/>
                  </w14:solidFill>
                </w14:textFill>
              </w:rPr>
              <w:t>Endpoint</w:t>
            </w:r>
          </w:p>
        </w:tc>
        <w:tc>
          <w:tcPr>
            <w:tcW w:w="1587" w:type="dxa"/>
            <w:tcBorders>
              <w:top w:val="single" w:color="000000" w:themeColor="dark1" w:sz="12" w:space="0"/>
              <w:left w:val="nil"/>
              <w:bottom w:val="single" w:color="000000" w:themeColor="dark1" w:sz="6" w:space="0"/>
              <w:right w:val="nil"/>
            </w:tcBorders>
            <w:shd w:val="clear" w:color="auto" w:fill="FFFFFF"/>
            <w:vAlign w:val="center"/>
          </w:tcPr>
          <w:p w14:paraId="65BEC80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 w:themeColor="dark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 w:themeColor="dark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dk1"/>
                  </w14:solidFill>
                </w14:textFill>
              </w:rPr>
              <w:t>Comparison</w:t>
            </w:r>
          </w:p>
        </w:tc>
        <w:tc>
          <w:tcPr>
            <w:tcW w:w="2498" w:type="dxa"/>
            <w:tcBorders>
              <w:top w:val="single" w:color="000000" w:themeColor="dark1" w:sz="12" w:space="0"/>
              <w:left w:val="nil"/>
              <w:bottom w:val="single" w:color="000000" w:themeColor="dark1" w:sz="6" w:space="0"/>
              <w:right w:val="nil"/>
            </w:tcBorders>
            <w:shd w:val="clear" w:color="auto" w:fill="FFFFFF"/>
            <w:vAlign w:val="center"/>
          </w:tcPr>
          <w:p w14:paraId="7EF9EA3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 w:themeColor="dark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 w:themeColor="dark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dk1"/>
                  </w14:solidFill>
                </w14:textFill>
              </w:rPr>
              <w:t>Cohen's d (Hedges-corrected)</w:t>
            </w:r>
          </w:p>
        </w:tc>
        <w:tc>
          <w:tcPr>
            <w:tcW w:w="2380" w:type="dxa"/>
            <w:tcBorders>
              <w:top w:val="single" w:color="000000" w:themeColor="dark1" w:sz="12" w:space="0"/>
              <w:left w:val="nil"/>
              <w:bottom w:val="single" w:color="000000" w:themeColor="dark1" w:sz="6" w:space="0"/>
              <w:right w:val="nil"/>
            </w:tcBorders>
            <w:shd w:val="clear" w:color="auto" w:fill="FFFFFF"/>
            <w:vAlign w:val="center"/>
          </w:tcPr>
          <w:p w14:paraId="1DA1279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 w:themeColor="dark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 w:themeColor="dark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dk1"/>
                  </w14:solidFill>
                </w14:textFill>
              </w:rPr>
              <w:t>95% Bootstrap CI (3000 resamples)</w:t>
            </w:r>
          </w:p>
        </w:tc>
      </w:tr>
      <w:tr w14:paraId="3CF4C4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1781" w:type="dxa"/>
            <w:tcBorders>
              <w:top w:val="single" w:color="000000" w:themeColor="dark1" w:sz="6" w:space="0"/>
              <w:left w:val="nil"/>
              <w:bottom w:val="nil"/>
              <w:right w:val="nil"/>
            </w:tcBorders>
            <w:shd w:val="clear" w:color="auto" w:fill="E5E5E5" w:themeFill="dark1" w:themeFillTint="19"/>
            <w:vAlign w:val="center"/>
          </w:tcPr>
          <w:p w14:paraId="61E8714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8090C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iCs w:val="0"/>
                <w:color w:val="08090C"/>
                <w:kern w:val="0"/>
                <w:sz w:val="24"/>
                <w:szCs w:val="24"/>
                <w:u w:val="none"/>
                <w:lang w:val="en-US" w:eastAsia="zh-CN" w:bidi="ar"/>
              </w:rPr>
              <w:t>L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8090C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atency </w:t>
            </w:r>
          </w:p>
          <w:p w14:paraId="6E4EC14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8090C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8090C"/>
                <w:kern w:val="0"/>
                <w:sz w:val="24"/>
                <w:szCs w:val="24"/>
                <w:u w:val="none"/>
                <w:lang w:val="en-US" w:eastAsia="zh-CN" w:bidi="ar"/>
              </w:rPr>
              <w:t>(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iCs w:val="0"/>
                <w:color w:val="08090C"/>
                <w:kern w:val="0"/>
                <w:sz w:val="24"/>
                <w:szCs w:val="24"/>
                <w:u w:val="none"/>
                <w:lang w:val="en-US" w:eastAsia="zh-CN" w:bidi="ar"/>
              </w:rPr>
              <w:t>D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8090C"/>
                <w:kern w:val="0"/>
                <w:sz w:val="24"/>
                <w:szCs w:val="24"/>
                <w:u w:val="none"/>
                <w:lang w:val="en-US" w:eastAsia="zh-CN" w:bidi="ar"/>
              </w:rPr>
              <w:t>ay 1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iCs w:val="0"/>
                <w:color w:val="08090C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8090C"/>
                <w:kern w:val="0"/>
                <w:sz w:val="24"/>
                <w:szCs w:val="24"/>
                <w:u w:val="none"/>
                <w:lang w:val="en-US" w:eastAsia="zh-CN" w:bidi="ar"/>
              </w:rPr>
              <w:t>)</w:t>
            </w:r>
          </w:p>
        </w:tc>
        <w:tc>
          <w:tcPr>
            <w:tcW w:w="1587" w:type="dxa"/>
            <w:tcBorders>
              <w:top w:val="single" w:color="000000" w:themeColor="dark1" w:sz="6" w:space="0"/>
              <w:left w:val="nil"/>
              <w:bottom w:val="nil"/>
              <w:right w:val="nil"/>
            </w:tcBorders>
            <w:shd w:val="clear" w:color="auto" w:fill="E5E5E5" w:themeFill="dark1" w:themeFillTint="19"/>
            <w:vAlign w:val="center"/>
          </w:tcPr>
          <w:p w14:paraId="53019A0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8090C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8090C"/>
                <w:kern w:val="0"/>
                <w:sz w:val="24"/>
                <w:szCs w:val="24"/>
                <w:u w:val="none"/>
                <w:lang w:val="en-US" w:eastAsia="zh-CN" w:bidi="ar"/>
              </w:rPr>
              <w:t>tDCS+PD vs PD</w:t>
            </w:r>
          </w:p>
        </w:tc>
        <w:tc>
          <w:tcPr>
            <w:tcW w:w="2498" w:type="dxa"/>
            <w:tcBorders>
              <w:top w:val="single" w:color="000000" w:themeColor="dark1" w:sz="6" w:space="0"/>
              <w:left w:val="nil"/>
              <w:bottom w:val="nil"/>
              <w:right w:val="nil"/>
            </w:tcBorders>
            <w:shd w:val="clear" w:color="auto" w:fill="E5E5E5" w:themeFill="dark1" w:themeFillTint="19"/>
            <w:vAlign w:val="center"/>
          </w:tcPr>
          <w:p w14:paraId="1D97491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8090C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iCs w:val="0"/>
                <w:color w:val="08090C"/>
                <w:kern w:val="0"/>
                <w:sz w:val="24"/>
                <w:szCs w:val="24"/>
                <w:u w:val="none"/>
                <w:lang w:val="en-US" w:eastAsia="zh-CN" w:bidi="ar"/>
              </w:rPr>
              <w:t>+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8090C"/>
                <w:kern w:val="0"/>
                <w:sz w:val="24"/>
                <w:szCs w:val="24"/>
                <w:u w:val="none"/>
                <w:lang w:val="en-US" w:eastAsia="zh-CN" w:bidi="ar"/>
              </w:rPr>
              <w:t>1.88</w:t>
            </w:r>
          </w:p>
        </w:tc>
        <w:tc>
          <w:tcPr>
            <w:tcW w:w="2380" w:type="dxa"/>
            <w:tcBorders>
              <w:top w:val="single" w:color="000000" w:themeColor="dark1" w:sz="6" w:space="0"/>
              <w:left w:val="nil"/>
              <w:bottom w:val="nil"/>
              <w:right w:val="nil"/>
            </w:tcBorders>
            <w:shd w:val="clear" w:color="auto" w:fill="E5E5E5" w:themeFill="dark1" w:themeFillTint="19"/>
            <w:vAlign w:val="center"/>
          </w:tcPr>
          <w:p w14:paraId="50A81F4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8090C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iCs w:val="0"/>
                <w:color w:val="08090C"/>
                <w:kern w:val="0"/>
                <w:sz w:val="24"/>
                <w:szCs w:val="24"/>
                <w:u w:val="none"/>
                <w:lang w:val="en-US" w:eastAsia="zh-CN" w:bidi="ar"/>
              </w:rPr>
              <w:t>+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8090C"/>
                <w:kern w:val="0"/>
                <w:sz w:val="24"/>
                <w:szCs w:val="24"/>
                <w:u w:val="none"/>
                <w:lang w:val="en-US" w:eastAsia="zh-CN" w:bidi="ar"/>
              </w:rPr>
              <w:t>1.02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iCs w:val="0"/>
                <w:color w:val="08090C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– +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8090C"/>
                <w:kern w:val="0"/>
                <w:sz w:val="24"/>
                <w:szCs w:val="24"/>
                <w:u w:val="none"/>
                <w:lang w:val="en-US" w:eastAsia="zh-CN" w:bidi="ar"/>
              </w:rPr>
              <w:t>4.03</w:t>
            </w:r>
          </w:p>
        </w:tc>
      </w:tr>
      <w:tr w14:paraId="26C1E7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shd w:val="clear" w:color="auto" w:fill="E5E5E5" w:themeFill="dark1" w:themeFillTint="19"/>
            <w:vAlign w:val="center"/>
          </w:tcPr>
          <w:tbl>
            <w:tblPr>
              <w:tblStyle w:val="3"/>
              <w:tblW w:w="0" w:type="auto"/>
              <w:tblCellSpacing w:w="15" w:type="dxa"/>
              <w:tblInd w:w="-45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shd w:val="clear" w:color="auto" w:fill="auto"/>
              <w:tblLayout w:type="autofit"/>
              <w:tblCellMar>
                <w:top w:w="15" w:type="dxa"/>
                <w:left w:w="15" w:type="dxa"/>
                <w:bottom w:w="15" w:type="dxa"/>
                <w:right w:w="15" w:type="dxa"/>
              </w:tblCellMar>
            </w:tblPr>
            <w:tblGrid>
              <w:gridCol w:w="1751"/>
            </w:tblGrid>
            <w:tr w14:paraId="0144A12A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blCellSpacing w:w="15" w:type="dxa"/>
              </w:trPr>
              <w:tc>
                <w:tcPr>
                  <w:tcW w:w="0" w:type="auto"/>
                  <w:shd w:val="clear" w:color="auto" w:fill="auto"/>
                  <w:vAlign w:val="center"/>
                </w:tcPr>
                <w:p w14:paraId="62D671B0">
                  <w:pPr>
                    <w:keepNext w:val="0"/>
                    <w:keepLines w:val="0"/>
                    <w:widowControl/>
                    <w:suppressLineNumbers w:val="0"/>
                    <w:snapToGrid w:val="0"/>
                    <w:ind w:left="0" w:leftChars="0" w:right="0" w:rightChars="0" w:firstLine="0" w:firstLineChars="0"/>
                    <w:jc w:val="center"/>
                    <w:textAlignment w:val="center"/>
                    <w:rPr>
                      <w:rFonts w:hint="eastAsia" w:ascii="Times New Roman" w:hAnsi="Times New Roman" w:eastAsia="宋体" w:cs="Times New Roman"/>
                      <w:b w:val="0"/>
                      <w:i w:val="0"/>
                      <w:iCs w:val="0"/>
                      <w:color w:val="08090C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8090C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Time in Zone</w:t>
                  </w:r>
                  <w:r>
                    <w:rPr>
                      <w:rFonts w:hint="eastAsia" w:ascii="Times New Roman" w:hAnsi="Times New Roman" w:eastAsia="宋体" w:cs="Times New Roman"/>
                      <w:b w:val="0"/>
                      <w:i w:val="0"/>
                      <w:iCs w:val="0"/>
                      <w:color w:val="08090C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 xml:space="preserve"> (Day 17)</w:t>
                  </w:r>
                </w:p>
              </w:tc>
            </w:tr>
          </w:tbl>
          <w:p w14:paraId="4CD6AA9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both"/>
              <w:textAlignment w:val="center"/>
              <w:rPr>
                <w:rFonts w:hint="eastAsia" w:ascii="Times New Roman" w:hAnsi="Times New Roman" w:eastAsia="宋体" w:cs="Times New Roman"/>
                <w:b w:val="0"/>
                <w:i w:val="0"/>
                <w:iCs w:val="0"/>
                <w:color w:val="08090C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E5E5E5" w:themeFill="dark1" w:themeFillTint="19"/>
            <w:vAlign w:val="center"/>
          </w:tcPr>
          <w:p w14:paraId="2DB4B04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8090C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8090C"/>
                <w:kern w:val="0"/>
                <w:sz w:val="24"/>
                <w:szCs w:val="24"/>
                <w:u w:val="none"/>
                <w:lang w:val="en-US" w:eastAsia="zh-CN" w:bidi="ar"/>
              </w:rPr>
              <w:t>tDCS+PD vs PD</w:t>
            </w:r>
          </w:p>
        </w:tc>
        <w:tc>
          <w:tcPr>
            <w:tcW w:w="2498" w:type="dxa"/>
            <w:tcBorders>
              <w:top w:val="nil"/>
              <w:left w:val="nil"/>
              <w:bottom w:val="nil"/>
              <w:right w:val="nil"/>
            </w:tcBorders>
            <w:shd w:val="clear" w:color="auto" w:fill="E5E5E5" w:themeFill="dark1" w:themeFillTint="19"/>
            <w:vAlign w:val="center"/>
          </w:tcPr>
          <w:p w14:paraId="56ED8F8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i w:val="0"/>
                <w:iCs w:val="0"/>
                <w:color w:val="08090C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iCs w:val="0"/>
                <w:color w:val="08090C"/>
                <w:kern w:val="0"/>
                <w:sz w:val="24"/>
                <w:szCs w:val="24"/>
                <w:u w:val="none"/>
                <w:lang w:val="en-US" w:eastAsia="zh-CN" w:bidi="ar"/>
              </w:rPr>
              <w:t>+1.93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E5E5E5" w:themeFill="dark1" w:themeFillTint="19"/>
            <w:vAlign w:val="center"/>
          </w:tcPr>
          <w:p w14:paraId="0981453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i w:val="0"/>
                <w:iCs w:val="0"/>
                <w:color w:val="08090C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iCs w:val="0"/>
                <w:color w:val="08090C"/>
                <w:kern w:val="0"/>
                <w:sz w:val="24"/>
                <w:szCs w:val="24"/>
                <w:u w:val="none"/>
                <w:lang w:val="en-US" w:eastAsia="zh-CN" w:bidi="ar"/>
              </w:rPr>
              <w:t>+1.10 – +4.15</w:t>
            </w:r>
          </w:p>
        </w:tc>
      </w:tr>
      <w:tr w14:paraId="54EC7C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shd w:val="clear" w:color="auto" w:fill="E5E5E5" w:themeFill="dark1" w:themeFillTint="19"/>
            <w:vAlign w:val="center"/>
          </w:tcPr>
          <w:p w14:paraId="1571D51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kern w:val="0"/>
                <w:sz w:val="24"/>
                <w:szCs w:val="24"/>
                <w:u w:val="none"/>
                <w:lang w:val="en-US" w:eastAsia="zh-CN" w:bidi="ar"/>
              </w:rPr>
              <w:t>Distance in Zone</w:t>
            </w:r>
          </w:p>
          <w:p w14:paraId="617E907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8090C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iCs w:val="0"/>
                <w:color w:val="08090C"/>
                <w:kern w:val="0"/>
                <w:sz w:val="24"/>
                <w:szCs w:val="24"/>
                <w:u w:val="none"/>
                <w:lang w:val="en-US" w:eastAsia="zh-CN" w:bidi="ar"/>
              </w:rPr>
              <w:t>(Day 17)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E5E5E5" w:themeFill="dark1" w:themeFillTint="19"/>
            <w:vAlign w:val="center"/>
          </w:tcPr>
          <w:p w14:paraId="71D2C5B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8090C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8090C"/>
                <w:kern w:val="0"/>
                <w:sz w:val="24"/>
                <w:szCs w:val="24"/>
                <w:u w:val="none"/>
                <w:lang w:val="en-US" w:eastAsia="zh-CN" w:bidi="ar"/>
              </w:rPr>
              <w:t>tDCS+PD vs PD</w:t>
            </w:r>
          </w:p>
        </w:tc>
        <w:tc>
          <w:tcPr>
            <w:tcW w:w="2498" w:type="dxa"/>
            <w:tcBorders>
              <w:top w:val="nil"/>
              <w:left w:val="nil"/>
              <w:bottom w:val="nil"/>
              <w:right w:val="nil"/>
            </w:tcBorders>
            <w:shd w:val="clear" w:color="auto" w:fill="E5E5E5" w:themeFill="dark1" w:themeFillTint="19"/>
            <w:vAlign w:val="center"/>
          </w:tcPr>
          <w:p w14:paraId="351B5FC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i w:val="0"/>
                <w:iCs w:val="0"/>
                <w:color w:val="08090C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iCs w:val="0"/>
                <w:color w:val="08090C"/>
                <w:kern w:val="0"/>
                <w:sz w:val="24"/>
                <w:szCs w:val="24"/>
                <w:u w:val="none"/>
                <w:lang w:val="en-US" w:eastAsia="zh-CN" w:bidi="ar"/>
              </w:rPr>
              <w:t>+1.73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E5E5E5" w:themeFill="dark1" w:themeFillTint="19"/>
            <w:vAlign w:val="center"/>
          </w:tcPr>
          <w:p w14:paraId="6451A8B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i w:val="0"/>
                <w:iCs w:val="0"/>
                <w:color w:val="08090C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iCs w:val="0"/>
                <w:color w:val="08090C"/>
                <w:kern w:val="0"/>
                <w:sz w:val="24"/>
                <w:szCs w:val="24"/>
                <w:u w:val="none"/>
                <w:lang w:val="en-US" w:eastAsia="zh-CN" w:bidi="ar"/>
              </w:rPr>
              <w:t>+0.73 – +7.83</w:t>
            </w:r>
          </w:p>
        </w:tc>
      </w:tr>
      <w:tr w14:paraId="69814E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shd w:val="clear" w:color="auto" w:fill="E5E5E5" w:themeFill="dark1" w:themeFillTint="19"/>
            <w:vAlign w:val="center"/>
          </w:tcPr>
          <w:p w14:paraId="3DE21CC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8090C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iCs w:val="0"/>
                <w:color w:val="08090C"/>
                <w:kern w:val="0"/>
                <w:sz w:val="24"/>
                <w:szCs w:val="24"/>
                <w:u w:val="none"/>
                <w:lang w:val="en-US" w:eastAsia="zh-CN" w:bidi="ar"/>
              </w:rPr>
              <w:t>L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8090C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atency </w:t>
            </w:r>
          </w:p>
          <w:p w14:paraId="42C040F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i w:val="0"/>
                <w:iCs w:val="0"/>
                <w:color w:val="08090C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8090C"/>
                <w:kern w:val="0"/>
                <w:sz w:val="24"/>
                <w:szCs w:val="24"/>
                <w:u w:val="none"/>
                <w:lang w:val="en-US" w:eastAsia="zh-CN" w:bidi="ar"/>
              </w:rPr>
              <w:t>(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iCs w:val="0"/>
                <w:color w:val="08090C"/>
                <w:kern w:val="0"/>
                <w:sz w:val="24"/>
                <w:szCs w:val="24"/>
                <w:u w:val="none"/>
                <w:lang w:val="en-US" w:eastAsia="zh-CN" w:bidi="ar"/>
              </w:rPr>
              <w:t>D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8090C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ay 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iCs w:val="0"/>
                <w:color w:val="08090C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8090C"/>
                <w:kern w:val="0"/>
                <w:sz w:val="24"/>
                <w:szCs w:val="24"/>
                <w:u w:val="none"/>
                <w:lang w:val="en-US" w:eastAsia="zh-CN" w:bidi="ar"/>
              </w:rPr>
              <w:t>)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E5E5E5" w:themeFill="dark1" w:themeFillTint="19"/>
            <w:vAlign w:val="center"/>
          </w:tcPr>
          <w:p w14:paraId="729956D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8090C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8090C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PD vs 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iCs w:val="0"/>
                <w:color w:val="08090C"/>
                <w:kern w:val="0"/>
                <w:sz w:val="24"/>
                <w:szCs w:val="24"/>
                <w:u w:val="none"/>
                <w:lang w:val="en-US" w:eastAsia="zh-CN" w:bidi="ar"/>
              </w:rPr>
              <w:t>Control</w:t>
            </w:r>
          </w:p>
        </w:tc>
        <w:tc>
          <w:tcPr>
            <w:tcW w:w="2498" w:type="dxa"/>
            <w:tcBorders>
              <w:top w:val="nil"/>
              <w:left w:val="nil"/>
              <w:bottom w:val="nil"/>
              <w:right w:val="nil"/>
            </w:tcBorders>
            <w:shd w:val="clear" w:color="auto" w:fill="E5E5E5" w:themeFill="dark1" w:themeFillTint="19"/>
            <w:vAlign w:val="center"/>
          </w:tcPr>
          <w:p w14:paraId="7BCAE16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i w:val="0"/>
                <w:iCs w:val="0"/>
                <w:color w:val="08090C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iCs w:val="0"/>
                <w:color w:val="08090C"/>
                <w:kern w:val="0"/>
                <w:sz w:val="24"/>
                <w:szCs w:val="24"/>
                <w:u w:val="none"/>
                <w:lang w:val="en-US" w:eastAsia="zh-CN" w:bidi="ar"/>
              </w:rPr>
              <w:t>−2.48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E5E5E5" w:themeFill="dark1" w:themeFillTint="19"/>
            <w:vAlign w:val="center"/>
          </w:tcPr>
          <w:p w14:paraId="19D2103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i w:val="0"/>
                <w:iCs w:val="0"/>
                <w:color w:val="08090C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iCs w:val="0"/>
                <w:color w:val="08090C"/>
                <w:kern w:val="0"/>
                <w:sz w:val="24"/>
                <w:szCs w:val="24"/>
                <w:u w:val="none"/>
                <w:lang w:val="en-US" w:eastAsia="zh-CN" w:bidi="ar"/>
              </w:rPr>
              <w:t>−7.80 – −1.69</w:t>
            </w:r>
          </w:p>
        </w:tc>
      </w:tr>
      <w:tr w14:paraId="0AADC7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shd w:val="clear" w:color="auto" w:fill="E5E5E5" w:themeFill="dark1" w:themeFillTint="19"/>
            <w:vAlign w:val="center"/>
          </w:tcPr>
          <w:p w14:paraId="4DFFFBC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i w:val="0"/>
                <w:iCs w:val="0"/>
                <w:color w:val="08090C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kern w:val="0"/>
                <w:sz w:val="24"/>
                <w:szCs w:val="24"/>
                <w:u w:val="none"/>
                <w:lang w:val="en-US" w:eastAsia="zh-CN" w:bidi="ar"/>
              </w:rPr>
              <w:t>Time in Zone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iCs w:val="0"/>
                <w:color w:val="08090C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(Day 7)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E5E5E5" w:themeFill="dark1" w:themeFillTint="19"/>
            <w:vAlign w:val="center"/>
          </w:tcPr>
          <w:p w14:paraId="1DDD0DB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8090C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8090C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PD vs 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iCs w:val="0"/>
                <w:color w:val="08090C"/>
                <w:kern w:val="0"/>
                <w:sz w:val="24"/>
                <w:szCs w:val="24"/>
                <w:u w:val="none"/>
                <w:lang w:val="en-US" w:eastAsia="zh-CN" w:bidi="ar"/>
              </w:rPr>
              <w:t>Control</w:t>
            </w:r>
          </w:p>
        </w:tc>
        <w:tc>
          <w:tcPr>
            <w:tcW w:w="2498" w:type="dxa"/>
            <w:tcBorders>
              <w:top w:val="nil"/>
              <w:left w:val="nil"/>
              <w:bottom w:val="nil"/>
              <w:right w:val="nil"/>
            </w:tcBorders>
            <w:shd w:val="clear" w:color="auto" w:fill="E5E5E5" w:themeFill="dark1" w:themeFillTint="19"/>
            <w:vAlign w:val="center"/>
          </w:tcPr>
          <w:p w14:paraId="2166603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i w:val="0"/>
                <w:iCs w:val="0"/>
                <w:color w:val="08090C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iCs w:val="0"/>
                <w:color w:val="08090C"/>
                <w:kern w:val="0"/>
                <w:sz w:val="24"/>
                <w:szCs w:val="24"/>
                <w:u w:val="none"/>
                <w:lang w:val="en-US" w:eastAsia="zh-CN" w:bidi="ar"/>
              </w:rPr>
              <w:t>−2.27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E5E5E5" w:themeFill="dark1" w:themeFillTint="19"/>
            <w:vAlign w:val="center"/>
          </w:tcPr>
          <w:p w14:paraId="289B1B1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i w:val="0"/>
                <w:iCs w:val="0"/>
                <w:color w:val="08090C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iCs w:val="0"/>
                <w:color w:val="08090C"/>
                <w:kern w:val="0"/>
                <w:sz w:val="24"/>
                <w:szCs w:val="24"/>
                <w:u w:val="none"/>
                <w:lang w:val="en-US" w:eastAsia="zh-CN" w:bidi="ar"/>
              </w:rPr>
              <w:t>−7.72 – −1.28</w:t>
            </w:r>
          </w:p>
        </w:tc>
      </w:tr>
      <w:tr w14:paraId="642FF7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1781" w:type="dxa"/>
            <w:tcBorders>
              <w:top w:val="nil"/>
              <w:left w:val="nil"/>
              <w:bottom w:val="single" w:color="000000" w:themeColor="dark1" w:sz="12" w:space="0"/>
              <w:right w:val="nil"/>
            </w:tcBorders>
            <w:shd w:val="clear" w:color="auto" w:fill="E5E5E5" w:themeFill="dark1" w:themeFillTint="19"/>
            <w:vAlign w:val="center"/>
          </w:tcPr>
          <w:p w14:paraId="2A516F4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kern w:val="0"/>
                <w:sz w:val="24"/>
                <w:szCs w:val="24"/>
                <w:u w:val="none"/>
                <w:lang w:val="en-US" w:eastAsia="zh-CN" w:bidi="ar"/>
              </w:rPr>
              <w:t>Distance in Zone</w:t>
            </w:r>
          </w:p>
          <w:p w14:paraId="569170E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i w:val="0"/>
                <w:iCs w:val="0"/>
                <w:color w:val="08090C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iCs w:val="0"/>
                <w:color w:val="08090C"/>
                <w:kern w:val="0"/>
                <w:sz w:val="24"/>
                <w:szCs w:val="24"/>
                <w:u w:val="none"/>
                <w:lang w:val="en-US" w:eastAsia="zh-CN" w:bidi="ar"/>
              </w:rPr>
              <w:t>(Day 7)</w:t>
            </w:r>
          </w:p>
        </w:tc>
        <w:tc>
          <w:tcPr>
            <w:tcW w:w="1587" w:type="dxa"/>
            <w:tcBorders>
              <w:top w:val="nil"/>
              <w:left w:val="nil"/>
              <w:bottom w:val="single" w:color="000000" w:themeColor="dark1" w:sz="12" w:space="0"/>
              <w:right w:val="nil"/>
            </w:tcBorders>
            <w:shd w:val="clear" w:color="auto" w:fill="E5E5E5" w:themeFill="dark1" w:themeFillTint="19"/>
            <w:vAlign w:val="center"/>
          </w:tcPr>
          <w:p w14:paraId="39035C7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8090C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8090C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PD vs 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iCs w:val="0"/>
                <w:color w:val="08090C"/>
                <w:kern w:val="0"/>
                <w:sz w:val="24"/>
                <w:szCs w:val="24"/>
                <w:u w:val="none"/>
                <w:lang w:val="en-US" w:eastAsia="zh-CN" w:bidi="ar"/>
              </w:rPr>
              <w:t>Control</w:t>
            </w:r>
          </w:p>
        </w:tc>
        <w:tc>
          <w:tcPr>
            <w:tcW w:w="2498" w:type="dxa"/>
            <w:tcBorders>
              <w:top w:val="nil"/>
              <w:left w:val="nil"/>
              <w:bottom w:val="single" w:color="000000" w:themeColor="dark1" w:sz="12" w:space="0"/>
              <w:right w:val="nil"/>
            </w:tcBorders>
            <w:shd w:val="clear" w:color="auto" w:fill="E5E5E5" w:themeFill="dark1" w:themeFillTint="19"/>
            <w:vAlign w:val="center"/>
          </w:tcPr>
          <w:p w14:paraId="1A4E6BA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i w:val="0"/>
                <w:iCs w:val="0"/>
                <w:color w:val="08090C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iCs w:val="0"/>
                <w:color w:val="08090C"/>
                <w:kern w:val="0"/>
                <w:sz w:val="24"/>
                <w:szCs w:val="24"/>
                <w:u w:val="none"/>
                <w:lang w:val="en-US" w:eastAsia="zh-CN" w:bidi="ar"/>
              </w:rPr>
              <w:t>−2.53</w:t>
            </w:r>
          </w:p>
        </w:tc>
        <w:tc>
          <w:tcPr>
            <w:tcW w:w="2380" w:type="dxa"/>
            <w:tcBorders>
              <w:top w:val="nil"/>
              <w:left w:val="nil"/>
              <w:bottom w:val="single" w:color="000000" w:themeColor="dark1" w:sz="12" w:space="0"/>
              <w:right w:val="nil"/>
            </w:tcBorders>
            <w:shd w:val="clear" w:color="auto" w:fill="E5E5E5" w:themeFill="dark1" w:themeFillTint="19"/>
            <w:vAlign w:val="center"/>
          </w:tcPr>
          <w:p w14:paraId="299909E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i w:val="0"/>
                <w:iCs w:val="0"/>
                <w:color w:val="08090C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iCs w:val="0"/>
                <w:color w:val="08090C"/>
                <w:kern w:val="0"/>
                <w:sz w:val="24"/>
                <w:szCs w:val="24"/>
                <w:u w:val="none"/>
                <w:lang w:val="en-US" w:eastAsia="zh-CN" w:bidi="ar"/>
              </w:rPr>
              <w:t>−4.84 – −1.77</w:t>
            </w:r>
            <w:bookmarkStart w:id="0" w:name="_GoBack"/>
            <w:bookmarkEnd w:id="0"/>
          </w:p>
        </w:tc>
      </w:tr>
    </w:tbl>
    <w:p w14:paraId="42EFC2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</w:pPr>
    </w:p>
    <w:p w14:paraId="274FB1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</w:pPr>
    </w:p>
    <w:p w14:paraId="262021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4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E233CA3"/>
    <w:rsid w:val="267F1CDE"/>
    <w:rsid w:val="389B7222"/>
    <w:rsid w:val="5A8A6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  <w:style w:type="character" w:styleId="6">
    <w:name w:val="Emphasis"/>
    <w:basedOn w:val="4"/>
    <w:qFormat/>
    <w:uiPriority w:val="0"/>
    <w:rPr>
      <w:i/>
    </w:rPr>
  </w:style>
  <w:style w:type="character" w:customStyle="1" w:styleId="7">
    <w:name w:val="font21"/>
    <w:basedOn w:val="4"/>
    <w:qFormat/>
    <w:uiPriority w:val="0"/>
    <w:rPr>
      <w:rFonts w:hint="default" w:ascii="Times New Roman" w:hAnsi="Times New Roman" w:cs="Times New Roman"/>
      <w:color w:val="08090C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317</Words>
  <Characters>1546</Characters>
  <Lines>0</Lines>
  <Paragraphs>0</Paragraphs>
  <TotalTime>0</TotalTime>
  <ScaleCrop>false</ScaleCrop>
  <LinksUpToDate>false</LinksUpToDate>
  <CharactersWithSpaces>1787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2025-12-06T14:45:00Z</dcterms:created>
  <dc:creator>HP</dc:creator>
  <cp:lastModifiedBy>ZeKun Tian</cp:lastModifiedBy>
  <dcterms:modified xsi:type="dcterms:W3CDTF">2025-12-09T06:04:48Z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eyJoZGlkIjoiZDdiM2VhZjIyYjE5N2M3YTMwZjk5N2Q4YTBkZWE4NTIiLCJ1c2VySWQiOiI2ODU1Njc1MjAifQ==</vt:lpwstr>
  </property>
  <property fmtid="{D5CDD505-2E9C-101B-9397-08002B2CF9AE}" pid="4" name="ICV">
    <vt:lpwstr>20B5665F36D14260B380FBD9F6C441BF_12</vt:lpwstr>
  </property>
</Properties>
</file>