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A6CD" w14:textId="77777777" w:rsidR="00C965FF" w:rsidRDefault="00C965FF" w:rsidP="00C965FF">
      <w:pPr>
        <w:spacing w:before="156" w:after="156" w:line="360" w:lineRule="auto"/>
        <w:rPr>
          <w:rFonts w:ascii="Times New Roman" w:hAnsi="Times New Roman" w:cs="Times New Roman"/>
          <w:sz w:val="24"/>
        </w:rPr>
      </w:pPr>
      <w:bookmarkStart w:id="0" w:name="OLE_LINK37"/>
      <w:bookmarkStart w:id="1" w:name="OLE_LINK58"/>
      <w:bookmarkStart w:id="2" w:name="OLE_LINK28"/>
      <w:r w:rsidRPr="00EF7BE9">
        <w:rPr>
          <w:rFonts w:ascii="Times New Roman" w:hAnsi="Times New Roman" w:cs="Times New Roman"/>
          <w:b/>
          <w:bCs/>
          <w:sz w:val="24"/>
          <w:szCs w:val="24"/>
        </w:rPr>
        <w:t>The TP53-LGALS4 Axis Modulates the Tumor Immune Microenvironment and Synergizes with Anti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F7BE9">
        <w:rPr>
          <w:rFonts w:ascii="Times New Roman" w:hAnsi="Times New Roman" w:cs="Times New Roman"/>
          <w:b/>
          <w:bCs/>
          <w:sz w:val="24"/>
          <w:szCs w:val="24"/>
        </w:rPr>
        <w:t>PD-L1 Therapy in Colorectal Cancer</w:t>
      </w:r>
      <w:bookmarkEnd w:id="0"/>
      <w:bookmarkEnd w:id="1"/>
      <w:bookmarkEnd w:id="2"/>
    </w:p>
    <w:p w14:paraId="7AB3CB8E" w14:textId="3B66F317" w:rsidR="00C965FF" w:rsidRDefault="00C965FF" w:rsidP="00C965FF">
      <w:pPr>
        <w:spacing w:before="156" w:after="156" w:line="360" w:lineRule="auto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Fan Zhang</w:t>
      </w:r>
      <w:r>
        <w:rPr>
          <w:rFonts w:ascii="Times New Roman" w:hAnsi="Times New Roman" w:cs="Times New Roman"/>
          <w:sz w:val="24"/>
          <w:vertAlign w:val="superscript"/>
        </w:rPr>
        <w:t>1,</w:t>
      </w:r>
      <w:r>
        <w:rPr>
          <w:rFonts w:ascii="Times New Roman" w:hAnsi="Times New Roman" w:cs="Times New Roman" w:hint="eastAsia"/>
          <w:sz w:val="24"/>
          <w:vertAlign w:val="superscript"/>
        </w:rPr>
        <w:t>2,</w:t>
      </w:r>
      <w:r>
        <w:rPr>
          <w:rFonts w:ascii="Times New Roman" w:hAnsi="Times New Roman" w:cs="Times New Roman"/>
          <w:sz w:val="24"/>
          <w:vertAlign w:val="superscript"/>
        </w:rPr>
        <w:t>#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Minli Yang</w:t>
      </w:r>
      <w:r>
        <w:rPr>
          <w:rFonts w:ascii="Times New Roman" w:hAnsi="Times New Roman" w:cs="Times New Roman" w:hint="eastAsia"/>
          <w:sz w:val="24"/>
          <w:vertAlign w:val="superscript"/>
        </w:rPr>
        <w:t>3,</w:t>
      </w:r>
      <w:r>
        <w:rPr>
          <w:rFonts w:ascii="Times New Roman" w:hAnsi="Times New Roman" w:cs="Times New Roman"/>
          <w:sz w:val="24"/>
          <w:vertAlign w:val="superscript"/>
        </w:rPr>
        <w:t>#</w:t>
      </w:r>
      <w:r>
        <w:rPr>
          <w:rFonts w:ascii="Times New Roman" w:hAnsi="Times New Roman" w:cs="Times New Roman" w:hint="eastAsia"/>
          <w:sz w:val="24"/>
        </w:rPr>
        <w:t>, Xiaoqing Peng</w:t>
      </w:r>
      <w:r>
        <w:rPr>
          <w:rFonts w:ascii="Times New Roman" w:hAnsi="Times New Roman" w:cs="Times New Roman" w:hint="eastAsia"/>
          <w:sz w:val="24"/>
          <w:vertAlign w:val="superscript"/>
        </w:rPr>
        <w:t>4,#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Qing Qin</w:t>
      </w:r>
      <w:r>
        <w:rPr>
          <w:rFonts w:ascii="Times New Roman" w:hAnsi="Times New Roman" w:cs="Times New Roman"/>
          <w:sz w:val="24"/>
          <w:vertAlign w:val="superscript"/>
        </w:rPr>
        <w:t>1,</w:t>
      </w:r>
      <w:r>
        <w:rPr>
          <w:rFonts w:ascii="Times New Roman" w:hAnsi="Times New Roman" w:cs="Times New Roman" w:hint="eastAsia"/>
          <w:sz w:val="24"/>
          <w:vertAlign w:val="superscript"/>
        </w:rPr>
        <w:t>2</w:t>
      </w:r>
      <w:r w:rsidR="00FE6CBA">
        <w:rPr>
          <w:rFonts w:ascii="Times New Roman" w:hAnsi="Times New Roman" w:cs="Times New Roman" w:hint="eastAsia"/>
          <w:sz w:val="24"/>
          <w:vertAlign w:val="superscript"/>
        </w:rPr>
        <w:t>,#</w:t>
      </w:r>
      <w:r>
        <w:rPr>
          <w:rFonts w:ascii="Times New Roman" w:hAnsi="Times New Roman" w:cs="Times New Roman"/>
          <w:sz w:val="24"/>
        </w:rPr>
        <w:t>, Yulan Huang</w:t>
      </w:r>
      <w:r>
        <w:rPr>
          <w:rFonts w:ascii="Times New Roman" w:hAnsi="Times New Roman" w:cs="Times New Roman" w:hint="eastAsia"/>
          <w:sz w:val="24"/>
          <w:vertAlign w:val="superscript"/>
        </w:rPr>
        <w:t>2,5</w:t>
      </w:r>
      <w:r>
        <w:rPr>
          <w:rFonts w:ascii="Times New Roman" w:hAnsi="Times New Roman" w:cs="Times New Roman"/>
          <w:sz w:val="24"/>
        </w:rPr>
        <w:t>, Renc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>ao Deng</w:t>
      </w:r>
      <w:r>
        <w:rPr>
          <w:rFonts w:ascii="Times New Roman" w:hAnsi="Times New Roman" w:cs="Times New Roman" w:hint="eastAsia"/>
          <w:sz w:val="24"/>
          <w:vertAlign w:val="superscript"/>
        </w:rPr>
        <w:t>2,5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Dapeng Zhang</w:t>
      </w:r>
      <w:r>
        <w:rPr>
          <w:rFonts w:ascii="Times New Roman" w:hAnsi="Times New Roman" w:cs="Times New Roman" w:hint="eastAsia"/>
          <w:sz w:val="24"/>
          <w:vertAlign w:val="superscript"/>
        </w:rPr>
        <w:t>2,5,6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Lili Zhang</w:t>
      </w:r>
      <w:r>
        <w:rPr>
          <w:rFonts w:ascii="Times New Roman" w:hAnsi="Times New Roman" w:cs="Times New Roman" w:hint="eastAsia"/>
          <w:sz w:val="24"/>
          <w:vertAlign w:val="superscript"/>
        </w:rPr>
        <w:t>7,</w:t>
      </w: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</w:rPr>
        <w:t>, Houjie Liang</w:t>
      </w:r>
      <w:r>
        <w:rPr>
          <w:rFonts w:ascii="Times New Roman" w:hAnsi="Times New Roman" w:cs="Times New Roman" w:hint="eastAsia"/>
          <w:sz w:val="24"/>
          <w:vertAlign w:val="superscript"/>
        </w:rPr>
        <w:t>1,*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Jianjun Li</w:t>
      </w:r>
      <w:r>
        <w:rPr>
          <w:rFonts w:ascii="Times New Roman" w:hAnsi="Times New Roman" w:cs="Times New Roman" w:hint="eastAsia"/>
          <w:sz w:val="24"/>
          <w:vertAlign w:val="superscript"/>
        </w:rPr>
        <w:t>1,*</w:t>
      </w:r>
    </w:p>
    <w:p w14:paraId="5E94F28E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1Department of Oncology, Southwest Hospital, Third Military Medical University (Army Medical University), Chongqing 400038, China.</w:t>
      </w:r>
    </w:p>
    <w:p w14:paraId="132A280D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2Department of Pathophysiology, College of High Altitude Military Medicine, Third Military Medical University (Army Medical University), Chongqing 400038, China.</w:t>
      </w:r>
    </w:p>
    <w:p w14:paraId="534F34DE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Department of Clinical Laboratory, Bishan Hospital of Chongqing Medical University, Chongqing, 402760, China.</w:t>
      </w:r>
    </w:p>
    <w:p w14:paraId="20AC00B1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4Department of Hematology &amp; Oncology, Jiangbei Campus, The First Affiliated Hospital of Army Medical University, Chongqing, China.</w:t>
      </w:r>
    </w:p>
    <w:p w14:paraId="01A34A31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5Key Laboratory of Extreme Environmental Medicine Ministry of Education of China Chongqing China.</w:t>
      </w:r>
    </w:p>
    <w:p w14:paraId="7061DCA4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6Jinfeng Laboratory, Chongqing 401329, China.</w:t>
      </w:r>
    </w:p>
    <w:p w14:paraId="755A6B2C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7College of General Education, Chongqing University of Chinese Medicine, Chongqing 402760, China</w:t>
      </w:r>
      <w:r>
        <w:rPr>
          <w:rFonts w:ascii="Times New Roman" w:eastAsia="宋体" w:hAnsi="Times New Roman" w:cs="Times New Roman" w:hint="eastAsia"/>
          <w:sz w:val="24"/>
        </w:rPr>
        <w:t>.</w:t>
      </w:r>
    </w:p>
    <w:p w14:paraId="28CE7C6F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#These authors contributed equally to this work.</w:t>
      </w:r>
    </w:p>
    <w:p w14:paraId="14887522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Correspondence to:</w:t>
      </w:r>
    </w:p>
    <w:p w14:paraId="520265C7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Jianjun Li, No. 30 Gaotanyan Street, Shapingba, Chongqing 400038, People’s Republic of China. </w:t>
      </w:r>
      <w:bookmarkStart w:id="3" w:name="OLE_LINK38"/>
      <w:r>
        <w:rPr>
          <w:rFonts w:ascii="Times New Roman" w:hAnsi="Times New Roman" w:cs="Times New Roman"/>
          <w:sz w:val="24"/>
        </w:rPr>
        <w:t>jianjunli@tmmu.edu.cn</w:t>
      </w:r>
      <w:bookmarkEnd w:id="3"/>
    </w:p>
    <w:p w14:paraId="4107679F" w14:textId="77777777" w:rsidR="00C965FF" w:rsidRDefault="00C965FF" w:rsidP="00C965FF">
      <w:pPr>
        <w:spacing w:before="156" w:after="156"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Houjie Liang, No. 30 Gaotanyan Street, Shapingba, Chongqing 400038, People’s Republic of China, lianghoujie@sina.com.</w:t>
      </w:r>
    </w:p>
    <w:p w14:paraId="541F20EB" w14:textId="77777777" w:rsidR="00C965FF" w:rsidRDefault="00C965FF" w:rsidP="00C965FF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Lili Zhang, 61 Pu Guobao Road, Bicheng Street, 402760, Bishan District, Chongqing, China, 11929765@qq.com</w:t>
      </w:r>
      <w:r>
        <w:rPr>
          <w:rFonts w:ascii="Times New Roman" w:hAnsi="Times New Roman" w:cs="Times New Roman" w:hint="eastAsia"/>
          <w:sz w:val="24"/>
        </w:rPr>
        <w:t>.</w:t>
      </w:r>
    </w:p>
    <w:p w14:paraId="493EAF43" w14:textId="77777777" w:rsidR="00C965FF" w:rsidRDefault="00C965FF" w:rsidP="00C965FF">
      <w:pPr>
        <w:spacing w:beforeLines="0" w:before="0" w:afterLines="0"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</w:rPr>
        <w:t xml:space="preserve">Running title: </w:t>
      </w:r>
      <w:r>
        <w:rPr>
          <w:rFonts w:ascii="Times New Roman" w:hAnsi="Times New Roman" w:cs="Times New Roman"/>
          <w:sz w:val="24"/>
          <w:szCs w:val="24"/>
        </w:rPr>
        <w:t>LGALS4</w:t>
      </w:r>
      <w:r>
        <w:rPr>
          <w:rFonts w:ascii="Times New Roman" w:hAnsi="Times New Roman" w:cs="Times New Roman" w:hint="eastAsia"/>
          <w:sz w:val="24"/>
          <w:szCs w:val="24"/>
        </w:rPr>
        <w:t xml:space="preserve"> inhibits CRC growth through tumor immunity</w:t>
      </w:r>
    </w:p>
    <w:p w14:paraId="04D679A8" w14:textId="77777777" w:rsidR="00C965FF" w:rsidRDefault="00C965FF" w:rsidP="00C965FF">
      <w:pPr>
        <w:spacing w:beforeLines="0" w:before="0" w:afterLines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FB3E36" w14:textId="77777777" w:rsidR="0061242B" w:rsidRDefault="0061242B" w:rsidP="0061242B">
      <w:pPr>
        <w:spacing w:beforeLines="0" w:before="0" w:afterLines="0"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4F44119" wp14:editId="19722896">
            <wp:extent cx="5274310" cy="5537200"/>
            <wp:effectExtent l="0" t="0" r="2540" b="6350"/>
            <wp:docPr id="13815393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53935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5ECD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Fig. S1 </w:t>
      </w:r>
      <w:r>
        <w:rPr>
          <w:rFonts w:ascii="Times New Roman" w:hAnsi="Times New Roman" w:cs="Times New Roman"/>
          <w:b/>
          <w:bCs/>
          <w:sz w:val="24"/>
        </w:rPr>
        <w:t>LGALS4 regulates splenic macrophage polarization without altering the overall immune cell composition</w:t>
      </w:r>
    </w:p>
    <w:p w14:paraId="65D7DFB9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color w:val="000000" w:themeColor="text1"/>
          <w:sz w:val="24"/>
          <w:szCs w:val="32"/>
          <w:highlight w:val="yellow"/>
        </w:rPr>
      </w:pPr>
      <w:r>
        <w:rPr>
          <w:rFonts w:ascii="Times New Roman" w:hAnsi="Times New Roman" w:cs="Times New Roman"/>
          <w:sz w:val="24"/>
        </w:rPr>
        <w:t>A. Strategies for flow cytometry</w:t>
      </w:r>
      <w:r>
        <w:rPr>
          <w:rFonts w:ascii="Times New Roman" w:hAnsi="Times New Roman" w:cs="Times New Roman"/>
          <w:b/>
          <w:bCs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FACS) analysis of subcutaneous tumors and splenic white blood cells (leukocytes), T lymphocytes and myeloid cells. FSC and SSC gating were conducted to remove particles, cell debris, and adherent cells. CD45+ cells are leukocytes. T cells were assessed as CD45+CD3+ and CD8+ T cells were assessed as CD45+CD3+CD8+CD4−, and CD4+ T cells were assessed as CD45+CD3+CD8−CD4+. The macrophages were assessed as CD45+f4/80+, and the M1-type macrophages were assessed as CD45+f4/80+CD11C+CD206-. The M2-type macrophages were assessed as CD45+f4/80+CD11C-CD206+. MDSCs were assessed as CD45+/CD11b+/Gr1+ cells. PMN-MDSCs were defined as CDCD45+CD11b+/Gr1+/Ly6G+/Ly6C+ cells. M-MDSCs were defined as CDCD45+/CD11b+/Gr1+/Ly6G-/Ly6C+ cells.</w:t>
      </w:r>
    </w:p>
    <w:p w14:paraId="25AEA2C9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B. The percentage of leuk</w:t>
      </w:r>
      <w:r>
        <w:rPr>
          <w:rFonts w:ascii="Times New Roman" w:hAnsi="Times New Roman" w:cs="Times New Roman" w:hint="eastAsia"/>
          <w:sz w:val="24"/>
        </w:rPr>
        <w:t xml:space="preserve">ocytes in </w:t>
      </w:r>
      <w:r>
        <w:rPr>
          <w:rFonts w:ascii="Times New Roman" w:hAnsi="Times New Roman" w:cs="Times New Roman"/>
          <w:sz w:val="24"/>
        </w:rPr>
        <w:t>sple</w:t>
      </w:r>
      <w:r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(n = 4)</w:t>
      </w:r>
      <w:r>
        <w:rPr>
          <w:rFonts w:ascii="Times New Roman" w:hAnsi="Times New Roman" w:cs="Times New Roman" w:hint="eastAsia"/>
          <w:sz w:val="24"/>
        </w:rPr>
        <w:t>.</w:t>
      </w:r>
    </w:p>
    <w:p w14:paraId="37A7C60C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C. </w:t>
      </w:r>
      <w:r>
        <w:rPr>
          <w:rFonts w:ascii="Times New Roman" w:hAnsi="Times New Roman" w:cs="Times New Roman"/>
          <w:sz w:val="24"/>
        </w:rPr>
        <w:t>Percentage of splenic T lymphocytes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(n = 4).</w:t>
      </w:r>
    </w:p>
    <w:p w14:paraId="3A6589B6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</w:t>
      </w:r>
      <w:r>
        <w:rPr>
          <w:rFonts w:ascii="Times New Roman" w:hAnsi="Times New Roman" w:cs="Times New Roman"/>
          <w:sz w:val="24"/>
        </w:rPr>
        <w:t>. Proportion of CD8+ T cells and CD4+ T cells in the spleen. (n = 4)</w:t>
      </w:r>
    </w:p>
    <w:p w14:paraId="6460CC4E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E</w:t>
      </w:r>
      <w:r>
        <w:rPr>
          <w:rFonts w:ascii="Times New Roman" w:hAnsi="Times New Roman" w:cs="Times New Roman"/>
          <w:sz w:val="24"/>
        </w:rPr>
        <w:t>. The proportion of macrophages in the spleen. (n = 4)</w:t>
      </w:r>
    </w:p>
    <w:p w14:paraId="708AA739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. Proportion of M1-type and M2-type macrophages in the spleen. (n = 4)</w:t>
      </w:r>
    </w:p>
    <w:p w14:paraId="123E1C36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G</w:t>
      </w:r>
      <w:r>
        <w:rPr>
          <w:rFonts w:ascii="Times New Roman" w:hAnsi="Times New Roman" w:cs="Times New Roman"/>
          <w:sz w:val="24"/>
        </w:rPr>
        <w:t>. The proportion of MDSCs in the spleen. (n = 4)</w:t>
      </w:r>
    </w:p>
    <w:p w14:paraId="73CD09AC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>. Proportion of PMN-MDSCs and M-MDSCs in the spleen. (n = 4)</w:t>
      </w:r>
    </w:p>
    <w:p w14:paraId="1BF90552" w14:textId="77777777" w:rsidR="0061242B" w:rsidRDefault="0061242B" w:rsidP="0061242B">
      <w:pPr>
        <w:spacing w:beforeLines="0" w:before="0" w:afterLines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 the data are presented as the </w:t>
      </w:r>
      <w:bookmarkStart w:id="4" w:name="_Hlk205474777"/>
      <w:r>
        <w:rPr>
          <w:rFonts w:ascii="Times New Roman" w:hAnsi="Times New Roman" w:cs="Times New Roman"/>
          <w:sz w:val="24"/>
        </w:rPr>
        <w:t>means ± s.d.s</w:t>
      </w:r>
      <w:bookmarkEnd w:id="4"/>
      <w:r>
        <w:rPr>
          <w:rFonts w:ascii="Times New Roman" w:hAnsi="Times New Roman" w:cs="Times New Roman"/>
          <w:sz w:val="24"/>
        </w:rPr>
        <w:t>. All the data were analyzed with Student's t test. (*P &lt; 0.05 and n.s. not significant).</w:t>
      </w:r>
    </w:p>
    <w:p w14:paraId="3B4DDBC1" w14:textId="77777777" w:rsidR="0061242B" w:rsidRDefault="0061242B" w:rsidP="0061242B">
      <w:pPr>
        <w:spacing w:beforeLines="0" w:before="0" w:afterLines="0" w:after="0" w:line="240" w:lineRule="auto"/>
        <w:jc w:val="left"/>
        <w:rPr>
          <w:rFonts w:ascii="Times New Roman" w:hAnsi="Times New Roman" w:cs="Times New Roman"/>
          <w:sz w:val="24"/>
        </w:rPr>
      </w:pPr>
    </w:p>
    <w:p w14:paraId="72F870CC" w14:textId="77777777" w:rsidR="0061242B" w:rsidRDefault="0061242B">
      <w:pPr>
        <w:spacing w:before="156" w:after="156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br w:type="page"/>
      </w:r>
    </w:p>
    <w:p w14:paraId="526FA59F" w14:textId="06FEAB25" w:rsidR="00C965FF" w:rsidRPr="00B82069" w:rsidRDefault="00C965FF" w:rsidP="003C070B">
      <w:pPr>
        <w:spacing w:before="156" w:after="156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lastRenderedPageBreak/>
        <w:t>Material</w:t>
      </w:r>
      <w:r w:rsidR="00864C1A" w:rsidRPr="00864C1A">
        <w:rPr>
          <w:rFonts w:ascii="Times New Roman" w:hAnsi="Times New Roman" w:cs="Times New Roman" w:hint="eastAsia"/>
          <w:b/>
          <w:bCs/>
          <w:sz w:val="28"/>
          <w:szCs w:val="36"/>
        </w:rPr>
        <w:t xml:space="preserve"> </w:t>
      </w:r>
      <w:r w:rsidR="00864C1A">
        <w:rPr>
          <w:rFonts w:ascii="Times New Roman" w:hAnsi="Times New Roman" w:cs="Times New Roman" w:hint="eastAsia"/>
          <w:b/>
          <w:bCs/>
          <w:sz w:val="28"/>
          <w:szCs w:val="36"/>
        </w:rPr>
        <w:t>L</w:t>
      </w:r>
      <w:r w:rsidR="00864C1A" w:rsidRPr="00864C1A">
        <w:rPr>
          <w:rFonts w:ascii="Times New Roman" w:hAnsi="Times New Roman" w:cs="Times New Roman" w:hint="eastAsia"/>
          <w:b/>
          <w:bCs/>
          <w:sz w:val="28"/>
          <w:szCs w:val="36"/>
        </w:rPr>
        <w:t>ist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565"/>
        <w:gridCol w:w="1604"/>
      </w:tblGrid>
      <w:tr w:rsidR="0091311E" w:rsidRPr="00B129A2" w14:paraId="278CB190" w14:textId="77777777" w:rsidTr="0061242B">
        <w:tc>
          <w:tcPr>
            <w:tcW w:w="5353" w:type="dxa"/>
          </w:tcPr>
          <w:p w14:paraId="4FF2B363" w14:textId="49CA5B60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Galectin-4 Polyclonal antibody</w:t>
            </w:r>
          </w:p>
        </w:tc>
        <w:tc>
          <w:tcPr>
            <w:tcW w:w="1565" w:type="dxa"/>
          </w:tcPr>
          <w:p w14:paraId="2CD8C27F" w14:textId="36D4F65F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#27552-1-AP</w:t>
            </w:r>
          </w:p>
        </w:tc>
        <w:tc>
          <w:tcPr>
            <w:tcW w:w="1604" w:type="dxa"/>
          </w:tcPr>
          <w:p w14:paraId="12AA3A56" w14:textId="49AC7681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Proteintech</w:t>
            </w:r>
          </w:p>
        </w:tc>
      </w:tr>
      <w:tr w:rsidR="0091311E" w:rsidRPr="00B129A2" w14:paraId="432F5A75" w14:textId="77777777" w:rsidTr="0061242B">
        <w:tc>
          <w:tcPr>
            <w:tcW w:w="5353" w:type="dxa"/>
          </w:tcPr>
          <w:p w14:paraId="5B849D41" w14:textId="74A5CADE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β</w:t>
            </w: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-Tubulin (direct-labeling)</w:t>
            </w:r>
          </w:p>
        </w:tc>
        <w:tc>
          <w:tcPr>
            <w:tcW w:w="1565" w:type="dxa"/>
          </w:tcPr>
          <w:p w14:paraId="0991AC72" w14:textId="08E96766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#AC030</w:t>
            </w:r>
          </w:p>
        </w:tc>
        <w:tc>
          <w:tcPr>
            <w:tcW w:w="1604" w:type="dxa"/>
          </w:tcPr>
          <w:p w14:paraId="34913F1F" w14:textId="43DE4B24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ABclonal</w:t>
            </w:r>
          </w:p>
        </w:tc>
      </w:tr>
      <w:tr w:rsidR="0091311E" w:rsidRPr="00B129A2" w14:paraId="26A60C4A" w14:textId="77777777" w:rsidTr="0061242B">
        <w:tc>
          <w:tcPr>
            <w:tcW w:w="5353" w:type="dxa"/>
          </w:tcPr>
          <w:p w14:paraId="0AAE1E50" w14:textId="0100BCA7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/>
                <w:sz w:val="18"/>
                <w:szCs w:val="18"/>
              </w:rPr>
              <w:t>CCL4/MIP-1 beta Recombinant Rabbit Monoclonal Antibody</w:t>
            </w:r>
          </w:p>
        </w:tc>
        <w:tc>
          <w:tcPr>
            <w:tcW w:w="1565" w:type="dxa"/>
          </w:tcPr>
          <w:p w14:paraId="54CD9470" w14:textId="28979891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/>
                <w:sz w:val="18"/>
                <w:szCs w:val="18"/>
              </w:rPr>
              <w:t># HA721904</w:t>
            </w:r>
          </w:p>
        </w:tc>
        <w:tc>
          <w:tcPr>
            <w:tcW w:w="1604" w:type="dxa"/>
          </w:tcPr>
          <w:p w14:paraId="6DC4816C" w14:textId="47CBE962" w:rsidR="0091311E" w:rsidRPr="001403A9" w:rsidRDefault="0091311E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HUABIO</w:t>
            </w:r>
          </w:p>
        </w:tc>
      </w:tr>
      <w:tr w:rsidR="0091311E" w:rsidRPr="00B129A2" w14:paraId="38F0279A" w14:textId="77777777" w:rsidTr="0061242B">
        <w:tc>
          <w:tcPr>
            <w:tcW w:w="5353" w:type="dxa"/>
          </w:tcPr>
          <w:p w14:paraId="4B3236B1" w14:textId="348E78AF" w:rsidR="0091311E" w:rsidRPr="001403A9" w:rsidRDefault="00DD7F08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NF-</w:t>
            </w: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κ</w:t>
            </w: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 p65 Antibody</w:t>
            </w:r>
          </w:p>
        </w:tc>
        <w:tc>
          <w:tcPr>
            <w:tcW w:w="1565" w:type="dxa"/>
          </w:tcPr>
          <w:p w14:paraId="60690CE6" w14:textId="6DE05F1C" w:rsidR="0091311E" w:rsidRPr="001403A9" w:rsidRDefault="00DD7F08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#F0006</w:t>
            </w:r>
          </w:p>
        </w:tc>
        <w:tc>
          <w:tcPr>
            <w:tcW w:w="1604" w:type="dxa"/>
          </w:tcPr>
          <w:p w14:paraId="3920C346" w14:textId="5725BFA7" w:rsidR="0091311E" w:rsidRPr="001403A9" w:rsidRDefault="00DD7F08" w:rsidP="00D56E7D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Selleck</w:t>
            </w:r>
          </w:p>
        </w:tc>
      </w:tr>
      <w:tr w:rsidR="00DD7F08" w:rsidRPr="00B129A2" w14:paraId="543CF830" w14:textId="77777777" w:rsidTr="0061242B">
        <w:tc>
          <w:tcPr>
            <w:tcW w:w="5353" w:type="dxa"/>
          </w:tcPr>
          <w:p w14:paraId="702C0A3F" w14:textId="221CC431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Phospho-NF-</w:t>
            </w: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κ</w:t>
            </w: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 p65 (Ser536) Antibody</w:t>
            </w:r>
          </w:p>
        </w:tc>
        <w:tc>
          <w:tcPr>
            <w:tcW w:w="1565" w:type="dxa"/>
          </w:tcPr>
          <w:p w14:paraId="649201C7" w14:textId="752D81FB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#F0155</w:t>
            </w:r>
          </w:p>
        </w:tc>
        <w:tc>
          <w:tcPr>
            <w:tcW w:w="1604" w:type="dxa"/>
          </w:tcPr>
          <w:p w14:paraId="505B28E7" w14:textId="45476C79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Selleck</w:t>
            </w:r>
          </w:p>
        </w:tc>
      </w:tr>
      <w:tr w:rsidR="00DD7F08" w:rsidRPr="00B129A2" w14:paraId="5CD331D0" w14:textId="77777777" w:rsidTr="0061242B">
        <w:tc>
          <w:tcPr>
            <w:tcW w:w="5353" w:type="dxa"/>
          </w:tcPr>
          <w:p w14:paraId="420A3436" w14:textId="2A8D1843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HRP-conjugated Goat Anti-Rabbit IgG(H+L)  </w:t>
            </w:r>
          </w:p>
        </w:tc>
        <w:tc>
          <w:tcPr>
            <w:tcW w:w="1565" w:type="dxa"/>
          </w:tcPr>
          <w:p w14:paraId="1C81CF3D" w14:textId="4EFC7916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 SA00001-2</w:t>
            </w:r>
          </w:p>
        </w:tc>
        <w:tc>
          <w:tcPr>
            <w:tcW w:w="1604" w:type="dxa"/>
          </w:tcPr>
          <w:p w14:paraId="3AF825E9" w14:textId="088DC9BC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Proteintech</w:t>
            </w:r>
          </w:p>
        </w:tc>
      </w:tr>
      <w:tr w:rsidR="00DD7F08" w:rsidRPr="00B129A2" w14:paraId="7649D3FC" w14:textId="77777777" w:rsidTr="0061242B">
        <w:tc>
          <w:tcPr>
            <w:tcW w:w="5353" w:type="dxa"/>
          </w:tcPr>
          <w:p w14:paraId="7E0ED020" w14:textId="6722C299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HRP-conjugated Goat Anti-Mouse IgG(H+L)</w:t>
            </w:r>
          </w:p>
        </w:tc>
        <w:tc>
          <w:tcPr>
            <w:tcW w:w="1565" w:type="dxa"/>
          </w:tcPr>
          <w:p w14:paraId="195353AA" w14:textId="2B32BAFD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#SA00001-1</w:t>
            </w:r>
          </w:p>
        </w:tc>
        <w:tc>
          <w:tcPr>
            <w:tcW w:w="1604" w:type="dxa"/>
          </w:tcPr>
          <w:p w14:paraId="2CBD53EF" w14:textId="299B7975" w:rsidR="00DD7F08" w:rsidRPr="001403A9" w:rsidRDefault="00DD7F08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Proteintech</w:t>
            </w:r>
          </w:p>
        </w:tc>
      </w:tr>
      <w:tr w:rsidR="0061242B" w:rsidRPr="00B129A2" w14:paraId="02D5576F" w14:textId="77777777" w:rsidTr="0061242B">
        <w:tc>
          <w:tcPr>
            <w:tcW w:w="5353" w:type="dxa"/>
          </w:tcPr>
          <w:p w14:paraId="2269B3C4" w14:textId="69CB393C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Alexa Fluor 700 anti-mouse CD45 antibody</w:t>
            </w:r>
          </w:p>
        </w:tc>
        <w:tc>
          <w:tcPr>
            <w:tcW w:w="1565" w:type="dxa"/>
          </w:tcPr>
          <w:p w14:paraId="4C223CAC" w14:textId="345FA2BE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#103128</w:t>
            </w:r>
          </w:p>
        </w:tc>
        <w:tc>
          <w:tcPr>
            <w:tcW w:w="1604" w:type="dxa"/>
          </w:tcPr>
          <w:p w14:paraId="587E5D7D" w14:textId="53F314BC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418CA174" w14:textId="77777777" w:rsidTr="0061242B">
        <w:tc>
          <w:tcPr>
            <w:tcW w:w="5353" w:type="dxa"/>
          </w:tcPr>
          <w:p w14:paraId="57944463" w14:textId="5D33BE99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Phycoerythrin (PE) anti-mouse CD3 antibody</w:t>
            </w:r>
          </w:p>
        </w:tc>
        <w:tc>
          <w:tcPr>
            <w:tcW w:w="1565" w:type="dxa"/>
          </w:tcPr>
          <w:p w14:paraId="6E105E7B" w14:textId="6CB9F54E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#100206</w:t>
            </w:r>
          </w:p>
        </w:tc>
        <w:tc>
          <w:tcPr>
            <w:tcW w:w="1604" w:type="dxa"/>
          </w:tcPr>
          <w:p w14:paraId="050590B2" w14:textId="0DBD4819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324473C4" w14:textId="77777777" w:rsidTr="0061242B">
        <w:tc>
          <w:tcPr>
            <w:tcW w:w="5353" w:type="dxa"/>
          </w:tcPr>
          <w:p w14:paraId="1BF45ED2" w14:textId="1ED06884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Peridinin Chlorophyll Protein (PerCP/Cy5.5) anti-mouse CD8a antibody</w:t>
            </w:r>
          </w:p>
        </w:tc>
        <w:tc>
          <w:tcPr>
            <w:tcW w:w="1565" w:type="dxa"/>
          </w:tcPr>
          <w:p w14:paraId="08E651C5" w14:textId="6E988480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#100734</w:t>
            </w:r>
          </w:p>
        </w:tc>
        <w:tc>
          <w:tcPr>
            <w:tcW w:w="1604" w:type="dxa"/>
          </w:tcPr>
          <w:p w14:paraId="06DB9DE1" w14:textId="2730CD1A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1C17121C" w14:textId="77777777" w:rsidTr="0061242B">
        <w:tc>
          <w:tcPr>
            <w:tcW w:w="5353" w:type="dxa"/>
          </w:tcPr>
          <w:p w14:paraId="11F2AAFB" w14:textId="2BA72067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APC/Cyanine7 anti-mouse CD4 antibody</w:t>
            </w:r>
          </w:p>
        </w:tc>
        <w:tc>
          <w:tcPr>
            <w:tcW w:w="1565" w:type="dxa"/>
          </w:tcPr>
          <w:p w14:paraId="259624CB" w14:textId="2B20534B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#100414</w:t>
            </w:r>
          </w:p>
        </w:tc>
        <w:tc>
          <w:tcPr>
            <w:tcW w:w="1604" w:type="dxa"/>
          </w:tcPr>
          <w:p w14:paraId="0C0E4FC6" w14:textId="2D1C2114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30AF64CD" w14:textId="77777777" w:rsidTr="0061242B">
        <w:tc>
          <w:tcPr>
            <w:tcW w:w="5353" w:type="dxa"/>
          </w:tcPr>
          <w:p w14:paraId="7ED35336" w14:textId="178FE617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PerCP/Cy5.5 anti-mouse CD45 antibody</w:t>
            </w:r>
          </w:p>
        </w:tc>
        <w:tc>
          <w:tcPr>
            <w:tcW w:w="1565" w:type="dxa"/>
          </w:tcPr>
          <w:p w14:paraId="0C2C4BA3" w14:textId="2B26D181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#103132</w:t>
            </w:r>
          </w:p>
        </w:tc>
        <w:tc>
          <w:tcPr>
            <w:tcW w:w="1604" w:type="dxa"/>
          </w:tcPr>
          <w:p w14:paraId="1A5E5A00" w14:textId="309F91AD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3AFDEFB8" w14:textId="77777777" w:rsidTr="0061242B">
        <w:tc>
          <w:tcPr>
            <w:tcW w:w="5353" w:type="dxa"/>
          </w:tcPr>
          <w:p w14:paraId="1A9DF9BB" w14:textId="4AA317AF" w:rsidR="0061242B" w:rsidRPr="001403A9" w:rsidRDefault="00446A81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61242B"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llophycocyanin (APC) F4/80 antibody</w:t>
            </w:r>
          </w:p>
        </w:tc>
        <w:tc>
          <w:tcPr>
            <w:tcW w:w="1565" w:type="dxa"/>
          </w:tcPr>
          <w:p w14:paraId="398227F7" w14:textId="48A7289E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#123116</w:t>
            </w:r>
          </w:p>
        </w:tc>
        <w:tc>
          <w:tcPr>
            <w:tcW w:w="1604" w:type="dxa"/>
          </w:tcPr>
          <w:p w14:paraId="51440EF0" w14:textId="2F032AA5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79709924" w14:textId="77777777" w:rsidTr="0061242B">
        <w:tc>
          <w:tcPr>
            <w:tcW w:w="5353" w:type="dxa"/>
          </w:tcPr>
          <w:p w14:paraId="5FEDAD65" w14:textId="1E35CCF5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Pacific Blue (PB) anti-mouse CD11c antibody</w:t>
            </w:r>
          </w:p>
        </w:tc>
        <w:tc>
          <w:tcPr>
            <w:tcW w:w="1565" w:type="dxa"/>
          </w:tcPr>
          <w:p w14:paraId="3C21DC0D" w14:textId="752F33C9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#117322</w:t>
            </w:r>
          </w:p>
        </w:tc>
        <w:tc>
          <w:tcPr>
            <w:tcW w:w="1604" w:type="dxa"/>
          </w:tcPr>
          <w:p w14:paraId="7A03A8D3" w14:textId="452FCB90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49F13534" w14:textId="77777777" w:rsidTr="0061242B">
        <w:tc>
          <w:tcPr>
            <w:tcW w:w="5353" w:type="dxa"/>
          </w:tcPr>
          <w:p w14:paraId="76F37DF0" w14:textId="216838B3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PE anti-mouse CD206 antibody</w:t>
            </w:r>
          </w:p>
        </w:tc>
        <w:tc>
          <w:tcPr>
            <w:tcW w:w="1565" w:type="dxa"/>
          </w:tcPr>
          <w:p w14:paraId="76335167" w14:textId="4B5DA318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#141706</w:t>
            </w:r>
          </w:p>
        </w:tc>
        <w:tc>
          <w:tcPr>
            <w:tcW w:w="1604" w:type="dxa"/>
          </w:tcPr>
          <w:p w14:paraId="29C6C7F1" w14:textId="4CBB3AEC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58D4F1BF" w14:textId="77777777" w:rsidTr="0061242B">
        <w:tc>
          <w:tcPr>
            <w:tcW w:w="5353" w:type="dxa"/>
          </w:tcPr>
          <w:p w14:paraId="4752AACA" w14:textId="623EC299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APC anti-mouse CD11b antibody</w:t>
            </w:r>
          </w:p>
        </w:tc>
        <w:tc>
          <w:tcPr>
            <w:tcW w:w="1565" w:type="dxa"/>
          </w:tcPr>
          <w:p w14:paraId="496EF454" w14:textId="01738C61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#101212</w:t>
            </w:r>
          </w:p>
        </w:tc>
        <w:tc>
          <w:tcPr>
            <w:tcW w:w="1604" w:type="dxa"/>
          </w:tcPr>
          <w:p w14:paraId="40A01867" w14:textId="6426E05E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76CCD03D" w14:textId="77777777" w:rsidTr="0061242B">
        <w:tc>
          <w:tcPr>
            <w:tcW w:w="5353" w:type="dxa"/>
          </w:tcPr>
          <w:p w14:paraId="7E9478EC" w14:textId="6DCDBB5E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APC/Cyanine7 anti-mouse Gr1 antibody </w:t>
            </w:r>
          </w:p>
        </w:tc>
        <w:tc>
          <w:tcPr>
            <w:tcW w:w="1565" w:type="dxa"/>
          </w:tcPr>
          <w:p w14:paraId="20EFF09F" w14:textId="14A183EA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#108424</w:t>
            </w:r>
          </w:p>
        </w:tc>
        <w:tc>
          <w:tcPr>
            <w:tcW w:w="1604" w:type="dxa"/>
          </w:tcPr>
          <w:p w14:paraId="2FEECA1F" w14:textId="42C1B712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5F0C9BCA" w14:textId="77777777" w:rsidTr="0061242B">
        <w:tc>
          <w:tcPr>
            <w:tcW w:w="5353" w:type="dxa"/>
          </w:tcPr>
          <w:p w14:paraId="1FB829ED" w14:textId="33082514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PB anti-mouse Ly-6C antibody</w:t>
            </w:r>
          </w:p>
        </w:tc>
        <w:tc>
          <w:tcPr>
            <w:tcW w:w="1565" w:type="dxa"/>
          </w:tcPr>
          <w:p w14:paraId="772D2064" w14:textId="7909A7A0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#128014</w:t>
            </w:r>
          </w:p>
        </w:tc>
        <w:tc>
          <w:tcPr>
            <w:tcW w:w="1604" w:type="dxa"/>
          </w:tcPr>
          <w:p w14:paraId="19409E7B" w14:textId="351C0981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4B9C8655" w14:textId="77777777" w:rsidTr="0061242B">
        <w:tc>
          <w:tcPr>
            <w:tcW w:w="5353" w:type="dxa"/>
          </w:tcPr>
          <w:p w14:paraId="2B949800" w14:textId="580FD7AE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PF/Cyanine7 anti-mouse Ly-6G antibody </w:t>
            </w:r>
          </w:p>
        </w:tc>
        <w:tc>
          <w:tcPr>
            <w:tcW w:w="1565" w:type="dxa"/>
          </w:tcPr>
          <w:p w14:paraId="7E98143C" w14:textId="7DEAB3A2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#127618</w:t>
            </w:r>
          </w:p>
        </w:tc>
        <w:tc>
          <w:tcPr>
            <w:tcW w:w="1604" w:type="dxa"/>
          </w:tcPr>
          <w:p w14:paraId="2B4D32A4" w14:textId="309CC051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BioLegend</w:t>
            </w:r>
          </w:p>
        </w:tc>
      </w:tr>
      <w:tr w:rsidR="0061242B" w:rsidRPr="00B129A2" w14:paraId="20544CA7" w14:textId="77777777" w:rsidTr="0061242B">
        <w:tc>
          <w:tcPr>
            <w:tcW w:w="5353" w:type="dxa"/>
          </w:tcPr>
          <w:p w14:paraId="2F4D95A3" w14:textId="4C0D5C93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4',6-diamidino-2-phenylindole (DAPI)</w:t>
            </w:r>
          </w:p>
        </w:tc>
        <w:tc>
          <w:tcPr>
            <w:tcW w:w="1565" w:type="dxa"/>
          </w:tcPr>
          <w:p w14:paraId="4E724C1B" w14:textId="5D2662F5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#C1002</w:t>
            </w:r>
          </w:p>
        </w:tc>
        <w:tc>
          <w:tcPr>
            <w:tcW w:w="1604" w:type="dxa"/>
          </w:tcPr>
          <w:p w14:paraId="11DE8300" w14:textId="73E25A66" w:rsidR="0061242B" w:rsidRPr="001403A9" w:rsidRDefault="0061242B" w:rsidP="00DD7F08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1403A9">
              <w:rPr>
                <w:rFonts w:ascii="Times New Roman" w:hAnsi="Times New Roman" w:cs="Times New Roman" w:hint="eastAsia"/>
                <w:sz w:val="18"/>
                <w:szCs w:val="18"/>
              </w:rPr>
              <w:t>Beyotime</w:t>
            </w:r>
          </w:p>
        </w:tc>
      </w:tr>
    </w:tbl>
    <w:p w14:paraId="036513E7" w14:textId="2E4A4596" w:rsidR="00E863D5" w:rsidRPr="00AE29DF" w:rsidRDefault="00AE29DF" w:rsidP="00D56E7D">
      <w:pPr>
        <w:spacing w:beforeLines="0" w:before="0" w:afterLines="0" w:after="0" w:line="500" w:lineRule="exact"/>
        <w:mirrorIndents/>
        <w:rPr>
          <w:rFonts w:ascii="Times New Roman" w:hAnsi="Times New Roman" w:cs="Times New Roman"/>
          <w:b/>
          <w:bCs/>
          <w:sz w:val="28"/>
          <w:szCs w:val="36"/>
        </w:rPr>
      </w:pPr>
      <w:r w:rsidRPr="00AE29DF">
        <w:rPr>
          <w:rFonts w:ascii="Times New Roman" w:hAnsi="Times New Roman" w:cs="Times New Roman" w:hint="eastAsia"/>
          <w:b/>
          <w:bCs/>
          <w:sz w:val="28"/>
          <w:szCs w:val="36"/>
        </w:rPr>
        <w:t>The primers used in the qPCR analysis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864C1A" w14:paraId="2BC16859" w14:textId="77777777" w:rsidTr="00864C1A">
        <w:tc>
          <w:tcPr>
            <w:tcW w:w="4261" w:type="dxa"/>
          </w:tcPr>
          <w:p w14:paraId="3D3C573A" w14:textId="59E1EBBF" w:rsidR="00864C1A" w:rsidRPr="00AE29DF" w:rsidRDefault="00AE29DF" w:rsidP="00B129A2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E29DF">
              <w:rPr>
                <w:rFonts w:ascii="Times New Roman" w:hAnsi="Times New Roman" w:cs="Times New Roman" w:hint="eastAsia"/>
                <w:b/>
                <w:bCs/>
                <w:sz w:val="24"/>
              </w:rPr>
              <w:t>Name</w:t>
            </w:r>
          </w:p>
        </w:tc>
        <w:tc>
          <w:tcPr>
            <w:tcW w:w="4261" w:type="dxa"/>
          </w:tcPr>
          <w:p w14:paraId="4EEB1640" w14:textId="12B752FF" w:rsidR="00864C1A" w:rsidRPr="00AE29DF" w:rsidRDefault="00AE29DF" w:rsidP="00B129A2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E29DF">
              <w:rPr>
                <w:rFonts w:ascii="Times New Roman" w:hAnsi="Times New Roman" w:cs="Times New Roman" w:hint="eastAsia"/>
                <w:b/>
                <w:bCs/>
                <w:sz w:val="24"/>
              </w:rPr>
              <w:t>Sequence</w:t>
            </w:r>
          </w:p>
        </w:tc>
      </w:tr>
      <w:tr w:rsidR="00864C1A" w14:paraId="4ADF2CCD" w14:textId="77777777" w:rsidTr="00864C1A">
        <w:tc>
          <w:tcPr>
            <w:tcW w:w="4261" w:type="dxa"/>
          </w:tcPr>
          <w:p w14:paraId="35CCE2AB" w14:textId="4EA00DBB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Mouse-LGALS4 (5' </w:t>
            </w:r>
            <w:r w:rsidRPr="005C480C">
              <w:rPr>
                <w:rFonts w:ascii="Cambria Math" w:hAnsi="Cambria Math" w:cs="Cambria Math"/>
                <w:sz w:val="18"/>
                <w:szCs w:val="18"/>
              </w:rPr>
              <w:t>∼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 3') </w:t>
            </w:r>
          </w:p>
        </w:tc>
        <w:tc>
          <w:tcPr>
            <w:tcW w:w="4261" w:type="dxa"/>
          </w:tcPr>
          <w:p w14:paraId="102086C7" w14:textId="6D3B9134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F-GGTCGTGGTGAACGGAAATTC</w:t>
            </w:r>
          </w:p>
        </w:tc>
      </w:tr>
      <w:tr w:rsidR="00864C1A" w14:paraId="61A10397" w14:textId="77777777" w:rsidTr="00864C1A">
        <w:tc>
          <w:tcPr>
            <w:tcW w:w="4261" w:type="dxa"/>
          </w:tcPr>
          <w:p w14:paraId="6EC68A43" w14:textId="213E62AA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Mouse-LGALS4 (5' </w:t>
            </w:r>
            <w:r w:rsidRPr="005C480C">
              <w:rPr>
                <w:rFonts w:ascii="Cambria Math" w:hAnsi="Cambria Math" w:cs="Cambria Math"/>
                <w:sz w:val="18"/>
                <w:szCs w:val="18"/>
              </w:rPr>
              <w:t>∼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 3')</w:t>
            </w:r>
          </w:p>
        </w:tc>
        <w:tc>
          <w:tcPr>
            <w:tcW w:w="4261" w:type="dxa"/>
          </w:tcPr>
          <w:p w14:paraId="51B32BB8" w14:textId="715BE773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R-CGAGGAAGTTGATGGACTGAAG</w:t>
            </w:r>
          </w:p>
        </w:tc>
      </w:tr>
      <w:tr w:rsidR="00864C1A" w14:paraId="007E5833" w14:textId="77777777" w:rsidTr="00864C1A">
        <w:tc>
          <w:tcPr>
            <w:tcW w:w="4261" w:type="dxa"/>
          </w:tcPr>
          <w:p w14:paraId="79139836" w14:textId="6DCB22DB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Mouse-Gapdh (5' </w:t>
            </w:r>
            <w:r w:rsidRPr="005C480C">
              <w:rPr>
                <w:rFonts w:ascii="Cambria Math" w:hAnsi="Cambria Math" w:cs="Cambria Math"/>
                <w:sz w:val="18"/>
                <w:szCs w:val="18"/>
              </w:rPr>
              <w:t>∼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 3') </w:t>
            </w:r>
          </w:p>
        </w:tc>
        <w:tc>
          <w:tcPr>
            <w:tcW w:w="4261" w:type="dxa"/>
          </w:tcPr>
          <w:p w14:paraId="7FC34015" w14:textId="250523F8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F-TGTGTCCGTCGTGGATCTGA</w:t>
            </w:r>
          </w:p>
        </w:tc>
      </w:tr>
      <w:tr w:rsidR="00864C1A" w14:paraId="18C81140" w14:textId="77777777" w:rsidTr="00864C1A">
        <w:tc>
          <w:tcPr>
            <w:tcW w:w="4261" w:type="dxa"/>
          </w:tcPr>
          <w:p w14:paraId="0A0A45AB" w14:textId="5141B709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Mouse-Gapdh (5' </w:t>
            </w:r>
            <w:r w:rsidRPr="005C480C">
              <w:rPr>
                <w:rFonts w:ascii="Cambria Math" w:hAnsi="Cambria Math" w:cs="Cambria Math"/>
                <w:sz w:val="18"/>
                <w:szCs w:val="18"/>
              </w:rPr>
              <w:t>∼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 3')</w:t>
            </w:r>
          </w:p>
        </w:tc>
        <w:tc>
          <w:tcPr>
            <w:tcW w:w="4261" w:type="dxa"/>
          </w:tcPr>
          <w:p w14:paraId="471F59E2" w14:textId="6117BB38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R- CCTGCTTCACCACCTTCTTGAT</w:t>
            </w:r>
          </w:p>
        </w:tc>
      </w:tr>
      <w:tr w:rsidR="00864C1A" w14:paraId="479BFCE9" w14:textId="77777777" w:rsidTr="00864C1A">
        <w:tc>
          <w:tcPr>
            <w:tcW w:w="4261" w:type="dxa"/>
          </w:tcPr>
          <w:p w14:paraId="4E4A93D3" w14:textId="66764336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Homo-LGALS4 (5' </w:t>
            </w:r>
            <w:r w:rsidRPr="005C480C">
              <w:rPr>
                <w:rFonts w:ascii="Cambria Math" w:hAnsi="Cambria Math" w:cs="Cambria Math"/>
                <w:sz w:val="18"/>
                <w:szCs w:val="18"/>
              </w:rPr>
              <w:t>∼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 3') </w:t>
            </w:r>
          </w:p>
        </w:tc>
        <w:tc>
          <w:tcPr>
            <w:tcW w:w="4261" w:type="dxa"/>
          </w:tcPr>
          <w:p w14:paraId="1E15DBBF" w14:textId="61FD4FB9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F-GGTCGTGGTGAACGGAAATTC</w:t>
            </w:r>
          </w:p>
        </w:tc>
      </w:tr>
      <w:tr w:rsidR="00864C1A" w14:paraId="683702F9" w14:textId="77777777" w:rsidTr="00864C1A">
        <w:tc>
          <w:tcPr>
            <w:tcW w:w="4261" w:type="dxa"/>
          </w:tcPr>
          <w:p w14:paraId="0BC69AD7" w14:textId="4DE855A1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Homo-LGALS4 (5' </w:t>
            </w:r>
            <w:r w:rsidRPr="005C480C">
              <w:rPr>
                <w:rFonts w:ascii="Cambria Math" w:hAnsi="Cambria Math" w:cs="Cambria Math"/>
                <w:sz w:val="18"/>
                <w:szCs w:val="18"/>
              </w:rPr>
              <w:t>∼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 3')</w:t>
            </w:r>
          </w:p>
        </w:tc>
        <w:tc>
          <w:tcPr>
            <w:tcW w:w="4261" w:type="dxa"/>
          </w:tcPr>
          <w:p w14:paraId="5D2ED1E4" w14:textId="6529F121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R-CGAGGAAGTTGATGGACTGAAG</w:t>
            </w:r>
          </w:p>
        </w:tc>
      </w:tr>
      <w:tr w:rsidR="00864C1A" w14:paraId="56CD2E76" w14:textId="77777777" w:rsidTr="00864C1A">
        <w:tc>
          <w:tcPr>
            <w:tcW w:w="4261" w:type="dxa"/>
          </w:tcPr>
          <w:p w14:paraId="6E1A2D33" w14:textId="1514718E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Homo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β-actin (5' </w:t>
            </w:r>
            <w:r w:rsidRPr="005C480C">
              <w:rPr>
                <w:rFonts w:ascii="Cambria Math" w:hAnsi="Cambria Math" w:cs="Cambria Math"/>
                <w:sz w:val="18"/>
                <w:szCs w:val="18"/>
              </w:rPr>
              <w:t>∼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 3')</w:t>
            </w:r>
          </w:p>
        </w:tc>
        <w:tc>
          <w:tcPr>
            <w:tcW w:w="4261" w:type="dxa"/>
          </w:tcPr>
          <w:p w14:paraId="7D44E334" w14:textId="4C552402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F-CTCTTCCAGCCTTCCTTCCT</w:t>
            </w:r>
          </w:p>
        </w:tc>
      </w:tr>
      <w:tr w:rsidR="00864C1A" w14:paraId="763E1C94" w14:textId="77777777" w:rsidTr="00864C1A">
        <w:tc>
          <w:tcPr>
            <w:tcW w:w="4261" w:type="dxa"/>
          </w:tcPr>
          <w:p w14:paraId="2F5EC3F4" w14:textId="79534F3E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Homo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β-actin (5' </w:t>
            </w:r>
            <w:r w:rsidRPr="005C480C">
              <w:rPr>
                <w:rFonts w:ascii="Cambria Math" w:hAnsi="Cambria Math" w:cs="Cambria Math"/>
                <w:sz w:val="18"/>
                <w:szCs w:val="18"/>
              </w:rPr>
              <w:t>∼</w:t>
            </w: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 xml:space="preserve"> 3')</w:t>
            </w:r>
          </w:p>
        </w:tc>
        <w:tc>
          <w:tcPr>
            <w:tcW w:w="4261" w:type="dxa"/>
          </w:tcPr>
          <w:p w14:paraId="619041ED" w14:textId="0C13FAA8" w:rsidR="00864C1A" w:rsidRDefault="00864C1A" w:rsidP="00864C1A">
            <w:pPr>
              <w:spacing w:beforeLines="0" w:afterLines="0" w:line="500" w:lineRule="exact"/>
              <w:mirrorIndents/>
              <w:rPr>
                <w:rFonts w:ascii="Times New Roman" w:hAnsi="Times New Roman" w:cs="Times New Roman"/>
                <w:sz w:val="24"/>
              </w:rPr>
            </w:pPr>
            <w:r w:rsidRPr="005C480C">
              <w:rPr>
                <w:rFonts w:ascii="Times New Roman" w:hAnsi="Times New Roman" w:cs="Times New Roman"/>
                <w:sz w:val="18"/>
                <w:szCs w:val="18"/>
              </w:rPr>
              <w:t>R-AGCACTGTGTTGGCGTACAG</w:t>
            </w:r>
          </w:p>
        </w:tc>
      </w:tr>
    </w:tbl>
    <w:p w14:paraId="4AD647D6" w14:textId="77777777" w:rsidR="00621FF8" w:rsidRPr="00C965FF" w:rsidRDefault="00621FF8">
      <w:pPr>
        <w:spacing w:before="156" w:after="156"/>
        <w:rPr>
          <w:rFonts w:hint="eastAsia"/>
        </w:rPr>
      </w:pPr>
    </w:p>
    <w:sectPr w:rsidR="00621FF8" w:rsidRPr="00C965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572A" w14:textId="77777777" w:rsidR="0061103C" w:rsidRDefault="0061103C" w:rsidP="00C965FF">
      <w:pPr>
        <w:spacing w:before="120" w:after="120" w:line="240" w:lineRule="auto"/>
        <w:rPr>
          <w:rFonts w:hint="eastAsia"/>
        </w:rPr>
      </w:pPr>
      <w:r>
        <w:separator/>
      </w:r>
    </w:p>
  </w:endnote>
  <w:endnote w:type="continuationSeparator" w:id="0">
    <w:p w14:paraId="26B72E63" w14:textId="77777777" w:rsidR="0061103C" w:rsidRDefault="0061103C" w:rsidP="00C965FF">
      <w:pPr>
        <w:spacing w:before="120" w:after="12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C4C5E" w14:textId="77777777" w:rsidR="00C965FF" w:rsidRDefault="00C965FF">
    <w:pPr>
      <w:pStyle w:val="af0"/>
      <w:spacing w:before="120" w:after="12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C09E6" w14:textId="77777777" w:rsidR="00C965FF" w:rsidRDefault="00C965FF">
    <w:pPr>
      <w:pStyle w:val="af0"/>
      <w:spacing w:before="120" w:after="12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1129" w14:textId="77777777" w:rsidR="00C965FF" w:rsidRDefault="00C965FF">
    <w:pPr>
      <w:pStyle w:val="af0"/>
      <w:spacing w:before="120" w:after="1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BA58" w14:textId="77777777" w:rsidR="0061103C" w:rsidRDefault="0061103C" w:rsidP="00C965FF">
      <w:pPr>
        <w:spacing w:before="120" w:after="120" w:line="240" w:lineRule="auto"/>
        <w:rPr>
          <w:rFonts w:hint="eastAsia"/>
        </w:rPr>
      </w:pPr>
      <w:r>
        <w:separator/>
      </w:r>
    </w:p>
  </w:footnote>
  <w:footnote w:type="continuationSeparator" w:id="0">
    <w:p w14:paraId="0463692E" w14:textId="77777777" w:rsidR="0061103C" w:rsidRDefault="0061103C" w:rsidP="00C965FF">
      <w:pPr>
        <w:spacing w:before="120" w:after="12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AB186" w14:textId="77777777" w:rsidR="00C965FF" w:rsidRDefault="00C965FF">
    <w:pPr>
      <w:pStyle w:val="ae"/>
      <w:spacing w:before="120" w:after="12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E99B9" w14:textId="77777777" w:rsidR="00C965FF" w:rsidRDefault="00C965FF">
    <w:pPr>
      <w:pStyle w:val="ae"/>
      <w:spacing w:before="120" w:after="12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09B4" w14:textId="77777777" w:rsidR="00C965FF" w:rsidRDefault="00C965FF">
    <w:pPr>
      <w:pStyle w:val="ae"/>
      <w:spacing w:before="120" w:after="12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48E"/>
    <w:rsid w:val="00005D2E"/>
    <w:rsid w:val="000B6443"/>
    <w:rsid w:val="000E2594"/>
    <w:rsid w:val="000F6439"/>
    <w:rsid w:val="001403A9"/>
    <w:rsid w:val="001633B6"/>
    <w:rsid w:val="00170AC0"/>
    <w:rsid w:val="00193FF7"/>
    <w:rsid w:val="001A0AD7"/>
    <w:rsid w:val="001D2AFF"/>
    <w:rsid w:val="001D6623"/>
    <w:rsid w:val="001E628A"/>
    <w:rsid w:val="001F2C66"/>
    <w:rsid w:val="00213C1B"/>
    <w:rsid w:val="00215AA2"/>
    <w:rsid w:val="0028541B"/>
    <w:rsid w:val="00354988"/>
    <w:rsid w:val="00363FEA"/>
    <w:rsid w:val="003C070B"/>
    <w:rsid w:val="00446A81"/>
    <w:rsid w:val="004617E9"/>
    <w:rsid w:val="004F71C8"/>
    <w:rsid w:val="005021E1"/>
    <w:rsid w:val="00521321"/>
    <w:rsid w:val="00554570"/>
    <w:rsid w:val="00565331"/>
    <w:rsid w:val="00577EE0"/>
    <w:rsid w:val="005808E2"/>
    <w:rsid w:val="00584461"/>
    <w:rsid w:val="00587437"/>
    <w:rsid w:val="005A1E37"/>
    <w:rsid w:val="005C480C"/>
    <w:rsid w:val="0061103C"/>
    <w:rsid w:val="0061242B"/>
    <w:rsid w:val="0061373D"/>
    <w:rsid w:val="00621FF8"/>
    <w:rsid w:val="0062680A"/>
    <w:rsid w:val="00641EF3"/>
    <w:rsid w:val="006500E3"/>
    <w:rsid w:val="00652C99"/>
    <w:rsid w:val="006926A7"/>
    <w:rsid w:val="006C62B3"/>
    <w:rsid w:val="006F339C"/>
    <w:rsid w:val="00723D11"/>
    <w:rsid w:val="00726F7C"/>
    <w:rsid w:val="00733AF7"/>
    <w:rsid w:val="00751259"/>
    <w:rsid w:val="00764590"/>
    <w:rsid w:val="00765DE1"/>
    <w:rsid w:val="00830986"/>
    <w:rsid w:val="00833555"/>
    <w:rsid w:val="00864C1A"/>
    <w:rsid w:val="00894335"/>
    <w:rsid w:val="008B3CEB"/>
    <w:rsid w:val="008E148E"/>
    <w:rsid w:val="00903438"/>
    <w:rsid w:val="009068F9"/>
    <w:rsid w:val="0091311E"/>
    <w:rsid w:val="009412A4"/>
    <w:rsid w:val="00951CA0"/>
    <w:rsid w:val="00967C4C"/>
    <w:rsid w:val="00982602"/>
    <w:rsid w:val="00A2571C"/>
    <w:rsid w:val="00A703E4"/>
    <w:rsid w:val="00AE29DF"/>
    <w:rsid w:val="00B129A2"/>
    <w:rsid w:val="00B13665"/>
    <w:rsid w:val="00B15AB3"/>
    <w:rsid w:val="00B20E42"/>
    <w:rsid w:val="00B262CB"/>
    <w:rsid w:val="00B40633"/>
    <w:rsid w:val="00B50C4F"/>
    <w:rsid w:val="00BA7DE4"/>
    <w:rsid w:val="00BB0F46"/>
    <w:rsid w:val="00BB7908"/>
    <w:rsid w:val="00BF148B"/>
    <w:rsid w:val="00C218E8"/>
    <w:rsid w:val="00C6200F"/>
    <w:rsid w:val="00C965FF"/>
    <w:rsid w:val="00CA2357"/>
    <w:rsid w:val="00CD43F0"/>
    <w:rsid w:val="00D022CB"/>
    <w:rsid w:val="00D56E7D"/>
    <w:rsid w:val="00D875DC"/>
    <w:rsid w:val="00D903E6"/>
    <w:rsid w:val="00DB5B45"/>
    <w:rsid w:val="00DC6EE0"/>
    <w:rsid w:val="00DD7F08"/>
    <w:rsid w:val="00DF72E4"/>
    <w:rsid w:val="00E863D5"/>
    <w:rsid w:val="00EA78D4"/>
    <w:rsid w:val="00EB6DC2"/>
    <w:rsid w:val="00F635FA"/>
    <w:rsid w:val="00F9255C"/>
    <w:rsid w:val="00FB46B7"/>
    <w:rsid w:val="00FC0525"/>
    <w:rsid w:val="00FC308B"/>
    <w:rsid w:val="00FC6DD1"/>
    <w:rsid w:val="00FD3418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CB200"/>
  <w15:chartTrackingRefBased/>
  <w15:docId w15:val="{5FFA31F3-CE20-41C9-9DAA-ED092AFD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="宋体" w:cs="宋体"/>
        <w:kern w:val="2"/>
        <w:sz w:val="21"/>
        <w:szCs w:val="21"/>
        <w:lang w:val="en-US" w:eastAsia="zh-CN" w:bidi="ar-SA"/>
        <w14:ligatures w14:val="standardContextual"/>
      </w:rPr>
    </w:rPrDefault>
    <w:pPrDefault>
      <w:pPr>
        <w:spacing w:beforeLines="50" w:before="50" w:afterLines="50" w:after="5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AC0"/>
  </w:style>
  <w:style w:type="paragraph" w:styleId="1">
    <w:name w:val="heading 1"/>
    <w:basedOn w:val="a"/>
    <w:next w:val="a"/>
    <w:link w:val="10"/>
    <w:uiPriority w:val="9"/>
    <w:qFormat/>
    <w:rsid w:val="008E14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4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E148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48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48E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48E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48E"/>
    <w:pPr>
      <w:keepNext/>
      <w:keepLines/>
      <w:spacing w:before="0"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48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4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1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1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8E148E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148E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E148E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148E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148E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148E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148E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4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14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14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14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14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14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1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14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148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965F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965F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965F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965FF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C965FF"/>
  </w:style>
  <w:style w:type="table" w:styleId="af3">
    <w:name w:val="Table Grid"/>
    <w:basedOn w:val="a1"/>
    <w:uiPriority w:val="39"/>
    <w:rsid w:val="00B129A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652C99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52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5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 Z</dc:creator>
  <cp:keywords/>
  <dc:description/>
  <cp:lastModifiedBy>Mason Z</cp:lastModifiedBy>
  <cp:revision>47</cp:revision>
  <dcterms:created xsi:type="dcterms:W3CDTF">2025-10-27T02:11:00Z</dcterms:created>
  <dcterms:modified xsi:type="dcterms:W3CDTF">2025-11-11T03:04:00Z</dcterms:modified>
</cp:coreProperties>
</file>