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E3603" w14:textId="77777777" w:rsidR="00582F08" w:rsidRPr="006457B5" w:rsidRDefault="00582F08" w:rsidP="00582F08">
      <w:pPr>
        <w:pStyle w:val="NormalWeb"/>
        <w:spacing w:before="0" w:beforeAutospacing="0" w:after="0" w:afterAutospacing="0" w:line="360" w:lineRule="auto"/>
        <w:rPr>
          <w:rFonts w:ascii="Calibri" w:hAnsi="Calibri" w:cs="Calibri"/>
          <w:lang w:val="en-US" w:eastAsia="en-US"/>
        </w:rPr>
      </w:pPr>
      <w:r w:rsidRPr="006457B5">
        <w:rPr>
          <w:rFonts w:ascii="Calibri" w:hAnsi="Calibri" w:cs="Calibri"/>
          <w:noProof/>
          <w:lang w:val="en-US" w:eastAsia="en-US"/>
        </w:rPr>
        <w:drawing>
          <wp:inline distT="0" distB="0" distL="0" distR="0" wp14:anchorId="2605437A" wp14:editId="32FA7125">
            <wp:extent cx="5465929" cy="7988837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768" cy="80032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AACCF6" w14:textId="77777777" w:rsidR="00582F08" w:rsidRPr="006457B5" w:rsidRDefault="00582F08" w:rsidP="00582F08">
      <w:pPr>
        <w:pStyle w:val="Default"/>
        <w:spacing w:after="0" w:line="360" w:lineRule="auto"/>
        <w:rPr>
          <w:rFonts w:cs="Calibri"/>
          <w:sz w:val="24"/>
          <w:szCs w:val="24"/>
          <w:lang w:val="en-US"/>
        </w:rPr>
      </w:pPr>
      <w:r w:rsidRPr="006457B5">
        <w:rPr>
          <w:rFonts w:cs="Calibri"/>
          <w:b/>
          <w:bCs/>
          <w:sz w:val="24"/>
          <w:szCs w:val="24"/>
          <w:lang w:val="en-US"/>
        </w:rPr>
        <w:lastRenderedPageBreak/>
        <w:t xml:space="preserve">Supplementary Fig. 1 </w:t>
      </w:r>
      <w:r w:rsidRPr="006457B5">
        <w:rPr>
          <w:rFonts w:cs="Calibri"/>
          <w:b/>
          <w:bCs/>
          <w:i/>
          <w:iCs/>
          <w:sz w:val="24"/>
          <w:szCs w:val="24"/>
          <w:lang w:val="en-US"/>
        </w:rPr>
        <w:t>–</w:t>
      </w:r>
      <w:r w:rsidRPr="006457B5">
        <w:rPr>
          <w:rFonts w:cs="Calibri"/>
          <w:b/>
          <w:bCs/>
          <w:sz w:val="24"/>
          <w:szCs w:val="24"/>
          <w:lang w:val="en-US"/>
        </w:rPr>
        <w:t xml:space="preserve"> </w:t>
      </w:r>
      <w:r w:rsidRPr="006457B5">
        <w:rPr>
          <w:rFonts w:cs="Calibri"/>
          <w:b/>
          <w:bCs/>
          <w:i/>
          <w:iCs/>
          <w:sz w:val="24"/>
          <w:szCs w:val="24"/>
          <w:lang w:val="en-US"/>
        </w:rPr>
        <w:t>Ibuprofen does not affect the endogenous membrane currents expressed by Xenopus oocytes</w:t>
      </w:r>
      <w:r w:rsidRPr="006457B5">
        <w:rPr>
          <w:rFonts w:cs="Calibri"/>
          <w:b/>
          <w:bCs/>
          <w:sz w:val="24"/>
          <w:szCs w:val="24"/>
          <w:lang w:val="en-US"/>
        </w:rPr>
        <w:t xml:space="preserve"> </w:t>
      </w:r>
    </w:p>
    <w:p w14:paraId="6A85B1DC" w14:textId="77777777" w:rsidR="00582F08" w:rsidRPr="006457B5" w:rsidRDefault="00582F08" w:rsidP="00582F08">
      <w:pPr>
        <w:pStyle w:val="Default"/>
        <w:spacing w:after="0" w:line="360" w:lineRule="auto"/>
        <w:rPr>
          <w:rFonts w:cs="Calibri"/>
          <w:sz w:val="24"/>
          <w:szCs w:val="24"/>
          <w:lang w:val="en-US"/>
        </w:rPr>
      </w:pPr>
      <w:r w:rsidRPr="006457B5">
        <w:rPr>
          <w:rFonts w:cs="Calibri"/>
          <w:sz w:val="24"/>
          <w:szCs w:val="24"/>
          <w:lang w:val="en-US"/>
        </w:rPr>
        <w:t>(A-C) Families of membrane currents recorded from oocytes injected with H</w:t>
      </w:r>
      <w:r w:rsidRPr="006457B5">
        <w:rPr>
          <w:rFonts w:cs="Calibri"/>
          <w:sz w:val="24"/>
          <w:szCs w:val="24"/>
          <w:vertAlign w:val="subscript"/>
          <w:lang w:val="en-US"/>
        </w:rPr>
        <w:t>2</w:t>
      </w:r>
      <w:r w:rsidRPr="006457B5">
        <w:rPr>
          <w:rFonts w:cs="Calibri"/>
          <w:sz w:val="24"/>
          <w:szCs w:val="24"/>
          <w:lang w:val="en-US"/>
        </w:rPr>
        <w:t>O and performed in TEVC configuration under control conditions (</w:t>
      </w:r>
      <w:r w:rsidRPr="006457B5">
        <w:rPr>
          <w:rFonts w:cs="Calibri"/>
          <w:i/>
          <w:iCs/>
          <w:sz w:val="24"/>
          <w:szCs w:val="24"/>
          <w:lang w:val="en-US"/>
        </w:rPr>
        <w:t>A</w:t>
      </w:r>
      <w:r w:rsidRPr="006457B5">
        <w:rPr>
          <w:rFonts w:cs="Calibri"/>
          <w:sz w:val="24"/>
          <w:szCs w:val="24"/>
          <w:lang w:val="en-US"/>
        </w:rPr>
        <w:t xml:space="preserve">) and after the application of 10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B</w:t>
      </w:r>
      <w:r w:rsidRPr="006457B5">
        <w:rPr>
          <w:rFonts w:cs="Calibri"/>
          <w:sz w:val="24"/>
          <w:szCs w:val="24"/>
          <w:lang w:val="en-US"/>
        </w:rPr>
        <w:t xml:space="preserve">) and after the application of 30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C</w:t>
      </w:r>
      <w:r w:rsidRPr="006457B5">
        <w:rPr>
          <w:rFonts w:cs="Calibri"/>
          <w:sz w:val="24"/>
          <w:szCs w:val="24"/>
          <w:lang w:val="en-US"/>
        </w:rPr>
        <w:t xml:space="preserve">). Currents were elicited by voltage steps from -80 to +80 mV (∆V= 5 mV; holding potential -80 mV; Scale bars: 50 </w:t>
      </w:r>
      <w:proofErr w:type="spellStart"/>
      <w:r w:rsidRPr="006457B5">
        <w:rPr>
          <w:rFonts w:cs="Calibri"/>
          <w:sz w:val="24"/>
          <w:szCs w:val="24"/>
          <w:lang w:val="en-US"/>
        </w:rPr>
        <w:t>ms</w:t>
      </w:r>
      <w:proofErr w:type="spellEnd"/>
      <w:r w:rsidRPr="006457B5">
        <w:rPr>
          <w:rFonts w:cs="Calibri"/>
          <w:sz w:val="24"/>
          <w:szCs w:val="24"/>
          <w:lang w:val="en-US"/>
        </w:rPr>
        <w:t xml:space="preserve"> (x-axis) and 500 </w:t>
      </w:r>
      <w:proofErr w:type="spellStart"/>
      <w:r w:rsidRPr="006457B5">
        <w:rPr>
          <w:rFonts w:cs="Calibri"/>
          <w:sz w:val="24"/>
          <w:szCs w:val="24"/>
          <w:lang w:val="en-US"/>
        </w:rPr>
        <w:t>nA</w:t>
      </w:r>
      <w:proofErr w:type="spellEnd"/>
      <w:r w:rsidRPr="006457B5">
        <w:rPr>
          <w:rFonts w:cs="Calibri"/>
          <w:sz w:val="24"/>
          <w:szCs w:val="24"/>
          <w:lang w:val="en-US"/>
        </w:rPr>
        <w:t xml:space="preserve"> (y-axis) for each sample trace). (</w:t>
      </w:r>
      <w:r w:rsidRPr="006457B5">
        <w:rPr>
          <w:rFonts w:cs="Calibri"/>
          <w:i/>
          <w:iCs/>
          <w:sz w:val="24"/>
          <w:szCs w:val="24"/>
          <w:lang w:val="en-US"/>
        </w:rPr>
        <w:t>D</w:t>
      </w:r>
      <w:r w:rsidRPr="006457B5">
        <w:rPr>
          <w:rFonts w:cs="Calibri"/>
          <w:sz w:val="24"/>
          <w:szCs w:val="24"/>
          <w:lang w:val="en-US"/>
        </w:rPr>
        <w:t>) Peak currents as a function of voltage (IV relationships) calculated under control condition (</w:t>
      </w:r>
      <w:r w:rsidRPr="006457B5">
        <w:rPr>
          <w:rFonts w:cs="Calibri"/>
          <w:i/>
          <w:iCs/>
          <w:sz w:val="24"/>
          <w:szCs w:val="24"/>
          <w:lang w:val="en-US"/>
        </w:rPr>
        <w:t>closed squares</w:t>
      </w:r>
      <w:r w:rsidRPr="006457B5">
        <w:rPr>
          <w:rFonts w:cs="Calibri"/>
          <w:sz w:val="24"/>
          <w:szCs w:val="24"/>
          <w:lang w:val="en-US"/>
        </w:rPr>
        <w:t xml:space="preserve">), and after the application of 10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red circles</w:t>
      </w:r>
      <w:r w:rsidRPr="006457B5">
        <w:rPr>
          <w:rFonts w:cs="Calibri"/>
          <w:sz w:val="24"/>
          <w:szCs w:val="24"/>
          <w:lang w:val="en-US"/>
        </w:rPr>
        <w:t xml:space="preserve">) and after the application of 30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blue triangles</w:t>
      </w:r>
      <w:r w:rsidRPr="006457B5">
        <w:rPr>
          <w:rFonts w:cs="Calibri"/>
          <w:sz w:val="24"/>
          <w:szCs w:val="24"/>
          <w:lang w:val="en-US"/>
        </w:rPr>
        <w:t>). (</w:t>
      </w:r>
      <w:r w:rsidRPr="006457B5">
        <w:rPr>
          <w:rFonts w:cs="Calibri"/>
          <w:i/>
          <w:iCs/>
          <w:sz w:val="24"/>
          <w:szCs w:val="24"/>
          <w:lang w:val="en-US"/>
        </w:rPr>
        <w:t>E</w:t>
      </w:r>
      <w:r w:rsidRPr="006457B5">
        <w:rPr>
          <w:rFonts w:cs="Calibri"/>
          <w:sz w:val="24"/>
          <w:szCs w:val="24"/>
          <w:lang w:val="en-US"/>
        </w:rPr>
        <w:t>) Steady-state currents as a function of voltage (IV relationships) calculated under control condition (</w:t>
      </w:r>
      <w:r w:rsidRPr="006457B5">
        <w:rPr>
          <w:rFonts w:cs="Calibri"/>
          <w:i/>
          <w:iCs/>
          <w:sz w:val="24"/>
          <w:szCs w:val="24"/>
          <w:lang w:val="en-US"/>
        </w:rPr>
        <w:t>closed squares</w:t>
      </w:r>
      <w:r w:rsidRPr="006457B5">
        <w:rPr>
          <w:rFonts w:cs="Calibri"/>
          <w:sz w:val="24"/>
          <w:szCs w:val="24"/>
          <w:lang w:val="en-US"/>
        </w:rPr>
        <w:t xml:space="preserve">), and after the application of 10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red circles</w:t>
      </w:r>
      <w:r w:rsidRPr="006457B5">
        <w:rPr>
          <w:rFonts w:cs="Calibri"/>
          <w:sz w:val="24"/>
          <w:szCs w:val="24"/>
          <w:lang w:val="en-US"/>
        </w:rPr>
        <w:t xml:space="preserve">) and after the application of 30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blue triangles</w:t>
      </w:r>
      <w:r w:rsidRPr="006457B5">
        <w:rPr>
          <w:rFonts w:cs="Calibri"/>
          <w:sz w:val="24"/>
          <w:szCs w:val="24"/>
          <w:lang w:val="en-US"/>
        </w:rPr>
        <w:t>). (</w:t>
      </w:r>
      <w:r w:rsidRPr="006457B5">
        <w:rPr>
          <w:rFonts w:cs="Calibri"/>
          <w:i/>
          <w:iCs/>
          <w:sz w:val="24"/>
          <w:szCs w:val="24"/>
          <w:lang w:val="en-US"/>
        </w:rPr>
        <w:t>F</w:t>
      </w:r>
      <w:r w:rsidRPr="006457B5">
        <w:rPr>
          <w:rFonts w:cs="Calibri"/>
          <w:sz w:val="24"/>
          <w:szCs w:val="24"/>
          <w:lang w:val="en-US"/>
        </w:rPr>
        <w:t>) Box-plots of peak currents calculated at +80 mV under control condition (</w:t>
      </w:r>
      <w:r w:rsidRPr="006457B5">
        <w:rPr>
          <w:rFonts w:cs="Calibri"/>
          <w:i/>
          <w:iCs/>
          <w:sz w:val="24"/>
          <w:szCs w:val="24"/>
          <w:lang w:val="en-US"/>
        </w:rPr>
        <w:t>black diamonds</w:t>
      </w:r>
      <w:r w:rsidRPr="006457B5">
        <w:rPr>
          <w:rFonts w:cs="Calibri"/>
          <w:sz w:val="24"/>
          <w:szCs w:val="24"/>
          <w:lang w:val="en-US"/>
        </w:rPr>
        <w:t xml:space="preserve">), and after the application of 10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red diamonds</w:t>
      </w:r>
      <w:r w:rsidRPr="006457B5">
        <w:rPr>
          <w:rFonts w:cs="Calibri"/>
          <w:sz w:val="24"/>
          <w:szCs w:val="24"/>
          <w:lang w:val="en-US"/>
        </w:rPr>
        <w:t xml:space="preserve">) and after the application of 30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blue diamonds</w:t>
      </w:r>
      <w:r w:rsidRPr="006457B5">
        <w:rPr>
          <w:rFonts w:cs="Calibri"/>
          <w:sz w:val="24"/>
          <w:szCs w:val="24"/>
          <w:lang w:val="en-US"/>
        </w:rPr>
        <w:t>). (</w:t>
      </w:r>
      <w:r w:rsidRPr="006457B5">
        <w:rPr>
          <w:rFonts w:cs="Calibri"/>
          <w:i/>
          <w:iCs/>
          <w:sz w:val="24"/>
          <w:szCs w:val="24"/>
          <w:lang w:val="en-US"/>
        </w:rPr>
        <w:t>G</w:t>
      </w:r>
      <w:r w:rsidRPr="006457B5">
        <w:rPr>
          <w:rFonts w:cs="Calibri"/>
          <w:sz w:val="24"/>
          <w:szCs w:val="24"/>
          <w:lang w:val="en-US"/>
        </w:rPr>
        <w:t>) Box-plots of steady-state currents calculated at +80 mV under control condition (</w:t>
      </w:r>
      <w:r w:rsidRPr="006457B5">
        <w:rPr>
          <w:rFonts w:cs="Calibri"/>
          <w:i/>
          <w:iCs/>
          <w:sz w:val="24"/>
          <w:szCs w:val="24"/>
          <w:lang w:val="en-US"/>
        </w:rPr>
        <w:t>black diamonds</w:t>
      </w:r>
      <w:r w:rsidRPr="006457B5">
        <w:rPr>
          <w:rFonts w:cs="Calibri"/>
          <w:sz w:val="24"/>
          <w:szCs w:val="24"/>
          <w:lang w:val="en-US"/>
        </w:rPr>
        <w:t xml:space="preserve">), and after the application of 10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red diamonds</w:t>
      </w:r>
      <w:r w:rsidRPr="006457B5">
        <w:rPr>
          <w:rFonts w:cs="Calibri"/>
          <w:sz w:val="24"/>
          <w:szCs w:val="24"/>
          <w:lang w:val="en-US"/>
        </w:rPr>
        <w:t xml:space="preserve">) and after the application of 30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blue diamonds</w:t>
      </w:r>
      <w:r w:rsidRPr="006457B5">
        <w:rPr>
          <w:rFonts w:cs="Calibri"/>
          <w:sz w:val="24"/>
          <w:szCs w:val="24"/>
          <w:lang w:val="en-US"/>
        </w:rPr>
        <w:t>). (</w:t>
      </w:r>
      <w:r w:rsidRPr="006457B5">
        <w:rPr>
          <w:rFonts w:cs="Calibri"/>
          <w:i/>
          <w:iCs/>
          <w:sz w:val="24"/>
          <w:szCs w:val="24"/>
          <w:lang w:val="en-US"/>
        </w:rPr>
        <w:t>H</w:t>
      </w:r>
      <w:r w:rsidRPr="006457B5">
        <w:rPr>
          <w:rFonts w:cs="Calibri"/>
          <w:sz w:val="24"/>
          <w:szCs w:val="24"/>
          <w:lang w:val="en-US"/>
        </w:rPr>
        <w:t xml:space="preserve">) Bar graph of </w:t>
      </w:r>
      <w:proofErr w:type="spellStart"/>
      <w:r w:rsidRPr="006457B5">
        <w:rPr>
          <w:rFonts w:cs="Calibri"/>
          <w:sz w:val="24"/>
          <w:szCs w:val="24"/>
          <w:lang w:val="en-US"/>
        </w:rPr>
        <w:t>I</w:t>
      </w:r>
      <w:r w:rsidRPr="006457B5">
        <w:rPr>
          <w:rFonts w:cs="Calibri"/>
          <w:sz w:val="24"/>
          <w:szCs w:val="24"/>
          <w:vertAlign w:val="subscript"/>
          <w:lang w:val="en-US"/>
        </w:rPr>
        <w:t>steady</w:t>
      </w:r>
      <w:proofErr w:type="spellEnd"/>
      <w:r w:rsidRPr="006457B5">
        <w:rPr>
          <w:rFonts w:cs="Calibri"/>
          <w:sz w:val="24"/>
          <w:szCs w:val="24"/>
          <w:vertAlign w:val="subscript"/>
          <w:lang w:val="en-US"/>
        </w:rPr>
        <w:t xml:space="preserve">-state </w:t>
      </w:r>
      <w:r w:rsidRPr="006457B5">
        <w:rPr>
          <w:rFonts w:cs="Calibri"/>
          <w:sz w:val="24"/>
          <w:szCs w:val="24"/>
          <w:lang w:val="en-US"/>
        </w:rPr>
        <w:t xml:space="preserve">/ </w:t>
      </w:r>
      <w:proofErr w:type="spellStart"/>
      <w:r w:rsidRPr="006457B5">
        <w:rPr>
          <w:rFonts w:cs="Calibri"/>
          <w:sz w:val="24"/>
          <w:szCs w:val="24"/>
          <w:lang w:val="en-US"/>
        </w:rPr>
        <w:t>I</w:t>
      </w:r>
      <w:r w:rsidRPr="006457B5">
        <w:rPr>
          <w:rFonts w:cs="Calibri"/>
          <w:sz w:val="24"/>
          <w:szCs w:val="24"/>
          <w:vertAlign w:val="subscript"/>
          <w:lang w:val="en-US"/>
        </w:rPr>
        <w:t>peak</w:t>
      </w:r>
      <w:proofErr w:type="spellEnd"/>
      <w:r w:rsidRPr="006457B5">
        <w:rPr>
          <w:rFonts w:cs="Calibri"/>
          <w:sz w:val="24"/>
          <w:szCs w:val="24"/>
          <w:lang w:val="en-US"/>
        </w:rPr>
        <w:t xml:space="preserve"> calculated at +80 mV under control condition (</w:t>
      </w:r>
      <w:r w:rsidRPr="006457B5">
        <w:rPr>
          <w:rFonts w:cs="Calibri"/>
          <w:i/>
          <w:iCs/>
          <w:sz w:val="24"/>
          <w:szCs w:val="24"/>
          <w:lang w:val="en-US"/>
        </w:rPr>
        <w:t>black bar</w:t>
      </w:r>
      <w:r w:rsidRPr="006457B5">
        <w:rPr>
          <w:rFonts w:cs="Calibri"/>
          <w:sz w:val="24"/>
          <w:szCs w:val="24"/>
          <w:lang w:val="en-US"/>
        </w:rPr>
        <w:t xml:space="preserve">), and after the application of 10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red bar</w:t>
      </w:r>
      <w:r w:rsidRPr="006457B5">
        <w:rPr>
          <w:rFonts w:cs="Calibri"/>
          <w:sz w:val="24"/>
          <w:szCs w:val="24"/>
          <w:lang w:val="en-US"/>
        </w:rPr>
        <w:t xml:space="preserve">) and after the application of 30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blue bar</w:t>
      </w:r>
      <w:r w:rsidRPr="006457B5">
        <w:rPr>
          <w:rFonts w:cs="Calibri"/>
          <w:sz w:val="24"/>
          <w:szCs w:val="24"/>
          <w:lang w:val="en-US"/>
        </w:rPr>
        <w:t>). (</w:t>
      </w:r>
      <w:r w:rsidRPr="006457B5">
        <w:rPr>
          <w:rFonts w:cs="Calibri"/>
          <w:i/>
          <w:iCs/>
          <w:sz w:val="24"/>
          <w:szCs w:val="24"/>
          <w:lang w:val="en-US"/>
        </w:rPr>
        <w:t>I</w:t>
      </w:r>
      <w:r w:rsidRPr="006457B5">
        <w:rPr>
          <w:rFonts w:cs="Calibri"/>
          <w:sz w:val="24"/>
          <w:szCs w:val="24"/>
          <w:lang w:val="en-US"/>
        </w:rPr>
        <w:t xml:space="preserve">) Box-plots of </w:t>
      </w:r>
      <w:proofErr w:type="spellStart"/>
      <w:r w:rsidRPr="006457B5">
        <w:rPr>
          <w:rFonts w:cs="Calibri"/>
          <w:sz w:val="24"/>
          <w:szCs w:val="24"/>
          <w:lang w:val="en-US"/>
        </w:rPr>
        <w:t>I</w:t>
      </w:r>
      <w:r w:rsidRPr="006457B5">
        <w:rPr>
          <w:rFonts w:cs="Calibri"/>
          <w:sz w:val="24"/>
          <w:szCs w:val="24"/>
          <w:vertAlign w:val="subscript"/>
          <w:lang w:val="en-US"/>
        </w:rPr>
        <w:t>steady</w:t>
      </w:r>
      <w:proofErr w:type="spellEnd"/>
      <w:r w:rsidRPr="006457B5">
        <w:rPr>
          <w:rFonts w:cs="Calibri"/>
          <w:sz w:val="24"/>
          <w:szCs w:val="24"/>
          <w:vertAlign w:val="subscript"/>
          <w:lang w:val="en-US"/>
        </w:rPr>
        <w:t xml:space="preserve">-state </w:t>
      </w:r>
      <w:r w:rsidRPr="006457B5">
        <w:rPr>
          <w:rFonts w:cs="Calibri"/>
          <w:sz w:val="24"/>
          <w:szCs w:val="24"/>
          <w:lang w:val="en-US"/>
        </w:rPr>
        <w:t xml:space="preserve">/ </w:t>
      </w:r>
      <w:proofErr w:type="spellStart"/>
      <w:r w:rsidRPr="006457B5">
        <w:rPr>
          <w:rFonts w:cs="Calibri"/>
          <w:sz w:val="24"/>
          <w:szCs w:val="24"/>
          <w:lang w:val="en-US"/>
        </w:rPr>
        <w:t>I</w:t>
      </w:r>
      <w:r w:rsidRPr="006457B5">
        <w:rPr>
          <w:rFonts w:cs="Calibri"/>
          <w:sz w:val="24"/>
          <w:szCs w:val="24"/>
          <w:vertAlign w:val="subscript"/>
          <w:lang w:val="en-US"/>
        </w:rPr>
        <w:t>peak</w:t>
      </w:r>
      <w:proofErr w:type="spellEnd"/>
      <w:r w:rsidRPr="006457B5">
        <w:rPr>
          <w:rFonts w:cs="Calibri"/>
          <w:sz w:val="24"/>
          <w:szCs w:val="24"/>
          <w:lang w:val="en-US"/>
        </w:rPr>
        <w:t xml:space="preserve"> calculated at +80 mV under control condition (</w:t>
      </w:r>
      <w:r w:rsidRPr="006457B5">
        <w:rPr>
          <w:rFonts w:cs="Calibri"/>
          <w:i/>
          <w:iCs/>
          <w:sz w:val="24"/>
          <w:szCs w:val="24"/>
          <w:lang w:val="en-US"/>
        </w:rPr>
        <w:t>black diamonds</w:t>
      </w:r>
      <w:r w:rsidRPr="006457B5">
        <w:rPr>
          <w:rFonts w:cs="Calibri"/>
          <w:sz w:val="24"/>
          <w:szCs w:val="24"/>
          <w:lang w:val="en-US"/>
        </w:rPr>
        <w:t xml:space="preserve">), and after the application of 10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red diamonds</w:t>
      </w:r>
      <w:r w:rsidRPr="006457B5">
        <w:rPr>
          <w:rFonts w:cs="Calibri"/>
          <w:sz w:val="24"/>
          <w:szCs w:val="24"/>
          <w:lang w:val="en-US"/>
        </w:rPr>
        <w:t xml:space="preserve">) and after the application of 30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blue diamonds</w:t>
      </w:r>
      <w:r w:rsidRPr="006457B5">
        <w:rPr>
          <w:rFonts w:cs="Calibri"/>
          <w:sz w:val="24"/>
          <w:szCs w:val="24"/>
          <w:lang w:val="en-US"/>
        </w:rPr>
        <w:t>). (</w:t>
      </w:r>
      <w:r w:rsidRPr="006457B5">
        <w:rPr>
          <w:rFonts w:cs="Calibri"/>
          <w:i/>
          <w:iCs/>
          <w:sz w:val="24"/>
          <w:szCs w:val="24"/>
          <w:lang w:val="en-US"/>
        </w:rPr>
        <w:t>J</w:t>
      </w:r>
      <w:r w:rsidRPr="006457B5">
        <w:rPr>
          <w:rFonts w:cs="Calibri"/>
          <w:sz w:val="24"/>
          <w:szCs w:val="24"/>
          <w:lang w:val="en-US"/>
        </w:rPr>
        <w:t xml:space="preserve">) Plot of </w:t>
      </w:r>
      <w:proofErr w:type="spellStart"/>
      <w:r w:rsidRPr="006457B5">
        <w:rPr>
          <w:rFonts w:cs="Calibri"/>
          <w:sz w:val="24"/>
          <w:szCs w:val="24"/>
          <w:lang w:val="en-US"/>
        </w:rPr>
        <w:t>I</w:t>
      </w:r>
      <w:r w:rsidRPr="006457B5">
        <w:rPr>
          <w:rFonts w:cs="Calibri"/>
          <w:sz w:val="24"/>
          <w:szCs w:val="24"/>
          <w:vertAlign w:val="subscript"/>
          <w:lang w:val="en-US"/>
        </w:rPr>
        <w:t>steady</w:t>
      </w:r>
      <w:proofErr w:type="spellEnd"/>
      <w:r w:rsidRPr="006457B5">
        <w:rPr>
          <w:rFonts w:cs="Calibri"/>
          <w:sz w:val="24"/>
          <w:szCs w:val="24"/>
          <w:vertAlign w:val="subscript"/>
          <w:lang w:val="en-US"/>
        </w:rPr>
        <w:t xml:space="preserve">-state </w:t>
      </w:r>
      <w:r w:rsidRPr="006457B5">
        <w:rPr>
          <w:rFonts w:cs="Calibri"/>
          <w:sz w:val="24"/>
          <w:szCs w:val="24"/>
          <w:lang w:val="en-US"/>
        </w:rPr>
        <w:t xml:space="preserve">/ </w:t>
      </w:r>
      <w:proofErr w:type="spellStart"/>
      <w:r w:rsidRPr="006457B5">
        <w:rPr>
          <w:rFonts w:cs="Calibri"/>
          <w:sz w:val="24"/>
          <w:szCs w:val="24"/>
          <w:lang w:val="en-US"/>
        </w:rPr>
        <w:t>I</w:t>
      </w:r>
      <w:r w:rsidRPr="006457B5">
        <w:rPr>
          <w:rFonts w:cs="Calibri"/>
          <w:sz w:val="24"/>
          <w:szCs w:val="24"/>
          <w:vertAlign w:val="subscript"/>
          <w:lang w:val="en-US"/>
        </w:rPr>
        <w:t>peak</w:t>
      </w:r>
      <w:proofErr w:type="spellEnd"/>
      <w:r w:rsidRPr="006457B5">
        <w:rPr>
          <w:rFonts w:cs="Calibri"/>
          <w:sz w:val="24"/>
          <w:szCs w:val="24"/>
          <w:lang w:val="en-US"/>
        </w:rPr>
        <w:t xml:space="preserve"> calculated at from -30 to +80 mV under control condition (</w:t>
      </w:r>
      <w:r w:rsidRPr="006457B5">
        <w:rPr>
          <w:rFonts w:cs="Calibri"/>
          <w:i/>
          <w:iCs/>
          <w:sz w:val="24"/>
          <w:szCs w:val="24"/>
          <w:lang w:val="en-US"/>
        </w:rPr>
        <w:t>black bars</w:t>
      </w:r>
      <w:r w:rsidRPr="006457B5">
        <w:rPr>
          <w:rFonts w:cs="Calibri"/>
          <w:sz w:val="24"/>
          <w:szCs w:val="24"/>
          <w:lang w:val="en-US"/>
        </w:rPr>
        <w:t xml:space="preserve">), and after the application of 10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red bars</w:t>
      </w:r>
      <w:r w:rsidRPr="006457B5">
        <w:rPr>
          <w:rFonts w:cs="Calibri"/>
          <w:sz w:val="24"/>
          <w:szCs w:val="24"/>
          <w:lang w:val="en-US"/>
        </w:rPr>
        <w:t xml:space="preserve">) and after the application of 30 </w:t>
      </w:r>
      <w:r w:rsidRPr="006457B5">
        <w:rPr>
          <w:rFonts w:cs="Calibri"/>
          <w:sz w:val="24"/>
          <w:szCs w:val="24"/>
        </w:rPr>
        <w:t>μ</w:t>
      </w:r>
      <w:r w:rsidRPr="006457B5">
        <w:rPr>
          <w:rFonts w:cs="Calibri"/>
          <w:sz w:val="24"/>
          <w:szCs w:val="24"/>
          <w:lang w:val="en-US"/>
        </w:rPr>
        <w:t>M IBU (</w:t>
      </w:r>
      <w:r w:rsidRPr="006457B5">
        <w:rPr>
          <w:rFonts w:cs="Calibri"/>
          <w:i/>
          <w:iCs/>
          <w:sz w:val="24"/>
          <w:szCs w:val="24"/>
          <w:lang w:val="en-US"/>
        </w:rPr>
        <w:t>blue bars</w:t>
      </w:r>
      <w:r w:rsidRPr="006457B5">
        <w:rPr>
          <w:rFonts w:cs="Calibri"/>
          <w:sz w:val="24"/>
          <w:szCs w:val="24"/>
          <w:lang w:val="en-US"/>
        </w:rPr>
        <w:t xml:space="preserve">). Note that no statistically significant effect of the drug on endogenous currents was detected (t-test; Data are </w:t>
      </w:r>
      <w:proofErr w:type="spellStart"/>
      <w:r w:rsidRPr="006457B5">
        <w:rPr>
          <w:rFonts w:cs="Calibri"/>
          <w:sz w:val="24"/>
          <w:szCs w:val="24"/>
          <w:lang w:val="en-US"/>
        </w:rPr>
        <w:t>mean±SEM</w:t>
      </w:r>
      <w:proofErr w:type="spellEnd"/>
      <w:r w:rsidRPr="006457B5">
        <w:rPr>
          <w:rFonts w:cs="Calibri"/>
          <w:sz w:val="24"/>
          <w:szCs w:val="24"/>
          <w:lang w:val="en-US"/>
        </w:rPr>
        <w:t>; n=8).</w:t>
      </w:r>
    </w:p>
    <w:p w14:paraId="7C297EB1" w14:textId="77777777" w:rsidR="00934FF5" w:rsidRDefault="00934FF5"/>
    <w:sectPr w:rsidR="00934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">
    <w:altName w:val="Calibri"/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F08"/>
    <w:rsid w:val="00582F08"/>
    <w:rsid w:val="00934FF5"/>
    <w:rsid w:val="00B94120"/>
    <w:rsid w:val="00C8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8B1B9"/>
  <w15:chartTrackingRefBased/>
  <w15:docId w15:val="{1B8EFABD-6053-4C60-83F6-B03F22A3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2F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F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F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F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F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F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F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F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F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F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F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F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F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F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F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F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F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F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F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F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F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F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F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F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F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F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F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F0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82F08"/>
    <w:pPr>
      <w:suppressAutoHyphens/>
      <w:autoSpaceDN w:val="0"/>
      <w:spacing w:line="251" w:lineRule="auto"/>
      <w:textAlignment w:val="baseline"/>
    </w:pPr>
    <w:rPr>
      <w:rFonts w:ascii="Calibri" w:eastAsia="Arial Unicode MS" w:hAnsi="Calibri" w:cs="F"/>
      <w:kern w:val="3"/>
      <w:lang w:val="it-IT"/>
      <w14:ligatures w14:val="none"/>
    </w:rPr>
  </w:style>
  <w:style w:type="paragraph" w:styleId="NormalWeb">
    <w:name w:val="Normal (Web)"/>
    <w:basedOn w:val="Normal"/>
    <w:uiPriority w:val="99"/>
    <w:unhideWhenUsed/>
    <w:rsid w:val="00582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t-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1811</Characters>
  <Application>Microsoft Office Word</Application>
  <DocSecurity>0</DocSecurity>
  <Lines>15</Lines>
  <Paragraphs>4</Paragraphs>
  <ScaleCrop>false</ScaleCrop>
  <Company>University of Malta - IT Services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Pessia</dc:creator>
  <cp:keywords/>
  <dc:description/>
  <cp:lastModifiedBy>Mauro Pessia</cp:lastModifiedBy>
  <cp:revision>1</cp:revision>
  <dcterms:created xsi:type="dcterms:W3CDTF">2025-12-14T15:12:00Z</dcterms:created>
  <dcterms:modified xsi:type="dcterms:W3CDTF">2025-12-14T15:13:00Z</dcterms:modified>
</cp:coreProperties>
</file>