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C6513" w14:textId="77777777" w:rsidR="00075028" w:rsidRPr="00A3771C" w:rsidRDefault="00075028" w:rsidP="00075028">
      <w:pPr>
        <w:spacing w:line="360" w:lineRule="auto"/>
        <w:rPr>
          <w:rFonts w:ascii="Times New Roman" w:hAnsi="Times New Roman" w:cs="Times New Roman"/>
          <w:sz w:val="28"/>
          <w:szCs w:val="36"/>
        </w:rPr>
      </w:pPr>
      <w:r w:rsidRPr="00A3771C">
        <w:rPr>
          <w:rFonts w:ascii="Times New Roman" w:hAnsi="Times New Roman" w:cs="Times New Roman"/>
          <w:b/>
          <w:bCs/>
          <w:sz w:val="28"/>
          <w:szCs w:val="36"/>
        </w:rPr>
        <w:t>Supplementary Methods</w:t>
      </w:r>
    </w:p>
    <w:p w14:paraId="024E7474" w14:textId="77777777" w:rsidR="00127D91" w:rsidRPr="00127D91" w:rsidRDefault="00127D91" w:rsidP="00127D91">
      <w:pPr>
        <w:spacing w:line="360" w:lineRule="auto"/>
        <w:rPr>
          <w:rFonts w:ascii="Times New Roman" w:hAnsi="Times New Roman" w:cs="Times New Roman"/>
          <w:b/>
          <w:bCs/>
          <w:szCs w:val="32"/>
        </w:rPr>
      </w:pPr>
      <w:r w:rsidRPr="00127D91">
        <w:rPr>
          <w:rFonts w:ascii="Times New Roman" w:hAnsi="Times New Roman" w:cs="Times New Roman"/>
          <w:b/>
          <w:bCs/>
          <w:szCs w:val="32"/>
        </w:rPr>
        <w:t>Colocalization</w:t>
      </w:r>
    </w:p>
    <w:p w14:paraId="16D644DC" w14:textId="77777777" w:rsidR="00127D91" w:rsidRPr="00127D91" w:rsidRDefault="00127D91" w:rsidP="00003200">
      <w:pPr>
        <w:spacing w:line="360" w:lineRule="auto"/>
        <w:jc w:val="both"/>
        <w:rPr>
          <w:rFonts w:ascii="Times New Roman" w:hAnsi="Times New Roman" w:cs="Times New Roman"/>
          <w:bCs/>
          <w:szCs w:val="32"/>
        </w:rPr>
      </w:pPr>
      <w:r w:rsidRPr="00127D91">
        <w:rPr>
          <w:rFonts w:ascii="Times New Roman" w:hAnsi="Times New Roman" w:cs="Times New Roman"/>
          <w:bCs/>
          <w:szCs w:val="32"/>
        </w:rPr>
        <w:t xml:space="preserve">Based on </w:t>
      </w:r>
      <w:r w:rsidR="00B06C31" w:rsidRPr="00A3771C">
        <w:rPr>
          <w:rFonts w:ascii="Times New Roman" w:hAnsi="Times New Roman" w:cs="Times New Roman"/>
          <w:bCs/>
          <w:szCs w:val="32"/>
        </w:rPr>
        <w:t>shared loci</w:t>
      </w:r>
      <w:r w:rsidRPr="00127D91">
        <w:rPr>
          <w:rFonts w:ascii="Times New Roman" w:hAnsi="Times New Roman" w:cs="Times New Roman"/>
          <w:bCs/>
          <w:szCs w:val="32"/>
        </w:rPr>
        <w:t xml:space="preserve"> from </w:t>
      </w:r>
      <w:r w:rsidR="001A5FEC" w:rsidRPr="00A3771C">
        <w:rPr>
          <w:rFonts w:ascii="Times New Roman" w:hAnsi="Times New Roman" w:cs="Times New Roman"/>
          <w:szCs w:val="32"/>
        </w:rPr>
        <w:t>conjFDR results</w:t>
      </w:r>
      <w:r w:rsidRPr="00127D91">
        <w:rPr>
          <w:rFonts w:ascii="Times New Roman" w:hAnsi="Times New Roman" w:cs="Times New Roman"/>
          <w:bCs/>
          <w:szCs w:val="32"/>
        </w:rPr>
        <w:t xml:space="preserve">, we </w:t>
      </w:r>
      <w:r w:rsidR="00003200" w:rsidRPr="00A3771C">
        <w:rPr>
          <w:rFonts w:ascii="Times New Roman" w:hAnsi="Times New Roman" w:cs="Times New Roman"/>
          <w:bCs/>
          <w:szCs w:val="32"/>
        </w:rPr>
        <w:t>further</w:t>
      </w:r>
      <w:r w:rsidRPr="00127D91">
        <w:rPr>
          <w:rFonts w:ascii="Times New Roman" w:hAnsi="Times New Roman" w:cs="Times New Roman"/>
          <w:bCs/>
          <w:szCs w:val="32"/>
        </w:rPr>
        <w:t xml:space="preserve"> performed Bayesian colocalization analyses using the R package </w:t>
      </w:r>
      <w:r w:rsidRPr="00127D91">
        <w:rPr>
          <w:rFonts w:ascii="Times New Roman" w:hAnsi="Times New Roman" w:cs="Times New Roman"/>
          <w:bCs/>
          <w:i/>
          <w:iCs/>
          <w:szCs w:val="32"/>
        </w:rPr>
        <w:t>coloc</w:t>
      </w:r>
      <w:r w:rsidRPr="00127D91">
        <w:rPr>
          <w:rFonts w:ascii="Times New Roman" w:hAnsi="Times New Roman" w:cs="Times New Roman"/>
          <w:bCs/>
          <w:szCs w:val="32"/>
        </w:rPr>
        <w:t xml:space="preserve"> (version 5.2.1) for validation</w:t>
      </w:r>
      <w:r w:rsidR="0001346B" w:rsidRPr="00A3771C">
        <w:rPr>
          <w:rFonts w:ascii="Times New Roman" w:hAnsi="Times New Roman" w:cs="Times New Roman"/>
          <w:bCs/>
          <w:szCs w:val="32"/>
        </w:rPr>
        <w:t xml:space="preserve"> </w:t>
      </w:r>
      <w:r w:rsidR="0001346B" w:rsidRPr="00A3771C">
        <w:rPr>
          <w:rFonts w:ascii="Times New Roman" w:hAnsi="Times New Roman" w:cs="Times New Roman"/>
          <w:bCs/>
          <w:szCs w:val="32"/>
        </w:rPr>
        <w:fldChar w:fldCharType="begin"/>
      </w:r>
      <w:r w:rsidR="0001346B" w:rsidRPr="00A3771C">
        <w:rPr>
          <w:rFonts w:ascii="Times New Roman" w:hAnsi="Times New Roman" w:cs="Times New Roman"/>
          <w:bCs/>
          <w:szCs w:val="32"/>
        </w:rPr>
        <w:instrText xml:space="preserve"> ADDIN ZOTERO_ITEM CSL_CITATION {"citationID":"oXorujRG","properties":{"formattedCitation":"[1]","plainCitation":"[1]","noteIndex":0},"citationItems":[{"id":3022,"uris":["http://zotero.org/users/local/ndUT37MJ/items/B7J9MPX6"],"itemData":{"id":3022,"type":"article-journal","abstract":"Genetic association studies, in particular the genome-wide association study (GWAS) design, have provided a wealth of novel insights into the aetiology of a wide range of human diseases and traits, in particular cardiovascular diseases and lipid biomarkers. The next challenge consists of understanding the molecular basis of these associations. The integration of multiple association datasets, including gene expression datasets, can contribute to this goal. We have developed a novel statistical methodology to assess whether two association signals are consistent with a shared causal variant. An application is the integration of disease scans with expression quantitative trait locus (eQTL) studies, but any pair of GWAS datasets can be integrated in this framework. We demonstrate the value of the approach by re-analysing a gene expression dataset in 966 liver samples with a published meta-analysis of lipid traits including &gt;100,000 individuals of European ancestry. Combining all lipid biomarkers, our re-analysis supported 26 out of 38 reported colocalisation results with eQTLs and identified 14 new colocalisation results, hence highlighting the value of a formal statistical test. In three cases of reported eQTL-lipid pairs (SYPL2, IFT172, TBKBP1) for which our analysis suggests that the eQTL pattern is not consistent with the lipid association, we identify alternative colocalisation results with SORT1, GCKR, and KPNB1, indicating that these genes are more likely to be causal in these genomic intervals. A key feature of the method is the ability to derive the output statistics from single SNP summary statistics, hence making it possible to perform systematic meta-analysis type comparisons across multiple GWAS datasets (implemented online at http://coloc.cs.ucl.ac.uk/coloc/). Our methodology provides information about candidate causal genes in associated intervals and has direct implications for the understanding of complex diseases as well as the design of drugs to target disease pathways.","container-title":"PLoS genetics","DOI":"10.1371/journal.pgen.1004383","ISSN":"1553-7404","issue":"5","journalAbbreviation":"PLoS Genet","language":"eng","note":"PMID: 24830394\nPMCID: PMC4022491","page":"e1004383","source":"PubMed","title":"Bayesian test for colocalisation between pairs of genetic association studies using summary statistics","volume":"10","author":[{"family":"Giambartolomei","given":"Claudia"},{"family":"Vukcevic","given":"Damjan"},{"family":"Schadt","given":"Eric E."},{"family":"Franke","given":"Lude"},{"family":"Hingorani","given":"Aroon D."},{"family":"Wallace","given":"Chris"},{"family":"Plagnol","given":"Vincent"}],"issued":{"date-parts":[["2014",5]]}}}],"schema":"https://github.com/citation-style-language/schema/raw/master/csl-citation.json"} </w:instrText>
      </w:r>
      <w:r w:rsidR="0001346B" w:rsidRPr="00A3771C">
        <w:rPr>
          <w:rFonts w:ascii="Times New Roman" w:hAnsi="Times New Roman" w:cs="Times New Roman"/>
          <w:bCs/>
          <w:szCs w:val="32"/>
        </w:rPr>
        <w:fldChar w:fldCharType="separate"/>
      </w:r>
      <w:r w:rsidR="0001346B" w:rsidRPr="00A3771C">
        <w:rPr>
          <w:rFonts w:ascii="Times New Roman" w:hAnsi="Times New Roman" w:cs="Times New Roman"/>
          <w:bCs/>
          <w:noProof/>
          <w:szCs w:val="32"/>
        </w:rPr>
        <w:t>[1]</w:t>
      </w:r>
      <w:r w:rsidR="0001346B" w:rsidRPr="00A3771C">
        <w:rPr>
          <w:rFonts w:ascii="Times New Roman" w:hAnsi="Times New Roman" w:cs="Times New Roman"/>
          <w:bCs/>
          <w:szCs w:val="32"/>
        </w:rPr>
        <w:fldChar w:fldCharType="end"/>
      </w:r>
      <w:r w:rsidRPr="00127D91">
        <w:rPr>
          <w:rFonts w:ascii="Times New Roman" w:hAnsi="Times New Roman" w:cs="Times New Roman"/>
          <w:bCs/>
          <w:szCs w:val="32"/>
        </w:rPr>
        <w:t xml:space="preserve">. </w:t>
      </w:r>
      <w:r w:rsidRPr="00127D91">
        <w:rPr>
          <w:rFonts w:ascii="Times New Roman" w:hAnsi="Times New Roman" w:cs="Times New Roman"/>
          <w:szCs w:val="32"/>
        </w:rPr>
        <w:t xml:space="preserve">Colocalization analyses help verify if two traits with genetic links in the same genomic region share the same causal variant, serving as a complement to </w:t>
      </w:r>
      <w:r w:rsidR="00B06C31" w:rsidRPr="00A3771C">
        <w:rPr>
          <w:rFonts w:ascii="Times New Roman" w:hAnsi="Times New Roman" w:cs="Times New Roman"/>
          <w:szCs w:val="32"/>
        </w:rPr>
        <w:t>conjFDR</w:t>
      </w:r>
      <w:r w:rsidRPr="00127D91">
        <w:rPr>
          <w:rFonts w:ascii="Times New Roman" w:hAnsi="Times New Roman" w:cs="Times New Roman"/>
          <w:szCs w:val="32"/>
        </w:rPr>
        <w:t xml:space="preserve"> by minimizing linkage disequilibrium bias and confirming if a causal effect stems from the same variant</w:t>
      </w:r>
      <w:r w:rsidR="00FB0540" w:rsidRPr="00A3771C">
        <w:rPr>
          <w:rFonts w:ascii="Times New Roman" w:hAnsi="Times New Roman" w:cs="Times New Roman"/>
          <w:szCs w:val="32"/>
        </w:rPr>
        <w:t xml:space="preserve"> </w:t>
      </w:r>
      <w:r w:rsidRPr="00127D91">
        <w:rPr>
          <w:rFonts w:ascii="Times New Roman" w:hAnsi="Times New Roman" w:cs="Times New Roman"/>
          <w:szCs w:val="32"/>
        </w:rPr>
        <w:fldChar w:fldCharType="begin"/>
      </w:r>
      <w:r w:rsidR="0001346B" w:rsidRPr="00A3771C">
        <w:rPr>
          <w:rFonts w:ascii="Times New Roman" w:hAnsi="Times New Roman" w:cs="Times New Roman"/>
          <w:szCs w:val="32"/>
        </w:rPr>
        <w:instrText xml:space="preserve"> ADDIN ZOTERO_ITEM CSL_CITATION {"citationID":"4Xx3FV3J","properties":{"formattedCitation":"[2, 3]","plainCitation":"[2, 3]","noteIndex":0},"citationItems":[{"id":1358,"uris":["http://zotero.org/users/local/ndUT37MJ/items/XTSUK6MA"],"itemData":{"id":1358,"type":"article-journal","abstract":"Mendelian randomization and colocalization are two statistical approaches that can be applied to summarized data from genome-wide association studies (GWASs) to understand relationships between traits and diseases. However, despite similarities in scope, they are different in their objectives, implementation, and interpretation, in part because they were developed to serve different scientific communities. Mendelian randomization assesses whether genetic predictors of an exposure are associated with the outcome and interprets an association as evidence that the exposure has a causal effect on the outcome, whereas colocalization assesses whether two traits are affected by the same or distinct causal variants. When considering genetic variants in a single genetic region, both approaches can be performed. While a positive colocalization finding typically implies a non-zero Mendelian randomization estimate, the reverse is not generally true: there are several scenarios which would lead to a non-zero Mendelian randomization estimate but lack evidence for colocalization. These include the existence of distinct but correlated causal variants for the exposure and outcome, which would violate the Mendelian randomization assumptions, and a lack of strong associations with the outcome. As colocalization was developed in the GWAS tradition, typically evidence for colocalization is concluded only when there is strong evidence for associations with both traits. In contrast, a non-zero estimate from Mendelian randomization can be obtained despite only nominally significant genetic associations with the outcome at the locus. In this review, we discuss how the two approaches can provide complementary information on potential therapeutic targets.","container-title":"American Journal of Human Genetics","DOI":"10.1016/j.ajhg.2022.04.001","ISSN":"1537-6605","issue":"5","journalAbbreviation":"Am J Hum Genet","language":"eng","note":"PMID: 35452592\nPMCID: PMC7612737","page":"767-782","source":"PubMed","title":"Combining evidence from Mendelian randomization and colocalization: Review and comparison of approaches","title-short":"Combining evidence from Mendelian randomization and colocalization","volume":"109","author":[{"family":"Zuber","given":"Verena"},{"family":"Grinberg","given":"Nastasiya F."},{"family":"Gill","given":"Dipender"},{"family":"Manipur","given":"Ichcha"},{"family":"Slob","given":"Eric A. W."},{"family":"Patel","given":"Ashish"},{"family":"Wallace","given":"Chris"},{"family":"Burgess","given":"Stephen"}],"issued":{"date-parts":[["2022",5,5]]}}},{"id":1355,"uris":["http://zotero.org/users/local/ndUT37MJ/items/86PJY5GW"],"itemData":{"id":1355,"type":"article-journal","abstract":"BACKGROUND: Human proteins are widely used as drug targets. Integration of large-scale protein-level genome-wide association studies (GWAS) and disease-related GWAS has thus connected genetic variation to disease mechanisms via protein. Previous proteome-by-phenome-wide Mendelian randomization (MR) studies have been mainly focused on plasma proteomes. Previous MR studies using the brain proteome only reported protein effects on a set of pre-selected tissue-specific diseases. No studies, however, have used high-throughput proteomics from multiple tissues to perform MR on hundreds of phenotypes.\nMETHODS: Here, we performed MR and colocalization analysis using multi-tissue (cerebrospinal fluid (CSF), plasma, and brain from pre- and post-meta-analysis of several disease-focus cohorts including Alzheimer disease (AD)) protein quantitative trait loci (pQTLs) as instrumental variables to infer protein effects on 211 phenotypes, covering seven broad categories: biological traits, blood traits, cancer types, neurological diseases, other diseases, personality traits, and other risk factors. We first implemented these analyses with cis pQTLs, as cis pQTLs are known for being less prone to horizontal pleiotropy. Next, we included both cis and trans conditionally independent pQTLs that passed the genome-wide significance threshold keeping only variants associated with fewer than five proteins to minimize pleiotropic effects. We compared the tissue-specific protein effects on phenotypes across different categories. Finally, we integrated the MR-prioritized proteins with the druggable genome to identify new potential targets.\nRESULTS: In the MR and colocalization analysis including study-wide significant cis pQTLs as instrumental variables, we identified 33 CSF, 13 plasma, and five brain proteins to be putative causal for 37, 18, and eight phenotypes, respectively. After expanding the instrumental variables by including genome-wide significant cis and trans pQTLs, we identified a total of 58 CSF, 32 plasma, and nine brain proteins associated with 58, 44, and 16 phenotypes, respectively. For those protein-phenotype associations that were found in more than one tissue, the directions of the associations for 13 (87%) pairs were consistent across tissues. As we were unable to use methods correcting for horizontal pleiotropy given most of the proteins were only associated with one valid instrumental variable after clumping, we found that the observations of protein-phenotype associations were consistent with a causal role or horizontal pleiotropy. Between 66.7 and 86.3% of the disease-causing proteins overlapped with the druggable genome. Finally, between one and three proteins, depending on the tissue, were connected with at least one drug compound for one phenotype from both DrugBank and ChEMBL databases.\nCONCLUSIONS: Integrating multi-tissue pQTLs with MR and the druggable genome may open doors to pinpoint novel interventions for complex traits with no effective treatments, such as ovarian and lung cancers.","container-title":"Genome Medicine","DOI":"10.1186/s13073-022-01140-9","ISSN":"1756-994X","issue":"1","journalAbbreviation":"Genome Med","language":"eng","note":"PMID: 36510323\nPMCID: PMC9746220","page":"140","source":"PubMed","title":"Mendelian randomization and genetic colocalization infer the effects of the multi-tissue proteome on 211 complex disease-related phenotypes","volume":"14","author":[{"family":"Yang","given":"Chengran"},{"family":"Fagan","given":"Anne M."},{"family":"Perrin","given":"Richard J."},{"family":"Rhinn","given":"Herve"},{"family":"Harari","given":"Oscar"},{"family":"Cruchaga","given":"Carlos"}],"issued":{"date-parts":[["2022",12,12]]}}}],"schema":"https://github.com/citation-style-language/schema/raw/master/csl-citation.json"} </w:instrText>
      </w:r>
      <w:r w:rsidRPr="00127D91">
        <w:rPr>
          <w:rFonts w:ascii="Times New Roman" w:hAnsi="Times New Roman" w:cs="Times New Roman"/>
          <w:szCs w:val="32"/>
        </w:rPr>
        <w:fldChar w:fldCharType="separate"/>
      </w:r>
      <w:r w:rsidR="0001346B" w:rsidRPr="00A3771C">
        <w:rPr>
          <w:rFonts w:ascii="Times New Roman" w:hAnsi="Times New Roman" w:cs="Times New Roman"/>
          <w:szCs w:val="32"/>
        </w:rPr>
        <w:t>[2, 3]</w:t>
      </w:r>
      <w:r w:rsidRPr="00127D91">
        <w:rPr>
          <w:rFonts w:ascii="Times New Roman" w:hAnsi="Times New Roman" w:cs="Times New Roman"/>
          <w:szCs w:val="32"/>
        </w:rPr>
        <w:fldChar w:fldCharType="end"/>
      </w:r>
      <w:r w:rsidRPr="00127D91">
        <w:rPr>
          <w:rFonts w:ascii="Times New Roman" w:hAnsi="Times New Roman" w:cs="Times New Roman"/>
          <w:szCs w:val="32"/>
        </w:rPr>
        <w:t>.</w:t>
      </w:r>
      <w:r w:rsidRPr="00127D91">
        <w:rPr>
          <w:rFonts w:ascii="Times New Roman" w:hAnsi="Times New Roman" w:cs="Times New Roman"/>
          <w:bCs/>
          <w:szCs w:val="32"/>
        </w:rPr>
        <w:t xml:space="preserve"> </w:t>
      </w:r>
      <w:r w:rsidRPr="00127D91">
        <w:rPr>
          <w:rFonts w:ascii="Times New Roman" w:hAnsi="Times New Roman" w:cs="Times New Roman"/>
          <w:szCs w:val="32"/>
        </w:rPr>
        <w:t>This methodology is predicated on several key assumptions: 1) Each trait is influenced by no more than one causal genetic variant. 2) The potential of a genetic variant to be causal is independent across all variants analyzed. 3) The colocalization analysis encompasses all causal genetic variants, both genotyped and imputed. Based on these assumptions, the analysis considers five hypotheses: H0 posits no causal genetic variants for either trait; H1 identifies one causal variant for trait 1; H2 identifies one for trait 2; H3 posits separate causal variants for each trait within the same region; and H4 indicates a single causal variant affecting both traits</w:t>
      </w:r>
      <w:r w:rsidR="007D79A0" w:rsidRPr="00A3771C">
        <w:rPr>
          <w:rFonts w:ascii="Times New Roman" w:hAnsi="Times New Roman" w:cs="Times New Roman"/>
          <w:bCs/>
          <w:szCs w:val="32"/>
        </w:rPr>
        <w:t xml:space="preserve"> </w:t>
      </w:r>
      <w:r w:rsidR="007D79A0" w:rsidRPr="00A3771C">
        <w:rPr>
          <w:rFonts w:ascii="Times New Roman" w:hAnsi="Times New Roman" w:cs="Times New Roman"/>
          <w:bCs/>
          <w:szCs w:val="32"/>
        </w:rPr>
        <w:fldChar w:fldCharType="begin"/>
      </w:r>
      <w:r w:rsidR="007D79A0" w:rsidRPr="00A3771C">
        <w:rPr>
          <w:rFonts w:ascii="Times New Roman" w:hAnsi="Times New Roman" w:cs="Times New Roman"/>
          <w:bCs/>
          <w:szCs w:val="32"/>
        </w:rPr>
        <w:instrText xml:space="preserve"> ADDIN ZOTERO_ITEM CSL_CITATION {"citationID":"6gffasA0","properties":{"formattedCitation":"[1]","plainCitation":"[1]","noteIndex":0},"citationItems":[{"id":3022,"uris":["http://zotero.org/users/local/ndUT37MJ/items/B7J9MPX6"],"itemData":{"id":3022,"type":"article-journal","abstract":"Genetic association studies, in particular the genome-wide association study (GWAS) design, have provided a wealth of novel insights into the aetiology of a wide range of human diseases and traits, in particular cardiovascular diseases and lipid biomarkers. The next challenge consists of understanding the molecular basis of these associations. The integration of multiple association datasets, including gene expression datasets, can contribute to this goal. We have developed a novel statistical methodology to assess whether two association signals are consistent with a shared causal variant. An application is the integration of disease scans with expression quantitative trait locus (eQTL) studies, but any pair of GWAS datasets can be integrated in this framework. We demonstrate the value of the approach by re-analysing a gene expression dataset in 966 liver samples with a published meta-analysis of lipid traits including &gt;100,000 individuals of European ancestry. Combining all lipid biomarkers, our re-analysis supported 26 out of 38 reported colocalisation results with eQTLs and identified 14 new colocalisation results, hence highlighting the value of a formal statistical test. In three cases of reported eQTL-lipid pairs (SYPL2, IFT172, TBKBP1) for which our analysis suggests that the eQTL pattern is not consistent with the lipid association, we identify alternative colocalisation results with SORT1, GCKR, and KPNB1, indicating that these genes are more likely to be causal in these genomic intervals. A key feature of the method is the ability to derive the output statistics from single SNP summary statistics, hence making it possible to perform systematic meta-analysis type comparisons across multiple GWAS datasets (implemented online at http://coloc.cs.ucl.ac.uk/coloc/). Our methodology provides information about candidate causal genes in associated intervals and has direct implications for the understanding of complex diseases as well as the design of drugs to target disease pathways.","container-title":"PLoS genetics","DOI":"10.1371/journal.pgen.1004383","ISSN":"1553-7404","issue":"5","journalAbbreviation":"PLoS Genet","language":"eng","note":"PMID: 24830394\nPMCID: PMC4022491","page":"e1004383","source":"PubMed","title":"Bayesian test for colocalisation between pairs of genetic association studies using summary statistics","volume":"10","author":[{"family":"Giambartolomei","given":"Claudia"},{"family":"Vukcevic","given":"Damjan"},{"family":"Schadt","given":"Eric E."},{"family":"Franke","given":"Lude"},{"family":"Hingorani","given":"Aroon D."},{"family":"Wallace","given":"Chris"},{"family":"Plagnol","given":"Vincent"}],"issued":{"date-parts":[["2014",5]]}}}],"schema":"https://github.com/citation-style-language/schema/raw/master/csl-citation.json"} </w:instrText>
      </w:r>
      <w:r w:rsidR="007D79A0" w:rsidRPr="00A3771C">
        <w:rPr>
          <w:rFonts w:ascii="Times New Roman" w:hAnsi="Times New Roman" w:cs="Times New Roman"/>
          <w:bCs/>
          <w:szCs w:val="32"/>
        </w:rPr>
        <w:fldChar w:fldCharType="separate"/>
      </w:r>
      <w:r w:rsidR="007D79A0" w:rsidRPr="00A3771C">
        <w:rPr>
          <w:rFonts w:ascii="Times New Roman" w:hAnsi="Times New Roman" w:cs="Times New Roman"/>
          <w:bCs/>
          <w:noProof/>
          <w:szCs w:val="32"/>
        </w:rPr>
        <w:t>[1]</w:t>
      </w:r>
      <w:r w:rsidR="007D79A0" w:rsidRPr="00A3771C">
        <w:rPr>
          <w:rFonts w:ascii="Times New Roman" w:hAnsi="Times New Roman" w:cs="Times New Roman"/>
          <w:bCs/>
          <w:szCs w:val="32"/>
        </w:rPr>
        <w:fldChar w:fldCharType="end"/>
      </w:r>
      <w:r w:rsidRPr="00127D91">
        <w:rPr>
          <w:rFonts w:ascii="Times New Roman" w:hAnsi="Times New Roman" w:cs="Times New Roman"/>
          <w:szCs w:val="32"/>
        </w:rPr>
        <w:t>.</w:t>
      </w:r>
    </w:p>
    <w:p w14:paraId="351C60AD" w14:textId="2C4DD7EA" w:rsidR="00127D91" w:rsidRPr="00127D91" w:rsidRDefault="00127D91" w:rsidP="00003200">
      <w:pPr>
        <w:spacing w:line="360" w:lineRule="auto"/>
        <w:jc w:val="both"/>
        <w:rPr>
          <w:rFonts w:ascii="Times New Roman" w:hAnsi="Times New Roman" w:cs="Times New Roman"/>
          <w:szCs w:val="32"/>
        </w:rPr>
      </w:pPr>
      <w:r w:rsidRPr="00127D91">
        <w:rPr>
          <w:rFonts w:ascii="Times New Roman" w:hAnsi="Times New Roman" w:cs="Times New Roman"/>
          <w:szCs w:val="32"/>
        </w:rPr>
        <w:t xml:space="preserve">We used default prior probability: </w:t>
      </w:r>
      <w:r w:rsidRPr="00127D91">
        <w:rPr>
          <w:rFonts w:ascii="Times New Roman" w:hAnsi="Times New Roman" w:cs="Times New Roman"/>
          <w:i/>
          <w:iCs/>
          <w:szCs w:val="32"/>
        </w:rPr>
        <w:t>p</w:t>
      </w:r>
      <w:r w:rsidRPr="00127D91">
        <w:rPr>
          <w:rFonts w:ascii="Times New Roman" w:hAnsi="Times New Roman" w:cs="Times New Roman"/>
          <w:szCs w:val="32"/>
          <w:vertAlign w:val="subscript"/>
        </w:rPr>
        <w:t>1</w:t>
      </w:r>
      <w:r w:rsidRPr="00127D91">
        <w:rPr>
          <w:rFonts w:ascii="Times New Roman" w:hAnsi="Times New Roman" w:cs="Times New Roman"/>
          <w:szCs w:val="32"/>
        </w:rPr>
        <w:t xml:space="preserve"> = 1 </w:t>
      </w:r>
      <w:r w:rsidRPr="00127D91">
        <w:rPr>
          <w:rFonts w:ascii="Times New Roman" w:hAnsi="Times New Roman" w:cs="Times New Roman"/>
          <w:bCs/>
          <w:szCs w:val="32"/>
        </w:rPr>
        <w:t>× 10</w:t>
      </w:r>
      <w:r w:rsidRPr="00127D91">
        <w:rPr>
          <w:rFonts w:ascii="Times New Roman" w:hAnsi="Times New Roman" w:cs="Times New Roman"/>
          <w:bCs/>
          <w:szCs w:val="32"/>
          <w:vertAlign w:val="superscript"/>
        </w:rPr>
        <w:t>−4</w:t>
      </w:r>
      <w:r w:rsidRPr="00127D91">
        <w:rPr>
          <w:rFonts w:ascii="Times New Roman" w:hAnsi="Times New Roman" w:cs="Times New Roman"/>
          <w:bCs/>
          <w:szCs w:val="32"/>
        </w:rPr>
        <w:t xml:space="preserve">; </w:t>
      </w:r>
      <w:r w:rsidRPr="00127D91">
        <w:rPr>
          <w:rFonts w:ascii="Times New Roman" w:hAnsi="Times New Roman" w:cs="Times New Roman"/>
          <w:bCs/>
          <w:i/>
          <w:iCs/>
          <w:szCs w:val="32"/>
        </w:rPr>
        <w:t>p</w:t>
      </w:r>
      <w:r w:rsidRPr="00127D91">
        <w:rPr>
          <w:rFonts w:ascii="Times New Roman" w:hAnsi="Times New Roman" w:cs="Times New Roman"/>
          <w:bCs/>
          <w:szCs w:val="32"/>
          <w:vertAlign w:val="subscript"/>
        </w:rPr>
        <w:t>2</w:t>
      </w:r>
      <w:r w:rsidRPr="00127D91">
        <w:rPr>
          <w:rFonts w:ascii="Times New Roman" w:hAnsi="Times New Roman" w:cs="Times New Roman"/>
          <w:bCs/>
          <w:szCs w:val="32"/>
        </w:rPr>
        <w:t xml:space="preserve"> </w:t>
      </w:r>
      <w:r w:rsidRPr="00127D91">
        <w:rPr>
          <w:rFonts w:ascii="Times New Roman" w:hAnsi="Times New Roman" w:cs="Times New Roman"/>
          <w:szCs w:val="32"/>
        </w:rPr>
        <w:t xml:space="preserve">= 1 </w:t>
      </w:r>
      <w:r w:rsidRPr="00127D91">
        <w:rPr>
          <w:rFonts w:ascii="Times New Roman" w:hAnsi="Times New Roman" w:cs="Times New Roman"/>
          <w:bCs/>
          <w:szCs w:val="32"/>
        </w:rPr>
        <w:t>× 10</w:t>
      </w:r>
      <w:r w:rsidRPr="00127D91">
        <w:rPr>
          <w:rFonts w:ascii="Times New Roman" w:hAnsi="Times New Roman" w:cs="Times New Roman"/>
          <w:bCs/>
          <w:szCs w:val="32"/>
          <w:vertAlign w:val="superscript"/>
        </w:rPr>
        <w:t>−4</w:t>
      </w:r>
      <w:r w:rsidRPr="00127D91">
        <w:rPr>
          <w:rFonts w:ascii="Times New Roman" w:hAnsi="Times New Roman" w:cs="Times New Roman"/>
          <w:bCs/>
          <w:szCs w:val="32"/>
        </w:rPr>
        <w:t xml:space="preserve">; </w:t>
      </w:r>
      <w:r w:rsidRPr="00127D91">
        <w:rPr>
          <w:rFonts w:ascii="Times New Roman" w:hAnsi="Times New Roman" w:cs="Times New Roman"/>
          <w:i/>
          <w:iCs/>
          <w:szCs w:val="32"/>
        </w:rPr>
        <w:t>p</w:t>
      </w:r>
      <w:r w:rsidRPr="00127D91">
        <w:rPr>
          <w:rFonts w:ascii="Times New Roman" w:hAnsi="Times New Roman" w:cs="Times New Roman"/>
          <w:szCs w:val="32"/>
          <w:vertAlign w:val="subscript"/>
        </w:rPr>
        <w:t xml:space="preserve">12 </w:t>
      </w:r>
      <w:r w:rsidRPr="00127D91">
        <w:rPr>
          <w:rFonts w:ascii="Times New Roman" w:hAnsi="Times New Roman" w:cs="Times New Roman"/>
          <w:szCs w:val="32"/>
        </w:rPr>
        <w:t xml:space="preserve">= 1 </w:t>
      </w:r>
      <w:r w:rsidRPr="00127D91">
        <w:rPr>
          <w:rFonts w:ascii="Times New Roman" w:hAnsi="Times New Roman" w:cs="Times New Roman"/>
          <w:bCs/>
          <w:szCs w:val="32"/>
        </w:rPr>
        <w:t>× 10</w:t>
      </w:r>
      <w:r w:rsidRPr="00127D91">
        <w:rPr>
          <w:rFonts w:ascii="Times New Roman" w:hAnsi="Times New Roman" w:cs="Times New Roman"/>
          <w:bCs/>
          <w:szCs w:val="32"/>
          <w:vertAlign w:val="superscript"/>
        </w:rPr>
        <w:t>−5</w:t>
      </w:r>
      <w:r w:rsidRPr="00127D91">
        <w:rPr>
          <w:rFonts w:ascii="Times New Roman" w:hAnsi="Times New Roman" w:cs="Times New Roman"/>
          <w:bCs/>
          <w:szCs w:val="32"/>
        </w:rPr>
        <w:t>.</w:t>
      </w:r>
      <w:r w:rsidRPr="00127D91">
        <w:rPr>
          <w:rFonts w:ascii="Times New Roman" w:hAnsi="Times New Roman" w:cs="Times New Roman"/>
          <w:szCs w:val="32"/>
        </w:rPr>
        <w:t xml:space="preserve"> </w:t>
      </w:r>
      <w:r w:rsidRPr="00127D91">
        <w:rPr>
          <w:rFonts w:ascii="Times New Roman" w:hAnsi="Times New Roman" w:cs="Times New Roman"/>
          <w:bCs/>
          <w:szCs w:val="32"/>
        </w:rPr>
        <w:t>p</w:t>
      </w:r>
      <w:r w:rsidRPr="00127D91">
        <w:rPr>
          <w:rFonts w:ascii="Times New Roman" w:hAnsi="Times New Roman" w:cs="Times New Roman"/>
          <w:bCs/>
          <w:szCs w:val="32"/>
          <w:vertAlign w:val="subscript"/>
        </w:rPr>
        <w:t>1</w:t>
      </w:r>
      <w:r w:rsidRPr="00127D91">
        <w:rPr>
          <w:rFonts w:ascii="Times New Roman" w:hAnsi="Times New Roman" w:cs="Times New Roman"/>
          <w:bCs/>
          <w:szCs w:val="32"/>
        </w:rPr>
        <w:t>, p</w:t>
      </w:r>
      <w:r w:rsidRPr="00127D91">
        <w:rPr>
          <w:rFonts w:ascii="Times New Roman" w:hAnsi="Times New Roman" w:cs="Times New Roman"/>
          <w:bCs/>
          <w:szCs w:val="32"/>
          <w:vertAlign w:val="subscript"/>
        </w:rPr>
        <w:t>2</w:t>
      </w:r>
      <w:r w:rsidRPr="00127D91">
        <w:rPr>
          <w:rFonts w:ascii="Times New Roman" w:hAnsi="Times New Roman" w:cs="Times New Roman"/>
          <w:bCs/>
          <w:szCs w:val="32"/>
        </w:rPr>
        <w:t>, and p</w:t>
      </w:r>
      <w:r w:rsidRPr="00127D91">
        <w:rPr>
          <w:rFonts w:ascii="Times New Roman" w:hAnsi="Times New Roman" w:cs="Times New Roman"/>
          <w:bCs/>
          <w:szCs w:val="32"/>
          <w:vertAlign w:val="subscript"/>
        </w:rPr>
        <w:t>12</w:t>
      </w:r>
      <w:r w:rsidRPr="00127D91">
        <w:rPr>
          <w:rFonts w:ascii="Times New Roman" w:hAnsi="Times New Roman" w:cs="Times New Roman"/>
          <w:bCs/>
          <w:szCs w:val="32"/>
        </w:rPr>
        <w:t xml:space="preserve"> represent the prior probabilities that a SNP within the tested region significantly associates with the expression of the tested gene, the tested outcome, or both, respectively.</w:t>
      </w:r>
      <w:r w:rsidRPr="00127D91">
        <w:rPr>
          <w:rFonts w:ascii="Times New Roman" w:hAnsi="Times New Roman" w:cs="Times New Roman"/>
          <w:szCs w:val="32"/>
        </w:rPr>
        <w:t xml:space="preserve"> </w:t>
      </w:r>
      <w:r w:rsidRPr="00127D91">
        <w:rPr>
          <w:rFonts w:ascii="Times New Roman" w:hAnsi="Times New Roman" w:cs="Times New Roman"/>
          <w:bCs/>
          <w:szCs w:val="32"/>
        </w:rPr>
        <w:t>In our analysis, variants ± 100 kb of the top SNP were included. Default priors were used for analysis.</w:t>
      </w:r>
      <w:r w:rsidRPr="00127D91">
        <w:rPr>
          <w:rFonts w:ascii="Times New Roman" w:hAnsi="Times New Roman" w:cs="Times New Roman"/>
          <w:szCs w:val="32"/>
        </w:rPr>
        <w:t xml:space="preserve"> </w:t>
      </w:r>
      <w:r w:rsidRPr="00127D91">
        <w:rPr>
          <w:rFonts w:ascii="Times New Roman" w:hAnsi="Times New Roman" w:cs="Times New Roman"/>
          <w:bCs/>
          <w:szCs w:val="32"/>
        </w:rPr>
        <w:t>We evaluated the</w:t>
      </w:r>
      <w:r w:rsidRPr="00127D91">
        <w:rPr>
          <w:rFonts w:ascii="Times New Roman" w:hAnsi="Times New Roman" w:cs="Times New Roman"/>
          <w:szCs w:val="32"/>
        </w:rPr>
        <w:t xml:space="preserve"> </w:t>
      </w:r>
      <w:r w:rsidRPr="00127D91">
        <w:rPr>
          <w:rFonts w:ascii="Times New Roman" w:hAnsi="Times New Roman" w:cs="Times New Roman"/>
          <w:bCs/>
          <w:szCs w:val="32"/>
        </w:rPr>
        <w:t xml:space="preserve">evidence of colocalization by posterior probability for hypothesis 4 (PP.H4), which indicated the presence of associations for both </w:t>
      </w:r>
      <w:r w:rsidR="00946B07" w:rsidRPr="00A3771C">
        <w:rPr>
          <w:rFonts w:ascii="Times New Roman" w:hAnsi="Times New Roman" w:cs="Times New Roman"/>
          <w:bCs/>
          <w:szCs w:val="32"/>
        </w:rPr>
        <w:t>schizophrenia</w:t>
      </w:r>
      <w:r w:rsidRPr="00127D91">
        <w:rPr>
          <w:rFonts w:ascii="Times New Roman" w:hAnsi="Times New Roman" w:cs="Times New Roman"/>
          <w:bCs/>
          <w:szCs w:val="32"/>
        </w:rPr>
        <w:t xml:space="preserve"> and </w:t>
      </w:r>
      <w:r w:rsidR="00AA0458">
        <w:rPr>
          <w:rFonts w:ascii="Times New Roman" w:hAnsi="Times New Roman" w:cs="Times New Roman"/>
          <w:bCs/>
          <w:szCs w:val="32"/>
        </w:rPr>
        <w:t>immune-mediated</w:t>
      </w:r>
      <w:r w:rsidR="00946B07" w:rsidRPr="00A3771C">
        <w:rPr>
          <w:rFonts w:ascii="Times New Roman" w:hAnsi="Times New Roman" w:cs="Times New Roman"/>
          <w:bCs/>
          <w:szCs w:val="32"/>
        </w:rPr>
        <w:t xml:space="preserve"> diseases</w:t>
      </w:r>
      <w:r w:rsidRPr="00127D91">
        <w:rPr>
          <w:rFonts w:ascii="Times New Roman" w:hAnsi="Times New Roman" w:cs="Times New Roman"/>
          <w:bCs/>
          <w:szCs w:val="32"/>
        </w:rPr>
        <w:t>, driven by the same causal variant(s).</w:t>
      </w:r>
    </w:p>
    <w:p w14:paraId="1CB59289" w14:textId="77777777" w:rsidR="006C6D03" w:rsidRPr="00127D91" w:rsidRDefault="006D62CA" w:rsidP="00003200">
      <w:pPr>
        <w:spacing w:line="360" w:lineRule="auto"/>
        <w:jc w:val="both"/>
        <w:rPr>
          <w:rFonts w:ascii="Times New Roman" w:hAnsi="Times New Roman" w:cs="Times New Roman"/>
          <w:bCs/>
          <w:szCs w:val="32"/>
        </w:rPr>
      </w:pPr>
      <w:r w:rsidRPr="00A3771C">
        <w:rPr>
          <w:rFonts w:ascii="Times New Roman" w:hAnsi="Times New Roman" w:cs="Times New Roman"/>
          <w:szCs w:val="32"/>
        </w:rPr>
        <w:t>Associations with a posterior probability for hypothesis 4 (PP.H4) &gt; 80% were considered significant evidence of colocalization.</w:t>
      </w:r>
      <w:r w:rsidRPr="00A3771C">
        <w:rPr>
          <w:rFonts w:ascii="Times New Roman" w:hAnsi="Times New Roman" w:cs="Times New Roman"/>
          <w:bCs/>
          <w:szCs w:val="32"/>
        </w:rPr>
        <w:t xml:space="preserve"> </w:t>
      </w:r>
      <w:r w:rsidR="00127D91" w:rsidRPr="00127D91">
        <w:rPr>
          <w:rFonts w:ascii="Times New Roman" w:hAnsi="Times New Roman" w:cs="Times New Roman"/>
          <w:bCs/>
          <w:szCs w:val="32"/>
        </w:rPr>
        <w:t xml:space="preserve">The R package </w:t>
      </w:r>
      <w:r w:rsidR="00127D91" w:rsidRPr="00127D91">
        <w:rPr>
          <w:rFonts w:ascii="Times New Roman" w:hAnsi="Times New Roman" w:cs="Times New Roman"/>
          <w:bCs/>
          <w:i/>
          <w:iCs/>
          <w:szCs w:val="32"/>
        </w:rPr>
        <w:t>LocusCompare</w:t>
      </w:r>
      <w:r w:rsidR="00127D91" w:rsidRPr="00127D91">
        <w:rPr>
          <w:rFonts w:ascii="Times New Roman" w:hAnsi="Times New Roman" w:cs="Times New Roman"/>
          <w:bCs/>
          <w:szCs w:val="32"/>
        </w:rPr>
        <w:t xml:space="preserve"> was used to visualize colocalization results.</w:t>
      </w:r>
    </w:p>
    <w:p w14:paraId="7CC34265" w14:textId="77777777" w:rsidR="006A4E1A" w:rsidRPr="00A3771C" w:rsidRDefault="005E623B" w:rsidP="008F70A7">
      <w:pPr>
        <w:spacing w:line="360" w:lineRule="auto"/>
        <w:rPr>
          <w:rFonts w:ascii="Times New Roman" w:hAnsi="Times New Roman" w:cs="Times New Roman"/>
          <w:b/>
          <w:bCs/>
          <w:szCs w:val="32"/>
        </w:rPr>
      </w:pPr>
      <w:r w:rsidRPr="00A3771C">
        <w:rPr>
          <w:rFonts w:ascii="Times New Roman" w:hAnsi="Times New Roman" w:cs="Times New Roman"/>
          <w:b/>
          <w:bCs/>
          <w:szCs w:val="32"/>
        </w:rPr>
        <w:t>Gene mapping</w:t>
      </w:r>
    </w:p>
    <w:p w14:paraId="69D71879" w14:textId="77777777" w:rsidR="006A4E1A" w:rsidRDefault="005D2464" w:rsidP="005D2464">
      <w:pPr>
        <w:spacing w:line="360" w:lineRule="auto"/>
        <w:jc w:val="both"/>
        <w:rPr>
          <w:rFonts w:ascii="Times New Roman" w:hAnsi="Times New Roman" w:cs="Times New Roman"/>
          <w:szCs w:val="32"/>
        </w:rPr>
      </w:pPr>
      <w:r w:rsidRPr="00A3771C">
        <w:rPr>
          <w:rFonts w:ascii="Times New Roman" w:hAnsi="Times New Roman" w:cs="Times New Roman"/>
          <w:szCs w:val="32"/>
        </w:rPr>
        <w:t xml:space="preserve">To annotate high-confidence shared loci, positional and expression quantitative trait loci (eQTL) mapping were considered. For position mapping, the FUMA default </w:t>
      </w:r>
      <w:r w:rsidRPr="00A3771C">
        <w:rPr>
          <w:rFonts w:ascii="Times New Roman" w:hAnsi="Times New Roman" w:cs="Times New Roman"/>
          <w:szCs w:val="32"/>
        </w:rPr>
        <w:lastRenderedPageBreak/>
        <w:t>window of 10kb distance from a gene was used. Databases from both brain and blood tissue were included for gene mapping using eQTLs. The eQTL databases included: GTEx v8 (for blood and brain), PsychENCODE, BRAINEAC, and eQTLGen. Genes that were identified by at least one of the two mapping procedures were defined as mapped to a particular locus.</w:t>
      </w:r>
    </w:p>
    <w:p w14:paraId="58F3FDAA" w14:textId="5246BBC8" w:rsidR="004E035E" w:rsidRPr="00A96A68" w:rsidRDefault="004E035E" w:rsidP="004E035E">
      <w:pPr>
        <w:spacing w:line="360" w:lineRule="auto"/>
        <w:jc w:val="both"/>
        <w:rPr>
          <w:rFonts w:ascii="Times New Roman" w:hAnsi="Times New Roman" w:cs="Times New Roman"/>
          <w:b/>
          <w:bCs/>
          <w:szCs w:val="32"/>
        </w:rPr>
      </w:pPr>
      <w:r w:rsidRPr="00A96A68">
        <w:rPr>
          <w:rFonts w:ascii="Times New Roman" w:hAnsi="Times New Roman" w:cs="Times New Roman"/>
          <w:b/>
          <w:bCs/>
          <w:szCs w:val="32"/>
        </w:rPr>
        <w:t>Spatiotemporal gene expression trajectory analyses</w:t>
      </w:r>
    </w:p>
    <w:p w14:paraId="5187C46A" w14:textId="67D8B7E2" w:rsidR="004E035E" w:rsidRPr="004E035E" w:rsidRDefault="004E035E" w:rsidP="005D2464">
      <w:pPr>
        <w:spacing w:line="360" w:lineRule="auto"/>
        <w:jc w:val="both"/>
        <w:rPr>
          <w:rFonts w:ascii="Times New Roman" w:hAnsi="Times New Roman" w:cs="Times New Roman"/>
          <w:szCs w:val="32"/>
        </w:rPr>
      </w:pPr>
      <w:r w:rsidRPr="00A96A68">
        <w:rPr>
          <w:rFonts w:ascii="Times New Roman" w:hAnsi="Times New Roman" w:cs="Times New Roman"/>
          <w:szCs w:val="32"/>
        </w:rPr>
        <w:t xml:space="preserve">To investigate developmental and regional expression patterns of mapped genes, we conducted a spatiotemporal brain expression trajectory analysis using mRNA-seq data from PsychENCODE Phase I, comprising 607 tissue samples from 41 postmortem brains spanning 8 postconceptional weeks (PCW) to 40 postnatal years (PY) </w:t>
      </w:r>
      <w:r w:rsidRPr="00A96A68">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{"citationID":"RaPCbzO1","properties":{"formattedCitation":"[4]","plainCitation":"[4]","noteIndex":0},"citationItems":[{"id":2309,"uris":["http://zotero.org/users/local/ndUT37MJ/items/8R5RAUJP"],"itemData":{"id":2309,"type":"article-journal","abstract":"To broaden our understanding of human neurodevelopment, we profiled transcriptomic and epigenomic landscapes across brain regions and/or cell types for the entire span of prenatal and postnatal development. Integrative analysis revealed temporal, regional, sex, and cell type-specific dynamics. We observed a global transcriptomic cup-shaped pattern, characterized by a late fetal transition associated with sharply decreased regional differences and changes in cellular composition and maturation, followed by a reversal in childhood-adolescence, and accompanied by epigenomic reorganizations. Analysis of gene coexpression modules revealed relationships with epigenomic regulation and neurodevelopmental processes. Genes with genetic associations to brain-based traits and neuropsychiatric disorders (including MEF2C, SATB2, SOX5, TCF4, and TSHZ3) converged in a small number of modules and distinct cell types, revealing insights into neurodevelopment and the genomic basis of neuropsychiatric risks.","container-title":"Science (New York, N.Y.)","DOI":"10.1126/science.aat7615","ISSN":"1095-9203","issue":"6420","journalAbbreviation":"Science","language":"eng","note":"PMID: 30545854\nPMCID: PMC6413317","page":"eaat7615","source":"PubMed","title":"Integrative functional genomic analysis of human brain development and neuropsychiatric risks","volume":"362","author":[{"family":"Li","given":"Mingfeng"},{"family":"Santpere","given":"Gabriel"},{"family":"Imamura Kawasawa","given":"Yuka"},{"family":"Evgrafov","given":"Oleg V."},{"family":"Gulden","given":"Forrest O."},{"family":"Pochareddy","given":"Sirisha"},{"family":"Sunkin","given":"Susan M."},{"family":"Li","given":"Zhen"},{"family":"Shin","given":"Yurae"},{"family":"Zhu","given":"Ying"},{"family":"Sousa","given":"André M. M."},{"family":"Werling","given":"Donna M."},{"family":"Kitchen","given":"Robert R."},{"family":"Kang","given":"Hyo Jung"},{"family":"Pletikos","given":"Mihovil"},{"family":"Choi","given":"Jinmyung"},{"family":"Muchnik","given":"Sydney"},{"family":"Xu","given":"Xuming"},{"family":"Wang","given":"Daifeng"},{"family":"Lorente-Galdos","given":"Belen"},{"family":"Liu","given":"Shuang"},{"family":"Giusti-Rodríguez","given":"Paola"},{"family":"Won","given":"Hyejung"},{"family":"Leeuw","given":"Christiaan A.","non-dropping-particle":"de"},{"family":"Pardiñas","given":"Antonio F."},{"literal":"BrainSpan Consortium"},{"literal":"PsychENCODE Consortium"},{"literal":"PsychENCODE Developmental Subgroup"},{"family":"Hu","given":"Ming"},{"family":"Jin","given":"Fulai"},{"family":"Li","given":"Yun"},{"family":"Owen","given":"Michael J."},{"family":"O'Donovan","given":"Michael C."},{"family":"Walters","given":"James T. R."},{"family":"Posthuma","given":"Danielle"},{"family":"Reimers","given":"Mark A."},{"family":"Levitt","given":"Pat"},{"family":"Weinberger","given":"Daniel R."},{"family":"Hyde","given":"Thomas M."},{"family":"Kleinman","given":"Joel E."},{"family":"Geschwind","given":"Daniel H."},{"family":"Hawrylycz","given":"Michael J."},{"family":"State","given":"Matthew W."},{"family":"Sanders","given":"Stephan J."},{"family":"Sullivan","given":"Patrick F."},{"family":"Gerstein","given":"Mark B."},{"family":"Lein","given":"Ed S."},{"family":"Knowles","given":"James A."},{"family":"Sestan","given":"Nenad"}],"issued":{"date-parts":[["2018",12,14]]}}}],"schema":"https://github.com/citation-style-language/schema/raw/master/csl-citation.json"} </w:instrText>
      </w:r>
      <w:r w:rsidRPr="00A96A68">
        <w:rPr>
          <w:rFonts w:ascii="Times New Roman" w:hAnsi="Times New Roman" w:cs="Times New Roman"/>
          <w:szCs w:val="32"/>
        </w:rPr>
        <w:fldChar w:fldCharType="separate"/>
      </w:r>
      <w:r w:rsidR="00091EA0">
        <w:rPr>
          <w:rFonts w:ascii="Times New Roman" w:hAnsi="Times New Roman" w:cs="Times New Roman"/>
          <w:noProof/>
          <w:szCs w:val="32"/>
        </w:rPr>
        <w:t>[4]</w:t>
      </w:r>
      <w:r w:rsidRPr="00A96A68">
        <w:rPr>
          <w:rFonts w:ascii="Times New Roman" w:hAnsi="Times New Roman" w:cs="Times New Roman"/>
          <w:szCs w:val="32"/>
        </w:rPr>
        <w:fldChar w:fldCharType="end"/>
      </w:r>
      <w:r w:rsidRPr="00A96A68">
        <w:rPr>
          <w:rFonts w:ascii="Times New Roman" w:hAnsi="Times New Roman" w:cs="Times New Roman"/>
          <w:szCs w:val="32"/>
        </w:rPr>
        <w:t xml:space="preserve">. Gene expression data were grouped into nine developmental windows and six brain regions: hippocampus (HIP), amygdala (AMY), cerebellar cortex (CBC), striatum (STR), mediodorsal nucleus of the thalamus (MD), and neocortex (NCX), as defined by PsychENCODE. Expression levels in reads per kilobase of transcript per million mapped reads (RPKM) were aggregated across subregions, log2-transformed, and regionally normalized. Smoothed LOESS curves were plotted to visualize expression trajectories </w:t>
      </w:r>
      <w:r w:rsidRPr="00A96A68">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{"citationID":"Zh1gedrS","properties":{"formattedCitation":"[5, 6]","plainCitation":"[5, 6]","noteIndex":0},"citationItems":[{"id":1897,"uris":["http://zotero.org/users/local/ndUT37MJ/items/G2KSCRAD"],"itemData":{"id":1897,"type":"article-journal","abstract":"Depression, a widespread and highly heritable mental health condition, profoundly affects millions of individuals worldwide. Neuroimaging studies have consistently revealed volumetric abnormalities in subcortical structures associated with depression. However, the genetic underpinnings shared between depression and subcortical volumes remain inadequately understood. Here, we investigate the extent of polygenic overlap using the bivariate causal mixture model (MiXeR), leveraging summary statistics from the largest genome-wide association studies for depression (N = 674,452) and 14 subcortical volumetric phenotypes (N = 33,224). Additionally, we identify shared genomic loci through conditional/conjunctional FDR analyses. MiXeR shows that subcortical volumetric traits share a substantial proportion of genetic variants with depression, with 44 distinct shared loci identified by subsequent conjunctional FDR analysis. These shared loci are predominantly located in intronic regions (58.7%) and non-coding RNA intronic regions (25.4%). The 269 protein-coding genes mapped by these shared loci exhibit specific developmental trajectories, with the expression level of 55 genes linked to both depression and subcortical volumes, and 30 genes linked to cognitive abilities and behavioral symptoms. These findings highlight a shared genetic architecture between depression and subcortical volumetric phenotypes, enriching our understanding of the neurobiological underpinnings of depression.","container-title":"Nature Communications","DOI":"10.1038/s41467-024-52121-y","ISSN":"2041-1723","issue":"1","journalAbbreviation":"Nat Commun","language":"eng","note":"PMID: 39223129\nPMCID: PMC11368965","page":"7647","source":"PubMed","title":"Investigating the shared genetic architecture between depression and subcortical volumes","volume":"15","author":[{"family":"Liu","given":"Mengge"},{"family":"Wang","given":"Lu"},{"family":"Zhang","given":"Yujie"},{"family":"Dong","given":"Haoyang"},{"family":"Wang","given":"Caihong"},{"family":"Chen","given":"Yayuan"},{"family":"Qian","given":"Qian"},{"family":"Zhang","given":"Nannan"},{"family":"Wang","given":"Shaoying"},{"family":"Zhao","given":"Guoshu"},{"family":"Zhang","given":"Zhihui"},{"family":"Lei","given":"Minghuan"},{"family":"Wang","given":"Sijia"},{"family":"Zhao","given":"Qiyu"},{"family":"Liu","given":"Feng"}],"issued":{"date-parts":[["2024",9,2]]}}},{"id":3009,"uris":["http://zotero.org/users/local/ndUT37MJ/items/RHGUJ7X8"],"itemData":{"id":3009,"type":"article-journal","abstract":"BACKGROUND AND HYPOTHESIS: The synaptic pruning hypothesis posits that schizophrenia (SCZ) and autism spectrum disorder (ASD) may represent opposite ends of neurodevelopmental disorders: individuals with ASD exhibit an overabundance of synapses and connections while SCZ was characterized by excessive pruning of synapses and a reduction. Given the strong genetic predisposition of both disorders, we propose a shared genetic component, with certain loci having differential regulatory impacts.\nSTUDY DESIGN: Genome-Wide single nucleotide polymorphism (SNP) data of European descent from SCZ (N cases = 53 386, N controls = 77 258) and ASD (N cases = 18 381, N controls = 27 969) were analyzed. We used genetic correlation, bivariate causal mixture model, conditional false discovery rate method, colocalization, Transcriptome-Wide Association Study (TWAS), and Phenome-Wide Association Study (PheWAS) to investigate the genetic overlap and gene expression pattern.\nSTUDY RESULTS: We found a positive genetic correlation between SCZ and ASD (rg = .26, SE = 0.01, P = 7.87e-14), with 11 genomic loci jointly influencing both conditions (conjFDR &lt;0.05). Functional analysis highlights a significant enrichment of shared genes during early to mid-fetal developmental stages. A notable genetic region on chromosome 17q21.31 (lead SNP rs2696609) showed strong evidence of colocalization (PP.H4.abf = 0.85). This SNP rs2696609 is linked to many imaging-derived brain phenotypes. TWAS indicated opposing gene expression patterns (primarily pseudogenes and long noncoding RNAs [lncRNAs]) for ASD and SCZ in the 17q21.31 region and some genes (LRRC37A4P, LINC02210, and DND1P1) exhibit considerable variation in the cerebellum across the lifespan.\nCONCLUSIONS: Our findings support a shared genetic basis for SCZ and ASD. A common genetic variant, rs2696609, located in the Chr17q21.31 locus, may exert differential risk regulation on SCZ and ASD by altering brain structure. Future studies should focus on the role of pseudogenes, lncRNAs, and cerebellum in synaptic pruning and neurodevelopmental disorders.","container-title":"Schizophrenia Bulletin","DOI":"10.1093/schbul/sbae044","ISSN":"1745-1701","issue":"6","journalAbbreviation":"Schizophr Bull","language":"eng","note":"PMID: 38616054\nPMCID: PMC11548934","page":"1382-1395","source":"PubMed","title":"Shared Genetic Determinants of Schizophrenia and Autism Spectrum Disorder Implicate Opposite Risk Patterns: A Genome-Wide Analysis of Common Variants","title-short":"Shared Genetic Determinants of Schizophrenia and Autism Spectrum Disorder Implicate Opposite Risk Patterns","volume":"50","author":[{"family":"Chen","given":"Yu"},{"family":"Li","given":"Wenqiang"},{"family":"Lv","given":"Luxian"},{"family":"Yue","given":"Weihua"}],"issued":{"date-parts":[["2024",11,8]]}}}],"schema":"https://github.com/citation-style-language/schema/raw/master/csl-citation.json"} </w:instrText>
      </w:r>
      <w:r w:rsidRPr="00A96A68">
        <w:rPr>
          <w:rFonts w:ascii="Times New Roman" w:hAnsi="Times New Roman" w:cs="Times New Roman"/>
          <w:szCs w:val="32"/>
        </w:rPr>
        <w:fldChar w:fldCharType="separate"/>
      </w:r>
      <w:r w:rsidR="00091EA0">
        <w:rPr>
          <w:rFonts w:ascii="Times New Roman" w:hAnsi="Times New Roman" w:cs="Times New Roman"/>
          <w:noProof/>
          <w:szCs w:val="32"/>
        </w:rPr>
        <w:t>[5, 6]</w:t>
      </w:r>
      <w:r w:rsidRPr="00A96A68">
        <w:rPr>
          <w:rFonts w:ascii="Times New Roman" w:hAnsi="Times New Roman" w:cs="Times New Roman"/>
          <w:szCs w:val="32"/>
        </w:rPr>
        <w:fldChar w:fldCharType="end"/>
      </w:r>
      <w:r w:rsidRPr="00A96A68">
        <w:rPr>
          <w:rFonts w:ascii="Times New Roman" w:hAnsi="Times New Roman" w:cs="Times New Roman"/>
          <w:szCs w:val="32"/>
        </w:rPr>
        <w:t>.</w:t>
      </w:r>
    </w:p>
    <w:p w14:paraId="7BD2B67D" w14:textId="77777777" w:rsidR="005E623B" w:rsidRPr="00A3771C" w:rsidRDefault="008C3709" w:rsidP="008F70A7">
      <w:pPr>
        <w:spacing w:line="360" w:lineRule="auto"/>
        <w:rPr>
          <w:rFonts w:ascii="Times New Roman" w:hAnsi="Times New Roman" w:cs="Times New Roman"/>
          <w:b/>
          <w:bCs/>
          <w:szCs w:val="32"/>
        </w:rPr>
      </w:pPr>
      <w:r w:rsidRPr="00A3771C">
        <w:rPr>
          <w:rFonts w:ascii="Times New Roman" w:hAnsi="Times New Roman" w:cs="Times New Roman"/>
          <w:b/>
          <w:bCs/>
          <w:szCs w:val="32"/>
        </w:rPr>
        <w:t>Genetic risk scores for validation</w:t>
      </w:r>
    </w:p>
    <w:p w14:paraId="56025EA6" w14:textId="1823F98F" w:rsidR="00AB56EA" w:rsidRPr="00051F9F" w:rsidRDefault="009F0037" w:rsidP="00D12949">
      <w:pPr>
        <w:spacing w:line="360" w:lineRule="auto"/>
        <w:jc w:val="both"/>
        <w:rPr>
          <w:rFonts w:ascii="Times New Roman" w:hAnsi="Times New Roman" w:cs="Times New Roman"/>
          <w:color w:val="000000" w:themeColor="text1"/>
          <w:szCs w:val="32"/>
        </w:rPr>
      </w:pPr>
      <w:r w:rsidRPr="00051F9F">
        <w:rPr>
          <w:rFonts w:ascii="Times New Roman" w:hAnsi="Times New Roman" w:cs="Times New Roman"/>
          <w:color w:val="000000" w:themeColor="text1"/>
          <w:szCs w:val="32"/>
        </w:rPr>
        <w:t xml:space="preserve">The UK Biobank is a large-scale biomedical database of over 500,000 individuals aged 39–73, recruited across the UK between 2006 and 2010 </w:t>
      </w:r>
      <w:r w:rsidRPr="00051F9F">
        <w:rPr>
          <w:rFonts w:ascii="Times New Roman" w:hAnsi="Times New Roman" w:cs="Times New Roman"/>
          <w:color w:val="000000" w:themeColor="text1"/>
          <w:szCs w:val="32"/>
        </w:rPr>
        <w:fldChar w:fldCharType="begin"/>
      </w:r>
      <w:r w:rsidR="00091EA0" w:rsidRPr="00051F9F">
        <w:rPr>
          <w:rFonts w:ascii="Times New Roman" w:hAnsi="Times New Roman" w:cs="Times New Roman"/>
          <w:color w:val="000000" w:themeColor="text1"/>
          <w:szCs w:val="32"/>
        </w:rPr>
        <w:instrText xml:space="preserve"> ADDIN ZOTERO_ITEM CSL_CITATION {"citationID":"4vPGJfBn","properties":{"formattedCitation":"[7]","plainCitation":"[7]","noteIndex":0},"citationItems":[{"id":3038,"uris":["http://zotero.org/users/local/ndUT37MJ/items/GEDEFA8H"],"itemData":{"id":3038,"type":"article-journal","abstract":"The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diseases.","container-title":"Nature","DOI":"10.1038/s41586-018-0579-z","ISSN":"1476-4687","issue":"7726","journalAbbreviation":"Nature","language":"eng","note":"PMID: 30305743\nPMCID: PMC6786975","page":"203-209","source":"PubMed","title":"The UK Biobank resource with deep phenotyping and genomic data","volume":"562","author":[{"family":"Bycroft","given":"Clare"},{"family":"Freeman","given":"Colin"},{"family":"Petkova","given":"Desislava"},{"family":"Band","given":"Gavin"},{"family":"Elliott","given":"Lloyd T."},{"family":"Sharp","given":"Kevin"},{"family":"Motyer","given":"Allan"},{"family":"Vukcevic","given":"Damjan"},{"family":"Delaneau","given":"Olivier"},{"family":"O'Connell","given":"Jared"},{"family":"Cortes","given":"Adrian"},{"family":"Welsh","given":"Samantha"},{"family":"Young","given":"Alan"},{"family":"Effingham","given":"Mark"},{"family":"McVean","given":"Gil"},{"family":"Leslie","given":"Stephen"},{"family":"Allen","given":"Naomi"},{"family":"Donnelly","given":"Peter"},{"family":"Marchini","given":"Jonathan"}],"issued":{"date-parts":[["2018",10]]}}}],"schema":"https://github.com/citation-style-language/schema/raw/master/csl-citation.json"} </w:instrText>
      </w:r>
      <w:r w:rsidRPr="00051F9F">
        <w:rPr>
          <w:rFonts w:ascii="Times New Roman" w:hAnsi="Times New Roman" w:cs="Times New Roman"/>
          <w:color w:val="000000" w:themeColor="text1"/>
          <w:szCs w:val="32"/>
        </w:rPr>
        <w:fldChar w:fldCharType="separate"/>
      </w:r>
      <w:r w:rsidR="00091EA0" w:rsidRPr="00051F9F">
        <w:rPr>
          <w:rFonts w:ascii="Times New Roman" w:hAnsi="Times New Roman" w:cs="Times New Roman"/>
          <w:noProof/>
          <w:color w:val="000000" w:themeColor="text1"/>
          <w:szCs w:val="32"/>
        </w:rPr>
        <w:t>[7]</w:t>
      </w:r>
      <w:r w:rsidRPr="00051F9F">
        <w:rPr>
          <w:rFonts w:ascii="Times New Roman" w:hAnsi="Times New Roman" w:cs="Times New Roman"/>
          <w:color w:val="000000" w:themeColor="text1"/>
          <w:szCs w:val="32"/>
        </w:rPr>
        <w:fldChar w:fldCharType="end"/>
      </w:r>
      <w:r w:rsidRPr="00051F9F">
        <w:rPr>
          <w:rFonts w:ascii="Times New Roman" w:hAnsi="Times New Roman" w:cs="Times New Roman"/>
          <w:color w:val="000000" w:themeColor="text1"/>
          <w:szCs w:val="32"/>
        </w:rPr>
        <w:t>. Linkage to primary care, hospital admissions, cancer registries, and death records enables investigation of a wide range of health outcomes.</w:t>
      </w:r>
      <w:r w:rsidR="00A952E2" w:rsidRPr="00051F9F">
        <w:rPr>
          <w:rFonts w:ascii="Times New Roman" w:hAnsi="Times New Roman" w:cs="Times New Roman"/>
          <w:color w:val="000000" w:themeColor="text1"/>
          <w:szCs w:val="32"/>
        </w:rPr>
        <w:t xml:space="preserve"> The use of UK Biobank data has been approved by its Research Ethics Committee, and all participants provided informed consent at the time of enrollment. </w:t>
      </w:r>
      <w:r w:rsidR="00AB56EA" w:rsidRPr="00051F9F">
        <w:rPr>
          <w:rFonts w:ascii="Times New Roman" w:hAnsi="Times New Roman" w:cs="Times New Roman"/>
          <w:color w:val="000000" w:themeColor="text1"/>
          <w:szCs w:val="32"/>
        </w:rPr>
        <w:t>The individual-level genotype and phenotype data are available through formal application to the UK Biobank (http://www.ukbiobank.ac.uk) under accession code 78795.</w:t>
      </w:r>
    </w:p>
    <w:p w14:paraId="401C381C" w14:textId="77777777" w:rsidR="00D63CE3" w:rsidRPr="00A3771C" w:rsidRDefault="00EE358F" w:rsidP="00D12949">
      <w:pPr>
        <w:spacing w:line="360" w:lineRule="auto"/>
        <w:jc w:val="both"/>
        <w:rPr>
          <w:rFonts w:ascii="Times New Roman" w:hAnsi="Times New Roman" w:cs="Times New Roman"/>
          <w:szCs w:val="32"/>
        </w:rPr>
      </w:pPr>
      <w:r w:rsidRPr="00A3771C">
        <w:rPr>
          <w:rFonts w:ascii="Times New Roman" w:hAnsi="Times New Roman" w:cs="Times New Roman"/>
          <w:szCs w:val="32"/>
        </w:rPr>
        <w:t xml:space="preserve">Among the 487,203 individuals with available genotype and phenotype data, we restricted analyses to those with consistent sex information and of European ancestry, excluded outliers based on heterozygosity and missingness, and removed individuals excluded during kinship inference. </w:t>
      </w:r>
      <w:r w:rsidR="003D2507" w:rsidRPr="00A3771C">
        <w:rPr>
          <w:rFonts w:ascii="Times New Roman" w:hAnsi="Times New Roman" w:cs="Times New Roman"/>
          <w:szCs w:val="32"/>
        </w:rPr>
        <w:t xml:space="preserve">Individuals (N = 8,802) with any record of a </w:t>
      </w:r>
      <w:r w:rsidR="003D2507" w:rsidRPr="00A3771C">
        <w:rPr>
          <w:rFonts w:ascii="Times New Roman" w:hAnsi="Times New Roman" w:cs="Times New Roman"/>
          <w:szCs w:val="32"/>
        </w:rPr>
        <w:lastRenderedPageBreak/>
        <w:t xml:space="preserve">schizophrenia diagnosis, other psychotic disorders, or a history of psychotic symptoms were excluded from further analyses, resulting in a final sample of 399,930 individuals. </w:t>
      </w:r>
    </w:p>
    <w:p w14:paraId="15A165E3" w14:textId="7D05E597" w:rsidR="00F56BEE" w:rsidRPr="00A3771C" w:rsidRDefault="000E3165" w:rsidP="00D12949">
      <w:pPr>
        <w:spacing w:line="360" w:lineRule="auto"/>
        <w:jc w:val="both"/>
        <w:rPr>
          <w:rFonts w:ascii="Times New Roman" w:hAnsi="Times New Roman" w:cs="Times New Roman"/>
          <w:szCs w:val="32"/>
        </w:rPr>
      </w:pPr>
      <w:r w:rsidRPr="00A3771C">
        <w:rPr>
          <w:rFonts w:ascii="Times New Roman" w:hAnsi="Times New Roman" w:cs="Times New Roman"/>
          <w:szCs w:val="32"/>
        </w:rPr>
        <w:t xml:space="preserve">Genetic risk scores (GRS) were calculated using summary statistics from the PGC schizophrenia GWAS as the discovery dataset </w:t>
      </w:r>
      <w:r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{"citationID":"79vd3gS4","properties":{"formattedCitation":"[8]","plainCitation":"[8]","noteIndex":0},"citationItems":[{"id":1564,"uris":["http://zotero.org/users/local/ndUT37MJ/items/8KFKD9S8"],"itemData":{"id":1564,"type":"article-journal","abstract":"Schizophrenia has a heritability of 60-80%1, much of which is attributable to common risk alleles. Here, in a two-stage genome-wide association study of up to 76,755 individuals with schizophrenia and 243,649 control individuals, we report common variant associations at 287 distinct genomic loci. Associations were concentrated in genes that are expressed in excitatory and inhibitory neurons of the central nervous system, but not in other tissues or cell types. Using fine-mapping and functional genomic data, we identify 120 genes (106 protein-coding) that are likely to underpin associations at some of these loci, including 16 genes with credible causal non-synonymous or untranslated region variation. We also implicate fundamental processes related to neuronal function, including synaptic organization, differentiation and transmission. Fine-mapped candidates were enriched for genes associated with rare disruptive coding variants in people with schizophrenia, including the glutamate receptor subunit GRIN2A and transcription factor SP4, and were also enriched for genes implicated by such variants in neurodevelopmental disorders. We identify biological processes relevant to schizophrenia pathophysiology; show convergence of common and rare variant associations in schizophrenia and neurodevelopmental disorders; and provide a resource of prioritized genes and variants to advance mechanistic studies.","container-title":"Nature","DOI":"10.1038/s41586-022-04434-5","ISSN":"1476-4687","issue":"7906","journalAbbreviation":"Nature","language":"eng","note":"PMID: 35396580\nPMCID: PMC9392466","page":"502-508","source":"PubMed","title":"Mapping genomic loci implicates genes and synaptic biology in schizophrenia","volume":"604","author":[{"family":"Trubetskoy","given":"Vassily"},{"family":"Pardiñas","given":"Antonio F."},{"family":"Qi","given":"Ting"},{"family":"Panagiotaropoulou","given":"Georgia"},{"family":"Awasthi","given":"Swapnil"},{"family":"Bigdeli","given":"Tim B."},{"family":"Bryois","given":"Julien"},{"family":"Chen","given":"Chia-Yen"},{"family":"Dennison","given":"Charlotte A."},{"family":"Hall","given":"Lynsey S."},{"family":"Lam","given":"Max"},{"family":"Watanabe","given":"Kyoko"},{"family":"Frei","given":"Oleksandr"},{"family":"Ge","given":"Tian"},{"family":"Harwood","given":"Janet C."},{"family":"Koopmans","given":"Frank"},{"family":"Magnusson","given":"Sigurdur"},{"family":"Richards","given":"Alexander L."},{"family":"Sidorenko","given":"Julia"},{"family":"Wu","given":"Yang"},{"family":"Zeng","given":"Jian"},{"family":"Grove","given":"Jakob"},{"family":"Kim","given":"Minsoo"},{"family":"Li","given":"Zhiqiang"},{"family":"Voloudakis","given":"Georgios"},{"family":"Zhang","given":"Wen"},{"family":"Adams","given":"Mark"},{"family":"Agartz","given":"Ingrid"},{"family":"Atkinson","given":"Elizabeth G."},{"family":"Agerbo","given":"Esben"},{"family":"Al Eissa","given":"Mariam"},{"family":"Albus","given":"Margot"},{"family":"Alexander","given":"Madeline"},{"family":"Alizadeh","given":"Behrooz Z."},{"family":"Alptekin","given":"Köksal"},{"family":"Als","given":"Thomas D."},{"family":"Amin","given":"Farooq"},{"family":"Arolt","given":"Volker"},{"family":"Arrojo","given":"Manuel"},{"family":"Athanasiu","given":"Lavinia"},{"family":"Azevedo","given":"Maria Helena"},{"family":"Bacanu","given":"Silviu A."},{"family":"Bass","given":"Nicholas J."},{"family":"Begemann","given":"Martin"},{"family":"Belliveau","given":"Richard A."},{"family":"Bene","given":"Judit"},{"family":"Benyamin","given":"Beben"},{"family":"Bergen","given":"Sarah E."},{"family":"Blasi","given":"Giuseppe"},{"family":"Bobes","given":"Julio"},{"family":"Bonassi","given":"Stefano"},{"family":"Braun","given":"Alice"},{"family":"Bressan","given":"Rodrigo Affonseca"},{"family":"Bromet","given":"Evelyn J."},{"family":"Bruggeman","given":"Richard"},{"family":"Buckley","given":"Peter F."},{"family":"Buckner","given":"Randy L."},{"family":"Bybjerg-Grauholm","given":"Jonas"},{"family":"Cahn","given":"Wiepke"},{"family":"Cairns","given":"Murray J."},{"family":"Calkins","given":"Monica E."},{"family":"Carr","given":"Vaughan J."},{"family":"Castle","given":"David"},{"family":"Catts","given":"Stanley V."},{"family":"Chambert","given":"Kimberley D."},{"family":"Chan","given":"Raymond C. K."},{"family":"Chaumette","given":"Boris"},{"family":"Cheng","given":"Wei"},{"family":"Cheung","given":"Eric F. C."},{"family":"Chong","given":"Siow Ann"},{"family":"Cohen","given":"David"},{"family":"Consoli","given":"Angèle"},{"family":"Cordeiro","given":"Quirino"},{"family":"Costas","given":"Javier"},{"family":"Curtis","given":"Charles"},{"family":"Davidson","given":"Michael"},{"family":"Davis","given":"Kenneth L."},{"family":"Haan","given":"Lieuwe","non-dropping-particle":"de"},{"family":"Degenhardt","given":"Franziska"},{"family":"DeLisi","given":"Lynn E."},{"family":"Demontis","given":"Ditte"},{"family":"Dickerson","given":"Faith"},{"family":"Dikeos","given":"Dimitris"},{"family":"Dinan","given":"Timothy"},{"family":"Djurovic","given":"Srdjan"},{"family":"Duan","given":"Jubao"},{"family":"Ducci","given":"Giuseppe"},{"family":"Dudbridge","given":"Frank"},{"family":"Eriksson","given":"Johan G."},{"family":"Fañanás","given":"Lourdes"},{"family":"Faraone","given":"Stephen V."},{"family":"Fiorentino","given":"Alessia"},{"family":"Forstner","given":"Andreas"},{"family":"Frank","given":"Josef"},{"family":"Freimer","given":"Nelson B."},{"family":"Fromer","given":"Menachem"},{"family":"Frustaci","given":"Alessandra"},{"family":"Gadelha","given":"Ary"},{"family":"Genovese","given":"Giulio"},{"family":"Gershon","given":"Elliot S."},{"family":"Giannitelli","given":"Marianna"},{"family":"Giegling","given":"Ina"},{"family":"Giusti-Rodríguez","given":"Paola"},{"family":"Godard","given":"Stephanie"},{"family":"Goldstein","given":"Jacqueline I."},{"family":"González Peñas","given":"Javier"},{"family":"González-Pinto","given":"Ana"},{"family":"Gopal","given":"Srihari"},{"family":"Gratten","given":"Jacob"},{"family":"Green","given":"Michael F."},{"family":"Greenwood","given":"Tiffany A."},{"family":"Guillin","given":"Olivier"},{"family":"Gülöksüz","given":"Sinan"},{"family":"Gur","given":"Raquel E."},{"family":"Gur","given":"Ruben C."},{"family":"Gutiérrez","given":"Blanca"},{"family":"Hahn","given":"Eric"},{"family":"Hakonarson","given":"Hakon"},{"family":"Haroutunian","given":"Vahram"},{"family":"Hartmann","given":"Annette M."},{"family":"Harvey","given":"Carol"},{"family":"Hayward","given":"Caroline"},{"family":"Henskens","given":"Frans A."},{"family":"Herms","given":"Stefan"},{"family":"Hoffmann","given":"Per"},{"family":"Howrigan","given":"Daniel P."},{"family":"Ikeda","given":"Masashi"},{"family":"Iyegbe","given":"Conrad"},{"family":"Joa","given":"Inge"},{"family":"Julià","given":"Antonio"},{"family":"Kähler","given":"Anna K."},{"family":"Kam-Thong","given":"Tony"},{"family":"Kamatani","given":"Yoichiro"},{"family":"Karachanak-Yankova","given":"Sena"},{"family":"Kebir","given":"Oussama"},{"family":"Keller","given":"Matthew C."},{"family":"Kelly","given":"Brian J."},{"family":"Khrunin","given":"Andrey"},{"family":"Kim","given":"Sung-Wan"},{"family":"Klovins","given":"Janis"},{"family":"Kondratiev","given":"Nikolay"},{"family":"Konte","given":"Bettina"},{"family":"Kraft","given":"Julia"},{"family":"Kubo","given":"Michiaki"},{"family":"Kučinskas","given":"Vaidutis"},{"family":"Kučinskiene","given":"Zita Ausrele"},{"family":"Kusumawardhani","given":"Agung"},{"family":"Kuzelova-Ptackova","given":"Hana"},{"family":"Landi","given":"Stefano"},{"family":"Lazzeroni","given":"Laura C."},{"family":"Lee","given":"Phil H."},{"family":"Legge","given":"Sophie E."},{"family":"Lehrer","given":"Douglas S."},{"family":"Lencer","given":"Rebecca"},{"family":"Lerer","given":"Bernard"},{"family":"Li","given":"Miaoxin"},{"family":"Lieberman","given":"Jeffrey"},{"family":"Light","given":"Gregory A."},{"family":"Limborska","given":"Svetlana"},{"family":"Liu","given":"Chih-Min"},{"family":"Lönnqvist","given":"Jouko"},{"family":"Loughland","given":"Carmel M."},{"family":"Lubinski","given":"Jan"},{"family":"Luykx","given":"Jurjen J."},{"family":"Lynham","given":"Amy"},{"family":"Macek","given":"Milan"},{"family":"Mackinnon","given":"Andrew"},{"family":"Magnusson","given":"Patrik K. E."},{"family":"Maher","given":"Brion S."},{"family":"Maier","given":"Wolfgang"},{"family":"Malaspina","given":"Dolores"},{"family":"Mallet","given":"Jacques"},{"family":"Marder","given":"Stephen R."},{"family":"Marsal","given":"Sara"},{"family":"Martin","given":"Alicia R."},{"family":"Martorell","given":"Lourdes"},{"family":"Mattheisen","given":"Manuel"},{"family":"McCarley","given":"Robert W."},{"family":"McDonald","given":"Colm"},{"family":"McGrath","given":"John J."},{"family":"Medeiros","given":"Helena"},{"family":"Meier","given":"Sandra"},{"family":"Melegh","given":"Bela"},{"family":"Melle","given":"Ingrid"},{"family":"Mesholam-Gately","given":"Raquelle I."},{"family":"Metspalu","given":"Andres"},{"family":"Michie","given":"Patricia T."},{"family":"Milani","given":"Lili"},{"family":"Milanova","given":"Vihra"},{"family":"Mitjans","given":"Marina"},{"family":"Molden","given":"Espen"},{"family":"Molina","given":"Esther"},{"family":"Molto","given":"María Dolores"},{"family":"Mondelli","given":"Valeria"},{"family":"Moreno","given":"Carmen"},{"family":"Morley","given":"Christopher P."},{"family":"Muntané","given":"Gerard"},{"family":"Murphy","given":"Kieran C."},{"family":"Myin-Germeys","given":"Inez"},{"family":"Nenadić","given":"Igor"},{"family":"Nestadt","given":"Gerald"},{"family":"Nikitina-Zake","given":"Liene"},{"family":"Noto","given":"Cristiano"},{"family":"Nuechterlein","given":"Keith H."},{"family":"O'Brien","given":"Niamh Louise"},{"family":"O'Neill","given":"F. Anthony"},{"family":"Oh","given":"Sang-Yun"},{"family":"Olincy","given":"Ann"},{"family":"Ota","given":"Vanessa Kiyomi"},{"family":"Pantelis","given":"Christos"},{"family":"Papadimitriou","given":"George N."},{"family":"Parellada","given":"Mara"},{"family":"Paunio","given":"Tiina"},{"family":"Pellegrino","given":"Renata"},{"family":"Periyasamy","given":"Sathish"},{"family":"Perkins","given":"Diana O."},{"family":"Pfuhlmann","given":"Bruno"},{"family":"Pietiläinen","given":"Olli"},{"family":"Pimm","given":"Jonathan"},{"family":"Porteous","given":"David"},{"family":"Powell","given":"John"},{"family":"Quattrone","given":"Diego"},{"family":"Quested","given":"Digby"},{"family":"Radant","given":"Allen D."},{"family":"Rampino","given":"Antonio"},{"family":"Rapaport","given":"Mark H."},{"family":"Rautanen","given":"Anna"},{"family":"Reichenberg","given":"Abraham"},{"family":"Roe","given":"Cheryl"},{"family":"Roffman","given":"Joshua L."},{"family":"Roth","given":"Julian"},{"family":"Rothermundt","given":"Matthias"},{"family":"Rutten","given":"Bart P. F."},{"family":"Saker-Delye","given":"Safaa"},{"family":"Salomaa","given":"Veikko"},{"family":"Sanjuan","given":"Julio"},{"family":"Santoro","given":"Marcos Leite"},{"family":"Savitz","given":"Adam"},{"family":"Schall","given":"Ulrich"},{"family":"Scott","given":"Rodney J."},{"family":"Seidman","given":"Larry J."},{"family":"Sharp","given":"Sally Isabel"},{"family":"Shi","given":"Jianxin"},{"family":"Siever","given":"Larry J."},{"family":"Sigurdsson","given":"Engilbert"},{"family":"Sim","given":"Kang"},{"family":"Skarabis","given":"Nora"},{"family":"Slominsky","given":"Petr"},{"family":"So","given":"Hon-Cheong"},{"family":"Sobell","given":"Janet L."},{"family":"Söderman","given":"Erik"},{"family":"Stain","given":"Helen J."},{"family":"Steen","given":"Nils Eiel"},{"family":"Steixner-Kumar","given":"Agnes A."},{"family":"Stögmann","given":"Elisabeth"},{"family":"Stone","given":"William S."},{"family":"Straub","given":"Richard E."},{"family":"Streit","given":"Fabian"},{"family":"Strengman","given":"Eric"},{"family":"Stroup","given":"T. Scott"},{"family":"Subramaniam","given":"Mythily"},{"family":"Sugar","given":"Catherine A."},{"family":"Suvisaari","given":"Jaana"},{"family":"Svrakic","given":"Dragan M."},{"family":"Swerdlow","given":"Neal R."},{"family":"Szatkiewicz","given":"Jin P."},{"family":"Ta","given":"Thi Minh Tam"},{"family":"Takahashi","given":"Atsushi"},{"family":"Terao","given":"Chikashi"},{"family":"Thibaut","given":"Florence"},{"family":"Toncheva","given":"Draga"},{"family":"Tooney","given":"Paul A."},{"family":"Torretta","given":"Silvia"},{"family":"Tosato","given":"Sarah"},{"family":"Tura","given":"Gian Battista"},{"family":"Turetsky","given":"Bruce I."},{"family":"Üçok","given":"Alp"},{"family":"Vaaler","given":"Arne"},{"family":"Amelsvoort","given":"Therese","non-dropping-particle":"van"},{"family":"Winkel","given":"Ruud","non-dropping-particle":"van"},{"family":"Veijola","given":"Juha"},{"family":"Waddington","given":"John"},{"family":"Walter","given":"Henrik"},{"family":"Waterreus","given":"Anna"},{"family":"Webb","given":"Bradley T."},{"family":"Weiser","given":"Mark"},{"family":"Williams","given":"Nigel M."},{"family":"Witt","given":"Stephanie H."},{"family":"Wormley","given":"Brandon K."},{"family":"Wu","given":"Jing Qin"},{"family":"Xu","given":"Zhida"},{"family":"Yolken","given":"Robert"},{"family":"Zai","given":"Clement C."},{"family":"Zhou","given":"Wei"},{"family":"Zhu","given":"Feng"},{"family":"Zimprich","given":"Fritz"},{"family":"Atbaşoğlu","given":"Eşref Cem"},{"family":"Ayub","given":"Muhammad"},{"family":"Benner","given":"Christian"},{"family":"Bertolino","given":"Alessandro"},{"family":"Black","given":"Donald W."},{"family":"Bray","given":"Nicholas J."},{"family":"Breen","given":"Gerome"},{"family":"Buccola","given":"Nancy G."},{"family":"Byerley","given":"William F."},{"family":"Chen","given":"Wei J."},{"family":"Cloninger","given":"C. Robert"},{"family":"Crespo-Facorro","given":"Benedicto"},{"family":"Donohoe","given":"Gary"},{"family":"Freedman","given":"Robert"},{"family":"Galletly","given":"Cherrie"},{"family":"Gandal","given":"Michael J."},{"family":"Gennarelli","given":"Massimo"},{"family":"Hougaard","given":"David M."},{"family":"Hwu","given":"Hai-Gwo"},{"family":"Jablensky","given":"Assen V."},{"family":"McCarroll","given":"Steven A."},{"family":"Moran","given":"Jennifer L."},{"family":"Mors","given":"Ole"},{"family":"Mortensen","given":"Preben B."},{"family":"Müller-Myhsok","given":"Bertram"},{"family":"Neil","given":"Amanda L."},{"family":"Nordentoft","given":"Merete"},{"family":"Pato","given":"Michele T."},{"family":"Petryshen","given":"Tracey L."},{"family":"Pirinen","given":"Matti"},{"family":"Pulver","given":"Ann E."},{"family":"Schulze","given":"Thomas G."},{"family":"Silverman","given":"Jeremy M."},{"family":"Smoller","given":"Jordan W."},{"family":"Stahl","given":"Eli A."},{"family":"Tsuang","given":"Debby W."},{"family":"Vilella","given":"Elisabet"},{"family":"Wang","given":"Shi-Heng"},{"family":"Xu","given":"Shuhua"},{"literal":"Indonesia Schizophrenia Consortium"},{"literal":"PsychENCODE"},{"literal":"Psychosis Endophenotypes International Consortium"},{"literal":"SynGO Consortium"},{"family":"Adolfsson","given":"Rolf"},{"family":"Arango","given":"Celso"},{"family":"Baune","given":"Bernhard T."},{"family":"Belangero","given":"Sintia Iole"},{"family":"Børglum","given":"Anders D."},{"family":"Braff","given":"David"},{"family":"Bramon","given":"Elvira"},{"family":"Buxbaum","given":"Joseph D."},{"family":"Campion","given":"Dominique"},{"family":"Cervilla","given":"Jorge A."},{"family":"Cichon","given":"Sven"},{"family":"Collier","given":"David A."},{"family":"Corvin","given":"Aiden"},{"family":"Curtis","given":"David"},{"family":"Forti","given":"Marta Di"},{"family":"Domenici","given":"Enrico"},{"family":"Ehrenreich","given":"Hannelore"},{"family":"Escott-Price","given":"Valentina"},{"family":"Esko","given":"Tõnu"},{"family":"Fanous","given":"Ayman H."},{"family":"Gareeva","given":"Anna"},{"family":"Gawlik","given":"Micha"},{"family":"Gejman","given":"Pablo V."},{"family":"Gill","given":"Michael"},{"family":"Glatt","given":"Stephen J."},{"family":"Golimbet","given":"Vera"},{"family":"Hong","given":"Kyung Sue"},{"family":"Hultman","given":"Christina M."},{"family":"Hyman","given":"Steven E."},{"family":"Iwata","given":"Nakao"},{"family":"Jönsson","given":"Erik G."},{"family":"Kahn","given":"René S."},{"family":"Kennedy","given":"James L."},{"family":"Khusnutdinova","given":"Elza"},{"family":"Kirov","given":"George"},{"family":"Knowles","given":"James A."},{"family":"Krebs","given":"Marie-Odile"},{"family":"Laurent-Levinson","given":"Claudine"},{"family":"Lee","given":"Jimmy"},{"family":"Lencz","given":"Todd"},{"family":"Levinson","given":"Douglas F."},{"family":"Li","given":"Qingqin S."},{"family":"Liu","given":"Jianjun"},{"family":"Malhotra","given":"Anil K."},{"family":"Malhotra","given":"Dheeraj"},{"family":"McIntosh","given":"Andrew"},{"family":"McQuillin","given":"Andrew"},{"family":"Menezes","given":"Paulo R."},{"family":"Morgan","given":"Vera A."},{"family":"Morris","given":"Derek W."},{"family":"Mowry","given":"Bryan J."},{"family":"Murray","given":"Robin M."},{"family":"Nimgaonkar","given":"Vishwajit"},{"family":"Nöthen","given":"Markus M."},{"family":"Ophoff","given":"Roel A."},{"family":"Paciga","given":"Sara A."},{"family":"Palotie","given":"Aarno"},{"family":"Pato","given":"Carlos N."},{"family":"Qin","given":"Shengying"},{"family":"Rietschel","given":"Marcella"},{"family":"Riley","given":"Brien P."},{"family":"Rivera","given":"Margarita"},{"family":"Rujescu","given":"Dan"},{"family":"Saka","given":"Meram C."},{"family":"Sanders","given":"Alan R."},{"family":"Schwab","given":"Sibylle G."},{"family":"Serretti","given":"Alessandro"},{"family":"Sham","given":"Pak C."},{"family":"Shi","given":"Yongyong"},{"family":"St Clair","given":"David"},{"family":"Stefánsson","given":"Hreinn"},{"family":"Stefansson","given":"Kari"},{"family":"Tsuang","given":"Ming T."},{"family":"Os","given":"Jim","non-dropping-particle":"van"},{"family":"Vawter","given":"Marquis P."},{"family":"Weinberger","given":"Daniel R."},{"family":"Werge","given":"Thomas"},{"family":"Wildenauer","given":"Dieter B."},{"family":"Yu","given":"Xin"},{"family":"Yue","given":"Weihua"},{"family":"Holmans","given":"Peter A."},{"family":"Pocklington","given":"Andrew J."},{"family":"Roussos","given":"Panos"},{"family":"Vassos","given":"Evangelos"},{"family":"Verhage","given":"Matthijs"},{"family":"Visscher","given":"Peter M."},{"family":"Yang","given":"Jian"},{"family":"Posthuma","given":"Danielle"},{"family":"Andreassen","given":"Ole A."},{"family":"Kendler","given":"Kenneth S."},{"family":"Owen","given":"Michael J."},{"family":"Wray","given":"Naomi R."},{"family":"Daly","given":"Mark J."},{"family":"Huang","given":"Hailiang"},{"family":"Neale","given":"Benjamin M."},{"family":"Sullivan","given":"Patrick F."},{"family":"Ripke","given":"Stephan"},{"family":"Walters","given":"James T. R."},{"family":"O'Donovan","given":"Michael C."},{"literal":"Schizophrenia Working Group of the Psychiatric Genomics Consortium"}],"issued":{"date-parts":[["2022",4]]}}}],"schema":"https://github.com/citation-style-language/schema/raw/master/csl-citation.json"} </w:instrText>
      </w:r>
      <w:r w:rsidRPr="00A3771C">
        <w:rPr>
          <w:rFonts w:ascii="Times New Roman" w:hAnsi="Times New Roman" w:cs="Times New Roman"/>
          <w:szCs w:val="32"/>
        </w:rPr>
        <w:fldChar w:fldCharType="separate"/>
      </w:r>
      <w:r w:rsidR="00091EA0">
        <w:rPr>
          <w:rFonts w:ascii="Times New Roman" w:hAnsi="Times New Roman" w:cs="Times New Roman"/>
          <w:noProof/>
          <w:szCs w:val="32"/>
        </w:rPr>
        <w:t>[8]</w:t>
      </w:r>
      <w:r w:rsidRPr="00A3771C">
        <w:rPr>
          <w:rFonts w:ascii="Times New Roman" w:hAnsi="Times New Roman" w:cs="Times New Roman"/>
          <w:szCs w:val="32"/>
        </w:rPr>
        <w:fldChar w:fldCharType="end"/>
      </w:r>
      <w:r w:rsidRPr="00A3771C">
        <w:rPr>
          <w:rFonts w:ascii="Times New Roman" w:hAnsi="Times New Roman" w:cs="Times New Roman"/>
          <w:szCs w:val="32"/>
        </w:rPr>
        <w:t xml:space="preserve">, employing PRSice-2 and its PRSet function </w:t>
      </w:r>
      <w:r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{"citationID":"Nxpzt3H2","properties":{"formattedCitation":"[9, 10]","plainCitation":"[9, 10]","noteIndex":0},"citationItems":[{"id":3041,"uris":["http://zotero.org/users/local/ndUT37MJ/items/R7HIYUJF"],"itemData":{"id":3041,"type":"article-journal","abstract":"BACKGROUND: Polygenic risk score (PRS) analyses have become an integral part of biomedical research, exploited to gain insights into shared aetiology among traits, to control for genomic profile in experimental studies, and to strengthen causal inference, among a range of applications. Substantial efforts are now devoted to biobank projects to collect large genetic and phenotypic data, providing unprecedented opportunity for genetic discovery and applications. To process the large-scale data provided by such biobank resources, highly efficient and scalable methods and software are required.\nRESULTS: Here we introduce PRSice-2, an efficient and scalable software program for automating and simplifying PRS analyses on large-scale data. PRSice-2 handles both genotyped and imputed data, provides empirical association P-values free from inflation due to overfitting, supports different inheritance models, and can evaluate multiple continuous and binary target traits simultaneously. We demonstrate that PRSice-2 is dramatically faster and more memory-efficient than PRSice-1 and alternative PRS software, LDpred and lassosum, while having comparable predictive power.\nCONCLUSION: PRSice-2's combination of efficiency and power will be increasingly important as data sizes grow and as the applications of PRS become more sophisticated, e.g., when incorporated into high-dimensional or gene set-based analyses. PRSice-2 is written in C++, with an R script for plotting, and is freely available for download from http://PRSice.info.","container-title":"GigaScience","DOI":"10.1093/gigascience/giz082","ISSN":"2047-217X","issue":"7","journalAbbreviation":"Gigascience","language":"eng","note":"PMID: 31307061\nPMCID: PMC6629542","page":"giz082","source":"PubMed","title":"PRSice-2: Polygenic Risk Score software for biobank-scale data","title-short":"PRSice-2","volume":"8","author":[{"family":"Choi","given":"Shing Wan"},{"family":"O'Reilly","given":"Paul F."}],"issued":{"date-parts":[["2019",7,1]]}}},{"id":2303,"uris":["http://zotero.org/users/local/ndUT37MJ/items/LPZEY92A"],"itemData":{"id":2303,"type":"article-journal","abstract":"Polygenic risk scores (PRSs) have been among the leading advances in biomedicine in recent years. As a proxy of genetic liability, PRSs are utilised across multiple fields and applications. While numerous statistical and machine learning methods have been developed to optimise their predictive accuracy, these typically distil genetic liability to a single number based on aggregation of an individual's genome-wide risk alleles. This results in a key loss of information about an individual's genetic profile, which could be critical given the functional sub-structure of the genome and the heterogeneity of complex disease. In this manuscript, we introduce a 'pathway polygenic' paradigm of disease risk, in which multiple genetic liabilities underlie complex diseases, rather than a single genome-wide liability. We describe a method and accompanying software, PRSet, for computing and analysing pathway-based PRSs, in which polygenic scores are calculated across genomic pathways for each individual. We evaluate the potential of pathway PRSs in two distinct ways, creating two major sections: (1) In the first section, we benchmark PRSet as a pathway enrichment tool, evaluating its capacity to capture GWAS signal in pathways. We find that for target sample sizes of &gt;10,000 individuals, pathway PRSs have similar power for evaluating pathway enrichment as leading methods MAGMA and LD score regression, with the distinct advantage of providing individual-level estimates of genetic liability for each pathway -opening up a range of pathway-based PRS applications, (2) In the second section, we evaluate the performance of pathway PRSs for disease stratification. We show that using a supervised disease stratification approach, pathway PRSs (computed by PRSet) outperform two standard genome-wide PRSs (computed by C+T and lassosum) for classifying disease subtypes in 20 of 21 scenarios tested. As the definition and functional annotation of pathways becomes increasingly refined, we expect pathway PRSs to offer key insights into the heterogeneity of complex disease and treatment response, to generate biologically tractable therapeutic targets from polygenic signal, and, ultimately, to provide a powerful path to precision medicine.","container-title":"PLoS genetics","DOI":"10.1371/journal.pgen.1010624","ISSN":"1553-7404","issue":"2","journalAbbreviation":"PLoS Genet","language":"eng","note":"PMID: 36749789\nPMCID: PMC9937466","page":"e1010624","source":"PubMed","title":"PRSet: Pathway-based polygenic risk score analyses and software","title-short":"PRSet","volume":"19","author":[{"family":"Choi","given":"Shing Wan"},{"family":"García-González","given":"Judit"},{"family":"Ruan","given":"Yunfeng"},{"family":"Wu","given":"Hei Man"},{"family":"Porras","given":"Christian"},{"family":"Johnson","given":"Jessica"},{"literal":"Bipolar Disorder Working group of the Psychiatric Genomics Consortium"},{"family":"Hoggart","given":"Clive J."},{"family":"O'Reilly","given":"Paul F."}],"issued":{"date-parts":[["2023",2]]}}}],"schema":"https://github.com/citation-style-language/schema/raw/master/csl-citation.json"} </w:instrText>
      </w:r>
      <w:r w:rsidRPr="00A3771C">
        <w:rPr>
          <w:rFonts w:ascii="Times New Roman" w:hAnsi="Times New Roman" w:cs="Times New Roman"/>
          <w:szCs w:val="32"/>
        </w:rPr>
        <w:fldChar w:fldCharType="separate"/>
      </w:r>
      <w:r w:rsidR="00091EA0">
        <w:rPr>
          <w:rFonts w:ascii="Times New Roman" w:hAnsi="Times New Roman" w:cs="Times New Roman"/>
          <w:noProof/>
          <w:szCs w:val="32"/>
        </w:rPr>
        <w:t>[9, 10]</w:t>
      </w:r>
      <w:r w:rsidRPr="00A3771C">
        <w:rPr>
          <w:rFonts w:ascii="Times New Roman" w:hAnsi="Times New Roman" w:cs="Times New Roman"/>
          <w:szCs w:val="32"/>
        </w:rPr>
        <w:fldChar w:fldCharType="end"/>
      </w:r>
      <w:r w:rsidRPr="00A3771C">
        <w:rPr>
          <w:rFonts w:ascii="Times New Roman" w:hAnsi="Times New Roman" w:cs="Times New Roman"/>
          <w:szCs w:val="32"/>
        </w:rPr>
        <w:t>.</w:t>
      </w:r>
      <w:r w:rsidR="00A21A9C" w:rsidRPr="00A3771C">
        <w:rPr>
          <w:rFonts w:ascii="Times New Roman" w:hAnsi="Times New Roman" w:cs="Times New Roman"/>
          <w:szCs w:val="32"/>
        </w:rPr>
        <w:t xml:space="preserve"> </w:t>
      </w:r>
      <w:r w:rsidR="00FC02A9" w:rsidRPr="00A3771C">
        <w:rPr>
          <w:rFonts w:ascii="Times New Roman" w:hAnsi="Times New Roman" w:cs="Times New Roman"/>
          <w:szCs w:val="32"/>
        </w:rPr>
        <w:t>There</w:t>
      </w:r>
      <w:r w:rsidR="009B4785" w:rsidRPr="00A3771C">
        <w:rPr>
          <w:rFonts w:ascii="Times New Roman" w:hAnsi="Times New Roman" w:cs="Times New Roman"/>
          <w:szCs w:val="32"/>
        </w:rPr>
        <w:t xml:space="preserve"> </w:t>
      </w:r>
      <w:r w:rsidR="009B1236" w:rsidRPr="00A3771C">
        <w:rPr>
          <w:rFonts w:ascii="Times New Roman" w:hAnsi="Times New Roman" w:cs="Times New Roman"/>
          <w:szCs w:val="32"/>
        </w:rPr>
        <w:t>is</w:t>
      </w:r>
      <w:r w:rsidR="009B4785" w:rsidRPr="00A3771C">
        <w:rPr>
          <w:rFonts w:ascii="Times New Roman" w:hAnsi="Times New Roman" w:cs="Times New Roman"/>
          <w:szCs w:val="32"/>
        </w:rPr>
        <w:t xml:space="preserve"> no overlap between target and base data.</w:t>
      </w:r>
      <w:r w:rsidR="009B1236" w:rsidRPr="00A3771C">
        <w:rPr>
          <w:rFonts w:ascii="Times New Roman" w:hAnsi="Times New Roman" w:cs="Times New Roman"/>
          <w:szCs w:val="32"/>
        </w:rPr>
        <w:t xml:space="preserve"> Detailed information on genotyping and quality control for the UK Biobank data has been described previously </w:t>
      </w:r>
      <w:r w:rsidR="009B1236"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{"citationID":"w9AQrA1B","properties":{"formattedCitation":"[7]","plainCitation":"[7]","noteIndex":0},"citationItems":[{"id":3038,"uris":["http://zotero.org/users/local/ndUT37MJ/items/GEDEFA8H"],"itemData":{"id":3038,"type":"article-journal","abstract":"The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diseases.","container-title":"Nature","DOI":"10.1038/s41586-018-0579-z","ISSN":"1476-4687","issue":"7726","journalAbbreviation":"Nature","language":"eng","note":"PMID: 30305743\nPMCID: PMC6786975","page":"203-209","source":"PubMed","title":"The UK Biobank resource with deep phenotyping and genomic data","volume":"562","author":[{"family":"Bycroft","given":"Clare"},{"family":"Freeman","given":"Colin"},{"family":"Petkova","given":"Desislava"},{"family":"Band","given":"Gavin"},{"family":"Elliott","given":"Lloyd T."},{"family":"Sharp","given":"Kevin"},{"family":"Motyer","given":"Allan"},{"family":"Vukcevic","given":"Damjan"},{"family":"Delaneau","given":"Olivier"},{"family":"O'Connell","given":"Jared"},{"family":"Cortes","given":"Adrian"},{"family":"Welsh","given":"Samantha"},{"family":"Young","given":"Alan"},{"family":"Effingham","given":"Mark"},{"family":"McVean","given":"Gil"},{"family":"Leslie","given":"Stephen"},{"family":"Allen","given":"Naomi"},{"family":"Donnelly","given":"Peter"},{"family":"Marchini","given":"Jonathan"}],"issued":{"date-parts":[["2018",10]]}}}],"schema":"https://github.com/citation-style-language/schema/raw/master/csl-citation.json"} </w:instrText>
      </w:r>
      <w:r w:rsidR="009B1236" w:rsidRPr="00A3771C">
        <w:rPr>
          <w:rFonts w:ascii="Times New Roman" w:hAnsi="Times New Roman" w:cs="Times New Roman"/>
          <w:szCs w:val="32"/>
        </w:rPr>
        <w:fldChar w:fldCharType="separate"/>
      </w:r>
      <w:r w:rsidR="00091EA0">
        <w:rPr>
          <w:rFonts w:ascii="Times New Roman" w:hAnsi="Times New Roman" w:cs="Times New Roman"/>
          <w:noProof/>
          <w:szCs w:val="32"/>
        </w:rPr>
        <w:t>[7]</w:t>
      </w:r>
      <w:r w:rsidR="009B1236" w:rsidRPr="00A3771C">
        <w:rPr>
          <w:rFonts w:ascii="Times New Roman" w:hAnsi="Times New Roman" w:cs="Times New Roman"/>
          <w:szCs w:val="32"/>
        </w:rPr>
        <w:fldChar w:fldCharType="end"/>
      </w:r>
      <w:r w:rsidR="009B1236" w:rsidRPr="00A3771C">
        <w:rPr>
          <w:rFonts w:ascii="Times New Roman" w:hAnsi="Times New Roman" w:cs="Times New Roman"/>
          <w:szCs w:val="32"/>
        </w:rPr>
        <w:t xml:space="preserve">. </w:t>
      </w:r>
      <w:bookmarkStart w:id="0" w:name="OLE_LINK21"/>
      <w:r w:rsidR="009B1236" w:rsidRPr="00A3771C">
        <w:rPr>
          <w:rFonts w:ascii="Times New Roman" w:hAnsi="Times New Roman" w:cs="Times New Roman"/>
          <w:szCs w:val="32"/>
        </w:rPr>
        <w:t xml:space="preserve">SNPs with INFO scores &lt; 0.8, minor allele frequency (MAF) &lt; 0.01, as well as </w:t>
      </w:r>
      <w:r w:rsidR="00CB6A99" w:rsidRPr="00CB6A99">
        <w:rPr>
          <w:rFonts w:ascii="Times New Roman" w:hAnsi="Times New Roman" w:cs="Times New Roman"/>
          <w:szCs w:val="32"/>
        </w:rPr>
        <w:t>palindromic</w:t>
      </w:r>
      <w:r w:rsidR="009B1236" w:rsidRPr="00A3771C">
        <w:rPr>
          <w:rFonts w:ascii="Times New Roman" w:hAnsi="Times New Roman" w:cs="Times New Roman"/>
          <w:szCs w:val="32"/>
        </w:rPr>
        <w:t xml:space="preserve"> or duplicate SNPs, were excluded, resulting in a final set of 5,840,582 SNPs.</w:t>
      </w:r>
      <w:r w:rsidR="00D14A6F" w:rsidRPr="00A3771C">
        <w:rPr>
          <w:rFonts w:ascii="Times New Roman" w:hAnsi="Times New Roman" w:cs="Times New Roman"/>
          <w:szCs w:val="32"/>
        </w:rPr>
        <w:t xml:space="preserve"> </w:t>
      </w:r>
      <w:bookmarkStart w:id="1" w:name="OLE_LINK24"/>
      <w:bookmarkEnd w:id="0"/>
      <w:r w:rsidR="00A26D88" w:rsidRPr="00A3771C">
        <w:rPr>
          <w:rFonts w:ascii="Times New Roman" w:hAnsi="Times New Roman" w:cs="Times New Roman"/>
          <w:szCs w:val="32"/>
        </w:rPr>
        <w:t>We calculated the schizophrenia polygenic risk score (PRS), GO pathway-specific PRS (pPRS) for significantly enriched pathways, and gene-based GRS for high-confidence shared genes.</w:t>
      </w:r>
      <w:r w:rsidR="008948D5" w:rsidRPr="00A3771C">
        <w:rPr>
          <w:rFonts w:ascii="Times New Roman" w:hAnsi="Times New Roman" w:cs="Times New Roman"/>
          <w:szCs w:val="32"/>
        </w:rPr>
        <w:t xml:space="preserve"> Schizophrenia PRS were constructed using the standard thresholding + clumping method across ten p-value thresholds (p &lt; 5e-08, p &lt; 1e-06, p &lt; 1e-04, p &lt; 0.001, p &lt; 0.01, p &lt; 0.05, p &lt; 0.1, p &lt; 0.2, p &lt; 0.5, and p &lt; 1)</w:t>
      </w:r>
      <w:r w:rsidR="002E3927" w:rsidRPr="00A3771C">
        <w:rPr>
          <w:rFonts w:ascii="Times New Roman" w:hAnsi="Times New Roman" w:cs="Times New Roman"/>
          <w:szCs w:val="32"/>
        </w:rPr>
        <w:t xml:space="preserve">, using the European subset of the 1000 Genomes Project as the LD reference panel </w:t>
      </w:r>
      <w:r w:rsidR="008948D5"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{"citationID":"wPnrgzUL","properties":{"formattedCitation":"[11]","plainCitation":"[11]","noteIndex":0},"citationItems":[{"id":3044,"uris":["http://zotero.org/users/local/ndUT37MJ/items/9XR998X7"],"itemData":{"id":3044,"type":"article-journal","abstract":"A polygenic score (PGS) or polygenic risk score (PRS) is an estimate of an individual's genetic liability to a trait or disease, calculated according to their genotype profile and relevant genome-wide association study (GWAS) data. While present PRSs typically explain only a small fraction of trait variance, their correlation with the single largest contributor to phenotypic variation-genetic liability-has led to the routine application of PRSs across biomedical research. Among a range of applications, PRSs are exploited to assess shared etiology between phenotypes, to evaluate the clinical utility of genetic data for complex disease and as part of experimental studies in which, for example, experiments are performed that compare outcomes (e.g., gene expression and cellular response to treatment) between individuals with low and high PRS values. As GWAS sample sizes increase and PRSs become more powerful, PRSs are set to play a key role in research and stratified medicine. However, despite the importance and growing application of PRSs, there are limited guidelines for performing PRS analyses, which can lead to inconsistency between studies and misinterpretation of results. Here, we provide detailed guidelines for performing and interpreting PRS analyses. We outline standard quality control steps, discuss different methods for the calculation of PRSs, provide an introductory online tutorial, highlight common misconceptions relating to PRS results, offer recommendations for best practice and discuss future challenges.","container-title":"Nature Protocols","DOI":"10.1038/s41596-020-0353-1","ISSN":"1750-2799","issue":"9","journalAbbreviation":"Nat Protoc","language":"eng","note":"PMID: 32709988\nPMCID: PMC7612115","page":"2759-2772","source":"PubMed","title":"Tutorial: a guide to performing polygenic risk score analyses","title-short":"Tutorial","volume":"15","author":[{"family":"Choi","given":"Shing Wan"},{"family":"Mak","given":"Timothy Shin-Heng"},{"family":"O'Reilly","given":"Paul F."}],"issued":{"date-parts":[["2020",9]]}}}],"schema":"https://github.com/citation-style-language/schema/raw/master/csl-citation.json"} </w:instrText>
      </w:r>
      <w:r w:rsidR="008948D5" w:rsidRPr="00A3771C">
        <w:rPr>
          <w:rFonts w:ascii="Times New Roman" w:hAnsi="Times New Roman" w:cs="Times New Roman"/>
          <w:szCs w:val="32"/>
        </w:rPr>
        <w:fldChar w:fldCharType="separate"/>
      </w:r>
      <w:r w:rsidR="00091EA0">
        <w:rPr>
          <w:rFonts w:ascii="Times New Roman" w:hAnsi="Times New Roman" w:cs="Times New Roman"/>
          <w:noProof/>
          <w:szCs w:val="32"/>
        </w:rPr>
        <w:t>[11]</w:t>
      </w:r>
      <w:r w:rsidR="008948D5" w:rsidRPr="00A3771C">
        <w:rPr>
          <w:rFonts w:ascii="Times New Roman" w:hAnsi="Times New Roman" w:cs="Times New Roman"/>
          <w:szCs w:val="32"/>
        </w:rPr>
        <w:fldChar w:fldCharType="end"/>
      </w:r>
      <w:r w:rsidR="008948D5" w:rsidRPr="00A3771C">
        <w:rPr>
          <w:rFonts w:ascii="Times New Roman" w:hAnsi="Times New Roman" w:cs="Times New Roman"/>
          <w:szCs w:val="32"/>
        </w:rPr>
        <w:t xml:space="preserve">. To enhance predictive power and reduce multiple testing, principal component analysis was applied to the ten PRS using R v4.3.1, and the first principal component (PRS-PC1) was standardized and used for downstream association analyses </w:t>
      </w:r>
      <w:r w:rsidR="008948D5"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{"citationID":"JkuhQymi","properties":{"formattedCitation":"[12]","plainCitation":"[12]","noteIndex":0},"citationItems":[{"id":3047,"uris":["http://zotero.org/users/local/ndUT37MJ/items/M4EJET29"],"itemData":{"id":3047,"type":"article-journal","abstract":"Polygenic risk scores (PRSs) have become an increasingly popular approach for demonstrating polygenic influences on complex traits and for establishing common polygenic signals between different traits. PRSs are typically constructed using pruning and thresholding (P+T), but the best choice of parameters is uncertain; thus multiple settings are used and the best is chosen. Optimization can lead to inflated Type I error. Permutation procedures can correct this, but they can be computationally intensive. Alternatively, a single parameter setting can be chosen a priori for the PRS, but choosing suboptimal settings results in loss of power. We propose computing PRSs under a range of parameter settings, performing principal component analysis (PCA) on the resulting set of PRSs, and using the first PRS-PC in association tests. The first PC reweights the variants included in the PRS to achieve maximum variation over all PRS settings used. Using simulations and a real data application to study PRS association with bipolar disorder and psychosis in bipolar disorder, we compare the performance of the proposed PRS-PCA approach with a permutation test and an a priori selected p-value threshold. The PRS-PCA approach is simple to implement, outperforms the other strategies in most scenarios, and provides an unbiased estimate of prediction performance.","container-title":"Genetic Epidemiology","DOI":"10.1002/gepi.22339","ISSN":"1098-2272","issue":"7","journalAbbreviation":"Genet Epidemiol","language":"eng","note":"PMID: 32691445\nPMCID: PMC7722089","page":"676-686","source":"PubMed","title":"A principal component approach to improve association testing with polygenic risk scores","volume":"44","author":[{"family":"Coombes","given":"Brandon J."},{"family":"Ploner","given":"Alexander"},{"family":"Bergen","given":"Sarah E."},{"family":"Biernacka","given":"Joanna M."}],"issued":{"date-parts":[["2020",10]]}}}],"schema":"https://github.com/citation-style-language/schema/raw/master/csl-citation.json"} </w:instrText>
      </w:r>
      <w:r w:rsidR="008948D5" w:rsidRPr="00A3771C">
        <w:rPr>
          <w:rFonts w:ascii="Times New Roman" w:hAnsi="Times New Roman" w:cs="Times New Roman"/>
          <w:szCs w:val="32"/>
        </w:rPr>
        <w:fldChar w:fldCharType="separate"/>
      </w:r>
      <w:r w:rsidR="00091EA0">
        <w:rPr>
          <w:rFonts w:ascii="Times New Roman" w:hAnsi="Times New Roman" w:cs="Times New Roman"/>
          <w:noProof/>
          <w:szCs w:val="32"/>
        </w:rPr>
        <w:t>[12]</w:t>
      </w:r>
      <w:r w:rsidR="008948D5" w:rsidRPr="00A3771C">
        <w:rPr>
          <w:rFonts w:ascii="Times New Roman" w:hAnsi="Times New Roman" w:cs="Times New Roman"/>
          <w:szCs w:val="32"/>
        </w:rPr>
        <w:fldChar w:fldCharType="end"/>
      </w:r>
      <w:r w:rsidR="008948D5" w:rsidRPr="00A3771C">
        <w:rPr>
          <w:rFonts w:ascii="Times New Roman" w:hAnsi="Times New Roman" w:cs="Times New Roman"/>
          <w:szCs w:val="32"/>
        </w:rPr>
        <w:t>.</w:t>
      </w:r>
      <w:r w:rsidR="0042100E" w:rsidRPr="00A3771C">
        <w:rPr>
          <w:rFonts w:ascii="Times New Roman" w:hAnsi="Times New Roman" w:cs="Times New Roman"/>
          <w:szCs w:val="32"/>
        </w:rPr>
        <w:t xml:space="preserve"> </w:t>
      </w:r>
      <w:r w:rsidR="00F56BEE" w:rsidRPr="00A3771C">
        <w:rPr>
          <w:rFonts w:ascii="Times New Roman" w:hAnsi="Times New Roman" w:cs="Times New Roman"/>
          <w:szCs w:val="32"/>
        </w:rPr>
        <w:t xml:space="preserve">To avoid excluding SNPs within specific genes, no </w:t>
      </w:r>
      <w:r w:rsidR="00F56BEE" w:rsidRPr="00A3771C">
        <w:rPr>
          <w:rFonts w:ascii="Times New Roman" w:hAnsi="Times New Roman" w:cs="Times New Roman"/>
          <w:i/>
          <w:iCs/>
          <w:szCs w:val="32"/>
        </w:rPr>
        <w:t>P</w:t>
      </w:r>
      <w:r w:rsidR="00F56BEE" w:rsidRPr="00A3771C">
        <w:rPr>
          <w:rFonts w:ascii="Times New Roman" w:hAnsi="Times New Roman" w:cs="Times New Roman"/>
          <w:szCs w:val="32"/>
        </w:rPr>
        <w:t>-value filter was applied in pPRS calculation, while other PRSet parameters were kept at default, using the 1000 Genomes European subset as the LD reference panel</w:t>
      </w:r>
      <w:r w:rsidR="009D3466" w:rsidRPr="00A3771C">
        <w:rPr>
          <w:rFonts w:ascii="Times New Roman" w:hAnsi="Times New Roman" w:cs="Times New Roman"/>
          <w:szCs w:val="32"/>
        </w:rPr>
        <w:t xml:space="preserve"> </w:t>
      </w:r>
      <w:r w:rsidR="00FD6C50"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{"citationID":"JsPNeWx0","properties":{"formattedCitation":"[10, 13]","plainCitation":"[10, 13]","noteIndex":0},"citationItems":[{"id":2303,"uris":["http://zotero.org/users/local/ndUT37MJ/items/LPZEY92A"],"itemData":{"id":2303,"type":"article-journal","abstract":"Polygenic risk scores (PRSs) have been among the leading advances in biomedicine in recent years. As a proxy of genetic liability, PRSs are utilised across multiple fields and applications. While numerous statistical and machine learning methods have been developed to optimise their predictive accuracy, these typically distil genetic liability to a single number based on aggregation of an individual's genome-wide risk alleles. This results in a key loss of information about an individual's genetic profile, which could be critical given the functional sub-structure of the genome and the heterogeneity of complex disease. In this manuscript, we introduce a 'pathway polygenic' paradigm of disease risk, in which multiple genetic liabilities underlie complex diseases, rather than a single genome-wide liability. We describe a method and accompanying software, PRSet, for computing and analysing pathway-based PRSs, in which polygenic scores are calculated across genomic pathways for each individual. We evaluate the potential of pathway PRSs in two distinct ways, creating two major sections: (1) In the first section, we benchmark PRSet as a pathway enrichment tool, evaluating its capacity to capture GWAS signal in pathways. We find that for target sample sizes of &gt;10,000 individuals, pathway PRSs have similar power for evaluating pathway enrichment as leading methods MAGMA and LD score regression, with the distinct advantage of providing individual-level estimates of genetic liability for each pathway -opening up a range of pathway-based PRS applications, (2) In the second section, we evaluate the performance of pathway PRSs for disease stratification. We show that using a supervised disease stratification approach, pathway PRSs (computed by PRSet) outperform two standard genome-wide PRSs (computed by C+T and lassosum) for classifying disease subtypes in 20 of 21 scenarios tested. As the definition and functional annotation of pathways becomes increasingly refined, we expect pathway PRSs to offer key insights into the heterogeneity of complex disease and treatment response, to generate biologically tractable therapeutic targets from polygenic signal, and, ultimately, to provide a powerful path to precision medicine.","container-title":"PLoS genetics","DOI":"10.1371/journal.pgen.1010624","ISSN":"1553-7404","issue":"2","journalAbbreviation":"PLoS Genet","language":"eng","note":"PMID: 36749789\nPMCID: PMC9937466","page":"e1010624","source":"PubMed","title":"PRSet: Pathway-based polygenic risk score analyses and software","title-short":"PRSet","volume":"19","author":[{"family":"Choi","given":"Shing Wan"},{"family":"García-González","given":"Judit"},{"family":"Ruan","given":"Yunfeng"},{"family":"Wu","given":"Hei Man"},{"family":"Porras","given":"Christian"},{"family":"Johnson","given":"Jessica"},{"literal":"Bipolar Disorder Working group of the Psychiatric Genomics Consortium"},{"family":"Hoggart","given":"Clive J."},{"family":"O'Reilly","given":"Paul F."}],"issued":{"date-parts":[["2023",2]]}}},{"id":2282,"uris":["http://zotero.org/users/local/ndUT37MJ/items/XQRBQYUG"],"itemData":{"id":2282,"type":"article-journal","abstract":"A primary goal of psychiatry is to better understand the pathways that link genetic risk to psychiatric symptoms. Here, we tested association of diagnosis and endophenotypes with overall and neurotransmitter pathway-specific polygenic risk in patients with early-stage psychosis. Subjects included 205 demographically diverse cases with a psychotic disorder who underwent comprehensive psychiatric and neurological phenotyping and 115 matched controls. Following genotyping, we calculated polygenic scores (PGSs) for schizophrenia (SZ) and bipolar disorder (BP) using Psychiatric Genomics Consortium GWAS summary statistics. To test if overall genetic risk can be partitioned into affected neurotransmitter pathways, we calculated pathway PGSs (pPGSs) for SZ risk affecting each of four major neurotransmitter systems: glutamate, GABA, dopamine, and serotonin. Psychosis subjects had elevated SZ PGS versus controls; cases with SZ or BP diagnoses had stronger SZ or BP risk, respectively. There was no significant association within psychosis cases between individual symptom measures and overall PGS. However, neurotransmitter-specific pPGSs were moderately associated with specific endophenotypes; notably, glutamate was associated with SZ diagnosis and with deficits in cognitive control during task-based fMRI, while dopamine was associated with global functioning. Finally, unbiased endophenotype-driven clustering identified three diagnostically mixed case groups that separated on primary deficits of positive symptoms, negative symptoms, global functioning, and cognitive control. All clusters showed strong genome-wide risk. Cluster 2, characterized by deficits in cognitive control and negative symptoms, additionally showed specific risk concentrated in glutamatergic and GABAergic pathways. Due to the intensive characterization of our subjects, the present study was limited to a relatively small cohort. As such, results should be followed up with additional research at the population and mechanism level. Our study suggests pathway-based PGS analysis may be a powerful path forward to study genetic mechanisms driving psychiatric endophenotypes.","container-title":"Molecular Psychiatry","DOI":"10.1038/s41380-024-02457-0","ISSN":"1476-5578","issue":"8","journalAbbreviation":"Mol Psychiatry","language":"eng","note":"PMID: 38491343\nPMCID: PMC11412910","page":"2389-2398","source":"PubMed","title":"Association of neurotransmitter pathway polygenic risk with specific symptom profiles in psychosis","volume":"29","author":[{"family":"Warren","given":"Tracy L."},{"family":"Tubbs","given":"Justin D."},{"family":"Lesh","given":"Tyler A."},{"family":"Corona","given":"Mylena B."},{"family":"Pakzad","given":"Sarvenaz S."},{"family":"Albuquerque","given":"Marina D."},{"family":"Singh","given":"Praveena"},{"family":"Zarubin","given":"Vanessa"},{"family":"Morse","given":"Sarah J."},{"family":"Sham","given":"Pak Chung"},{"family":"Carter","given":"Cameron S."},{"family":"Nord","given":"Alex S."}],"issued":{"date-parts":[["2024",8]]}}}],"schema":"https://github.com/citation-style-language/schema/raw/master/csl-citation.json"} </w:instrText>
      </w:r>
      <w:r w:rsidR="00FD6C50" w:rsidRPr="00A3771C">
        <w:rPr>
          <w:rFonts w:ascii="Times New Roman" w:hAnsi="Times New Roman" w:cs="Times New Roman"/>
          <w:szCs w:val="32"/>
        </w:rPr>
        <w:fldChar w:fldCharType="separate"/>
      </w:r>
      <w:r w:rsidR="00091EA0">
        <w:rPr>
          <w:rFonts w:ascii="Times New Roman" w:hAnsi="Times New Roman" w:cs="Times New Roman"/>
          <w:noProof/>
          <w:szCs w:val="32"/>
        </w:rPr>
        <w:t>[10, 13]</w:t>
      </w:r>
      <w:r w:rsidR="00FD6C50" w:rsidRPr="00A3771C">
        <w:rPr>
          <w:rFonts w:ascii="Times New Roman" w:hAnsi="Times New Roman" w:cs="Times New Roman"/>
          <w:szCs w:val="32"/>
        </w:rPr>
        <w:fldChar w:fldCharType="end"/>
      </w:r>
      <w:r w:rsidR="00F56BEE" w:rsidRPr="00A3771C">
        <w:rPr>
          <w:rFonts w:ascii="Times New Roman" w:hAnsi="Times New Roman" w:cs="Times New Roman"/>
          <w:szCs w:val="32"/>
        </w:rPr>
        <w:t>.</w:t>
      </w:r>
      <w:r w:rsidR="00C61A7A" w:rsidRPr="00A3771C">
        <w:rPr>
          <w:rFonts w:ascii="Times New Roman" w:hAnsi="Times New Roman" w:cs="Times New Roman"/>
          <w:szCs w:val="32"/>
        </w:rPr>
        <w:t xml:space="preserve"> </w:t>
      </w:r>
      <w:r w:rsidR="00642FB5" w:rsidRPr="00642FB5">
        <w:rPr>
          <w:rFonts w:ascii="Times New Roman" w:hAnsi="Times New Roman" w:cs="Times New Roman"/>
          <w:szCs w:val="32"/>
        </w:rPr>
        <w:t>Only significantly enriched GO pathways of the mapped shared genes that were available in the Gene Set Enrichment Analysis (GSEA) database (https://www.gsea-msigdb.org/gsea/index.jsp) were included in the analysis.</w:t>
      </w:r>
      <w:r w:rsidR="00642FB5">
        <w:rPr>
          <w:rFonts w:ascii="Times New Roman" w:hAnsi="Times New Roman" w:cs="Times New Roman" w:hint="eastAsia"/>
          <w:szCs w:val="32"/>
        </w:rPr>
        <w:t xml:space="preserve"> </w:t>
      </w:r>
      <w:r w:rsidR="00C61A7A" w:rsidRPr="00A3771C">
        <w:rPr>
          <w:rFonts w:ascii="Times New Roman" w:hAnsi="Times New Roman" w:cs="Times New Roman"/>
          <w:szCs w:val="32"/>
        </w:rPr>
        <w:t>The gene-based GRS for high-confidence shared genes was derived following the same procedure used for pPRS calculation.</w:t>
      </w:r>
    </w:p>
    <w:bookmarkEnd w:id="1"/>
    <w:p w14:paraId="6BCE7587" w14:textId="6412E310" w:rsidR="00CD4167" w:rsidRPr="00A3771C" w:rsidRDefault="00C63BCF" w:rsidP="00A60029">
      <w:pPr>
        <w:spacing w:line="360" w:lineRule="auto"/>
        <w:jc w:val="both"/>
        <w:rPr>
          <w:rFonts w:ascii="Times New Roman" w:hAnsi="Times New Roman" w:cs="Times New Roman"/>
          <w:szCs w:val="32"/>
        </w:rPr>
      </w:pPr>
      <w:r w:rsidRPr="00C63BCF">
        <w:rPr>
          <w:rFonts w:ascii="Times New Roman" w:hAnsi="Times New Roman" w:cs="Times New Roman"/>
          <w:szCs w:val="32"/>
        </w:rPr>
        <w:t xml:space="preserve">Outcomes were defined as coded diagnoses of eight </w:t>
      </w:r>
      <w:r w:rsidR="00AA0458">
        <w:rPr>
          <w:rFonts w:ascii="Times New Roman" w:hAnsi="Times New Roman" w:cs="Times New Roman"/>
          <w:szCs w:val="32"/>
        </w:rPr>
        <w:t>immune-mediated</w:t>
      </w:r>
      <w:r w:rsidRPr="00C63BCF">
        <w:rPr>
          <w:rFonts w:ascii="Times New Roman" w:hAnsi="Times New Roman" w:cs="Times New Roman"/>
          <w:szCs w:val="32"/>
        </w:rPr>
        <w:t xml:space="preserve"> diseases in hospital records at baseline or follow-up, based on the International Classification of Diseases, 10th Revision (ICD-10).</w:t>
      </w:r>
      <w:r>
        <w:rPr>
          <w:rFonts w:ascii="Times New Roman" w:hAnsi="Times New Roman" w:cs="Times New Roman" w:hint="eastAsia"/>
          <w:szCs w:val="32"/>
        </w:rPr>
        <w:t xml:space="preserve"> </w:t>
      </w:r>
      <w:r w:rsidR="004761C4" w:rsidRPr="00A3771C">
        <w:rPr>
          <w:rFonts w:ascii="Times New Roman" w:hAnsi="Times New Roman" w:cs="Times New Roman"/>
          <w:szCs w:val="32"/>
        </w:rPr>
        <w:t xml:space="preserve">Accordingly, we generated nine binary variables: one for each of the eight individual </w:t>
      </w:r>
      <w:r w:rsidR="00AA0458">
        <w:rPr>
          <w:rFonts w:ascii="Times New Roman" w:hAnsi="Times New Roman" w:cs="Times New Roman"/>
          <w:szCs w:val="32"/>
        </w:rPr>
        <w:t>immune-mediated</w:t>
      </w:r>
      <w:r w:rsidR="004761C4" w:rsidRPr="00A3771C">
        <w:rPr>
          <w:rFonts w:ascii="Times New Roman" w:hAnsi="Times New Roman" w:cs="Times New Roman"/>
          <w:szCs w:val="32"/>
        </w:rPr>
        <w:t xml:space="preserve"> diseases, and one combined phenotype indicating the presence of any of the eight conditions.</w:t>
      </w:r>
      <w:r w:rsidR="000A334F">
        <w:rPr>
          <w:rFonts w:ascii="Times New Roman" w:hAnsi="Times New Roman" w:cs="Times New Roman"/>
          <w:szCs w:val="32"/>
        </w:rPr>
        <w:t xml:space="preserve"> </w:t>
      </w:r>
      <w:r w:rsidR="00CD4167" w:rsidRPr="00A3771C">
        <w:rPr>
          <w:rFonts w:ascii="Times New Roman" w:hAnsi="Times New Roman" w:cs="Times New Roman"/>
          <w:szCs w:val="32"/>
        </w:rPr>
        <w:t xml:space="preserve">We performed logistic regression analyses (using glm() in R) for nine </w:t>
      </w:r>
      <w:r w:rsidR="00AA0458">
        <w:rPr>
          <w:rFonts w:ascii="Times New Roman" w:hAnsi="Times New Roman" w:cs="Times New Roman"/>
          <w:szCs w:val="32"/>
        </w:rPr>
        <w:t>immune-mediated</w:t>
      </w:r>
      <w:r w:rsidR="00CD4167" w:rsidRPr="00A3771C">
        <w:rPr>
          <w:rFonts w:ascii="Times New Roman" w:hAnsi="Times New Roman" w:cs="Times New Roman"/>
          <w:szCs w:val="32"/>
        </w:rPr>
        <w:t xml:space="preserve"> outcomes, adjusting </w:t>
      </w:r>
      <w:r w:rsidR="00CD4167" w:rsidRPr="00A3771C">
        <w:rPr>
          <w:rFonts w:ascii="Times New Roman" w:hAnsi="Times New Roman" w:cs="Times New Roman"/>
          <w:szCs w:val="32"/>
        </w:rPr>
        <w:lastRenderedPageBreak/>
        <w:t>for age, sex, UK Biobank assessment center (England, Scotland, or Wales), ten genetic principal components (PCs), body mass index (BMI), waist circumference, alcohol use, and smoking status</w:t>
      </w:r>
      <w:r w:rsidR="00457439" w:rsidRPr="00A3771C">
        <w:rPr>
          <w:rFonts w:ascii="Times New Roman" w:hAnsi="Times New Roman" w:cs="Times New Roman"/>
          <w:szCs w:val="32"/>
        </w:rPr>
        <w:t xml:space="preserve"> </w:t>
      </w:r>
      <w:r w:rsidR="00D3229F"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{"citationID":"PpfHNFMY","properties":{"formattedCitation":"[14]","plainCitation":"[14]","noteIndex":0},"citationItems":[{"id":3050,"uris":["http://zotero.org/users/local/ndUT37MJ/items/BUP9HJM7"],"itemData":{"id":3050,"type":"article-journal","abstract":"Schizophrenia is a serious mental disorder with considerable somatic and psychiatric morbidity. It is unclear whether comorbid health conditions predominantly arise due to shared genetic risk or consequent to having schizophrenia. To explore the contribution of genetic risk for schizophrenia, we analysed the effect of schizophrenia polygenic risk scores (PRS) on a broad range of health problems in 406 929 individuals with no schizophrenia diagnosis from the UK Biobank. Diagnoses were derived from linked health data including primary care, hospital inpatient records, and registers with information on cancer and deaths. Schizophrenia PRS were generated and tested for associations with general health conditions, 16 ICD10 main chapters, and 603 diseases using linear and logistic regressions. Higher schizophrenia PRS was significantly associated with poorer overall health ratings, more hospital inpatient diagnoses, and more unique illnesses. It was also significantly positively associated with 4 ICD10 chapters: mental disorders; respiratory diseases; digestive diseases; and pregnancy, childbirth and the puerperium, but negatively associated with musculoskeletal disorders. Thirty-one specific phenotypes were significantly associated with schizophrenia PRS, and the 19 novel findings include several musculoskeletal diseases, respiratory diseases, digestive diseases, varicose veins, pituitary hyperfunction, and other peripheral nerve disorders. These findings extend knowledge of the pleiotropic effect of genetic risk for schizophrenia and offer insight into how some conditions often comorbid with schizophrenia arise. Additional studies incorporating the genetic basis of hormone regulation and involvement of immune mechanisms in the pathophysiology of schizophrenia may further elucidate the biological mechanisms underlying schizophrenia and its comorbid conditions.","container-title":"Molecular Psychiatry","DOI":"10.1038/s41380-021-01387-5","ISSN":"1476-5578","issue":"3","journalAbbreviation":"Mol Psychiatry","language":"eng","note":"PMID: 34799693\nPMCID: PMC9106855","page":"1448-1454","source":"PubMed","title":"Novel disease associations with schizophrenia genetic risk revealed in ~400,000 UK Biobank participants","volume":"27","author":[{"family":"Zhang","given":"Ruyue"},{"family":"Sjölander","given":"Arvid"},{"family":"Ploner","given":"Alexander"},{"family":"Lu","given":"Donghao"},{"family":"Bulik","given":"Cynthia M."},{"family":"Bergen","given":"Sarah E."}],"issued":{"date-parts":[["2022",3]]}}}],"schema":"https://github.com/citation-style-language/schema/raw/master/csl-citation.json"} </w:instrText>
      </w:r>
      <w:r w:rsidR="00D3229F" w:rsidRPr="00A3771C">
        <w:rPr>
          <w:rFonts w:ascii="Times New Roman" w:hAnsi="Times New Roman" w:cs="Times New Roman"/>
          <w:szCs w:val="32"/>
        </w:rPr>
        <w:fldChar w:fldCharType="separate"/>
      </w:r>
      <w:r w:rsidR="00091EA0">
        <w:rPr>
          <w:rFonts w:ascii="Times New Roman" w:hAnsi="Times New Roman" w:cs="Times New Roman"/>
          <w:noProof/>
          <w:szCs w:val="32"/>
        </w:rPr>
        <w:t>[14]</w:t>
      </w:r>
      <w:r w:rsidR="00D3229F" w:rsidRPr="00A3771C">
        <w:rPr>
          <w:rFonts w:ascii="Times New Roman" w:hAnsi="Times New Roman" w:cs="Times New Roman"/>
          <w:szCs w:val="32"/>
        </w:rPr>
        <w:fldChar w:fldCharType="end"/>
      </w:r>
      <w:r w:rsidR="00CD4167" w:rsidRPr="00A3771C">
        <w:rPr>
          <w:rFonts w:ascii="Times New Roman" w:hAnsi="Times New Roman" w:cs="Times New Roman"/>
          <w:szCs w:val="32"/>
        </w:rPr>
        <w:t xml:space="preserve">. Odds ratios (ORs) and 95% confidence intervals (CIs) were reported to estimate the risk associated with each unit increase in PRS-PC1. For outcomes that did not meet the </w:t>
      </w:r>
      <w:r w:rsidR="00CF7192" w:rsidRPr="00A3771C">
        <w:rPr>
          <w:rFonts w:ascii="Times New Roman" w:hAnsi="Times New Roman" w:cs="Times New Roman"/>
          <w:szCs w:val="32"/>
        </w:rPr>
        <w:t>1</w:t>
      </w:r>
      <w:r w:rsidR="00CD4167" w:rsidRPr="00A3771C">
        <w:rPr>
          <w:rFonts w:ascii="Times New Roman" w:hAnsi="Times New Roman" w:cs="Times New Roman"/>
          <w:szCs w:val="32"/>
        </w:rPr>
        <w:t>0 events-per-variable (EPV) criterion</w:t>
      </w:r>
      <w:r w:rsidR="0002557E" w:rsidRPr="00A3771C">
        <w:rPr>
          <w:rFonts w:ascii="Times New Roman" w:hAnsi="Times New Roman" w:cs="Times New Roman"/>
          <w:szCs w:val="32"/>
        </w:rPr>
        <w:t xml:space="preserve"> </w:t>
      </w:r>
      <w:r w:rsidR="005E2221" w:rsidRPr="00A3771C">
        <w:rPr>
          <w:rFonts w:ascii="Times New Roman" w:hAnsi="Times New Roman" w:cs="Times New Roman"/>
          <w:szCs w:val="32"/>
        </w:rPr>
        <w:fldChar w:fldCharType="begin"/>
      </w:r>
      <w:r w:rsidR="00091EA0">
        <w:rPr>
          <w:rFonts w:ascii="Times New Roman" w:hAnsi="Times New Roman" w:cs="Times New Roman"/>
          <w:szCs w:val="32"/>
        </w:rPr>
        <w:instrText xml:space="preserve"> ADDIN ZOTERO_ITEM CSL_CITATION {"citationID":"01XrOtee","properties":{"formattedCitation":"[15]","plainCitation":"[15]","noteIndex":0},"citationItems":[{"id":3052,"uris":["http://zotero.org/users/local/ndUT37MJ/items/BFY6F24L"],"itemData":{"id":3052,"type":"article-journal","abstract":"We performed a Monte Carlo study to evaluate the effect of the number of events per variable (EPV) analyzed in logistic regression analysis. The simulations were based on data from a cardiac trial of 673 patients in which 252 deaths occurred and seven variables were cogent predictors of mortality; the number of events per predictive variable was (252/7 =) 36 for the full sample. For the simulations, at values of EPV = 2, 5, 10, 15, 20, and 25, we randomly generated 500 samples of the 673 patients, chosen with replacement, according to a logistic model derived from the full sample. Simulation results for the regression coefficients for each variable in each group of 500 samples were compared for bias, precision, and significance testing against the results of the model fitted to the original sample. For EPV values of 10 or greater, no major problems occurred. For EPV values less than 10, however, the regression coefficients were biased in both positive and negative directions; the large sample variance estimates from the logistic model both overestimated and underestimated the sample variance of the regression coefficients; the 90% confidence limits about the estimated values did not have proper coverage; the Wald statistic was conservative under the null hypothesis; and paradoxical associations (significance in the wrong direction) were increased. Although other factors (such as the total number of events, or sample size) may influence the validity of the logistic model, our findings indicate that low EPV can lead to major problems.","container-title":"Journal of Clinical Epidemiology","DOI":"10.1016/s0895-4356(96)00236-3","ISSN":"0895-4356","issue":"12","journalAbbreviation":"J Clin Epidemiol","language":"eng","note":"PMID: 8970487","page":"1373-1379","source":"PubMed","title":"A simulation study of the number of events per variable in logistic regression analysis","volume":"49","author":[{"family":"Peduzzi","given":"P."},{"family":"Concato","given":"J."},{"family":"Kemper","given":"E."},{"family":"Holford","given":"T. R."},{"family":"Feinstein","given":"A. R."}],"issued":{"date-parts":[["1996",12]]}}}],"schema":"https://github.com/citation-style-language/schema/raw/master/csl-citation.json"} </w:instrText>
      </w:r>
      <w:r w:rsidR="005E2221" w:rsidRPr="00A3771C">
        <w:rPr>
          <w:rFonts w:ascii="Times New Roman" w:hAnsi="Times New Roman" w:cs="Times New Roman"/>
          <w:szCs w:val="32"/>
        </w:rPr>
        <w:fldChar w:fldCharType="separate"/>
      </w:r>
      <w:r w:rsidR="00091EA0">
        <w:rPr>
          <w:rFonts w:ascii="Times New Roman" w:hAnsi="Times New Roman" w:cs="Times New Roman"/>
          <w:noProof/>
          <w:szCs w:val="32"/>
        </w:rPr>
        <w:t>[15]</w:t>
      </w:r>
      <w:r w:rsidR="005E2221" w:rsidRPr="00A3771C">
        <w:rPr>
          <w:rFonts w:ascii="Times New Roman" w:hAnsi="Times New Roman" w:cs="Times New Roman"/>
          <w:szCs w:val="32"/>
        </w:rPr>
        <w:fldChar w:fldCharType="end"/>
      </w:r>
      <w:r w:rsidR="00CD4167" w:rsidRPr="00A3771C">
        <w:rPr>
          <w:rFonts w:ascii="Times New Roman" w:hAnsi="Times New Roman" w:cs="Times New Roman"/>
          <w:szCs w:val="32"/>
        </w:rPr>
        <w:t>, Firth’s bias-reduced logistic regression was applied instead (using logistf() in R).</w:t>
      </w:r>
      <w:r w:rsidR="00A60029" w:rsidRPr="00A3771C">
        <w:rPr>
          <w:rFonts w:ascii="Times New Roman" w:hAnsi="Times New Roman" w:cs="Times New Roman"/>
          <w:szCs w:val="32"/>
        </w:rPr>
        <w:t xml:space="preserve"> </w:t>
      </w:r>
      <w:r w:rsidR="00CD4167" w:rsidRPr="00A3771C">
        <w:rPr>
          <w:rFonts w:ascii="Times New Roman" w:hAnsi="Times New Roman" w:cs="Times New Roman"/>
          <w:szCs w:val="32"/>
        </w:rPr>
        <w:t>Specifically, we examined:</w:t>
      </w:r>
      <w:r w:rsidR="00A60029" w:rsidRPr="00A3771C">
        <w:rPr>
          <w:rFonts w:ascii="Times New Roman" w:hAnsi="Times New Roman" w:cs="Times New Roman"/>
          <w:szCs w:val="32"/>
        </w:rPr>
        <w:t xml:space="preserve"> </w:t>
      </w:r>
      <w:r w:rsidR="00CD4167" w:rsidRPr="00A3771C">
        <w:rPr>
          <w:rFonts w:ascii="Times New Roman" w:hAnsi="Times New Roman" w:cs="Times New Roman"/>
          <w:szCs w:val="32"/>
        </w:rPr>
        <w:t>(1) the effect of schizophrenia PRS on each of the nine outcomes;</w:t>
      </w:r>
      <w:r w:rsidR="00A60029" w:rsidRPr="00A3771C">
        <w:rPr>
          <w:rFonts w:ascii="Times New Roman" w:hAnsi="Times New Roman" w:cs="Times New Roman"/>
          <w:szCs w:val="32"/>
        </w:rPr>
        <w:t xml:space="preserve"> </w:t>
      </w:r>
      <w:r w:rsidR="00CD4167" w:rsidRPr="00A3771C">
        <w:rPr>
          <w:rFonts w:ascii="Times New Roman" w:hAnsi="Times New Roman" w:cs="Times New Roman"/>
          <w:szCs w:val="32"/>
        </w:rPr>
        <w:t>(2) the effect of pPRS</w:t>
      </w:r>
      <w:r w:rsidR="00A60029" w:rsidRPr="00A3771C">
        <w:rPr>
          <w:rFonts w:ascii="Times New Roman" w:hAnsi="Times New Roman" w:cs="Times New Roman"/>
          <w:szCs w:val="32"/>
        </w:rPr>
        <w:t xml:space="preserve"> </w:t>
      </w:r>
      <w:r w:rsidR="00CD4167" w:rsidRPr="00A3771C">
        <w:rPr>
          <w:rFonts w:ascii="Times New Roman" w:hAnsi="Times New Roman" w:cs="Times New Roman"/>
          <w:szCs w:val="32"/>
        </w:rPr>
        <w:t xml:space="preserve">on the combined phenotype indicating the presence of any of the eight </w:t>
      </w:r>
      <w:r w:rsidR="00AA0458">
        <w:rPr>
          <w:rFonts w:ascii="Times New Roman" w:hAnsi="Times New Roman" w:cs="Times New Roman"/>
          <w:szCs w:val="32"/>
        </w:rPr>
        <w:t>immune-mediated</w:t>
      </w:r>
      <w:r w:rsidR="00CD4167" w:rsidRPr="00A3771C">
        <w:rPr>
          <w:rFonts w:ascii="Times New Roman" w:hAnsi="Times New Roman" w:cs="Times New Roman"/>
          <w:szCs w:val="32"/>
        </w:rPr>
        <w:t xml:space="preserve"> diseases;</w:t>
      </w:r>
      <w:r w:rsidR="00A60029" w:rsidRPr="00A3771C">
        <w:rPr>
          <w:rFonts w:ascii="Times New Roman" w:hAnsi="Times New Roman" w:cs="Times New Roman"/>
          <w:szCs w:val="32"/>
        </w:rPr>
        <w:t xml:space="preserve"> </w:t>
      </w:r>
      <w:r w:rsidR="00CD4167" w:rsidRPr="00A3771C">
        <w:rPr>
          <w:rFonts w:ascii="Times New Roman" w:hAnsi="Times New Roman" w:cs="Times New Roman"/>
          <w:szCs w:val="32"/>
        </w:rPr>
        <w:t xml:space="preserve">(3) the effect of gene-based GRS on the corresponding </w:t>
      </w:r>
      <w:r w:rsidR="00AA0458">
        <w:rPr>
          <w:rFonts w:ascii="Times New Roman" w:hAnsi="Times New Roman" w:cs="Times New Roman"/>
          <w:szCs w:val="32"/>
        </w:rPr>
        <w:t>immune-mediated</w:t>
      </w:r>
      <w:r w:rsidR="00CD4167" w:rsidRPr="00A3771C">
        <w:rPr>
          <w:rFonts w:ascii="Times New Roman" w:hAnsi="Times New Roman" w:cs="Times New Roman"/>
          <w:szCs w:val="32"/>
        </w:rPr>
        <w:t xml:space="preserve"> disease associated with each gene.</w:t>
      </w:r>
      <w:r w:rsidR="00D90003">
        <w:rPr>
          <w:rFonts w:ascii="Times New Roman" w:hAnsi="Times New Roman" w:cs="Times New Roman" w:hint="eastAsia"/>
          <w:szCs w:val="32"/>
        </w:rPr>
        <w:t xml:space="preserve"> </w:t>
      </w:r>
      <w:r w:rsidR="00D90003" w:rsidRPr="00D90003">
        <w:rPr>
          <w:rFonts w:ascii="Times New Roman" w:hAnsi="Times New Roman" w:cs="Times New Roman"/>
          <w:szCs w:val="32"/>
        </w:rPr>
        <w:t>Sensitivity analyses were conducted by (</w:t>
      </w:r>
      <w:r w:rsidR="000C7B31">
        <w:rPr>
          <w:rFonts w:ascii="Times New Roman" w:hAnsi="Times New Roman" w:cs="Times New Roman" w:hint="eastAsia"/>
          <w:szCs w:val="32"/>
        </w:rPr>
        <w:t>1</w:t>
      </w:r>
      <w:r w:rsidR="00D90003" w:rsidRPr="00D90003">
        <w:rPr>
          <w:rFonts w:ascii="Times New Roman" w:hAnsi="Times New Roman" w:cs="Times New Roman"/>
          <w:szCs w:val="32"/>
        </w:rPr>
        <w:t xml:space="preserve">) redefining the outcome to restrict controls to individuals without any of the eight </w:t>
      </w:r>
      <w:r w:rsidR="00AA0458">
        <w:rPr>
          <w:rFonts w:ascii="Times New Roman" w:hAnsi="Times New Roman" w:cs="Times New Roman"/>
          <w:szCs w:val="32"/>
        </w:rPr>
        <w:t>immune-mediated</w:t>
      </w:r>
      <w:r w:rsidR="00D90003" w:rsidRPr="00D90003">
        <w:rPr>
          <w:rFonts w:ascii="Times New Roman" w:hAnsi="Times New Roman" w:cs="Times New Roman"/>
          <w:szCs w:val="32"/>
        </w:rPr>
        <w:t xml:space="preserve"> diseases and cases to those without the other seven immune comorbidities, (</w:t>
      </w:r>
      <w:r w:rsidR="000C7B31">
        <w:rPr>
          <w:rFonts w:ascii="Times New Roman" w:hAnsi="Times New Roman" w:cs="Times New Roman" w:hint="eastAsia"/>
          <w:szCs w:val="32"/>
        </w:rPr>
        <w:t>2</w:t>
      </w:r>
      <w:r w:rsidR="00D90003" w:rsidRPr="00D90003">
        <w:rPr>
          <w:rFonts w:ascii="Times New Roman" w:hAnsi="Times New Roman" w:cs="Times New Roman"/>
          <w:szCs w:val="32"/>
        </w:rPr>
        <w:t>) using self-reported diagnoses as the outcome, and (</w:t>
      </w:r>
      <w:r w:rsidR="000C7B31">
        <w:rPr>
          <w:rFonts w:ascii="Times New Roman" w:hAnsi="Times New Roman" w:cs="Times New Roman" w:hint="eastAsia"/>
          <w:szCs w:val="32"/>
        </w:rPr>
        <w:t>3</w:t>
      </w:r>
      <w:r w:rsidR="00D90003" w:rsidRPr="00D90003">
        <w:rPr>
          <w:rFonts w:ascii="Times New Roman" w:hAnsi="Times New Roman" w:cs="Times New Roman"/>
          <w:szCs w:val="32"/>
        </w:rPr>
        <w:t xml:space="preserve">) requiring </w:t>
      </w:r>
      <w:r w:rsidR="00AA0458">
        <w:rPr>
          <w:rFonts w:ascii="Times New Roman" w:hAnsi="Times New Roman" w:cs="Times New Roman"/>
          <w:szCs w:val="32"/>
        </w:rPr>
        <w:t>immune-mediated</w:t>
      </w:r>
      <w:r w:rsidR="00D90003" w:rsidRPr="00D90003">
        <w:rPr>
          <w:rFonts w:ascii="Times New Roman" w:hAnsi="Times New Roman" w:cs="Times New Roman"/>
          <w:szCs w:val="32"/>
        </w:rPr>
        <w:t xml:space="preserve"> disease occurrence to be confirmed by both hospital records and self-reports.</w:t>
      </w:r>
    </w:p>
    <w:p w14:paraId="6A7FA17E" w14:textId="7EBCEFF9" w:rsidR="00EF5E11" w:rsidRDefault="00CD4167" w:rsidP="00E8090F">
      <w:pPr>
        <w:spacing w:line="360" w:lineRule="auto"/>
        <w:jc w:val="both"/>
        <w:rPr>
          <w:rFonts w:ascii="Times New Roman" w:hAnsi="Times New Roman" w:cs="Times New Roman"/>
          <w:szCs w:val="32"/>
        </w:rPr>
      </w:pPr>
      <w:r w:rsidRPr="00A3771C">
        <w:rPr>
          <w:rFonts w:ascii="Times New Roman" w:hAnsi="Times New Roman" w:cs="Times New Roman"/>
          <w:szCs w:val="32"/>
        </w:rPr>
        <w:t xml:space="preserve">All regression analyses were restricted to participants with complete data for all covariates included in the respective models. Multiple testing was corrected using the Bonferroni method, and two-tailed </w:t>
      </w:r>
      <w:r w:rsidRPr="00A3771C">
        <w:rPr>
          <w:rFonts w:ascii="Times New Roman" w:hAnsi="Times New Roman" w:cs="Times New Roman"/>
          <w:i/>
          <w:iCs/>
          <w:szCs w:val="32"/>
        </w:rPr>
        <w:t>P</w:t>
      </w:r>
      <w:r w:rsidRPr="00A3771C">
        <w:rPr>
          <w:rFonts w:ascii="Times New Roman" w:hAnsi="Times New Roman" w:cs="Times New Roman"/>
          <w:szCs w:val="32"/>
        </w:rPr>
        <w:t>-values &lt; 0.05 were considered nominally significant.</w:t>
      </w:r>
    </w:p>
    <w:p w14:paraId="314F2F0D" w14:textId="77777777" w:rsidR="00EF5E11" w:rsidRDefault="00EF5E11">
      <w:pPr>
        <w:rPr>
          <w:rFonts w:ascii="Times New Roman" w:hAnsi="Times New Roman" w:cs="Times New Roman"/>
          <w:szCs w:val="32"/>
        </w:rPr>
      </w:pPr>
      <w:r>
        <w:rPr>
          <w:rFonts w:ascii="Times New Roman" w:hAnsi="Times New Roman" w:cs="Times New Roman"/>
          <w:szCs w:val="32"/>
        </w:rPr>
        <w:br w:type="page"/>
      </w:r>
    </w:p>
    <w:p w14:paraId="27E93260" w14:textId="77777777" w:rsidR="006B249C" w:rsidRPr="00A3771C" w:rsidRDefault="006B249C" w:rsidP="008F70A7">
      <w:pPr>
        <w:spacing w:line="360" w:lineRule="auto"/>
        <w:rPr>
          <w:rFonts w:ascii="Times New Roman" w:hAnsi="Times New Roman" w:cs="Times New Roman"/>
          <w:sz w:val="28"/>
          <w:szCs w:val="36"/>
        </w:rPr>
      </w:pPr>
      <w:r w:rsidRPr="00A3771C">
        <w:rPr>
          <w:rFonts w:ascii="Times New Roman" w:hAnsi="Times New Roman" w:cs="Times New Roman"/>
          <w:b/>
          <w:bCs/>
          <w:sz w:val="28"/>
          <w:szCs w:val="36"/>
        </w:rPr>
        <w:lastRenderedPageBreak/>
        <w:t>Supplementary Figures</w:t>
      </w:r>
    </w:p>
    <w:p w14:paraId="383E4872" w14:textId="3A55A8AD" w:rsidR="00354CDA" w:rsidRPr="00037BE0" w:rsidRDefault="00037BE0" w:rsidP="008F70A7">
      <w:pPr>
        <w:spacing w:line="360" w:lineRule="auto"/>
        <w:rPr>
          <w:rFonts w:ascii="Times New Roman" w:hAnsi="Times New Roman" w:cs="Times New Roman"/>
          <w:szCs w:val="32"/>
        </w:rPr>
      </w:pPr>
      <w:r>
        <w:rPr>
          <w:rFonts w:ascii="Times New Roman" w:hAnsi="Times New Roman" w:cs="Times New Roman"/>
          <w:noProof/>
          <w:szCs w:val="32"/>
        </w:rPr>
        <w:drawing>
          <wp:inline distT="0" distB="0" distL="0" distR="0" wp14:anchorId="0334BF55" wp14:editId="603FDE09">
            <wp:extent cx="5274310" cy="1915795"/>
            <wp:effectExtent l="0" t="0" r="0" b="1905"/>
            <wp:docPr id="6262827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82724" name="图片 626282724"/>
                    <pic:cNvPicPr/>
                  </pic:nvPicPr>
                  <pic:blipFill>
                    <a:blip r:embed="rId4">
                      <a:extLst>
                        <a:ext uri="{28A0092B-C50C-407E-A947-70E740481C1C}">
                          <a14:useLocalDpi xmlns:a14="http://schemas.microsoft.com/office/drawing/2010/main" val="0"/>
                        </a:ext>
                      </a:extLst>
                    </a:blip>
                    <a:stretch>
                      <a:fillRect/>
                    </a:stretch>
                  </pic:blipFill>
                  <pic:spPr>
                    <a:xfrm>
                      <a:off x="0" y="0"/>
                      <a:ext cx="5274310" cy="1915795"/>
                    </a:xfrm>
                    <a:prstGeom prst="rect">
                      <a:avLst/>
                    </a:prstGeom>
                  </pic:spPr>
                </pic:pic>
              </a:graphicData>
            </a:graphic>
          </wp:inline>
        </w:drawing>
      </w:r>
    </w:p>
    <w:p w14:paraId="486E0066" w14:textId="77777777" w:rsidR="008F70A7" w:rsidRPr="00A3771C" w:rsidRDefault="00B24880" w:rsidP="006328CC">
      <w:pPr>
        <w:spacing w:line="360" w:lineRule="auto"/>
        <w:jc w:val="both"/>
        <w:rPr>
          <w:rFonts w:ascii="Times New Roman" w:hAnsi="Times New Roman" w:cs="Times New Roman"/>
          <w:szCs w:val="32"/>
        </w:rPr>
      </w:pPr>
      <w:r w:rsidRPr="00A3771C">
        <w:rPr>
          <w:rFonts w:ascii="Calibri" w:hAnsi="Calibri" w:cs="Calibri"/>
          <w:szCs w:val="32"/>
        </w:rPr>
        <w:t>﻿</w:t>
      </w:r>
      <w:r w:rsidRPr="00A3771C">
        <w:rPr>
          <w:rFonts w:ascii="Times New Roman" w:hAnsi="Times New Roman" w:cs="Times New Roman"/>
          <w:b/>
          <w:bCs/>
          <w:szCs w:val="32"/>
        </w:rPr>
        <w:t>Supplementary Fig 1.</w:t>
      </w:r>
      <w:r w:rsidRPr="00A3771C">
        <w:rPr>
          <w:rFonts w:ascii="Times New Roman" w:hAnsi="Times New Roman" w:cs="Times New Roman"/>
          <w:szCs w:val="32"/>
        </w:rPr>
        <w:t xml:space="preserve"> The polygenic overlap between </w:t>
      </w:r>
      <w:r w:rsidR="00492300" w:rsidRPr="00A3771C">
        <w:rPr>
          <w:rFonts w:ascii="Times New Roman" w:hAnsi="Times New Roman" w:cs="Times New Roman"/>
          <w:szCs w:val="32"/>
        </w:rPr>
        <w:t>schizophrenia</w:t>
      </w:r>
      <w:r w:rsidRPr="00A3771C">
        <w:rPr>
          <w:rFonts w:ascii="Times New Roman" w:hAnsi="Times New Roman" w:cs="Times New Roman"/>
          <w:szCs w:val="32"/>
        </w:rPr>
        <w:t xml:space="preserve"> and </w:t>
      </w:r>
      <w:r w:rsidR="00492300" w:rsidRPr="00A3771C">
        <w:rPr>
          <w:rFonts w:ascii="Times New Roman" w:hAnsi="Times New Roman" w:cs="Times New Roman"/>
          <w:szCs w:val="32"/>
        </w:rPr>
        <w:t>asthma</w:t>
      </w:r>
      <w:r w:rsidRPr="00A3771C">
        <w:rPr>
          <w:rFonts w:ascii="Times New Roman" w:hAnsi="Times New Roman" w:cs="Times New Roman"/>
          <w:szCs w:val="32"/>
        </w:rPr>
        <w:t>. The conditional Q</w:t>
      </w:r>
      <w:r w:rsidR="006D1FD1" w:rsidRPr="00A3771C">
        <w:rPr>
          <w:rFonts w:ascii="Times New Roman" w:hAnsi="Times New Roman" w:cs="Times New Roman"/>
          <w:szCs w:val="32"/>
        </w:rPr>
        <w:t>-</w:t>
      </w:r>
      <w:r w:rsidRPr="00A3771C">
        <w:rPr>
          <w:rFonts w:ascii="Times New Roman" w:hAnsi="Times New Roman" w:cs="Times New Roman"/>
          <w:szCs w:val="32"/>
        </w:rPr>
        <w:t>Q plots reveal the cross-trait SNP enrichment, and the negative log-likelihood plot indicates the performance of the best model compared to the minimum and maximum models.</w:t>
      </w:r>
      <w:r w:rsidR="006D1FD1" w:rsidRPr="00A3771C">
        <w:rPr>
          <w:rFonts w:ascii="Times New Roman" w:hAnsi="Times New Roman" w:cs="Times New Roman"/>
          <w:szCs w:val="32"/>
        </w:rPr>
        <w:t xml:space="preserve"> Note: tarit1, schizophrenia; trait2, asthma</w:t>
      </w:r>
      <w:r w:rsidR="00C400D2" w:rsidRPr="00A3771C">
        <w:rPr>
          <w:rFonts w:ascii="Times New Roman" w:hAnsi="Times New Roman" w:cs="Times New Roman"/>
          <w:szCs w:val="32"/>
        </w:rPr>
        <w:t>.</w:t>
      </w:r>
    </w:p>
    <w:p w14:paraId="3F1231BB" w14:textId="77777777" w:rsidR="00C400D2" w:rsidRPr="00A3771C" w:rsidRDefault="00C400D2" w:rsidP="00B24880">
      <w:pPr>
        <w:spacing w:line="360" w:lineRule="auto"/>
        <w:rPr>
          <w:rFonts w:ascii="Times New Roman" w:hAnsi="Times New Roman" w:cs="Times New Roman"/>
          <w:szCs w:val="32"/>
        </w:rPr>
      </w:pPr>
    </w:p>
    <w:p w14:paraId="380AA342" w14:textId="77777777" w:rsidR="008F70A7" w:rsidRPr="00A3771C" w:rsidRDefault="00C400D2" w:rsidP="00C400D2">
      <w:pPr>
        <w:rPr>
          <w:rFonts w:ascii="Times New Roman" w:hAnsi="Times New Roman" w:cs="Times New Roman"/>
          <w:szCs w:val="32"/>
        </w:rPr>
      </w:pPr>
      <w:r w:rsidRPr="00A3771C">
        <w:rPr>
          <w:rFonts w:ascii="Times New Roman" w:hAnsi="Times New Roman" w:cs="Times New Roman"/>
          <w:szCs w:val="32"/>
        </w:rPr>
        <w:br w:type="page"/>
      </w:r>
    </w:p>
    <w:p w14:paraId="0B25EA08" w14:textId="5567944C" w:rsidR="00B604D8" w:rsidRPr="00A3771C" w:rsidRDefault="00E2526A" w:rsidP="00B604D8">
      <w:pPr>
        <w:spacing w:line="360" w:lineRule="auto"/>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01B11456" wp14:editId="73120265">
            <wp:extent cx="5274310" cy="1903095"/>
            <wp:effectExtent l="0" t="0" r="0" b="1905"/>
            <wp:docPr id="7030194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019465" name="图片 703019465"/>
                    <pic:cNvPicPr/>
                  </pic:nvPicPr>
                  <pic:blipFill>
                    <a:blip r:embed="rId5">
                      <a:extLst>
                        <a:ext uri="{28A0092B-C50C-407E-A947-70E740481C1C}">
                          <a14:useLocalDpi xmlns:a14="http://schemas.microsoft.com/office/drawing/2010/main" val="0"/>
                        </a:ext>
                      </a:extLst>
                    </a:blip>
                    <a:stretch>
                      <a:fillRect/>
                    </a:stretch>
                  </pic:blipFill>
                  <pic:spPr>
                    <a:xfrm>
                      <a:off x="0" y="0"/>
                      <a:ext cx="5274310" cy="1903095"/>
                    </a:xfrm>
                    <a:prstGeom prst="rect">
                      <a:avLst/>
                    </a:prstGeom>
                  </pic:spPr>
                </pic:pic>
              </a:graphicData>
            </a:graphic>
          </wp:inline>
        </w:drawing>
      </w:r>
    </w:p>
    <w:p w14:paraId="488FDA38" w14:textId="77777777" w:rsidR="00B604D8" w:rsidRPr="00A3771C" w:rsidRDefault="00B604D8" w:rsidP="00F8710E">
      <w:pPr>
        <w:spacing w:line="360" w:lineRule="auto"/>
        <w:jc w:val="both"/>
        <w:rPr>
          <w:rFonts w:ascii="Times New Roman" w:eastAsia="DengXian" w:hAnsi="Times New Roman" w:cs="Times New Roman"/>
          <w:color w:val="000000"/>
        </w:rPr>
      </w:pPr>
      <w:r w:rsidRPr="00A3771C">
        <w:rPr>
          <w:rFonts w:ascii="Calibri" w:hAnsi="Calibri" w:cs="Calibri"/>
          <w:szCs w:val="32"/>
        </w:rPr>
        <w:t>﻿</w:t>
      </w:r>
      <w:r w:rsidRPr="00A3771C">
        <w:rPr>
          <w:rFonts w:ascii="Times New Roman" w:hAnsi="Times New Roman" w:cs="Times New Roman"/>
          <w:b/>
          <w:bCs/>
          <w:szCs w:val="32"/>
        </w:rPr>
        <w:t xml:space="preserve">Supplementary Fig </w:t>
      </w:r>
      <w:r w:rsidR="00E55296" w:rsidRPr="00A3771C">
        <w:rPr>
          <w:rFonts w:ascii="Times New Roman" w:hAnsi="Times New Roman" w:cs="Times New Roman"/>
          <w:b/>
          <w:bCs/>
          <w:szCs w:val="32"/>
        </w:rPr>
        <w:t>2</w:t>
      </w:r>
      <w:r w:rsidRPr="00A3771C">
        <w:rPr>
          <w:rFonts w:ascii="Times New Roman" w:hAnsi="Times New Roman" w:cs="Times New Roman"/>
          <w:b/>
          <w:bCs/>
          <w:szCs w:val="32"/>
        </w:rPr>
        <w:t>.</w:t>
      </w:r>
      <w:r w:rsidRPr="00A3771C">
        <w:rPr>
          <w:rFonts w:ascii="Times New Roman" w:hAnsi="Times New Roman" w:cs="Times New Roman"/>
          <w:szCs w:val="32"/>
        </w:rPr>
        <w:t xml:space="preserve"> The polygenic overlap between schizophrenia and</w:t>
      </w:r>
      <w:r w:rsidR="00E55296" w:rsidRPr="00A3771C">
        <w:rPr>
          <w:rFonts w:ascii="Times New Roman" w:hAnsi="Times New Roman" w:cs="Times New Roman"/>
          <w:szCs w:val="32"/>
        </w:rPr>
        <w:t xml:space="preserve"> </w:t>
      </w:r>
      <w:r w:rsidR="00E55296" w:rsidRPr="00A3771C">
        <w:rPr>
          <w:rFonts w:ascii="Times New Roman" w:eastAsia="DengXian" w:hAnsi="Times New Roman" w:cs="Times New Roman"/>
          <w:color w:val="000000"/>
        </w:rPr>
        <w:t>rheumatoid arthritis</w:t>
      </w:r>
      <w:r w:rsidRPr="00A3771C">
        <w:rPr>
          <w:rFonts w:ascii="Times New Roman" w:hAnsi="Times New Roman" w:cs="Times New Roman"/>
          <w:szCs w:val="32"/>
        </w:rPr>
        <w:t xml:space="preserve">. The conditional Q-Q plots reveal the cross-trait SNP enrichment, and the negative log-likelihood plot indicates the performance of the best model compared to the minimum and maximum models. Note: tarit1, schizophrenia; trait2, </w:t>
      </w:r>
      <w:r w:rsidR="00E55296" w:rsidRPr="00A3771C">
        <w:rPr>
          <w:rFonts w:ascii="Times New Roman" w:eastAsia="DengXian" w:hAnsi="Times New Roman" w:cs="Times New Roman"/>
          <w:color w:val="000000"/>
        </w:rPr>
        <w:t>rheumatoid arthritis</w:t>
      </w:r>
      <w:r w:rsidRPr="00A3771C">
        <w:rPr>
          <w:rFonts w:ascii="Times New Roman" w:hAnsi="Times New Roman" w:cs="Times New Roman"/>
          <w:szCs w:val="32"/>
        </w:rPr>
        <w:t>.</w:t>
      </w:r>
    </w:p>
    <w:p w14:paraId="51B381B7" w14:textId="77777777" w:rsidR="00AC6283" w:rsidRPr="00A3771C" w:rsidRDefault="00AC6283">
      <w:pPr>
        <w:rPr>
          <w:rFonts w:ascii="Times New Roman" w:hAnsi="Times New Roman" w:cs="Times New Roman"/>
          <w:szCs w:val="32"/>
        </w:rPr>
      </w:pPr>
      <w:r w:rsidRPr="00A3771C">
        <w:rPr>
          <w:rFonts w:ascii="Times New Roman" w:hAnsi="Times New Roman" w:cs="Times New Roman"/>
          <w:szCs w:val="32"/>
        </w:rPr>
        <w:br w:type="page"/>
      </w:r>
    </w:p>
    <w:p w14:paraId="6E842E7B" w14:textId="3ADF790F" w:rsidR="008F70A7" w:rsidRPr="00A3771C" w:rsidRDefault="0010725C"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2A33FA22" wp14:editId="1C290C81">
            <wp:extent cx="5274310" cy="1906270"/>
            <wp:effectExtent l="0" t="0" r="0" b="0"/>
            <wp:docPr id="9614190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19056" name="图片 961419056"/>
                    <pic:cNvPicPr/>
                  </pic:nvPicPr>
                  <pic:blipFill>
                    <a:blip r:embed="rId6">
                      <a:extLst>
                        <a:ext uri="{28A0092B-C50C-407E-A947-70E740481C1C}">
                          <a14:useLocalDpi xmlns:a14="http://schemas.microsoft.com/office/drawing/2010/main" val="0"/>
                        </a:ext>
                      </a:extLst>
                    </a:blip>
                    <a:stretch>
                      <a:fillRect/>
                    </a:stretch>
                  </pic:blipFill>
                  <pic:spPr>
                    <a:xfrm>
                      <a:off x="0" y="0"/>
                      <a:ext cx="5274310" cy="1906270"/>
                    </a:xfrm>
                    <a:prstGeom prst="rect">
                      <a:avLst/>
                    </a:prstGeom>
                  </pic:spPr>
                </pic:pic>
              </a:graphicData>
            </a:graphic>
          </wp:inline>
        </w:drawing>
      </w:r>
    </w:p>
    <w:p w14:paraId="5FF81F31" w14:textId="77777777" w:rsidR="008F70A7" w:rsidRPr="00A3771C" w:rsidRDefault="00AC6283" w:rsidP="002D0804">
      <w:pPr>
        <w:spacing w:line="360" w:lineRule="auto"/>
        <w:jc w:val="both"/>
        <w:rPr>
          <w:rFonts w:ascii="Times New Roman" w:hAnsi="Times New Roman" w:cs="Times New Roman"/>
          <w:szCs w:val="32"/>
        </w:rPr>
      </w:pPr>
      <w:r w:rsidRPr="00A3771C">
        <w:rPr>
          <w:rFonts w:ascii="Times New Roman" w:hAnsi="Times New Roman" w:cs="Times New Roman"/>
          <w:b/>
          <w:bCs/>
          <w:szCs w:val="32"/>
        </w:rPr>
        <w:t>Supplementary Fig 3.</w:t>
      </w:r>
      <w:r w:rsidRPr="00A3771C">
        <w:rPr>
          <w:rFonts w:ascii="Times New Roman" w:hAnsi="Times New Roman" w:cs="Times New Roman"/>
          <w:szCs w:val="32"/>
        </w:rPr>
        <w:t xml:space="preserve"> The polygenic overlap between schizophrenia and </w:t>
      </w:r>
      <w:r w:rsidR="002D0804" w:rsidRPr="00A3771C">
        <w:rPr>
          <w:rFonts w:ascii="Times New Roman" w:eastAsia="DengXian" w:hAnsi="Times New Roman" w:cs="Times New Roman"/>
          <w:color w:val="000000"/>
        </w:rPr>
        <w:t>ulcerative colitis</w:t>
      </w:r>
      <w:r w:rsidRPr="00A3771C">
        <w:rPr>
          <w:rFonts w:ascii="Times New Roman" w:hAnsi="Times New Roman" w:cs="Times New Roman"/>
          <w:szCs w:val="32"/>
        </w:rPr>
        <w:t xml:space="preserve">. The conditional Q-Q plots reveal the cross-trait SNP enrichment, and the negative log-likelihood plot indicates the performance of the best model compared to the minimum and maximum models. Note: tarit1, schizophrenia; trait2, </w:t>
      </w:r>
      <w:r w:rsidR="002D0804" w:rsidRPr="00A3771C">
        <w:rPr>
          <w:rFonts w:ascii="Times New Roman" w:eastAsia="DengXian" w:hAnsi="Times New Roman" w:cs="Times New Roman"/>
          <w:color w:val="000000"/>
        </w:rPr>
        <w:t>ulcerative colitis</w:t>
      </w:r>
      <w:r w:rsidRPr="00A3771C">
        <w:rPr>
          <w:rFonts w:ascii="Times New Roman" w:hAnsi="Times New Roman" w:cs="Times New Roman"/>
          <w:szCs w:val="32"/>
        </w:rPr>
        <w:t>.</w:t>
      </w:r>
    </w:p>
    <w:p w14:paraId="4CD1740A" w14:textId="77777777" w:rsidR="00BA6BB0" w:rsidRPr="00A3771C" w:rsidRDefault="00BA6BB0">
      <w:pPr>
        <w:rPr>
          <w:rFonts w:ascii="Times New Roman" w:hAnsi="Times New Roman" w:cs="Times New Roman"/>
          <w:szCs w:val="32"/>
        </w:rPr>
      </w:pPr>
      <w:r w:rsidRPr="00A3771C">
        <w:rPr>
          <w:rFonts w:ascii="Times New Roman" w:hAnsi="Times New Roman" w:cs="Times New Roman"/>
          <w:szCs w:val="32"/>
        </w:rPr>
        <w:br w:type="page"/>
      </w:r>
    </w:p>
    <w:p w14:paraId="1A5D8A4A" w14:textId="408916F9" w:rsidR="008F70A7" w:rsidRPr="00A3771C" w:rsidRDefault="0029565B"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664331F6" wp14:editId="3D10CF3E">
            <wp:extent cx="5274310" cy="1868170"/>
            <wp:effectExtent l="0" t="0" r="0" b="0"/>
            <wp:docPr id="9358131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13110" name="图片 935813110"/>
                    <pic:cNvPicPr/>
                  </pic:nvPicPr>
                  <pic:blipFill>
                    <a:blip r:embed="rId7">
                      <a:extLst>
                        <a:ext uri="{28A0092B-C50C-407E-A947-70E740481C1C}">
                          <a14:useLocalDpi xmlns:a14="http://schemas.microsoft.com/office/drawing/2010/main" val="0"/>
                        </a:ext>
                      </a:extLst>
                    </a:blip>
                    <a:stretch>
                      <a:fillRect/>
                    </a:stretch>
                  </pic:blipFill>
                  <pic:spPr>
                    <a:xfrm>
                      <a:off x="0" y="0"/>
                      <a:ext cx="5274310" cy="1868170"/>
                    </a:xfrm>
                    <a:prstGeom prst="rect">
                      <a:avLst/>
                    </a:prstGeom>
                  </pic:spPr>
                </pic:pic>
              </a:graphicData>
            </a:graphic>
          </wp:inline>
        </w:drawing>
      </w:r>
    </w:p>
    <w:p w14:paraId="118EE684" w14:textId="77777777" w:rsidR="00BA6BB0" w:rsidRPr="00A3771C" w:rsidRDefault="00BA6BB0" w:rsidP="00BA6BB0">
      <w:pPr>
        <w:spacing w:line="360" w:lineRule="auto"/>
        <w:jc w:val="both"/>
        <w:rPr>
          <w:rFonts w:ascii="Times New Roman" w:hAnsi="Times New Roman" w:cs="Times New Roman"/>
          <w:szCs w:val="32"/>
        </w:rPr>
      </w:pPr>
      <w:r w:rsidRPr="00A3771C">
        <w:rPr>
          <w:rFonts w:ascii="Times New Roman" w:hAnsi="Times New Roman" w:cs="Times New Roman"/>
          <w:b/>
          <w:bCs/>
          <w:szCs w:val="32"/>
        </w:rPr>
        <w:t>Supplementary Fig 4.</w:t>
      </w:r>
      <w:r w:rsidRPr="00A3771C">
        <w:rPr>
          <w:rFonts w:ascii="Times New Roman" w:hAnsi="Times New Roman" w:cs="Times New Roman"/>
          <w:szCs w:val="32"/>
        </w:rPr>
        <w:t xml:space="preserve"> The polygenic overlap between schizophrenia and </w:t>
      </w:r>
      <w:r w:rsidR="00CC581E" w:rsidRPr="00A3771C">
        <w:rPr>
          <w:rFonts w:ascii="Times New Roman" w:hAnsi="Times New Roman" w:cs="Times New Roman"/>
          <w:szCs w:val="32"/>
        </w:rPr>
        <w:t>type 1 diabetes</w:t>
      </w:r>
      <w:r w:rsidRPr="00A3771C">
        <w:rPr>
          <w:rFonts w:ascii="Times New Roman" w:hAnsi="Times New Roman" w:cs="Times New Roman"/>
          <w:szCs w:val="32"/>
        </w:rPr>
        <w:t xml:space="preserve">. The conditional Q-Q plots reveal the cross-trait SNP enrichment, and the negative log-likelihood plot indicates the performance of the best model compared to the minimum and maximum models. Note: tarit1, schizophrenia; trait2, </w:t>
      </w:r>
      <w:r w:rsidR="00CC581E" w:rsidRPr="00A3771C">
        <w:rPr>
          <w:rFonts w:ascii="Times New Roman" w:hAnsi="Times New Roman" w:cs="Times New Roman"/>
          <w:szCs w:val="32"/>
        </w:rPr>
        <w:t>type 1 diabetes</w:t>
      </w:r>
      <w:r w:rsidRPr="00A3771C">
        <w:rPr>
          <w:rFonts w:ascii="Times New Roman" w:hAnsi="Times New Roman" w:cs="Times New Roman"/>
          <w:szCs w:val="32"/>
        </w:rPr>
        <w:t>.</w:t>
      </w:r>
    </w:p>
    <w:p w14:paraId="322E212F" w14:textId="77777777" w:rsidR="008F70A7" w:rsidRPr="00A3771C" w:rsidRDefault="008F70A7" w:rsidP="002D0804">
      <w:pPr>
        <w:spacing w:line="360" w:lineRule="auto"/>
        <w:jc w:val="both"/>
        <w:rPr>
          <w:rFonts w:ascii="Times New Roman" w:hAnsi="Times New Roman" w:cs="Times New Roman"/>
          <w:szCs w:val="32"/>
        </w:rPr>
      </w:pPr>
    </w:p>
    <w:p w14:paraId="2EBBC9A3" w14:textId="77777777" w:rsidR="00082224" w:rsidRPr="00A3771C" w:rsidRDefault="00082224">
      <w:pPr>
        <w:rPr>
          <w:rFonts w:ascii="Times New Roman" w:hAnsi="Times New Roman" w:cs="Times New Roman"/>
          <w:szCs w:val="32"/>
        </w:rPr>
      </w:pPr>
      <w:r w:rsidRPr="00A3771C">
        <w:rPr>
          <w:rFonts w:ascii="Times New Roman" w:hAnsi="Times New Roman" w:cs="Times New Roman"/>
          <w:szCs w:val="32"/>
        </w:rPr>
        <w:br w:type="page"/>
      </w:r>
    </w:p>
    <w:p w14:paraId="75334994" w14:textId="4E9F82C2" w:rsidR="008F70A7" w:rsidRPr="00A3771C" w:rsidRDefault="004303C7"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58682ABC" wp14:editId="117EBF26">
            <wp:extent cx="5274310" cy="1898015"/>
            <wp:effectExtent l="0" t="0" r="0" b="0"/>
            <wp:docPr id="17018167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16766" name="图片 1701816766"/>
                    <pic:cNvPicPr/>
                  </pic:nvPicPr>
                  <pic:blipFill>
                    <a:blip r:embed="rId8">
                      <a:extLst>
                        <a:ext uri="{28A0092B-C50C-407E-A947-70E740481C1C}">
                          <a14:useLocalDpi xmlns:a14="http://schemas.microsoft.com/office/drawing/2010/main" val="0"/>
                        </a:ext>
                      </a:extLst>
                    </a:blip>
                    <a:stretch>
                      <a:fillRect/>
                    </a:stretch>
                  </pic:blipFill>
                  <pic:spPr>
                    <a:xfrm>
                      <a:off x="0" y="0"/>
                      <a:ext cx="5274310" cy="1898015"/>
                    </a:xfrm>
                    <a:prstGeom prst="rect">
                      <a:avLst/>
                    </a:prstGeom>
                  </pic:spPr>
                </pic:pic>
              </a:graphicData>
            </a:graphic>
          </wp:inline>
        </w:drawing>
      </w:r>
    </w:p>
    <w:p w14:paraId="4B9AAB06" w14:textId="7F6B75BE" w:rsidR="00082224" w:rsidRPr="00A3771C" w:rsidRDefault="00082224" w:rsidP="00082224">
      <w:pPr>
        <w:spacing w:line="360" w:lineRule="auto"/>
        <w:jc w:val="both"/>
        <w:rPr>
          <w:rFonts w:ascii="Times New Roman" w:hAnsi="Times New Roman" w:cs="Times New Roman"/>
          <w:szCs w:val="32"/>
        </w:rPr>
      </w:pPr>
      <w:r w:rsidRPr="00A3771C">
        <w:rPr>
          <w:rFonts w:ascii="Times New Roman" w:hAnsi="Times New Roman" w:cs="Times New Roman"/>
          <w:b/>
          <w:bCs/>
          <w:szCs w:val="32"/>
        </w:rPr>
        <w:t>Supplementary Fig 5.</w:t>
      </w:r>
      <w:r w:rsidRPr="00A3771C">
        <w:rPr>
          <w:rFonts w:ascii="Times New Roman" w:hAnsi="Times New Roman" w:cs="Times New Roman"/>
          <w:szCs w:val="32"/>
        </w:rPr>
        <w:t xml:space="preserve"> The polygenic overlap between schizophrenia and </w:t>
      </w:r>
      <w:r w:rsidR="008E0C98">
        <w:rPr>
          <w:rFonts w:ascii="Times New Roman" w:hAnsi="Times New Roman" w:cs="Times New Roman"/>
          <w:szCs w:val="32"/>
        </w:rPr>
        <w:t>Graves’</w:t>
      </w:r>
      <w:r w:rsidRPr="00A3771C">
        <w:rPr>
          <w:rFonts w:ascii="Times New Roman" w:hAnsi="Times New Roman" w:cs="Times New Roman"/>
          <w:szCs w:val="32"/>
        </w:rPr>
        <w:t xml:space="preserve"> disease. The conditional Q-Q plots reveal the cross-trait SNP enrichment, and the negative log-likelihood plot indicates the performance of the best model compared to the minimum and maximum models. Note: tarit1, schizophrenia; trait2, </w:t>
      </w:r>
      <w:r w:rsidR="008E0C98">
        <w:rPr>
          <w:rFonts w:ascii="Times New Roman" w:hAnsi="Times New Roman" w:cs="Times New Roman"/>
          <w:szCs w:val="32"/>
        </w:rPr>
        <w:t>Graves’</w:t>
      </w:r>
      <w:r w:rsidRPr="00A3771C">
        <w:rPr>
          <w:rFonts w:ascii="Times New Roman" w:hAnsi="Times New Roman" w:cs="Times New Roman"/>
          <w:szCs w:val="32"/>
        </w:rPr>
        <w:t xml:space="preserve"> disease.</w:t>
      </w:r>
    </w:p>
    <w:p w14:paraId="079FF38E" w14:textId="77777777" w:rsidR="00006CE2" w:rsidRPr="00A3771C" w:rsidRDefault="00006CE2">
      <w:pPr>
        <w:rPr>
          <w:rFonts w:ascii="Times New Roman" w:hAnsi="Times New Roman" w:cs="Times New Roman"/>
          <w:szCs w:val="32"/>
        </w:rPr>
      </w:pPr>
      <w:r w:rsidRPr="00A3771C">
        <w:rPr>
          <w:rFonts w:ascii="Times New Roman" w:hAnsi="Times New Roman" w:cs="Times New Roman"/>
          <w:szCs w:val="32"/>
        </w:rPr>
        <w:br w:type="page"/>
      </w:r>
    </w:p>
    <w:p w14:paraId="1E4F310E" w14:textId="12F5785A" w:rsidR="008F70A7" w:rsidRPr="00A3771C" w:rsidRDefault="00A7505D"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6E16CA44" wp14:editId="2091DCD3">
            <wp:extent cx="5274310" cy="1903095"/>
            <wp:effectExtent l="0" t="0" r="0" b="1905"/>
            <wp:docPr id="18902907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90709" name="图片 1890290709"/>
                    <pic:cNvPicPr/>
                  </pic:nvPicPr>
                  <pic:blipFill>
                    <a:blip r:embed="rId9">
                      <a:extLst>
                        <a:ext uri="{28A0092B-C50C-407E-A947-70E740481C1C}">
                          <a14:useLocalDpi xmlns:a14="http://schemas.microsoft.com/office/drawing/2010/main" val="0"/>
                        </a:ext>
                      </a:extLst>
                    </a:blip>
                    <a:stretch>
                      <a:fillRect/>
                    </a:stretch>
                  </pic:blipFill>
                  <pic:spPr>
                    <a:xfrm>
                      <a:off x="0" y="0"/>
                      <a:ext cx="5274310" cy="1903095"/>
                    </a:xfrm>
                    <a:prstGeom prst="rect">
                      <a:avLst/>
                    </a:prstGeom>
                  </pic:spPr>
                </pic:pic>
              </a:graphicData>
            </a:graphic>
          </wp:inline>
        </w:drawing>
      </w:r>
    </w:p>
    <w:p w14:paraId="5F19AED7" w14:textId="77777777" w:rsidR="00006CE2" w:rsidRPr="00A3771C" w:rsidRDefault="00006CE2" w:rsidP="00006CE2">
      <w:pPr>
        <w:spacing w:line="360" w:lineRule="auto"/>
        <w:jc w:val="both"/>
        <w:rPr>
          <w:rFonts w:ascii="Times New Roman" w:hAnsi="Times New Roman" w:cs="Times New Roman"/>
          <w:szCs w:val="32"/>
        </w:rPr>
      </w:pPr>
      <w:bookmarkStart w:id="2" w:name="OLE_LINK2"/>
      <w:r w:rsidRPr="00A3771C">
        <w:rPr>
          <w:rFonts w:ascii="Times New Roman" w:hAnsi="Times New Roman" w:cs="Times New Roman"/>
          <w:b/>
          <w:bCs/>
          <w:szCs w:val="32"/>
        </w:rPr>
        <w:t>Supplementary Fig 6.</w:t>
      </w:r>
      <w:r w:rsidRPr="00A3771C">
        <w:rPr>
          <w:rFonts w:ascii="Times New Roman" w:hAnsi="Times New Roman" w:cs="Times New Roman"/>
          <w:szCs w:val="32"/>
        </w:rPr>
        <w:t xml:space="preserve"> The polygenic overlap between schizophrenia and Crohn’s disease. The conditional Q-Q plots reveal the cross-trait SNP enrichment, and the negative log-likelihood plot indicates the performance of the best model compared to the minimum and maximum models. Note: tarit1, schizophrenia; trait2, Crohn’s disease.</w:t>
      </w:r>
    </w:p>
    <w:bookmarkEnd w:id="2"/>
    <w:p w14:paraId="77555641" w14:textId="77777777" w:rsidR="00006CE2" w:rsidRPr="00A3771C" w:rsidRDefault="00006CE2" w:rsidP="002D0804">
      <w:pPr>
        <w:spacing w:line="360" w:lineRule="auto"/>
        <w:jc w:val="both"/>
        <w:rPr>
          <w:rFonts w:ascii="Times New Roman" w:hAnsi="Times New Roman" w:cs="Times New Roman"/>
          <w:szCs w:val="32"/>
        </w:rPr>
      </w:pPr>
    </w:p>
    <w:p w14:paraId="1FDAE7E3" w14:textId="77777777" w:rsidR="00991895" w:rsidRPr="00A3771C" w:rsidRDefault="00991895">
      <w:pPr>
        <w:rPr>
          <w:rFonts w:ascii="Times New Roman" w:hAnsi="Times New Roman" w:cs="Times New Roman"/>
          <w:szCs w:val="32"/>
        </w:rPr>
      </w:pPr>
      <w:r w:rsidRPr="00A3771C">
        <w:rPr>
          <w:rFonts w:ascii="Times New Roman" w:hAnsi="Times New Roman" w:cs="Times New Roman"/>
          <w:szCs w:val="32"/>
        </w:rPr>
        <w:br w:type="page"/>
      </w:r>
    </w:p>
    <w:p w14:paraId="2BFEB513" w14:textId="3815DE7C" w:rsidR="00006CE2" w:rsidRPr="00A3771C" w:rsidRDefault="009B0ED5"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3A050FF1" wp14:editId="72044EB9">
            <wp:extent cx="5274310" cy="1906270"/>
            <wp:effectExtent l="0" t="0" r="0" b="0"/>
            <wp:docPr id="9144667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66797" name="图片 914466797"/>
                    <pic:cNvPicPr/>
                  </pic:nvPicPr>
                  <pic:blipFill>
                    <a:blip r:embed="rId10">
                      <a:extLst>
                        <a:ext uri="{28A0092B-C50C-407E-A947-70E740481C1C}">
                          <a14:useLocalDpi xmlns:a14="http://schemas.microsoft.com/office/drawing/2010/main" val="0"/>
                        </a:ext>
                      </a:extLst>
                    </a:blip>
                    <a:stretch>
                      <a:fillRect/>
                    </a:stretch>
                  </pic:blipFill>
                  <pic:spPr>
                    <a:xfrm>
                      <a:off x="0" y="0"/>
                      <a:ext cx="5274310" cy="1906270"/>
                    </a:xfrm>
                    <a:prstGeom prst="rect">
                      <a:avLst/>
                    </a:prstGeom>
                  </pic:spPr>
                </pic:pic>
              </a:graphicData>
            </a:graphic>
          </wp:inline>
        </w:drawing>
      </w:r>
    </w:p>
    <w:p w14:paraId="657569EC" w14:textId="77777777" w:rsidR="00991895" w:rsidRPr="00A3771C" w:rsidRDefault="00991895" w:rsidP="00991895">
      <w:pPr>
        <w:spacing w:line="360" w:lineRule="auto"/>
        <w:jc w:val="both"/>
        <w:rPr>
          <w:rFonts w:ascii="Times New Roman" w:hAnsi="Times New Roman" w:cs="Times New Roman"/>
          <w:szCs w:val="32"/>
        </w:rPr>
      </w:pPr>
      <w:r w:rsidRPr="00A3771C">
        <w:rPr>
          <w:rFonts w:ascii="Times New Roman" w:hAnsi="Times New Roman" w:cs="Times New Roman"/>
          <w:b/>
          <w:bCs/>
          <w:szCs w:val="32"/>
        </w:rPr>
        <w:t>Supplementary Fig 7.</w:t>
      </w:r>
      <w:r w:rsidRPr="00A3771C">
        <w:rPr>
          <w:rFonts w:ascii="Times New Roman" w:hAnsi="Times New Roman" w:cs="Times New Roman"/>
          <w:szCs w:val="32"/>
        </w:rPr>
        <w:t xml:space="preserve"> The polygenic overlap between schizophrenia and </w:t>
      </w:r>
      <w:r w:rsidR="00FA73D3" w:rsidRPr="00A3771C">
        <w:rPr>
          <w:rFonts w:ascii="Times New Roman" w:hAnsi="Times New Roman" w:cs="Times New Roman"/>
          <w:szCs w:val="32"/>
        </w:rPr>
        <w:t>allergic rhinitis</w:t>
      </w:r>
      <w:r w:rsidRPr="00A3771C">
        <w:rPr>
          <w:rFonts w:ascii="Times New Roman" w:hAnsi="Times New Roman" w:cs="Times New Roman"/>
          <w:szCs w:val="32"/>
        </w:rPr>
        <w:t xml:space="preserve">. The conditional Q-Q plots reveal the cross-trait SNP enrichment, and the negative log-likelihood plot indicates the performance of the best model compared to the minimum and maximum models. Note: tarit1, schizophrenia; trait2, </w:t>
      </w:r>
      <w:r w:rsidR="00FA73D3" w:rsidRPr="00A3771C">
        <w:rPr>
          <w:rFonts w:ascii="Times New Roman" w:hAnsi="Times New Roman" w:cs="Times New Roman"/>
          <w:szCs w:val="32"/>
        </w:rPr>
        <w:t>allergic rhinitis</w:t>
      </w:r>
      <w:r w:rsidRPr="00A3771C">
        <w:rPr>
          <w:rFonts w:ascii="Times New Roman" w:hAnsi="Times New Roman" w:cs="Times New Roman"/>
          <w:szCs w:val="32"/>
        </w:rPr>
        <w:t>.</w:t>
      </w:r>
    </w:p>
    <w:p w14:paraId="646D82A3" w14:textId="77777777" w:rsidR="00006CE2" w:rsidRPr="00A3771C" w:rsidRDefault="00006CE2" w:rsidP="002D0804">
      <w:pPr>
        <w:spacing w:line="360" w:lineRule="auto"/>
        <w:jc w:val="both"/>
        <w:rPr>
          <w:rFonts w:ascii="Times New Roman" w:hAnsi="Times New Roman" w:cs="Times New Roman"/>
          <w:szCs w:val="32"/>
        </w:rPr>
      </w:pPr>
    </w:p>
    <w:p w14:paraId="58398360" w14:textId="77777777" w:rsidR="002C75A2" w:rsidRPr="00A3771C" w:rsidRDefault="002C75A2">
      <w:pPr>
        <w:rPr>
          <w:rFonts w:ascii="Times New Roman" w:hAnsi="Times New Roman" w:cs="Times New Roman"/>
          <w:szCs w:val="32"/>
        </w:rPr>
      </w:pPr>
      <w:r w:rsidRPr="00A3771C">
        <w:rPr>
          <w:rFonts w:ascii="Times New Roman" w:hAnsi="Times New Roman" w:cs="Times New Roman"/>
          <w:szCs w:val="32"/>
        </w:rPr>
        <w:br w:type="page"/>
      </w:r>
    </w:p>
    <w:p w14:paraId="3171E3C0" w14:textId="3BFFA742" w:rsidR="00006CE2" w:rsidRPr="00A3771C" w:rsidRDefault="006C13D5"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59C0521C" wp14:editId="31C2A23F">
            <wp:extent cx="5274310" cy="1897380"/>
            <wp:effectExtent l="0" t="0" r="0" b="0"/>
            <wp:docPr id="131936399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63998" name="图片 1319363998"/>
                    <pic:cNvPicPr/>
                  </pic:nvPicPr>
                  <pic:blipFill>
                    <a:blip r:embed="rId11">
                      <a:extLst>
                        <a:ext uri="{28A0092B-C50C-407E-A947-70E740481C1C}">
                          <a14:useLocalDpi xmlns:a14="http://schemas.microsoft.com/office/drawing/2010/main" val="0"/>
                        </a:ext>
                      </a:extLst>
                    </a:blip>
                    <a:stretch>
                      <a:fillRect/>
                    </a:stretch>
                  </pic:blipFill>
                  <pic:spPr>
                    <a:xfrm>
                      <a:off x="0" y="0"/>
                      <a:ext cx="5274310" cy="1897380"/>
                    </a:xfrm>
                    <a:prstGeom prst="rect">
                      <a:avLst/>
                    </a:prstGeom>
                  </pic:spPr>
                </pic:pic>
              </a:graphicData>
            </a:graphic>
          </wp:inline>
        </w:drawing>
      </w:r>
    </w:p>
    <w:p w14:paraId="793B0979" w14:textId="77777777" w:rsidR="002C75A2" w:rsidRPr="00A3771C" w:rsidRDefault="002C75A2" w:rsidP="002C75A2">
      <w:pPr>
        <w:spacing w:line="360" w:lineRule="auto"/>
        <w:jc w:val="both"/>
        <w:rPr>
          <w:rFonts w:ascii="Times New Roman" w:hAnsi="Times New Roman" w:cs="Times New Roman"/>
          <w:szCs w:val="32"/>
        </w:rPr>
      </w:pPr>
      <w:r w:rsidRPr="00A3771C">
        <w:rPr>
          <w:rFonts w:ascii="Times New Roman" w:hAnsi="Times New Roman" w:cs="Times New Roman"/>
          <w:b/>
          <w:bCs/>
          <w:szCs w:val="32"/>
        </w:rPr>
        <w:t>Supplementary Fig 8.</w:t>
      </w:r>
      <w:r w:rsidRPr="00A3771C">
        <w:rPr>
          <w:rFonts w:ascii="Times New Roman" w:hAnsi="Times New Roman" w:cs="Times New Roman"/>
          <w:szCs w:val="32"/>
        </w:rPr>
        <w:t xml:space="preserve"> The polygenic overlap between schizophrenia and </w:t>
      </w:r>
      <w:r w:rsidR="00703694" w:rsidRPr="00A3771C">
        <w:rPr>
          <w:rFonts w:ascii="Times New Roman" w:hAnsi="Times New Roman" w:cs="Times New Roman"/>
          <w:szCs w:val="32"/>
        </w:rPr>
        <w:t>systemic lupus erythematosus</w:t>
      </w:r>
      <w:r w:rsidRPr="00A3771C">
        <w:rPr>
          <w:rFonts w:ascii="Times New Roman" w:hAnsi="Times New Roman" w:cs="Times New Roman"/>
          <w:szCs w:val="32"/>
        </w:rPr>
        <w:t xml:space="preserve">. The conditional Q-Q plots reveal the cross-trait SNP enrichment, and the negative log-likelihood plot indicates the performance of the best model compared to the minimum and maximum models. Note: tarit1, schizophrenia; trait2, </w:t>
      </w:r>
      <w:r w:rsidR="00703694" w:rsidRPr="00A3771C">
        <w:rPr>
          <w:rFonts w:ascii="Times New Roman" w:hAnsi="Times New Roman" w:cs="Times New Roman"/>
          <w:szCs w:val="32"/>
        </w:rPr>
        <w:t>systemic lupus erythematosus</w:t>
      </w:r>
      <w:r w:rsidRPr="00A3771C">
        <w:rPr>
          <w:rFonts w:ascii="Times New Roman" w:hAnsi="Times New Roman" w:cs="Times New Roman"/>
          <w:szCs w:val="32"/>
        </w:rPr>
        <w:t>.</w:t>
      </w:r>
    </w:p>
    <w:p w14:paraId="68E76728" w14:textId="77777777" w:rsidR="00013FD6" w:rsidRPr="00A3771C" w:rsidRDefault="00013FD6">
      <w:pPr>
        <w:rPr>
          <w:rFonts w:ascii="Times New Roman" w:hAnsi="Times New Roman" w:cs="Times New Roman"/>
          <w:szCs w:val="32"/>
        </w:rPr>
      </w:pPr>
      <w:r w:rsidRPr="00A3771C">
        <w:rPr>
          <w:rFonts w:ascii="Times New Roman" w:hAnsi="Times New Roman" w:cs="Times New Roman"/>
          <w:szCs w:val="32"/>
        </w:rPr>
        <w:br w:type="page"/>
      </w:r>
    </w:p>
    <w:p w14:paraId="106D61A5" w14:textId="77777777" w:rsidR="00006CE2" w:rsidRPr="00A3771C" w:rsidRDefault="005F0AFB" w:rsidP="002D0804">
      <w:pPr>
        <w:spacing w:line="360" w:lineRule="auto"/>
        <w:jc w:val="both"/>
        <w:rPr>
          <w:rFonts w:ascii="Times New Roman" w:hAnsi="Times New Roman" w:cs="Times New Roman"/>
          <w:szCs w:val="32"/>
        </w:rPr>
      </w:pPr>
      <w:r w:rsidRPr="00A3771C">
        <w:rPr>
          <w:rFonts w:ascii="Times New Roman" w:hAnsi="Times New Roman" w:cs="Times New Roman"/>
          <w:noProof/>
          <w:szCs w:val="32"/>
        </w:rPr>
        <w:lastRenderedPageBreak/>
        <w:drawing>
          <wp:inline distT="0" distB="0" distL="0" distR="0" wp14:anchorId="0A566759" wp14:editId="2FC78AC3">
            <wp:extent cx="5274310" cy="3515995"/>
            <wp:effectExtent l="0" t="0" r="0" b="1905"/>
            <wp:docPr id="202630925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09250" name="图片 202630925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4F47B0EF" w14:textId="6E061784" w:rsidR="00624A58" w:rsidRPr="00A3771C" w:rsidRDefault="00AB027D" w:rsidP="00AB027D">
      <w:pPr>
        <w:spacing w:line="360" w:lineRule="auto"/>
        <w:jc w:val="both"/>
        <w:rPr>
          <w:rFonts w:ascii="Times New Roman" w:hAnsi="Times New Roman" w:cs="Times New Roman"/>
          <w:szCs w:val="32"/>
        </w:rPr>
      </w:pPr>
      <w:r w:rsidRPr="00A3771C">
        <w:rPr>
          <w:rFonts w:ascii="Calibri" w:hAnsi="Calibri" w:cs="Calibri"/>
          <w:szCs w:val="32"/>
        </w:rPr>
        <w:t>﻿</w:t>
      </w:r>
      <w:r w:rsidRPr="00A3771C">
        <w:rPr>
          <w:rFonts w:ascii="Times New Roman" w:hAnsi="Times New Roman" w:cs="Times New Roman"/>
          <w:b/>
          <w:bCs/>
          <w:szCs w:val="32"/>
        </w:rPr>
        <w:t>Supplementary Fig 9.</w:t>
      </w:r>
      <w:r w:rsidRPr="00A3771C">
        <w:rPr>
          <w:rFonts w:ascii="Times New Roman" w:hAnsi="Times New Roman" w:cs="Times New Roman"/>
          <w:szCs w:val="32"/>
        </w:rPr>
        <w:t xml:space="preserve"> Manhattan plot showing the genetic associations for</w:t>
      </w:r>
      <w:r w:rsidR="002E64F3" w:rsidRPr="00A3771C">
        <w:rPr>
          <w:rFonts w:ascii="Times New Roman" w:hAnsi="Times New Roman" w:cs="Times New Roman"/>
          <w:szCs w:val="32"/>
        </w:rPr>
        <w:t xml:space="preserve"> schizophrenia</w:t>
      </w:r>
      <w:r w:rsidRPr="00A3771C">
        <w:rPr>
          <w:rFonts w:ascii="Times New Roman" w:hAnsi="Times New Roman" w:cs="Times New Roman"/>
          <w:szCs w:val="32"/>
        </w:rPr>
        <w:t xml:space="preserve"> conditioned on each </w:t>
      </w:r>
      <w:r w:rsidR="00AA0458">
        <w:rPr>
          <w:rFonts w:ascii="Times New Roman" w:hAnsi="Times New Roman" w:cs="Times New Roman"/>
          <w:szCs w:val="32"/>
        </w:rPr>
        <w:t>immune-mediated</w:t>
      </w:r>
      <w:r w:rsidR="002E64F3" w:rsidRPr="00A3771C">
        <w:rPr>
          <w:rFonts w:ascii="Times New Roman" w:hAnsi="Times New Roman" w:cs="Times New Roman"/>
          <w:szCs w:val="32"/>
        </w:rPr>
        <w:t xml:space="preserve"> disease</w:t>
      </w:r>
      <w:r w:rsidRPr="00A3771C">
        <w:rPr>
          <w:rFonts w:ascii="Times New Roman" w:hAnsi="Times New Roman" w:cs="Times New Roman"/>
          <w:szCs w:val="32"/>
        </w:rPr>
        <w:t xml:space="preserve">. Each point represents a SNP, and a point with </w:t>
      </w:r>
      <w:r w:rsidR="00D365AB" w:rsidRPr="00A3771C">
        <w:rPr>
          <w:rFonts w:ascii="Times New Roman" w:hAnsi="Times New Roman" w:cs="Times New Roman"/>
          <w:szCs w:val="32"/>
        </w:rPr>
        <w:t xml:space="preserve">the </w:t>
      </w:r>
      <w:r w:rsidRPr="00A3771C">
        <w:rPr>
          <w:rFonts w:ascii="Times New Roman" w:hAnsi="Times New Roman" w:cs="Times New Roman"/>
          <w:szCs w:val="32"/>
        </w:rPr>
        <w:t>large</w:t>
      </w:r>
      <w:r w:rsidR="00D365AB" w:rsidRPr="00A3771C">
        <w:rPr>
          <w:rFonts w:ascii="Times New Roman" w:hAnsi="Times New Roman" w:cs="Times New Roman"/>
          <w:szCs w:val="32"/>
        </w:rPr>
        <w:t>st</w:t>
      </w:r>
      <w:r w:rsidRPr="00A3771C">
        <w:rPr>
          <w:rFonts w:ascii="Times New Roman" w:hAnsi="Times New Roman" w:cs="Times New Roman"/>
          <w:szCs w:val="32"/>
        </w:rPr>
        <w:t xml:space="preserve"> size indicates a lead SNP. The y-axis represents -log10-transformed condFDR values for each SNP, and the x-axis reflects the chromosomal</w:t>
      </w:r>
      <w:r w:rsidR="002E64F3" w:rsidRPr="00A3771C">
        <w:rPr>
          <w:rFonts w:ascii="Times New Roman" w:hAnsi="Times New Roman" w:cs="Times New Roman"/>
          <w:szCs w:val="32"/>
        </w:rPr>
        <w:t xml:space="preserve"> </w:t>
      </w:r>
      <w:r w:rsidRPr="00A3771C">
        <w:rPr>
          <w:rFonts w:ascii="Times New Roman" w:hAnsi="Times New Roman" w:cs="Times New Roman"/>
          <w:szCs w:val="32"/>
        </w:rPr>
        <w:t>position. The dashed line represents the threshold of condFDR = 0.01, and the color of</w:t>
      </w:r>
      <w:r w:rsidR="002E64F3" w:rsidRPr="00A3771C">
        <w:rPr>
          <w:rFonts w:ascii="Times New Roman" w:hAnsi="Times New Roman" w:cs="Times New Roman"/>
          <w:szCs w:val="32"/>
        </w:rPr>
        <w:t xml:space="preserve"> </w:t>
      </w:r>
      <w:r w:rsidRPr="00A3771C">
        <w:rPr>
          <w:rFonts w:ascii="Times New Roman" w:hAnsi="Times New Roman" w:cs="Times New Roman"/>
          <w:szCs w:val="32"/>
        </w:rPr>
        <w:t xml:space="preserve">the dots represents different </w:t>
      </w:r>
      <w:r w:rsidR="00AA0458">
        <w:rPr>
          <w:rFonts w:ascii="Times New Roman" w:hAnsi="Times New Roman" w:cs="Times New Roman"/>
          <w:szCs w:val="32"/>
        </w:rPr>
        <w:t>immune-mediated</w:t>
      </w:r>
      <w:r w:rsidR="00525D17" w:rsidRPr="00A3771C">
        <w:rPr>
          <w:rFonts w:ascii="Times New Roman" w:hAnsi="Times New Roman" w:cs="Times New Roman"/>
          <w:szCs w:val="32"/>
        </w:rPr>
        <w:t xml:space="preserve"> disease</w:t>
      </w:r>
      <w:r w:rsidRPr="00A3771C">
        <w:rPr>
          <w:rFonts w:ascii="Times New Roman" w:hAnsi="Times New Roman" w:cs="Times New Roman"/>
          <w:szCs w:val="32"/>
        </w:rPr>
        <w:t>s conditioned.</w:t>
      </w:r>
      <w:r w:rsidR="000144C1" w:rsidRPr="00A3771C">
        <w:rPr>
          <w:rFonts w:ascii="Times New Roman" w:hAnsi="Times New Roman" w:cs="Times New Roman"/>
          <w:szCs w:val="32"/>
        </w:rPr>
        <w:t xml:space="preserve"> Note:</w:t>
      </w:r>
      <w:r w:rsidR="007E3D51" w:rsidRPr="00A3771C">
        <w:rPr>
          <w:rFonts w:ascii="Times New Roman" w:hAnsi="Times New Roman" w:cs="Times New Roman"/>
          <w:szCs w:val="32"/>
        </w:rPr>
        <w:t xml:space="preserve"> </w:t>
      </w:r>
      <w:r w:rsidR="005D6349" w:rsidRPr="00A3771C">
        <w:rPr>
          <w:rFonts w:ascii="Times New Roman" w:hAnsi="Times New Roman" w:cs="Times New Roman"/>
          <w:szCs w:val="32"/>
        </w:rPr>
        <w:t xml:space="preserve">AR, allergic rhinitis; CD, </w:t>
      </w:r>
      <w:r w:rsidR="005D6349" w:rsidRPr="00A3771C">
        <w:rPr>
          <w:rFonts w:ascii="Times New Roman" w:eastAsia="DengXian" w:hAnsi="Times New Roman" w:cs="Times New Roman"/>
          <w:color w:val="000000"/>
        </w:rPr>
        <w:t>Crohn’s disease</w:t>
      </w:r>
      <w:r w:rsidR="005D6349" w:rsidRPr="00A3771C">
        <w:rPr>
          <w:rFonts w:ascii="Times New Roman" w:hAnsi="Times New Roman" w:cs="Times New Roman"/>
          <w:szCs w:val="32"/>
        </w:rPr>
        <w:t xml:space="preserve">; </w:t>
      </w:r>
      <w:r w:rsidR="002554F0" w:rsidRPr="00A3771C">
        <w:rPr>
          <w:rFonts w:ascii="Times New Roman" w:hAnsi="Times New Roman" w:cs="Times New Roman"/>
          <w:szCs w:val="32"/>
        </w:rPr>
        <w:t>RA, r</w:t>
      </w:r>
      <w:r w:rsidR="002554F0" w:rsidRPr="00A3771C">
        <w:rPr>
          <w:rFonts w:ascii="Times New Roman" w:eastAsia="DengXian" w:hAnsi="Times New Roman" w:cs="Times New Roman"/>
          <w:color w:val="000000"/>
        </w:rPr>
        <w:t>heumatoid arthritis</w:t>
      </w:r>
      <w:r w:rsidR="002554F0" w:rsidRPr="00A3771C">
        <w:rPr>
          <w:rFonts w:ascii="Times New Roman" w:hAnsi="Times New Roman" w:cs="Times New Roman"/>
          <w:szCs w:val="32"/>
        </w:rPr>
        <w:t xml:space="preserve">; </w:t>
      </w:r>
      <w:r w:rsidR="00265963" w:rsidRPr="00A3771C">
        <w:rPr>
          <w:rFonts w:ascii="Times New Roman" w:hAnsi="Times New Roman" w:cs="Times New Roman"/>
          <w:szCs w:val="32"/>
        </w:rPr>
        <w:t>SLE, systemic lupus erythematosus; T1D, type 1 diabetes; UC, ulcerative colitis.</w:t>
      </w:r>
    </w:p>
    <w:p w14:paraId="0C5BB14C" w14:textId="77777777" w:rsidR="006B1805" w:rsidRPr="00A3771C" w:rsidRDefault="006B1805">
      <w:pPr>
        <w:rPr>
          <w:rFonts w:ascii="Times New Roman" w:hAnsi="Times New Roman" w:cs="Times New Roman"/>
          <w:szCs w:val="32"/>
        </w:rPr>
      </w:pPr>
      <w:r w:rsidRPr="00A3771C">
        <w:rPr>
          <w:rFonts w:ascii="Times New Roman" w:hAnsi="Times New Roman" w:cs="Times New Roman"/>
          <w:szCs w:val="32"/>
        </w:rPr>
        <w:br w:type="page"/>
      </w:r>
    </w:p>
    <w:p w14:paraId="34AD5660" w14:textId="77777777" w:rsidR="00006CE2" w:rsidRPr="00A3771C" w:rsidRDefault="00B04BBD" w:rsidP="002D0804">
      <w:pPr>
        <w:spacing w:line="360" w:lineRule="auto"/>
        <w:jc w:val="both"/>
        <w:rPr>
          <w:rFonts w:ascii="Times New Roman" w:hAnsi="Times New Roman" w:cs="Times New Roman"/>
          <w:szCs w:val="32"/>
        </w:rPr>
      </w:pPr>
      <w:r w:rsidRPr="00A3771C">
        <w:rPr>
          <w:rFonts w:ascii="Times New Roman" w:hAnsi="Times New Roman" w:cs="Times New Roman"/>
          <w:noProof/>
          <w:szCs w:val="32"/>
        </w:rPr>
        <w:lastRenderedPageBreak/>
        <w:drawing>
          <wp:inline distT="0" distB="0" distL="0" distR="0" wp14:anchorId="152334FB" wp14:editId="02B4485F">
            <wp:extent cx="5274310" cy="3515995"/>
            <wp:effectExtent l="0" t="0" r="0" b="1905"/>
            <wp:docPr id="9140899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89911" name="图片 9140899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78D76954" w14:textId="0BA920CC" w:rsidR="004F2100" w:rsidRDefault="008D77FF" w:rsidP="002D0804">
      <w:pPr>
        <w:spacing w:line="360" w:lineRule="auto"/>
        <w:jc w:val="both"/>
        <w:rPr>
          <w:rFonts w:ascii="Times New Roman" w:hAnsi="Times New Roman" w:cs="Times New Roman"/>
          <w:szCs w:val="32"/>
        </w:rPr>
      </w:pPr>
      <w:r w:rsidRPr="00A3771C">
        <w:rPr>
          <w:rFonts w:ascii="Times New Roman" w:hAnsi="Times New Roman" w:cs="Times New Roman"/>
          <w:b/>
          <w:bCs/>
          <w:szCs w:val="32"/>
        </w:rPr>
        <w:t>Supplementary Fig 10.</w:t>
      </w:r>
      <w:r w:rsidRPr="00A3771C">
        <w:rPr>
          <w:rFonts w:ascii="Times New Roman" w:hAnsi="Times New Roman" w:cs="Times New Roman"/>
          <w:szCs w:val="32"/>
        </w:rPr>
        <w:t xml:space="preserve"> Manhattan plot showing the genetic associations for </w:t>
      </w:r>
      <w:r w:rsidR="00AA0458">
        <w:rPr>
          <w:rFonts w:ascii="Times New Roman" w:hAnsi="Times New Roman" w:cs="Times New Roman"/>
          <w:szCs w:val="32"/>
        </w:rPr>
        <w:t>immune-mediated</w:t>
      </w:r>
      <w:r w:rsidR="00821285" w:rsidRPr="00A3771C">
        <w:rPr>
          <w:rFonts w:ascii="Times New Roman" w:hAnsi="Times New Roman" w:cs="Times New Roman"/>
          <w:szCs w:val="32"/>
        </w:rPr>
        <w:t xml:space="preserve"> disease</w:t>
      </w:r>
      <w:r w:rsidRPr="00A3771C">
        <w:rPr>
          <w:rFonts w:ascii="Times New Roman" w:hAnsi="Times New Roman" w:cs="Times New Roman"/>
          <w:szCs w:val="32"/>
        </w:rPr>
        <w:t xml:space="preserve"> conditioned on </w:t>
      </w:r>
      <w:r w:rsidR="00821285" w:rsidRPr="00A3771C">
        <w:rPr>
          <w:rFonts w:ascii="Times New Roman" w:hAnsi="Times New Roman" w:cs="Times New Roman"/>
          <w:szCs w:val="32"/>
        </w:rPr>
        <w:t>schizophrenia</w:t>
      </w:r>
      <w:r w:rsidRPr="00A3771C">
        <w:rPr>
          <w:rFonts w:ascii="Times New Roman" w:hAnsi="Times New Roman" w:cs="Times New Roman"/>
          <w:szCs w:val="32"/>
        </w:rPr>
        <w:t xml:space="preserve">. Each point represents a SNP, and a point with </w:t>
      </w:r>
      <w:r w:rsidR="00156226" w:rsidRPr="00A3771C">
        <w:rPr>
          <w:rFonts w:ascii="Times New Roman" w:hAnsi="Times New Roman" w:cs="Times New Roman"/>
          <w:szCs w:val="32"/>
        </w:rPr>
        <w:t>the</w:t>
      </w:r>
      <w:r w:rsidRPr="00A3771C">
        <w:rPr>
          <w:rFonts w:ascii="Times New Roman" w:hAnsi="Times New Roman" w:cs="Times New Roman"/>
          <w:szCs w:val="32"/>
        </w:rPr>
        <w:t xml:space="preserve"> large</w:t>
      </w:r>
      <w:r w:rsidR="00156226" w:rsidRPr="00A3771C">
        <w:rPr>
          <w:rFonts w:ascii="Times New Roman" w:hAnsi="Times New Roman" w:cs="Times New Roman"/>
          <w:szCs w:val="32"/>
        </w:rPr>
        <w:t>st</w:t>
      </w:r>
      <w:r w:rsidRPr="00A3771C">
        <w:rPr>
          <w:rFonts w:ascii="Times New Roman" w:hAnsi="Times New Roman" w:cs="Times New Roman"/>
          <w:szCs w:val="32"/>
        </w:rPr>
        <w:t xml:space="preserve"> size indicates a lead SNP. The y-axis represents -log10-transformed condFDR values for each SNP, and the x-axis reflects the chromosomal position. The dashed line represents the threshold of condFDR = 0.01, and the color of the dots represents different </w:t>
      </w:r>
      <w:r w:rsidR="00AA0458">
        <w:rPr>
          <w:rFonts w:ascii="Times New Roman" w:hAnsi="Times New Roman" w:cs="Times New Roman"/>
          <w:szCs w:val="32"/>
        </w:rPr>
        <w:t>immune-mediated</w:t>
      </w:r>
      <w:r w:rsidRPr="00A3771C">
        <w:rPr>
          <w:rFonts w:ascii="Times New Roman" w:hAnsi="Times New Roman" w:cs="Times New Roman"/>
          <w:szCs w:val="32"/>
        </w:rPr>
        <w:t xml:space="preserve"> diseases</w:t>
      </w:r>
      <w:r w:rsidR="00EE62CC" w:rsidRPr="00A3771C">
        <w:rPr>
          <w:rFonts w:ascii="Times New Roman" w:hAnsi="Times New Roman" w:cs="Times New Roman"/>
          <w:szCs w:val="32"/>
        </w:rPr>
        <w:t>.</w:t>
      </w:r>
      <w:r w:rsidR="00A97FAA" w:rsidRPr="00A3771C">
        <w:rPr>
          <w:rFonts w:ascii="Times New Roman" w:hAnsi="Times New Roman" w:cs="Times New Roman"/>
          <w:szCs w:val="32"/>
        </w:rPr>
        <w:t xml:space="preserve"> Note: AR, allergic rhinitis; CD, </w:t>
      </w:r>
      <w:r w:rsidR="00A97FAA" w:rsidRPr="00A3771C">
        <w:rPr>
          <w:rFonts w:ascii="Times New Roman" w:eastAsia="DengXian" w:hAnsi="Times New Roman" w:cs="Times New Roman"/>
          <w:color w:val="000000"/>
        </w:rPr>
        <w:t>Crohn’s disease</w:t>
      </w:r>
      <w:r w:rsidR="00A97FAA" w:rsidRPr="00A3771C">
        <w:rPr>
          <w:rFonts w:ascii="Times New Roman" w:hAnsi="Times New Roman" w:cs="Times New Roman"/>
          <w:szCs w:val="32"/>
        </w:rPr>
        <w:t>; RA, r</w:t>
      </w:r>
      <w:r w:rsidR="00A97FAA" w:rsidRPr="00A3771C">
        <w:rPr>
          <w:rFonts w:ascii="Times New Roman" w:eastAsia="DengXian" w:hAnsi="Times New Roman" w:cs="Times New Roman"/>
          <w:color w:val="000000"/>
        </w:rPr>
        <w:t>heumatoid arthritis</w:t>
      </w:r>
      <w:r w:rsidR="00A97FAA" w:rsidRPr="00A3771C">
        <w:rPr>
          <w:rFonts w:ascii="Times New Roman" w:hAnsi="Times New Roman" w:cs="Times New Roman"/>
          <w:szCs w:val="32"/>
        </w:rPr>
        <w:t>; SLE, systemic lupus erythematosus; T1D, type 1 diabetes; UC, ulcerative colitis.</w:t>
      </w:r>
    </w:p>
    <w:p w14:paraId="419F37FD" w14:textId="77777777" w:rsidR="004F2100" w:rsidRDefault="004F2100">
      <w:pPr>
        <w:rPr>
          <w:rFonts w:ascii="Times New Roman" w:hAnsi="Times New Roman" w:cs="Times New Roman"/>
          <w:szCs w:val="32"/>
        </w:rPr>
      </w:pPr>
      <w:r>
        <w:rPr>
          <w:rFonts w:ascii="Times New Roman" w:hAnsi="Times New Roman" w:cs="Times New Roman"/>
          <w:szCs w:val="32"/>
        </w:rPr>
        <w:br w:type="page"/>
      </w:r>
    </w:p>
    <w:p w14:paraId="1DECB4F0" w14:textId="210133BA" w:rsidR="00624A58" w:rsidRDefault="004F2100" w:rsidP="002D0804">
      <w:pPr>
        <w:spacing w:line="360" w:lineRule="auto"/>
        <w:jc w:val="both"/>
        <w:rPr>
          <w:rFonts w:ascii="Times New Roman" w:hAnsi="Times New Roman" w:cs="Times New Roman"/>
          <w:szCs w:val="32"/>
        </w:rPr>
      </w:pPr>
      <w:r>
        <w:rPr>
          <w:rFonts w:ascii="Times New Roman" w:hAnsi="Times New Roman" w:cs="Times New Roman"/>
          <w:noProof/>
          <w:szCs w:val="32"/>
        </w:rPr>
        <w:lastRenderedPageBreak/>
        <w:drawing>
          <wp:inline distT="0" distB="0" distL="0" distR="0" wp14:anchorId="462A176C" wp14:editId="212A3C44">
            <wp:extent cx="5274310" cy="2709545"/>
            <wp:effectExtent l="0" t="0" r="0" b="0"/>
            <wp:docPr id="806662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62420" name="图片 8066624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709545"/>
                    </a:xfrm>
                    <a:prstGeom prst="rect">
                      <a:avLst/>
                    </a:prstGeom>
                  </pic:spPr>
                </pic:pic>
              </a:graphicData>
            </a:graphic>
          </wp:inline>
        </w:drawing>
      </w:r>
    </w:p>
    <w:p w14:paraId="5C9E17C4" w14:textId="63BFFB2C" w:rsidR="004F2100" w:rsidRPr="00465C7B" w:rsidRDefault="00794FF7" w:rsidP="002D0804">
      <w:pPr>
        <w:spacing w:line="360" w:lineRule="auto"/>
        <w:jc w:val="both"/>
        <w:rPr>
          <w:rFonts w:ascii="Times New Roman" w:hAnsi="Times New Roman" w:cs="Times New Roman"/>
          <w:color w:val="000000" w:themeColor="text1"/>
          <w:szCs w:val="32"/>
        </w:rPr>
      </w:pPr>
      <w:r w:rsidRPr="00465C7B">
        <w:rPr>
          <w:rFonts w:ascii="Times New Roman" w:hAnsi="Times New Roman" w:cs="Times New Roman"/>
          <w:b/>
          <w:bCs/>
          <w:color w:val="000000" w:themeColor="text1"/>
          <w:szCs w:val="32"/>
        </w:rPr>
        <w:t xml:space="preserve">Supplementary Fig 11. </w:t>
      </w:r>
      <w:r w:rsidRPr="00465C7B">
        <w:rPr>
          <w:rFonts w:ascii="Times New Roman" w:hAnsi="Times New Roman" w:cs="Times New Roman"/>
          <w:color w:val="000000" w:themeColor="text1"/>
          <w:szCs w:val="32"/>
        </w:rPr>
        <w:t>LocusZoom plots of the shared loci with LAVA and colocalization evidence</w:t>
      </w:r>
      <w:r w:rsidR="0022074C" w:rsidRPr="00465C7B">
        <w:rPr>
          <w:rFonts w:ascii="Times New Roman" w:hAnsi="Times New Roman" w:cs="Times New Roman"/>
          <w:color w:val="000000" w:themeColor="text1"/>
          <w:szCs w:val="32"/>
        </w:rPr>
        <w:t>. These plots</w:t>
      </w:r>
      <w:r w:rsidRPr="00465C7B">
        <w:rPr>
          <w:rFonts w:ascii="Times New Roman" w:hAnsi="Times New Roman" w:cs="Times New Roman"/>
          <w:color w:val="000000" w:themeColor="text1"/>
          <w:szCs w:val="32"/>
        </w:rPr>
        <w:t xml:space="preserve"> show the regional SNP associations for schizophrenia and </w:t>
      </w:r>
      <w:r w:rsidR="00AA0458">
        <w:rPr>
          <w:rFonts w:ascii="Times New Roman" w:hAnsi="Times New Roman" w:cs="Times New Roman"/>
          <w:color w:val="000000" w:themeColor="text1"/>
          <w:szCs w:val="32"/>
        </w:rPr>
        <w:t>immune-mediated</w:t>
      </w:r>
      <w:r w:rsidRPr="00465C7B">
        <w:rPr>
          <w:rFonts w:ascii="Times New Roman" w:hAnsi="Times New Roman" w:cs="Times New Roman"/>
          <w:color w:val="000000" w:themeColor="text1"/>
          <w:szCs w:val="32"/>
        </w:rPr>
        <w:t xml:space="preserve"> diseases from the original GWAS summary data. The point with a diamond shape is the lead SNP, which has the highest posterior probability for H4 in the colocalization analysis, and other SNPs are colored according to their LD r² with the lead SNP.</w:t>
      </w:r>
      <w:r w:rsidR="0022074C" w:rsidRPr="00465C7B">
        <w:rPr>
          <w:rFonts w:ascii="Times New Roman" w:hAnsi="Times New Roman" w:cs="Times New Roman"/>
          <w:color w:val="000000" w:themeColor="text1"/>
          <w:szCs w:val="32"/>
        </w:rPr>
        <w:t xml:space="preserve"> </w:t>
      </w:r>
      <w:r w:rsidRPr="00465C7B">
        <w:rPr>
          <w:rFonts w:ascii="Times New Roman" w:hAnsi="Times New Roman" w:cs="Times New Roman"/>
          <w:color w:val="000000" w:themeColor="text1"/>
          <w:szCs w:val="32"/>
        </w:rPr>
        <w:t>LAVA, local analysis of [co]variant association; SNP, single nucleotide polymorphism; SCZ, schizophrenia; SLE, systemic lupus erythematosus; RA, rheumatoid arthritis; CD, Crohn's disease; GD, Graves’ disease; UC, ulcerative colitis; AR, allergic rhinitis; T1D, type 1 diabetes</w:t>
      </w:r>
    </w:p>
    <w:p w14:paraId="57382D2F" w14:textId="77777777" w:rsidR="004F2100" w:rsidRPr="004F2100" w:rsidRDefault="004F2100" w:rsidP="002D0804">
      <w:pPr>
        <w:spacing w:line="360" w:lineRule="auto"/>
        <w:jc w:val="both"/>
        <w:rPr>
          <w:rFonts w:ascii="Times New Roman" w:hAnsi="Times New Roman" w:cs="Times New Roman"/>
          <w:szCs w:val="32"/>
        </w:rPr>
      </w:pPr>
    </w:p>
    <w:p w14:paraId="7AF0AE27" w14:textId="77777777" w:rsidR="003B0985" w:rsidRPr="00A3771C" w:rsidRDefault="003B0985">
      <w:pPr>
        <w:rPr>
          <w:rFonts w:ascii="Times New Roman" w:hAnsi="Times New Roman" w:cs="Times New Roman"/>
          <w:szCs w:val="32"/>
        </w:rPr>
      </w:pPr>
      <w:r w:rsidRPr="00A3771C">
        <w:rPr>
          <w:rFonts w:ascii="Times New Roman" w:hAnsi="Times New Roman" w:cs="Times New Roman"/>
          <w:szCs w:val="32"/>
        </w:rPr>
        <w:br w:type="page"/>
      </w:r>
    </w:p>
    <w:p w14:paraId="7E560AEC" w14:textId="77777777" w:rsidR="00D20CDF" w:rsidRPr="00A3771C" w:rsidRDefault="0084171D" w:rsidP="00C84508">
      <w:pPr>
        <w:spacing w:line="360" w:lineRule="auto"/>
        <w:jc w:val="both"/>
        <w:rPr>
          <w:rFonts w:ascii="Times New Roman" w:hAnsi="Times New Roman" w:cs="Times New Roman"/>
          <w:b/>
          <w:bCs/>
          <w:sz w:val="28"/>
          <w:szCs w:val="36"/>
        </w:rPr>
      </w:pPr>
      <w:r w:rsidRPr="00A3771C">
        <w:rPr>
          <w:rFonts w:ascii="Times New Roman" w:hAnsi="Times New Roman" w:cs="Times New Roman"/>
          <w:b/>
          <w:bCs/>
          <w:sz w:val="28"/>
          <w:szCs w:val="36"/>
        </w:rPr>
        <w:lastRenderedPageBreak/>
        <w:t>Reference</w:t>
      </w:r>
    </w:p>
    <w:p w14:paraId="3D7D56E2" w14:textId="77777777" w:rsidR="00091EA0" w:rsidRPr="00091EA0" w:rsidRDefault="00FB0540" w:rsidP="00C84508">
      <w:pPr>
        <w:pStyle w:val="ae"/>
        <w:jc w:val="both"/>
        <w:rPr>
          <w:rFonts w:ascii="Times New Roman" w:hAnsi="Times New Roman" w:cs="Times New Roman"/>
        </w:rPr>
      </w:pPr>
      <w:r w:rsidRPr="00A3771C">
        <w:rPr>
          <w:szCs w:val="32"/>
        </w:rPr>
        <w:fldChar w:fldCharType="begin"/>
      </w:r>
      <w:r w:rsidR="00091EA0">
        <w:rPr>
          <w:szCs w:val="32"/>
        </w:rPr>
        <w:instrText xml:space="preserve"> ADDIN ZOTERO_BIBL {"uncited":[],"omitted":[],"custom":[]} CSL_BIBLIOGRAPHY </w:instrText>
      </w:r>
      <w:r w:rsidRPr="00A3771C">
        <w:rPr>
          <w:szCs w:val="32"/>
        </w:rPr>
        <w:fldChar w:fldCharType="separate"/>
      </w:r>
      <w:r w:rsidR="00091EA0" w:rsidRPr="00091EA0">
        <w:rPr>
          <w:rFonts w:ascii="Times New Roman" w:hAnsi="Times New Roman" w:cs="Times New Roman"/>
        </w:rPr>
        <w:t xml:space="preserve">1. </w:t>
      </w:r>
      <w:r w:rsidR="00091EA0" w:rsidRPr="00091EA0">
        <w:rPr>
          <w:rFonts w:ascii="Times New Roman" w:hAnsi="Times New Roman" w:cs="Times New Roman"/>
        </w:rPr>
        <w:tab/>
        <w:t>Giambartolomei C, Vukcevic D, Schadt EE, Franke L, Hingorani AD, Wallace C, et al. Bayesian test for colocalisation between pairs of genetic association studies using summary statistics. PLoS Genet. 2014;10:e1004383.</w:t>
      </w:r>
    </w:p>
    <w:p w14:paraId="0C7AE396"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2. </w:t>
      </w:r>
      <w:r w:rsidRPr="00091EA0">
        <w:rPr>
          <w:rFonts w:ascii="Times New Roman" w:hAnsi="Times New Roman" w:cs="Times New Roman"/>
        </w:rPr>
        <w:tab/>
        <w:t>Zuber V, Grinberg NF, Gill D, Manipur I, Slob EAW, Patel A, et al. Combining evidence from Mendelian randomization and colocalization: Review and comparison of approaches. Am J Hum Genet. 2022;109:767–782.</w:t>
      </w:r>
    </w:p>
    <w:p w14:paraId="6179AFE8"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3. </w:t>
      </w:r>
      <w:r w:rsidRPr="00091EA0">
        <w:rPr>
          <w:rFonts w:ascii="Times New Roman" w:hAnsi="Times New Roman" w:cs="Times New Roman"/>
        </w:rPr>
        <w:tab/>
        <w:t>Yang C, Fagan AM, Perrin RJ, Rhinn H, Harari O, Cruchaga C. Mendelian randomization and genetic colocalization infer the effects of the multi-tissue proteome on 211 complex disease-related phenotypes. Genome Med. 2022;14:140.</w:t>
      </w:r>
    </w:p>
    <w:p w14:paraId="145E3CE3"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4. </w:t>
      </w:r>
      <w:r w:rsidRPr="00091EA0">
        <w:rPr>
          <w:rFonts w:ascii="Times New Roman" w:hAnsi="Times New Roman" w:cs="Times New Roman"/>
        </w:rPr>
        <w:tab/>
        <w:t>Li M, Santpere G, Imamura Kawasawa Y, Evgrafov OV, Gulden FO, Pochareddy S, et al. Integrative functional genomic analysis of human brain development and neuropsychiatric risks. Science. 2018;362:eaat7615.</w:t>
      </w:r>
    </w:p>
    <w:p w14:paraId="7E528FA0"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5. </w:t>
      </w:r>
      <w:r w:rsidRPr="00091EA0">
        <w:rPr>
          <w:rFonts w:ascii="Times New Roman" w:hAnsi="Times New Roman" w:cs="Times New Roman"/>
        </w:rPr>
        <w:tab/>
        <w:t>Liu M, Wang L, Zhang Y, Dong H, Wang C, Chen Y, et al. Investigating the shared genetic architecture between depression and subcortical volumes. Nat Commun. 2024;15:7647.</w:t>
      </w:r>
    </w:p>
    <w:p w14:paraId="405CF20C"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6. </w:t>
      </w:r>
      <w:r w:rsidRPr="00091EA0">
        <w:rPr>
          <w:rFonts w:ascii="Times New Roman" w:hAnsi="Times New Roman" w:cs="Times New Roman"/>
        </w:rPr>
        <w:tab/>
        <w:t>Chen Y, Li W, Lv L, Yue W. Shared Genetic Determinants of Schizophrenia and Autism Spectrum Disorder Implicate Opposite Risk Patterns: A Genome-Wide Analysis of Common Variants. Schizophr Bull. 2024;50:1382–1395.</w:t>
      </w:r>
    </w:p>
    <w:p w14:paraId="48BE990A"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7. </w:t>
      </w:r>
      <w:r w:rsidRPr="00091EA0">
        <w:rPr>
          <w:rFonts w:ascii="Times New Roman" w:hAnsi="Times New Roman" w:cs="Times New Roman"/>
        </w:rPr>
        <w:tab/>
        <w:t>Bycroft C, Freeman C, Petkova D, Band G, Elliott LT, Sharp K, et al. The UK Biobank resource with deep phenotyping and genomic data. Nature. 2018;562:203–209.</w:t>
      </w:r>
    </w:p>
    <w:p w14:paraId="5301F6F0"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8. </w:t>
      </w:r>
      <w:r w:rsidRPr="00091EA0">
        <w:rPr>
          <w:rFonts w:ascii="Times New Roman" w:hAnsi="Times New Roman" w:cs="Times New Roman"/>
        </w:rPr>
        <w:tab/>
        <w:t>Trubetskoy V, Pardiñas AF, Qi T, Panagiotaropoulou G, Awasthi S, Bigdeli TB, et al. Mapping genomic loci implicates genes and synaptic biology in schizophrenia. Nature. 2022;604:502–508.</w:t>
      </w:r>
    </w:p>
    <w:p w14:paraId="0D6B3B05"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9. </w:t>
      </w:r>
      <w:r w:rsidRPr="00091EA0">
        <w:rPr>
          <w:rFonts w:ascii="Times New Roman" w:hAnsi="Times New Roman" w:cs="Times New Roman"/>
        </w:rPr>
        <w:tab/>
        <w:t>Choi SW, O’Reilly PF. PRSice-2: Polygenic Risk Score software for biobank-scale data. Gigascience. 2019;8:giz082.</w:t>
      </w:r>
    </w:p>
    <w:p w14:paraId="65C3DC85"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10. </w:t>
      </w:r>
      <w:r w:rsidRPr="00091EA0">
        <w:rPr>
          <w:rFonts w:ascii="Times New Roman" w:hAnsi="Times New Roman" w:cs="Times New Roman"/>
        </w:rPr>
        <w:tab/>
        <w:t>Choi SW, García-González J, Ruan Y, Wu HM, Porras C, Johnson J, et al. PRSet: Pathway-based polygenic risk score analyses and software. PLoS Genet. 2023;19:e1010624.</w:t>
      </w:r>
    </w:p>
    <w:p w14:paraId="25EFD2E1"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11. </w:t>
      </w:r>
      <w:r w:rsidRPr="00091EA0">
        <w:rPr>
          <w:rFonts w:ascii="Times New Roman" w:hAnsi="Times New Roman" w:cs="Times New Roman"/>
        </w:rPr>
        <w:tab/>
        <w:t>Choi SW, Mak TS-H, O’Reilly PF. Tutorial: a guide to performing polygenic risk score analyses. Nat Protoc. 2020;15:2759–2772.</w:t>
      </w:r>
    </w:p>
    <w:p w14:paraId="7C79BF2D"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12. </w:t>
      </w:r>
      <w:r w:rsidRPr="00091EA0">
        <w:rPr>
          <w:rFonts w:ascii="Times New Roman" w:hAnsi="Times New Roman" w:cs="Times New Roman"/>
        </w:rPr>
        <w:tab/>
        <w:t>Coombes BJ, Ploner A, Bergen SE, Biernacka JM. A principal component approach to improve association testing with polygenic risk scores. Genet Epidemiol. 2020;44:676–686.</w:t>
      </w:r>
    </w:p>
    <w:p w14:paraId="65A81F73"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13. </w:t>
      </w:r>
      <w:r w:rsidRPr="00091EA0">
        <w:rPr>
          <w:rFonts w:ascii="Times New Roman" w:hAnsi="Times New Roman" w:cs="Times New Roman"/>
        </w:rPr>
        <w:tab/>
        <w:t>Warren TL, Tubbs JD, Lesh TA, Corona MB, Pakzad SS, Albuquerque MD, et al. Association of neurotransmitter pathway polygenic risk with specific symptom profiles in psychosis. Mol Psychiatry. 2024;29:2389–2398.</w:t>
      </w:r>
    </w:p>
    <w:p w14:paraId="7DCB7396"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t xml:space="preserve">14. </w:t>
      </w:r>
      <w:r w:rsidRPr="00091EA0">
        <w:rPr>
          <w:rFonts w:ascii="Times New Roman" w:hAnsi="Times New Roman" w:cs="Times New Roman"/>
        </w:rPr>
        <w:tab/>
        <w:t>Zhang R, Sjölander A, Ploner A, Lu D, Bulik CM, Bergen SE. Novel disease associations with schizophrenia genetic risk revealed in ~400,000 UK Biobank participants. Mol Psychiatry. 2022;27:1448–1454.</w:t>
      </w:r>
    </w:p>
    <w:p w14:paraId="011E4884" w14:textId="77777777" w:rsidR="00091EA0" w:rsidRPr="00091EA0" w:rsidRDefault="00091EA0" w:rsidP="00C84508">
      <w:pPr>
        <w:pStyle w:val="ae"/>
        <w:jc w:val="both"/>
        <w:rPr>
          <w:rFonts w:ascii="Times New Roman" w:hAnsi="Times New Roman" w:cs="Times New Roman"/>
        </w:rPr>
      </w:pPr>
      <w:r w:rsidRPr="00091EA0">
        <w:rPr>
          <w:rFonts w:ascii="Times New Roman" w:hAnsi="Times New Roman" w:cs="Times New Roman"/>
        </w:rPr>
        <w:lastRenderedPageBreak/>
        <w:t xml:space="preserve">15. </w:t>
      </w:r>
      <w:r w:rsidRPr="00091EA0">
        <w:rPr>
          <w:rFonts w:ascii="Times New Roman" w:hAnsi="Times New Roman" w:cs="Times New Roman"/>
        </w:rPr>
        <w:tab/>
        <w:t>Peduzzi P, Concato J, Kemper E, Holford TR, Feinstein AR. A simulation study of the number of events per variable in logistic regression analysis. J Clin Epidemiol. 1996;49:1373–1379.</w:t>
      </w:r>
    </w:p>
    <w:p w14:paraId="20356B08" w14:textId="16485F34" w:rsidR="003B0985" w:rsidRPr="00A3771C" w:rsidRDefault="00FB0540" w:rsidP="00C84508">
      <w:pPr>
        <w:pStyle w:val="ae"/>
        <w:ind w:left="0" w:firstLine="0"/>
        <w:jc w:val="both"/>
        <w:rPr>
          <w:rFonts w:ascii="Times New Roman" w:hAnsi="Times New Roman" w:cs="Times New Roman"/>
          <w:szCs w:val="32"/>
        </w:rPr>
      </w:pPr>
      <w:r w:rsidRPr="00A3771C">
        <w:rPr>
          <w:rFonts w:ascii="Times New Roman" w:hAnsi="Times New Roman" w:cs="Times New Roman"/>
          <w:szCs w:val="32"/>
        </w:rPr>
        <w:fldChar w:fldCharType="end"/>
      </w:r>
    </w:p>
    <w:sectPr w:rsidR="003B0985" w:rsidRPr="00A377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FB5"/>
    <w:rsid w:val="00000E09"/>
    <w:rsid w:val="00003200"/>
    <w:rsid w:val="000056AE"/>
    <w:rsid w:val="00006CE2"/>
    <w:rsid w:val="0001346B"/>
    <w:rsid w:val="00013FD6"/>
    <w:rsid w:val="000144C1"/>
    <w:rsid w:val="000147B5"/>
    <w:rsid w:val="0002557E"/>
    <w:rsid w:val="000262C6"/>
    <w:rsid w:val="0003239F"/>
    <w:rsid w:val="00035771"/>
    <w:rsid w:val="000368AD"/>
    <w:rsid w:val="00037BE0"/>
    <w:rsid w:val="00051F9F"/>
    <w:rsid w:val="00052792"/>
    <w:rsid w:val="00061A36"/>
    <w:rsid w:val="00064058"/>
    <w:rsid w:val="00072FD2"/>
    <w:rsid w:val="00075028"/>
    <w:rsid w:val="00082224"/>
    <w:rsid w:val="00087FD7"/>
    <w:rsid w:val="00091EA0"/>
    <w:rsid w:val="000960DB"/>
    <w:rsid w:val="000A2734"/>
    <w:rsid w:val="000A334F"/>
    <w:rsid w:val="000A3901"/>
    <w:rsid w:val="000A5BE2"/>
    <w:rsid w:val="000A6E24"/>
    <w:rsid w:val="000A7663"/>
    <w:rsid w:val="000B0F30"/>
    <w:rsid w:val="000C0074"/>
    <w:rsid w:val="000C5061"/>
    <w:rsid w:val="000C7B31"/>
    <w:rsid w:val="000D22D6"/>
    <w:rsid w:val="000D356D"/>
    <w:rsid w:val="000D431C"/>
    <w:rsid w:val="000D6BE9"/>
    <w:rsid w:val="000E3165"/>
    <w:rsid w:val="000E3746"/>
    <w:rsid w:val="000F6116"/>
    <w:rsid w:val="0010725C"/>
    <w:rsid w:val="00112B9D"/>
    <w:rsid w:val="00121585"/>
    <w:rsid w:val="00127D91"/>
    <w:rsid w:val="0013119A"/>
    <w:rsid w:val="0013748C"/>
    <w:rsid w:val="00141E29"/>
    <w:rsid w:val="001428F1"/>
    <w:rsid w:val="00142918"/>
    <w:rsid w:val="00147CAD"/>
    <w:rsid w:val="00154724"/>
    <w:rsid w:val="00156226"/>
    <w:rsid w:val="00162A54"/>
    <w:rsid w:val="00165C4E"/>
    <w:rsid w:val="0017703F"/>
    <w:rsid w:val="001808A2"/>
    <w:rsid w:val="00187AFC"/>
    <w:rsid w:val="001915CA"/>
    <w:rsid w:val="00191B4E"/>
    <w:rsid w:val="001A4077"/>
    <w:rsid w:val="001A5FEC"/>
    <w:rsid w:val="001B75F6"/>
    <w:rsid w:val="001C300A"/>
    <w:rsid w:val="001C3F85"/>
    <w:rsid w:val="001C6B0D"/>
    <w:rsid w:val="001E0E1A"/>
    <w:rsid w:val="001E3E75"/>
    <w:rsid w:val="001E41AA"/>
    <w:rsid w:val="001E5203"/>
    <w:rsid w:val="001F0A19"/>
    <w:rsid w:val="0020624C"/>
    <w:rsid w:val="00206ABD"/>
    <w:rsid w:val="00212F08"/>
    <w:rsid w:val="00213BE7"/>
    <w:rsid w:val="002160A9"/>
    <w:rsid w:val="00216A3E"/>
    <w:rsid w:val="002173C9"/>
    <w:rsid w:val="0022074C"/>
    <w:rsid w:val="002359CE"/>
    <w:rsid w:val="0023639B"/>
    <w:rsid w:val="00240A6B"/>
    <w:rsid w:val="0024616D"/>
    <w:rsid w:val="002500E0"/>
    <w:rsid w:val="002554F0"/>
    <w:rsid w:val="00262E37"/>
    <w:rsid w:val="002643F2"/>
    <w:rsid w:val="00264BC5"/>
    <w:rsid w:val="00265963"/>
    <w:rsid w:val="00271050"/>
    <w:rsid w:val="00283DA2"/>
    <w:rsid w:val="00286A49"/>
    <w:rsid w:val="00291A6D"/>
    <w:rsid w:val="00292FA9"/>
    <w:rsid w:val="0029565B"/>
    <w:rsid w:val="002B1D85"/>
    <w:rsid w:val="002B7953"/>
    <w:rsid w:val="002C03A8"/>
    <w:rsid w:val="002C3C55"/>
    <w:rsid w:val="002C6EF7"/>
    <w:rsid w:val="002C75A2"/>
    <w:rsid w:val="002D0804"/>
    <w:rsid w:val="002E3927"/>
    <w:rsid w:val="002E64F3"/>
    <w:rsid w:val="002F24C4"/>
    <w:rsid w:val="002F49BD"/>
    <w:rsid w:val="002F4DBC"/>
    <w:rsid w:val="002F5964"/>
    <w:rsid w:val="002F72EC"/>
    <w:rsid w:val="0030065E"/>
    <w:rsid w:val="00305E3C"/>
    <w:rsid w:val="00311707"/>
    <w:rsid w:val="0031557E"/>
    <w:rsid w:val="003200B0"/>
    <w:rsid w:val="00322596"/>
    <w:rsid w:val="0032301B"/>
    <w:rsid w:val="0032746F"/>
    <w:rsid w:val="00335FDF"/>
    <w:rsid w:val="00354CDA"/>
    <w:rsid w:val="003626E2"/>
    <w:rsid w:val="0036290F"/>
    <w:rsid w:val="00370C60"/>
    <w:rsid w:val="00386514"/>
    <w:rsid w:val="003866C4"/>
    <w:rsid w:val="003878F4"/>
    <w:rsid w:val="003919A4"/>
    <w:rsid w:val="00393364"/>
    <w:rsid w:val="003A0DC5"/>
    <w:rsid w:val="003A19B6"/>
    <w:rsid w:val="003B0985"/>
    <w:rsid w:val="003B2789"/>
    <w:rsid w:val="003C723B"/>
    <w:rsid w:val="003D2337"/>
    <w:rsid w:val="003D2507"/>
    <w:rsid w:val="003E1976"/>
    <w:rsid w:val="003E2D0A"/>
    <w:rsid w:val="003E4AAC"/>
    <w:rsid w:val="003E7935"/>
    <w:rsid w:val="004010D3"/>
    <w:rsid w:val="00410BB5"/>
    <w:rsid w:val="0042100E"/>
    <w:rsid w:val="00422B21"/>
    <w:rsid w:val="004303C7"/>
    <w:rsid w:val="00440E48"/>
    <w:rsid w:val="004431D0"/>
    <w:rsid w:val="00451E7E"/>
    <w:rsid w:val="00457439"/>
    <w:rsid w:val="0046052B"/>
    <w:rsid w:val="00463C5C"/>
    <w:rsid w:val="00464B80"/>
    <w:rsid w:val="00465C7B"/>
    <w:rsid w:val="004721F3"/>
    <w:rsid w:val="004761C4"/>
    <w:rsid w:val="00485584"/>
    <w:rsid w:val="00492300"/>
    <w:rsid w:val="00492823"/>
    <w:rsid w:val="004948F3"/>
    <w:rsid w:val="004974AB"/>
    <w:rsid w:val="004B3928"/>
    <w:rsid w:val="004B59EC"/>
    <w:rsid w:val="004D4B52"/>
    <w:rsid w:val="004E035E"/>
    <w:rsid w:val="004E5411"/>
    <w:rsid w:val="004F2100"/>
    <w:rsid w:val="0050718F"/>
    <w:rsid w:val="00512D0E"/>
    <w:rsid w:val="005255DF"/>
    <w:rsid w:val="00525D17"/>
    <w:rsid w:val="00527597"/>
    <w:rsid w:val="00534D11"/>
    <w:rsid w:val="00544F4D"/>
    <w:rsid w:val="00551787"/>
    <w:rsid w:val="005518F4"/>
    <w:rsid w:val="005548D8"/>
    <w:rsid w:val="00563208"/>
    <w:rsid w:val="0056447F"/>
    <w:rsid w:val="00570C65"/>
    <w:rsid w:val="00572462"/>
    <w:rsid w:val="00581D42"/>
    <w:rsid w:val="00581E05"/>
    <w:rsid w:val="00584C8F"/>
    <w:rsid w:val="005A430E"/>
    <w:rsid w:val="005A6FE1"/>
    <w:rsid w:val="005B34A9"/>
    <w:rsid w:val="005B6DDE"/>
    <w:rsid w:val="005B78B7"/>
    <w:rsid w:val="005C3844"/>
    <w:rsid w:val="005C5EE4"/>
    <w:rsid w:val="005C608E"/>
    <w:rsid w:val="005C6A12"/>
    <w:rsid w:val="005D2464"/>
    <w:rsid w:val="005D6349"/>
    <w:rsid w:val="005E0D31"/>
    <w:rsid w:val="005E2221"/>
    <w:rsid w:val="005E3FB9"/>
    <w:rsid w:val="005E623B"/>
    <w:rsid w:val="005F0AFB"/>
    <w:rsid w:val="005F478B"/>
    <w:rsid w:val="00604358"/>
    <w:rsid w:val="00624A58"/>
    <w:rsid w:val="006276B4"/>
    <w:rsid w:val="006328CC"/>
    <w:rsid w:val="006330AE"/>
    <w:rsid w:val="00633192"/>
    <w:rsid w:val="00634332"/>
    <w:rsid w:val="00642FB5"/>
    <w:rsid w:val="00665182"/>
    <w:rsid w:val="006678A8"/>
    <w:rsid w:val="006768A9"/>
    <w:rsid w:val="006816D4"/>
    <w:rsid w:val="006849D2"/>
    <w:rsid w:val="00685361"/>
    <w:rsid w:val="006868B9"/>
    <w:rsid w:val="006A4E1A"/>
    <w:rsid w:val="006B1805"/>
    <w:rsid w:val="006B249C"/>
    <w:rsid w:val="006B4399"/>
    <w:rsid w:val="006C13D5"/>
    <w:rsid w:val="006C3107"/>
    <w:rsid w:val="006C67B5"/>
    <w:rsid w:val="006C6D03"/>
    <w:rsid w:val="006D1FD1"/>
    <w:rsid w:val="006D3E96"/>
    <w:rsid w:val="006D62CA"/>
    <w:rsid w:val="006E2926"/>
    <w:rsid w:val="006E5BC3"/>
    <w:rsid w:val="00703694"/>
    <w:rsid w:val="00704263"/>
    <w:rsid w:val="0071207D"/>
    <w:rsid w:val="007134BE"/>
    <w:rsid w:val="007303D0"/>
    <w:rsid w:val="00736040"/>
    <w:rsid w:val="007406FC"/>
    <w:rsid w:val="00752BC4"/>
    <w:rsid w:val="00765AC3"/>
    <w:rsid w:val="00774C4D"/>
    <w:rsid w:val="007814AD"/>
    <w:rsid w:val="00787738"/>
    <w:rsid w:val="00794FF7"/>
    <w:rsid w:val="00796649"/>
    <w:rsid w:val="007A064E"/>
    <w:rsid w:val="007C03B4"/>
    <w:rsid w:val="007D0730"/>
    <w:rsid w:val="007D2FAF"/>
    <w:rsid w:val="007D4B91"/>
    <w:rsid w:val="007D567D"/>
    <w:rsid w:val="007D58CC"/>
    <w:rsid w:val="007D6B3A"/>
    <w:rsid w:val="007D79A0"/>
    <w:rsid w:val="007E0D3B"/>
    <w:rsid w:val="007E3D51"/>
    <w:rsid w:val="007F18CF"/>
    <w:rsid w:val="007F291A"/>
    <w:rsid w:val="008027F8"/>
    <w:rsid w:val="00821285"/>
    <w:rsid w:val="008229B3"/>
    <w:rsid w:val="0084171D"/>
    <w:rsid w:val="00844725"/>
    <w:rsid w:val="008760DB"/>
    <w:rsid w:val="00891E78"/>
    <w:rsid w:val="008930D1"/>
    <w:rsid w:val="008948D5"/>
    <w:rsid w:val="008A0205"/>
    <w:rsid w:val="008A66FF"/>
    <w:rsid w:val="008B01DB"/>
    <w:rsid w:val="008B619D"/>
    <w:rsid w:val="008C18F4"/>
    <w:rsid w:val="008C1B87"/>
    <w:rsid w:val="008C3709"/>
    <w:rsid w:val="008C5C32"/>
    <w:rsid w:val="008C6706"/>
    <w:rsid w:val="008D1C70"/>
    <w:rsid w:val="008D77FF"/>
    <w:rsid w:val="008E0C98"/>
    <w:rsid w:val="008F70A7"/>
    <w:rsid w:val="00901EC2"/>
    <w:rsid w:val="00902724"/>
    <w:rsid w:val="0090774D"/>
    <w:rsid w:val="0091050B"/>
    <w:rsid w:val="00914182"/>
    <w:rsid w:val="00915E29"/>
    <w:rsid w:val="00916765"/>
    <w:rsid w:val="009205E6"/>
    <w:rsid w:val="00926BA1"/>
    <w:rsid w:val="00933B00"/>
    <w:rsid w:val="00935706"/>
    <w:rsid w:val="00936AB0"/>
    <w:rsid w:val="00946B07"/>
    <w:rsid w:val="00981A51"/>
    <w:rsid w:val="00991895"/>
    <w:rsid w:val="009A32A5"/>
    <w:rsid w:val="009B0ED5"/>
    <w:rsid w:val="009B1236"/>
    <w:rsid w:val="009B4785"/>
    <w:rsid w:val="009B55A1"/>
    <w:rsid w:val="009B792C"/>
    <w:rsid w:val="009C0D3C"/>
    <w:rsid w:val="009C1A11"/>
    <w:rsid w:val="009C6CEB"/>
    <w:rsid w:val="009C7A69"/>
    <w:rsid w:val="009D3466"/>
    <w:rsid w:val="009D73D7"/>
    <w:rsid w:val="009E050F"/>
    <w:rsid w:val="009E3E2E"/>
    <w:rsid w:val="009E4F60"/>
    <w:rsid w:val="009F0037"/>
    <w:rsid w:val="009F0B32"/>
    <w:rsid w:val="009F0BF4"/>
    <w:rsid w:val="00A04163"/>
    <w:rsid w:val="00A145CE"/>
    <w:rsid w:val="00A15A21"/>
    <w:rsid w:val="00A21A9C"/>
    <w:rsid w:val="00A26D88"/>
    <w:rsid w:val="00A32909"/>
    <w:rsid w:val="00A32BC5"/>
    <w:rsid w:val="00A339D9"/>
    <w:rsid w:val="00A3771C"/>
    <w:rsid w:val="00A53A95"/>
    <w:rsid w:val="00A55208"/>
    <w:rsid w:val="00A60029"/>
    <w:rsid w:val="00A62071"/>
    <w:rsid w:val="00A64660"/>
    <w:rsid w:val="00A7505D"/>
    <w:rsid w:val="00A834A1"/>
    <w:rsid w:val="00A952E2"/>
    <w:rsid w:val="00A97FAA"/>
    <w:rsid w:val="00AA0458"/>
    <w:rsid w:val="00AA5F4F"/>
    <w:rsid w:val="00AB027D"/>
    <w:rsid w:val="00AB56EA"/>
    <w:rsid w:val="00AC0022"/>
    <w:rsid w:val="00AC3C99"/>
    <w:rsid w:val="00AC6283"/>
    <w:rsid w:val="00AD3CB6"/>
    <w:rsid w:val="00AF7C5E"/>
    <w:rsid w:val="00B01386"/>
    <w:rsid w:val="00B04BBD"/>
    <w:rsid w:val="00B05B71"/>
    <w:rsid w:val="00B06C31"/>
    <w:rsid w:val="00B11169"/>
    <w:rsid w:val="00B13D7A"/>
    <w:rsid w:val="00B16085"/>
    <w:rsid w:val="00B24880"/>
    <w:rsid w:val="00B34F96"/>
    <w:rsid w:val="00B35D5F"/>
    <w:rsid w:val="00B40C27"/>
    <w:rsid w:val="00B41639"/>
    <w:rsid w:val="00B52A6E"/>
    <w:rsid w:val="00B604D8"/>
    <w:rsid w:val="00B66EA6"/>
    <w:rsid w:val="00B6781E"/>
    <w:rsid w:val="00B718E3"/>
    <w:rsid w:val="00B86A3C"/>
    <w:rsid w:val="00B87DEC"/>
    <w:rsid w:val="00BA0DC7"/>
    <w:rsid w:val="00BA5619"/>
    <w:rsid w:val="00BA6BB0"/>
    <w:rsid w:val="00BB36E5"/>
    <w:rsid w:val="00BB6F86"/>
    <w:rsid w:val="00BC61F6"/>
    <w:rsid w:val="00BE4A43"/>
    <w:rsid w:val="00BE7227"/>
    <w:rsid w:val="00BF6345"/>
    <w:rsid w:val="00C032AC"/>
    <w:rsid w:val="00C13D9F"/>
    <w:rsid w:val="00C202BB"/>
    <w:rsid w:val="00C20325"/>
    <w:rsid w:val="00C25CBD"/>
    <w:rsid w:val="00C400D2"/>
    <w:rsid w:val="00C45160"/>
    <w:rsid w:val="00C54A22"/>
    <w:rsid w:val="00C55515"/>
    <w:rsid w:val="00C55A93"/>
    <w:rsid w:val="00C5636E"/>
    <w:rsid w:val="00C5739A"/>
    <w:rsid w:val="00C5746C"/>
    <w:rsid w:val="00C60627"/>
    <w:rsid w:val="00C61A7A"/>
    <w:rsid w:val="00C63BCF"/>
    <w:rsid w:val="00C65CE0"/>
    <w:rsid w:val="00C716E8"/>
    <w:rsid w:val="00C75330"/>
    <w:rsid w:val="00C75CBE"/>
    <w:rsid w:val="00C83A93"/>
    <w:rsid w:val="00C84508"/>
    <w:rsid w:val="00C84DFF"/>
    <w:rsid w:val="00C87886"/>
    <w:rsid w:val="00CA39CE"/>
    <w:rsid w:val="00CA39F1"/>
    <w:rsid w:val="00CA7A9C"/>
    <w:rsid w:val="00CB6A99"/>
    <w:rsid w:val="00CC00F9"/>
    <w:rsid w:val="00CC112B"/>
    <w:rsid w:val="00CC581E"/>
    <w:rsid w:val="00CD2D7F"/>
    <w:rsid w:val="00CD4167"/>
    <w:rsid w:val="00CD4BE8"/>
    <w:rsid w:val="00CE6054"/>
    <w:rsid w:val="00CF6B22"/>
    <w:rsid w:val="00CF7192"/>
    <w:rsid w:val="00CF7B7C"/>
    <w:rsid w:val="00D12949"/>
    <w:rsid w:val="00D14A6F"/>
    <w:rsid w:val="00D20CDF"/>
    <w:rsid w:val="00D3229F"/>
    <w:rsid w:val="00D341D6"/>
    <w:rsid w:val="00D365AB"/>
    <w:rsid w:val="00D4239A"/>
    <w:rsid w:val="00D4502E"/>
    <w:rsid w:val="00D4564B"/>
    <w:rsid w:val="00D468F5"/>
    <w:rsid w:val="00D63CE3"/>
    <w:rsid w:val="00D73307"/>
    <w:rsid w:val="00D833DB"/>
    <w:rsid w:val="00D86D0E"/>
    <w:rsid w:val="00D877B9"/>
    <w:rsid w:val="00D90003"/>
    <w:rsid w:val="00D950DA"/>
    <w:rsid w:val="00DB6747"/>
    <w:rsid w:val="00DC007D"/>
    <w:rsid w:val="00DC1404"/>
    <w:rsid w:val="00DC27C4"/>
    <w:rsid w:val="00DE4C7F"/>
    <w:rsid w:val="00DF25DE"/>
    <w:rsid w:val="00DF2EC1"/>
    <w:rsid w:val="00E02B3B"/>
    <w:rsid w:val="00E03142"/>
    <w:rsid w:val="00E1604E"/>
    <w:rsid w:val="00E20B17"/>
    <w:rsid w:val="00E213BF"/>
    <w:rsid w:val="00E231EA"/>
    <w:rsid w:val="00E2526A"/>
    <w:rsid w:val="00E301FD"/>
    <w:rsid w:val="00E34601"/>
    <w:rsid w:val="00E36745"/>
    <w:rsid w:val="00E52B07"/>
    <w:rsid w:val="00E548A2"/>
    <w:rsid w:val="00E54CBA"/>
    <w:rsid w:val="00E55296"/>
    <w:rsid w:val="00E55DB4"/>
    <w:rsid w:val="00E663F4"/>
    <w:rsid w:val="00E67C25"/>
    <w:rsid w:val="00E8090F"/>
    <w:rsid w:val="00E8743E"/>
    <w:rsid w:val="00E92B43"/>
    <w:rsid w:val="00EA1FF9"/>
    <w:rsid w:val="00EB1AF2"/>
    <w:rsid w:val="00EE358F"/>
    <w:rsid w:val="00EE3F02"/>
    <w:rsid w:val="00EE5372"/>
    <w:rsid w:val="00EE62CC"/>
    <w:rsid w:val="00EF0CB0"/>
    <w:rsid w:val="00EF1ADF"/>
    <w:rsid w:val="00EF5E11"/>
    <w:rsid w:val="00F2043F"/>
    <w:rsid w:val="00F2503B"/>
    <w:rsid w:val="00F26109"/>
    <w:rsid w:val="00F3100F"/>
    <w:rsid w:val="00F327BF"/>
    <w:rsid w:val="00F32E81"/>
    <w:rsid w:val="00F4265E"/>
    <w:rsid w:val="00F43D57"/>
    <w:rsid w:val="00F44A8D"/>
    <w:rsid w:val="00F56BEE"/>
    <w:rsid w:val="00F61698"/>
    <w:rsid w:val="00F6287E"/>
    <w:rsid w:val="00F70620"/>
    <w:rsid w:val="00F71FB5"/>
    <w:rsid w:val="00F74141"/>
    <w:rsid w:val="00F7572B"/>
    <w:rsid w:val="00F75BA6"/>
    <w:rsid w:val="00F770FF"/>
    <w:rsid w:val="00F84E7F"/>
    <w:rsid w:val="00F8710E"/>
    <w:rsid w:val="00F96B1A"/>
    <w:rsid w:val="00FA0771"/>
    <w:rsid w:val="00FA157F"/>
    <w:rsid w:val="00FA73D3"/>
    <w:rsid w:val="00FB0540"/>
    <w:rsid w:val="00FC02A9"/>
    <w:rsid w:val="00FC0BD2"/>
    <w:rsid w:val="00FD2D6B"/>
    <w:rsid w:val="00FD61B2"/>
    <w:rsid w:val="00FD6C50"/>
    <w:rsid w:val="00FE4846"/>
    <w:rsid w:val="00FE6C45"/>
    <w:rsid w:val="00FE7CCC"/>
    <w:rsid w:val="00FF4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0603"/>
  <w15:chartTrackingRefBased/>
  <w15:docId w15:val="{EF586670-A74C-784D-8C16-85EAB98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7B5"/>
    <w:rPr>
      <w:rFonts w:ascii="宋体" w:eastAsia="宋体" w:hAnsi="宋体" w:cs="宋体"/>
      <w:kern w:val="0"/>
      <w:sz w:val="24"/>
    </w:rPr>
  </w:style>
  <w:style w:type="paragraph" w:styleId="1">
    <w:name w:val="heading 1"/>
    <w:basedOn w:val="a"/>
    <w:next w:val="a"/>
    <w:link w:val="10"/>
    <w:uiPriority w:val="9"/>
    <w:qFormat/>
    <w:rsid w:val="00F71FB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71FB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71FB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71FB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71FB5"/>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F71FB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71FB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71FB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71FB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71FB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71FB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71FB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71FB5"/>
    <w:rPr>
      <w:rFonts w:cstheme="majorBidi"/>
      <w:color w:val="2F5496" w:themeColor="accent1" w:themeShade="BF"/>
      <w:sz w:val="28"/>
      <w:szCs w:val="28"/>
    </w:rPr>
  </w:style>
  <w:style w:type="character" w:customStyle="1" w:styleId="50">
    <w:name w:val="标题 5 字符"/>
    <w:basedOn w:val="a0"/>
    <w:link w:val="5"/>
    <w:uiPriority w:val="9"/>
    <w:semiHidden/>
    <w:rsid w:val="00F71FB5"/>
    <w:rPr>
      <w:rFonts w:cstheme="majorBidi"/>
      <w:color w:val="2F5496" w:themeColor="accent1" w:themeShade="BF"/>
      <w:sz w:val="24"/>
    </w:rPr>
  </w:style>
  <w:style w:type="character" w:customStyle="1" w:styleId="60">
    <w:name w:val="标题 6 字符"/>
    <w:basedOn w:val="a0"/>
    <w:link w:val="6"/>
    <w:uiPriority w:val="9"/>
    <w:semiHidden/>
    <w:rsid w:val="00F71FB5"/>
    <w:rPr>
      <w:rFonts w:cstheme="majorBidi"/>
      <w:b/>
      <w:bCs/>
      <w:color w:val="2F5496" w:themeColor="accent1" w:themeShade="BF"/>
    </w:rPr>
  </w:style>
  <w:style w:type="character" w:customStyle="1" w:styleId="70">
    <w:name w:val="标题 7 字符"/>
    <w:basedOn w:val="a0"/>
    <w:link w:val="7"/>
    <w:uiPriority w:val="9"/>
    <w:semiHidden/>
    <w:rsid w:val="00F71FB5"/>
    <w:rPr>
      <w:rFonts w:cstheme="majorBidi"/>
      <w:b/>
      <w:bCs/>
      <w:color w:val="595959" w:themeColor="text1" w:themeTint="A6"/>
    </w:rPr>
  </w:style>
  <w:style w:type="character" w:customStyle="1" w:styleId="80">
    <w:name w:val="标题 8 字符"/>
    <w:basedOn w:val="a0"/>
    <w:link w:val="8"/>
    <w:uiPriority w:val="9"/>
    <w:semiHidden/>
    <w:rsid w:val="00F71FB5"/>
    <w:rPr>
      <w:rFonts w:cstheme="majorBidi"/>
      <w:color w:val="595959" w:themeColor="text1" w:themeTint="A6"/>
    </w:rPr>
  </w:style>
  <w:style w:type="character" w:customStyle="1" w:styleId="90">
    <w:name w:val="标题 9 字符"/>
    <w:basedOn w:val="a0"/>
    <w:link w:val="9"/>
    <w:uiPriority w:val="9"/>
    <w:semiHidden/>
    <w:rsid w:val="00F71FB5"/>
    <w:rPr>
      <w:rFonts w:eastAsiaTheme="majorEastAsia" w:cstheme="majorBidi"/>
      <w:color w:val="595959" w:themeColor="text1" w:themeTint="A6"/>
    </w:rPr>
  </w:style>
  <w:style w:type="paragraph" w:styleId="a3">
    <w:name w:val="Title"/>
    <w:basedOn w:val="a"/>
    <w:next w:val="a"/>
    <w:link w:val="a4"/>
    <w:uiPriority w:val="10"/>
    <w:qFormat/>
    <w:rsid w:val="00F71F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71F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1F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71F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1FB5"/>
    <w:pPr>
      <w:spacing w:before="160" w:after="160"/>
      <w:jc w:val="center"/>
    </w:pPr>
    <w:rPr>
      <w:i/>
      <w:iCs/>
      <w:color w:val="404040" w:themeColor="text1" w:themeTint="BF"/>
    </w:rPr>
  </w:style>
  <w:style w:type="character" w:customStyle="1" w:styleId="a8">
    <w:name w:val="引用 字符"/>
    <w:basedOn w:val="a0"/>
    <w:link w:val="a7"/>
    <w:uiPriority w:val="29"/>
    <w:rsid w:val="00F71FB5"/>
    <w:rPr>
      <w:i/>
      <w:iCs/>
      <w:color w:val="404040" w:themeColor="text1" w:themeTint="BF"/>
    </w:rPr>
  </w:style>
  <w:style w:type="paragraph" w:styleId="a9">
    <w:name w:val="List Paragraph"/>
    <w:basedOn w:val="a"/>
    <w:uiPriority w:val="34"/>
    <w:qFormat/>
    <w:rsid w:val="00F71FB5"/>
    <w:pPr>
      <w:ind w:left="720"/>
      <w:contextualSpacing/>
    </w:pPr>
  </w:style>
  <w:style w:type="character" w:styleId="aa">
    <w:name w:val="Intense Emphasis"/>
    <w:basedOn w:val="a0"/>
    <w:uiPriority w:val="21"/>
    <w:qFormat/>
    <w:rsid w:val="00F71FB5"/>
    <w:rPr>
      <w:i/>
      <w:iCs/>
      <w:color w:val="2F5496" w:themeColor="accent1" w:themeShade="BF"/>
    </w:rPr>
  </w:style>
  <w:style w:type="paragraph" w:styleId="ab">
    <w:name w:val="Intense Quote"/>
    <w:basedOn w:val="a"/>
    <w:next w:val="a"/>
    <w:link w:val="ac"/>
    <w:uiPriority w:val="30"/>
    <w:qFormat/>
    <w:rsid w:val="00F71F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71FB5"/>
    <w:rPr>
      <w:i/>
      <w:iCs/>
      <w:color w:val="2F5496" w:themeColor="accent1" w:themeShade="BF"/>
    </w:rPr>
  </w:style>
  <w:style w:type="character" w:styleId="ad">
    <w:name w:val="Intense Reference"/>
    <w:basedOn w:val="a0"/>
    <w:uiPriority w:val="32"/>
    <w:qFormat/>
    <w:rsid w:val="00F71FB5"/>
    <w:rPr>
      <w:b/>
      <w:bCs/>
      <w:smallCaps/>
      <w:color w:val="2F5496" w:themeColor="accent1" w:themeShade="BF"/>
      <w:spacing w:val="5"/>
    </w:rPr>
  </w:style>
  <w:style w:type="paragraph" w:styleId="ae">
    <w:name w:val="Bibliography"/>
    <w:basedOn w:val="a"/>
    <w:next w:val="a"/>
    <w:uiPriority w:val="37"/>
    <w:unhideWhenUsed/>
    <w:rsid w:val="00FB0540"/>
    <w:pPr>
      <w:tabs>
        <w:tab w:val="left" w:pos="380"/>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8073">
      <w:bodyDiv w:val="1"/>
      <w:marLeft w:val="0"/>
      <w:marRight w:val="0"/>
      <w:marTop w:val="0"/>
      <w:marBottom w:val="0"/>
      <w:divBdr>
        <w:top w:val="none" w:sz="0" w:space="0" w:color="auto"/>
        <w:left w:val="none" w:sz="0" w:space="0" w:color="auto"/>
        <w:bottom w:val="none" w:sz="0" w:space="0" w:color="auto"/>
        <w:right w:val="none" w:sz="0" w:space="0" w:color="auto"/>
      </w:divBdr>
      <w:divsChild>
        <w:div w:id="18177237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988414">
      <w:bodyDiv w:val="1"/>
      <w:marLeft w:val="0"/>
      <w:marRight w:val="0"/>
      <w:marTop w:val="0"/>
      <w:marBottom w:val="0"/>
      <w:divBdr>
        <w:top w:val="none" w:sz="0" w:space="0" w:color="auto"/>
        <w:left w:val="none" w:sz="0" w:space="0" w:color="auto"/>
        <w:bottom w:val="none" w:sz="0" w:space="0" w:color="auto"/>
        <w:right w:val="none" w:sz="0" w:space="0" w:color="auto"/>
      </w:divBdr>
    </w:div>
    <w:div w:id="211502054">
      <w:bodyDiv w:val="1"/>
      <w:marLeft w:val="0"/>
      <w:marRight w:val="0"/>
      <w:marTop w:val="0"/>
      <w:marBottom w:val="0"/>
      <w:divBdr>
        <w:top w:val="none" w:sz="0" w:space="0" w:color="auto"/>
        <w:left w:val="none" w:sz="0" w:space="0" w:color="auto"/>
        <w:bottom w:val="none" w:sz="0" w:space="0" w:color="auto"/>
        <w:right w:val="none" w:sz="0" w:space="0" w:color="auto"/>
      </w:divBdr>
      <w:divsChild>
        <w:div w:id="13813183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60795443">
      <w:bodyDiv w:val="1"/>
      <w:marLeft w:val="0"/>
      <w:marRight w:val="0"/>
      <w:marTop w:val="0"/>
      <w:marBottom w:val="0"/>
      <w:divBdr>
        <w:top w:val="none" w:sz="0" w:space="0" w:color="auto"/>
        <w:left w:val="none" w:sz="0" w:space="0" w:color="auto"/>
        <w:bottom w:val="none" w:sz="0" w:space="0" w:color="auto"/>
        <w:right w:val="none" w:sz="0" w:space="0" w:color="auto"/>
      </w:divBdr>
    </w:div>
    <w:div w:id="361900374">
      <w:bodyDiv w:val="1"/>
      <w:marLeft w:val="0"/>
      <w:marRight w:val="0"/>
      <w:marTop w:val="0"/>
      <w:marBottom w:val="0"/>
      <w:divBdr>
        <w:top w:val="none" w:sz="0" w:space="0" w:color="auto"/>
        <w:left w:val="none" w:sz="0" w:space="0" w:color="auto"/>
        <w:bottom w:val="none" w:sz="0" w:space="0" w:color="auto"/>
        <w:right w:val="none" w:sz="0" w:space="0" w:color="auto"/>
      </w:divBdr>
      <w:divsChild>
        <w:div w:id="38163251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3873165">
      <w:bodyDiv w:val="1"/>
      <w:marLeft w:val="0"/>
      <w:marRight w:val="0"/>
      <w:marTop w:val="0"/>
      <w:marBottom w:val="0"/>
      <w:divBdr>
        <w:top w:val="none" w:sz="0" w:space="0" w:color="auto"/>
        <w:left w:val="none" w:sz="0" w:space="0" w:color="auto"/>
        <w:bottom w:val="none" w:sz="0" w:space="0" w:color="auto"/>
        <w:right w:val="none" w:sz="0" w:space="0" w:color="auto"/>
      </w:divBdr>
    </w:div>
    <w:div w:id="431511017">
      <w:bodyDiv w:val="1"/>
      <w:marLeft w:val="0"/>
      <w:marRight w:val="0"/>
      <w:marTop w:val="0"/>
      <w:marBottom w:val="0"/>
      <w:divBdr>
        <w:top w:val="none" w:sz="0" w:space="0" w:color="auto"/>
        <w:left w:val="none" w:sz="0" w:space="0" w:color="auto"/>
        <w:bottom w:val="none" w:sz="0" w:space="0" w:color="auto"/>
        <w:right w:val="none" w:sz="0" w:space="0" w:color="auto"/>
      </w:divBdr>
    </w:div>
    <w:div w:id="552665461">
      <w:bodyDiv w:val="1"/>
      <w:marLeft w:val="0"/>
      <w:marRight w:val="0"/>
      <w:marTop w:val="0"/>
      <w:marBottom w:val="0"/>
      <w:divBdr>
        <w:top w:val="none" w:sz="0" w:space="0" w:color="auto"/>
        <w:left w:val="none" w:sz="0" w:space="0" w:color="auto"/>
        <w:bottom w:val="none" w:sz="0" w:space="0" w:color="auto"/>
        <w:right w:val="none" w:sz="0" w:space="0" w:color="auto"/>
      </w:divBdr>
    </w:div>
    <w:div w:id="557395861">
      <w:bodyDiv w:val="1"/>
      <w:marLeft w:val="0"/>
      <w:marRight w:val="0"/>
      <w:marTop w:val="0"/>
      <w:marBottom w:val="0"/>
      <w:divBdr>
        <w:top w:val="none" w:sz="0" w:space="0" w:color="auto"/>
        <w:left w:val="none" w:sz="0" w:space="0" w:color="auto"/>
        <w:bottom w:val="none" w:sz="0" w:space="0" w:color="auto"/>
        <w:right w:val="none" w:sz="0" w:space="0" w:color="auto"/>
      </w:divBdr>
    </w:div>
    <w:div w:id="638648853">
      <w:bodyDiv w:val="1"/>
      <w:marLeft w:val="0"/>
      <w:marRight w:val="0"/>
      <w:marTop w:val="0"/>
      <w:marBottom w:val="0"/>
      <w:divBdr>
        <w:top w:val="none" w:sz="0" w:space="0" w:color="auto"/>
        <w:left w:val="none" w:sz="0" w:space="0" w:color="auto"/>
        <w:bottom w:val="none" w:sz="0" w:space="0" w:color="auto"/>
        <w:right w:val="none" w:sz="0" w:space="0" w:color="auto"/>
      </w:divBdr>
      <w:divsChild>
        <w:div w:id="33380169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1811238">
      <w:bodyDiv w:val="1"/>
      <w:marLeft w:val="0"/>
      <w:marRight w:val="0"/>
      <w:marTop w:val="0"/>
      <w:marBottom w:val="0"/>
      <w:divBdr>
        <w:top w:val="none" w:sz="0" w:space="0" w:color="auto"/>
        <w:left w:val="none" w:sz="0" w:space="0" w:color="auto"/>
        <w:bottom w:val="none" w:sz="0" w:space="0" w:color="auto"/>
        <w:right w:val="none" w:sz="0" w:space="0" w:color="auto"/>
      </w:divBdr>
      <w:divsChild>
        <w:div w:id="1029720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6325258">
      <w:bodyDiv w:val="1"/>
      <w:marLeft w:val="0"/>
      <w:marRight w:val="0"/>
      <w:marTop w:val="0"/>
      <w:marBottom w:val="0"/>
      <w:divBdr>
        <w:top w:val="none" w:sz="0" w:space="0" w:color="auto"/>
        <w:left w:val="none" w:sz="0" w:space="0" w:color="auto"/>
        <w:bottom w:val="none" w:sz="0" w:space="0" w:color="auto"/>
        <w:right w:val="none" w:sz="0" w:space="0" w:color="auto"/>
      </w:divBdr>
      <w:divsChild>
        <w:div w:id="3318752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06070">
      <w:bodyDiv w:val="1"/>
      <w:marLeft w:val="0"/>
      <w:marRight w:val="0"/>
      <w:marTop w:val="0"/>
      <w:marBottom w:val="0"/>
      <w:divBdr>
        <w:top w:val="none" w:sz="0" w:space="0" w:color="auto"/>
        <w:left w:val="none" w:sz="0" w:space="0" w:color="auto"/>
        <w:bottom w:val="none" w:sz="0" w:space="0" w:color="auto"/>
        <w:right w:val="none" w:sz="0" w:space="0" w:color="auto"/>
      </w:divBdr>
    </w:div>
    <w:div w:id="935478373">
      <w:bodyDiv w:val="1"/>
      <w:marLeft w:val="0"/>
      <w:marRight w:val="0"/>
      <w:marTop w:val="0"/>
      <w:marBottom w:val="0"/>
      <w:divBdr>
        <w:top w:val="none" w:sz="0" w:space="0" w:color="auto"/>
        <w:left w:val="none" w:sz="0" w:space="0" w:color="auto"/>
        <w:bottom w:val="none" w:sz="0" w:space="0" w:color="auto"/>
        <w:right w:val="none" w:sz="0" w:space="0" w:color="auto"/>
      </w:divBdr>
      <w:divsChild>
        <w:div w:id="20166905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71520426">
      <w:bodyDiv w:val="1"/>
      <w:marLeft w:val="0"/>
      <w:marRight w:val="0"/>
      <w:marTop w:val="0"/>
      <w:marBottom w:val="0"/>
      <w:divBdr>
        <w:top w:val="none" w:sz="0" w:space="0" w:color="auto"/>
        <w:left w:val="none" w:sz="0" w:space="0" w:color="auto"/>
        <w:bottom w:val="none" w:sz="0" w:space="0" w:color="auto"/>
        <w:right w:val="none" w:sz="0" w:space="0" w:color="auto"/>
      </w:divBdr>
    </w:div>
    <w:div w:id="1051416709">
      <w:bodyDiv w:val="1"/>
      <w:marLeft w:val="0"/>
      <w:marRight w:val="0"/>
      <w:marTop w:val="0"/>
      <w:marBottom w:val="0"/>
      <w:divBdr>
        <w:top w:val="none" w:sz="0" w:space="0" w:color="auto"/>
        <w:left w:val="none" w:sz="0" w:space="0" w:color="auto"/>
        <w:bottom w:val="none" w:sz="0" w:space="0" w:color="auto"/>
        <w:right w:val="none" w:sz="0" w:space="0" w:color="auto"/>
      </w:divBdr>
      <w:divsChild>
        <w:div w:id="3668341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18766042">
      <w:bodyDiv w:val="1"/>
      <w:marLeft w:val="0"/>
      <w:marRight w:val="0"/>
      <w:marTop w:val="0"/>
      <w:marBottom w:val="0"/>
      <w:divBdr>
        <w:top w:val="none" w:sz="0" w:space="0" w:color="auto"/>
        <w:left w:val="none" w:sz="0" w:space="0" w:color="auto"/>
        <w:bottom w:val="none" w:sz="0" w:space="0" w:color="auto"/>
        <w:right w:val="none" w:sz="0" w:space="0" w:color="auto"/>
      </w:divBdr>
      <w:divsChild>
        <w:div w:id="2684676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23232418">
      <w:bodyDiv w:val="1"/>
      <w:marLeft w:val="0"/>
      <w:marRight w:val="0"/>
      <w:marTop w:val="0"/>
      <w:marBottom w:val="0"/>
      <w:divBdr>
        <w:top w:val="none" w:sz="0" w:space="0" w:color="auto"/>
        <w:left w:val="none" w:sz="0" w:space="0" w:color="auto"/>
        <w:bottom w:val="none" w:sz="0" w:space="0" w:color="auto"/>
        <w:right w:val="none" w:sz="0" w:space="0" w:color="auto"/>
      </w:divBdr>
      <w:divsChild>
        <w:div w:id="20957356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7384830">
      <w:bodyDiv w:val="1"/>
      <w:marLeft w:val="0"/>
      <w:marRight w:val="0"/>
      <w:marTop w:val="0"/>
      <w:marBottom w:val="0"/>
      <w:divBdr>
        <w:top w:val="none" w:sz="0" w:space="0" w:color="auto"/>
        <w:left w:val="none" w:sz="0" w:space="0" w:color="auto"/>
        <w:bottom w:val="none" w:sz="0" w:space="0" w:color="auto"/>
        <w:right w:val="none" w:sz="0" w:space="0" w:color="auto"/>
      </w:divBdr>
    </w:div>
    <w:div w:id="1447579341">
      <w:bodyDiv w:val="1"/>
      <w:marLeft w:val="0"/>
      <w:marRight w:val="0"/>
      <w:marTop w:val="0"/>
      <w:marBottom w:val="0"/>
      <w:divBdr>
        <w:top w:val="none" w:sz="0" w:space="0" w:color="auto"/>
        <w:left w:val="none" w:sz="0" w:space="0" w:color="auto"/>
        <w:bottom w:val="none" w:sz="0" w:space="0" w:color="auto"/>
        <w:right w:val="none" w:sz="0" w:space="0" w:color="auto"/>
      </w:divBdr>
      <w:divsChild>
        <w:div w:id="4838615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4420273">
      <w:bodyDiv w:val="1"/>
      <w:marLeft w:val="0"/>
      <w:marRight w:val="0"/>
      <w:marTop w:val="0"/>
      <w:marBottom w:val="0"/>
      <w:divBdr>
        <w:top w:val="none" w:sz="0" w:space="0" w:color="auto"/>
        <w:left w:val="none" w:sz="0" w:space="0" w:color="auto"/>
        <w:bottom w:val="none" w:sz="0" w:space="0" w:color="auto"/>
        <w:right w:val="none" w:sz="0" w:space="0" w:color="auto"/>
      </w:divBdr>
    </w:div>
    <w:div w:id="1517232753">
      <w:bodyDiv w:val="1"/>
      <w:marLeft w:val="0"/>
      <w:marRight w:val="0"/>
      <w:marTop w:val="0"/>
      <w:marBottom w:val="0"/>
      <w:divBdr>
        <w:top w:val="none" w:sz="0" w:space="0" w:color="auto"/>
        <w:left w:val="none" w:sz="0" w:space="0" w:color="auto"/>
        <w:bottom w:val="none" w:sz="0" w:space="0" w:color="auto"/>
        <w:right w:val="none" w:sz="0" w:space="0" w:color="auto"/>
      </w:divBdr>
      <w:divsChild>
        <w:div w:id="72143974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03688078">
      <w:bodyDiv w:val="1"/>
      <w:marLeft w:val="0"/>
      <w:marRight w:val="0"/>
      <w:marTop w:val="0"/>
      <w:marBottom w:val="0"/>
      <w:divBdr>
        <w:top w:val="none" w:sz="0" w:space="0" w:color="auto"/>
        <w:left w:val="none" w:sz="0" w:space="0" w:color="auto"/>
        <w:bottom w:val="none" w:sz="0" w:space="0" w:color="auto"/>
        <w:right w:val="none" w:sz="0" w:space="0" w:color="auto"/>
      </w:divBdr>
    </w:div>
    <w:div w:id="1782410440">
      <w:bodyDiv w:val="1"/>
      <w:marLeft w:val="0"/>
      <w:marRight w:val="0"/>
      <w:marTop w:val="0"/>
      <w:marBottom w:val="0"/>
      <w:divBdr>
        <w:top w:val="none" w:sz="0" w:space="0" w:color="auto"/>
        <w:left w:val="none" w:sz="0" w:space="0" w:color="auto"/>
        <w:bottom w:val="none" w:sz="0" w:space="0" w:color="auto"/>
        <w:right w:val="none" w:sz="0" w:space="0" w:color="auto"/>
      </w:divBdr>
      <w:divsChild>
        <w:div w:id="9268139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5349370">
      <w:bodyDiv w:val="1"/>
      <w:marLeft w:val="0"/>
      <w:marRight w:val="0"/>
      <w:marTop w:val="0"/>
      <w:marBottom w:val="0"/>
      <w:divBdr>
        <w:top w:val="none" w:sz="0" w:space="0" w:color="auto"/>
        <w:left w:val="none" w:sz="0" w:space="0" w:color="auto"/>
        <w:bottom w:val="none" w:sz="0" w:space="0" w:color="auto"/>
        <w:right w:val="none" w:sz="0" w:space="0" w:color="auto"/>
      </w:divBdr>
    </w:div>
    <w:div w:id="1817919705">
      <w:bodyDiv w:val="1"/>
      <w:marLeft w:val="0"/>
      <w:marRight w:val="0"/>
      <w:marTop w:val="0"/>
      <w:marBottom w:val="0"/>
      <w:divBdr>
        <w:top w:val="none" w:sz="0" w:space="0" w:color="auto"/>
        <w:left w:val="none" w:sz="0" w:space="0" w:color="auto"/>
        <w:bottom w:val="none" w:sz="0" w:space="0" w:color="auto"/>
        <w:right w:val="none" w:sz="0" w:space="0" w:color="auto"/>
      </w:divBdr>
      <w:divsChild>
        <w:div w:id="6489405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17</Pages>
  <Words>12768</Words>
  <Characters>72780</Characters>
  <Application>Microsoft Office Word</Application>
  <DocSecurity>0</DocSecurity>
  <Lines>606</Lines>
  <Paragraphs>170</Paragraphs>
  <ScaleCrop>false</ScaleCrop>
  <Company/>
  <LinksUpToDate>false</LinksUpToDate>
  <CharactersWithSpaces>85378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Yuan</dc:creator>
  <cp:keywords/>
  <dc:description/>
  <cp:lastModifiedBy>Rui Yuan</cp:lastModifiedBy>
  <cp:revision>1473</cp:revision>
  <dcterms:created xsi:type="dcterms:W3CDTF">2025-06-12T09:05:00Z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id="A3oN7id8"/&gt;&lt;style id="http://www.zotero.org/styles/molecular-psychiatry" hasBibliography="1" bibliographyStyleHasBeenSet="1"/&gt;&lt;prefs&gt;&lt;pref name="fieldType" value="Field"/&gt;&lt;/prefs&gt;&lt;/data&gt;</vt:lpwstr>
  </property>
</Properties>
</file>