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E07A55">
        <w:rPr>
          <w:rFonts w:ascii="Arial" w:hAnsi="Arial" w:cs="Arial"/>
          <w:b/>
          <w:bCs/>
        </w:rPr>
        <w:t>Supplemental Figure S1.</w:t>
      </w:r>
      <w:proofErr w:type="gramEnd"/>
      <w:r w:rsidRPr="00E07A55">
        <w:rPr>
          <w:rFonts w:ascii="Arial" w:hAnsi="Arial" w:cs="Arial"/>
          <w:b/>
          <w:bCs/>
        </w:rPr>
        <w:t xml:space="preserve"> Quality control of plasma samples from the 42 survivors of critical COVID-19.</w:t>
      </w:r>
      <w:r w:rsidRPr="00E07A55">
        <w:rPr>
          <w:rFonts w:ascii="Arial" w:hAnsi="Arial" w:cs="Arial"/>
        </w:rPr>
        <w:t xml:space="preserve"> Principal component analysis (PCA), using metabolite concentrations after normality assessment, was performed for each metabolic layer and the results are plotted. Each point represents an individual and is </w:t>
      </w:r>
      <w:proofErr w:type="spellStart"/>
      <w:r w:rsidRPr="00E07A55">
        <w:rPr>
          <w:rFonts w:ascii="Arial" w:hAnsi="Arial" w:cs="Arial"/>
        </w:rPr>
        <w:t>colored</w:t>
      </w:r>
      <w:proofErr w:type="spellEnd"/>
      <w:r w:rsidRPr="00E07A55">
        <w:rPr>
          <w:rFonts w:ascii="Arial" w:hAnsi="Arial" w:cs="Arial"/>
        </w:rPr>
        <w:t xml:space="preserve"> according to the group of study. Extreme values to discard are </w:t>
      </w:r>
      <w:proofErr w:type="spellStart"/>
      <w:r w:rsidRPr="00E07A55">
        <w:rPr>
          <w:rFonts w:ascii="Arial" w:hAnsi="Arial" w:cs="Arial"/>
        </w:rPr>
        <w:t>labeled</w:t>
      </w:r>
      <w:proofErr w:type="spellEnd"/>
      <w:r w:rsidRPr="00E07A55">
        <w:rPr>
          <w:rFonts w:ascii="Arial" w:hAnsi="Arial" w:cs="Arial"/>
        </w:rPr>
        <w:t xml:space="preserve">. LMWM: low molecular weight metabolites. TCA: </w:t>
      </w:r>
      <w:proofErr w:type="spellStart"/>
      <w:r w:rsidRPr="00E07A55">
        <w:rPr>
          <w:rFonts w:ascii="Arial" w:hAnsi="Arial" w:cs="Arial"/>
        </w:rPr>
        <w:t>tricarboxylic</w:t>
      </w:r>
      <w:proofErr w:type="spellEnd"/>
      <w:r w:rsidRPr="00E07A55">
        <w:rPr>
          <w:rFonts w:ascii="Arial" w:hAnsi="Arial" w:cs="Arial"/>
        </w:rPr>
        <w:t xml:space="preserve"> acid.</w:t>
      </w: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E07A55">
        <w:rPr>
          <w:rFonts w:ascii="Arial" w:hAnsi="Arial" w:cs="Arial"/>
          <w:b/>
          <w:bCs/>
        </w:rPr>
        <w:t>Supplemental Figure S2.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proofErr w:type="gramStart"/>
      <w:r w:rsidRPr="00E07A55">
        <w:rPr>
          <w:rFonts w:ascii="Arial" w:hAnsi="Arial" w:cs="Arial"/>
          <w:b/>
          <w:bCs/>
        </w:rPr>
        <w:t>Multilayer integ</w:t>
      </w:r>
      <w:bookmarkStart w:id="0" w:name="_GoBack"/>
      <w:bookmarkEnd w:id="0"/>
      <w:r w:rsidRPr="00E07A55">
        <w:rPr>
          <w:rFonts w:ascii="Arial" w:hAnsi="Arial" w:cs="Arial"/>
          <w:b/>
          <w:bCs/>
        </w:rPr>
        <w:t>ration.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r w:rsidRPr="00E07A55">
        <w:rPr>
          <w:rFonts w:ascii="Arial" w:hAnsi="Arial" w:cs="Arial"/>
        </w:rPr>
        <w:t xml:space="preserve">Consensus PCA (CPCA) results are displayed using a multifaceted stacked bar plot. The plot shows the percentage of variance explained by the components selected in each dataset after PCA evaluation. The sequence of </w:t>
      </w:r>
      <w:proofErr w:type="spellStart"/>
      <w:r w:rsidRPr="00E07A55">
        <w:rPr>
          <w:rFonts w:ascii="Arial" w:hAnsi="Arial" w:cs="Arial"/>
        </w:rPr>
        <w:t>colors</w:t>
      </w:r>
      <w:proofErr w:type="spellEnd"/>
      <w:r w:rsidRPr="00E07A55">
        <w:rPr>
          <w:rFonts w:ascii="Arial" w:hAnsi="Arial" w:cs="Arial"/>
        </w:rPr>
        <w:t xml:space="preserve"> included in each bar represents the 70% of features that most contributed to the definition of the specified component. 2SC: </w:t>
      </w:r>
      <w:proofErr w:type="gramStart"/>
      <w:r w:rsidRPr="00E07A55">
        <w:rPr>
          <w:rFonts w:ascii="Arial" w:hAnsi="Arial" w:cs="Arial"/>
        </w:rPr>
        <w:t>2-S-(2-succino) cysteine</w:t>
      </w:r>
      <w:proofErr w:type="gramEnd"/>
      <w:r w:rsidRPr="00E07A55">
        <w:rPr>
          <w:rFonts w:ascii="Arial" w:hAnsi="Arial" w:cs="Arial"/>
        </w:rPr>
        <w:t xml:space="preserve">. </w:t>
      </w:r>
      <w:proofErr w:type="spellStart"/>
      <w:proofErr w:type="gramStart"/>
      <w:r w:rsidRPr="00E07A55">
        <w:rPr>
          <w:rFonts w:ascii="Arial" w:hAnsi="Arial" w:cs="Arial"/>
        </w:rPr>
        <w:t>aKG</w:t>
      </w:r>
      <w:proofErr w:type="spellEnd"/>
      <w:proofErr w:type="gramEnd"/>
      <w:r w:rsidRPr="00E07A55">
        <w:rPr>
          <w:rFonts w:ascii="Arial" w:hAnsi="Arial" w:cs="Arial"/>
        </w:rPr>
        <w:t>: alpha-</w:t>
      </w:r>
      <w:proofErr w:type="spellStart"/>
      <w:r w:rsidRPr="00E07A55">
        <w:rPr>
          <w:rFonts w:ascii="Arial" w:hAnsi="Arial" w:cs="Arial"/>
        </w:rPr>
        <w:t>ketoglutarate</w:t>
      </w:r>
      <w:proofErr w:type="spellEnd"/>
      <w:r w:rsidRPr="00E07A55">
        <w:rPr>
          <w:rFonts w:ascii="Arial" w:hAnsi="Arial" w:cs="Arial"/>
        </w:rPr>
        <w:t xml:space="preserve">. ARA+EPA: </w:t>
      </w:r>
      <w:proofErr w:type="spellStart"/>
      <w:r w:rsidRPr="00E07A55">
        <w:rPr>
          <w:rFonts w:ascii="Arial" w:hAnsi="Arial" w:cs="Arial"/>
        </w:rPr>
        <w:t>arachidonic</w:t>
      </w:r>
      <w:proofErr w:type="spellEnd"/>
      <w:r w:rsidRPr="00E07A55">
        <w:rPr>
          <w:rFonts w:ascii="Arial" w:hAnsi="Arial" w:cs="Arial"/>
        </w:rPr>
        <w:t xml:space="preserve"> acid and </w:t>
      </w:r>
      <w:proofErr w:type="spellStart"/>
      <w:r w:rsidRPr="00E07A55">
        <w:rPr>
          <w:rFonts w:ascii="Arial" w:hAnsi="Arial" w:cs="Arial"/>
        </w:rPr>
        <w:t>eicosapentaenoic</w:t>
      </w:r>
      <w:proofErr w:type="spellEnd"/>
      <w:r w:rsidRPr="00E07A55">
        <w:rPr>
          <w:rFonts w:ascii="Arial" w:hAnsi="Arial" w:cs="Arial"/>
        </w:rPr>
        <w:t xml:space="preserve"> acid. C: cholesterol. CMC: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 xml:space="preserve">-cysteine. CML: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 xml:space="preserve">-lysine. DHA: </w:t>
      </w:r>
      <w:proofErr w:type="spellStart"/>
      <w:r w:rsidRPr="00E07A55">
        <w:rPr>
          <w:rFonts w:ascii="Arial" w:hAnsi="Arial" w:cs="Arial"/>
        </w:rPr>
        <w:t>docosahexaenoic</w:t>
      </w:r>
      <w:proofErr w:type="spellEnd"/>
      <w:r w:rsidRPr="00E07A55">
        <w:rPr>
          <w:rFonts w:ascii="Arial" w:hAnsi="Arial" w:cs="Arial"/>
        </w:rPr>
        <w:t xml:space="preserve"> acid. EC: esterified cholesterol. FC: free cholesterol. </w:t>
      </w:r>
      <w:proofErr w:type="spellStart"/>
      <w:r w:rsidRPr="00E07A55">
        <w:rPr>
          <w:rFonts w:ascii="Arial" w:hAnsi="Arial" w:cs="Arial"/>
        </w:rPr>
        <w:t>Glyc</w:t>
      </w:r>
      <w:proofErr w:type="spellEnd"/>
      <w:r w:rsidRPr="00E07A55">
        <w:rPr>
          <w:rFonts w:ascii="Arial" w:hAnsi="Arial" w:cs="Arial"/>
        </w:rPr>
        <w:t xml:space="preserve">: glycoprotein. H/W: height to bandwidth. IDL: intermediate-density lipoprotein. LA: linoleic acid. LDL: low-density lipoprotein. LMWM: low molecular weight metabolite. LPC: </w:t>
      </w:r>
      <w:proofErr w:type="spellStart"/>
      <w:r w:rsidRPr="00E07A55">
        <w:rPr>
          <w:rFonts w:ascii="Arial" w:hAnsi="Arial" w:cs="Arial"/>
        </w:rPr>
        <w:t>lysophosphatidylcholine</w:t>
      </w:r>
      <w:proofErr w:type="spellEnd"/>
      <w:r w:rsidRPr="00E07A55">
        <w:rPr>
          <w:rFonts w:ascii="Arial" w:hAnsi="Arial" w:cs="Arial"/>
        </w:rPr>
        <w:t xml:space="preserve">. MDAL: </w:t>
      </w:r>
      <w:proofErr w:type="spellStart"/>
      <w:r w:rsidRPr="00E07A55">
        <w:rPr>
          <w:rFonts w:ascii="Arial" w:hAnsi="Arial" w:cs="Arial"/>
        </w:rPr>
        <w:t>malondialdehyde</w:t>
      </w:r>
      <w:proofErr w:type="spellEnd"/>
      <w:r w:rsidRPr="00E07A55">
        <w:rPr>
          <w:rFonts w:ascii="Arial" w:hAnsi="Arial" w:cs="Arial"/>
        </w:rPr>
        <w:t xml:space="preserve">-lysine. P: particle number. PL: </w:t>
      </w:r>
      <w:proofErr w:type="spellStart"/>
      <w:r w:rsidRPr="00E07A55">
        <w:rPr>
          <w:rFonts w:ascii="Arial" w:hAnsi="Arial" w:cs="Arial"/>
        </w:rPr>
        <w:t>glycerophospholipids</w:t>
      </w:r>
      <w:proofErr w:type="spellEnd"/>
      <w:r w:rsidRPr="00E07A55">
        <w:rPr>
          <w:rFonts w:ascii="Arial" w:hAnsi="Arial" w:cs="Arial"/>
        </w:rPr>
        <w:t xml:space="preserve">, except LPC. PUFA: polyunsaturated fatty acids. TCA: </w:t>
      </w:r>
      <w:proofErr w:type="spellStart"/>
      <w:r w:rsidRPr="00E07A55">
        <w:rPr>
          <w:rFonts w:ascii="Arial" w:hAnsi="Arial" w:cs="Arial"/>
        </w:rPr>
        <w:t>tricarboxylic</w:t>
      </w:r>
      <w:proofErr w:type="spellEnd"/>
      <w:r w:rsidRPr="00E07A55">
        <w:rPr>
          <w:rFonts w:ascii="Arial" w:hAnsi="Arial" w:cs="Arial"/>
        </w:rPr>
        <w:t xml:space="preserve"> acid. TG: triglycerides. VLDL: very low density lipoprotein. W3: omega-3 fatty acids. w6+w7: omega-6 and omega-7 fatty acids. W9: omega-9 fatty acids. Z: diameter.</w:t>
      </w: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E07A55">
        <w:rPr>
          <w:rFonts w:ascii="Arial" w:hAnsi="Arial" w:cs="Arial"/>
          <w:b/>
          <w:bCs/>
        </w:rPr>
        <w:t>Supplemental Figure S3.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07A55">
        <w:rPr>
          <w:rFonts w:ascii="Arial" w:hAnsi="Arial" w:cs="Arial"/>
          <w:b/>
          <w:bCs/>
        </w:rPr>
        <w:t>Nonsignificant</w:t>
      </w:r>
      <w:proofErr w:type="spellEnd"/>
      <w:r w:rsidRPr="00E07A55">
        <w:rPr>
          <w:rFonts w:ascii="Arial" w:hAnsi="Arial" w:cs="Arial"/>
          <w:b/>
          <w:bCs/>
        </w:rPr>
        <w:t xml:space="preserve"> linear and nonlinear relationships between the metabolites in the signature and the D</w:t>
      </w:r>
      <w:r w:rsidRPr="00E07A55">
        <w:rPr>
          <w:rFonts w:ascii="Arial" w:hAnsi="Arial" w:cs="Arial"/>
          <w:b/>
          <w:bCs/>
          <w:vertAlign w:val="subscript"/>
        </w:rPr>
        <w:t>LCO</w:t>
      </w:r>
      <w:r w:rsidRPr="00E07A55">
        <w:rPr>
          <w:rFonts w:ascii="Arial" w:hAnsi="Arial" w:cs="Arial"/>
          <w:b/>
          <w:bCs/>
        </w:rPr>
        <w:t>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r w:rsidRPr="00E07A55">
        <w:rPr>
          <w:rFonts w:ascii="Arial" w:hAnsi="Arial" w:cs="Arial"/>
        </w:rPr>
        <w:t xml:space="preserve">The plots show generalized additive </w:t>
      </w:r>
      <w:proofErr w:type="spellStart"/>
      <w:r w:rsidRPr="00E07A55">
        <w:rPr>
          <w:rFonts w:ascii="Arial" w:hAnsi="Arial" w:cs="Arial"/>
        </w:rPr>
        <w:t>modeling</w:t>
      </w:r>
      <w:proofErr w:type="spellEnd"/>
      <w:r w:rsidRPr="00E07A55">
        <w:rPr>
          <w:rFonts w:ascii="Arial" w:hAnsi="Arial" w:cs="Arial"/>
        </w:rPr>
        <w:t xml:space="preserve"> (GAM) for lung diffusing capacity for carbon monoxide (D</w:t>
      </w:r>
      <w:r w:rsidRPr="00E07A55">
        <w:rPr>
          <w:rFonts w:ascii="Arial" w:hAnsi="Arial" w:cs="Arial"/>
          <w:vertAlign w:val="subscript"/>
        </w:rPr>
        <w:t>LCO</w:t>
      </w:r>
      <w:r w:rsidRPr="00E07A55">
        <w:rPr>
          <w:rFonts w:ascii="Arial" w:hAnsi="Arial" w:cs="Arial"/>
        </w:rPr>
        <w:t xml:space="preserve">) (Y axis) and the concentrations of the metabolites in the signature (X axis), except </w:t>
      </w:r>
      <w:proofErr w:type="spellStart"/>
      <w:r w:rsidRPr="00E07A55">
        <w:rPr>
          <w:rFonts w:ascii="Arial" w:hAnsi="Arial" w:cs="Arial"/>
        </w:rPr>
        <w:t>creatine</w:t>
      </w:r>
      <w:proofErr w:type="spellEnd"/>
      <w:r w:rsidRPr="00E07A55">
        <w:rPr>
          <w:rFonts w:ascii="Arial" w:hAnsi="Arial" w:cs="Arial"/>
        </w:rPr>
        <w:t xml:space="preserve">. The 95% confidence band for each GAM is </w:t>
      </w:r>
      <w:proofErr w:type="spellStart"/>
      <w:r w:rsidRPr="00E07A55">
        <w:rPr>
          <w:rFonts w:ascii="Arial" w:hAnsi="Arial" w:cs="Arial"/>
        </w:rPr>
        <w:t>colored</w:t>
      </w:r>
      <w:proofErr w:type="spellEnd"/>
      <w:r w:rsidRPr="00E07A55">
        <w:rPr>
          <w:rFonts w:ascii="Arial" w:hAnsi="Arial" w:cs="Arial"/>
        </w:rPr>
        <w:t xml:space="preserve"> in blue. Each plot displays the </w:t>
      </w:r>
      <w:r w:rsidRPr="00E07A55">
        <w:rPr>
          <w:rFonts w:ascii="Arial" w:hAnsi="Arial" w:cs="Arial"/>
        </w:rPr>
        <w:lastRenderedPageBreak/>
        <w:t>effective degree of freedom (</w:t>
      </w:r>
      <w:proofErr w:type="spellStart"/>
      <w:r w:rsidRPr="00E07A55">
        <w:rPr>
          <w:rFonts w:ascii="Arial" w:hAnsi="Arial" w:cs="Arial"/>
        </w:rPr>
        <w:t>edf</w:t>
      </w:r>
      <w:proofErr w:type="spellEnd"/>
      <w:r w:rsidRPr="00E07A55">
        <w:rPr>
          <w:rFonts w:ascii="Arial" w:hAnsi="Arial" w:cs="Arial"/>
        </w:rPr>
        <w:t xml:space="preserve">) and the p-value of the specified model. 2SC: 2-succinyl-cysteine. </w:t>
      </w:r>
      <w:proofErr w:type="spellStart"/>
      <w:proofErr w:type="gramStart"/>
      <w:r w:rsidRPr="00E07A55">
        <w:rPr>
          <w:rFonts w:ascii="Arial" w:hAnsi="Arial" w:cs="Arial"/>
        </w:rPr>
        <w:t>aKG</w:t>
      </w:r>
      <w:proofErr w:type="spellEnd"/>
      <w:proofErr w:type="gramEnd"/>
      <w:r w:rsidRPr="00E07A55">
        <w:rPr>
          <w:rFonts w:ascii="Arial" w:hAnsi="Arial" w:cs="Arial"/>
        </w:rPr>
        <w:t>: alpha-</w:t>
      </w:r>
      <w:proofErr w:type="spellStart"/>
      <w:r w:rsidRPr="00E07A55">
        <w:rPr>
          <w:rFonts w:ascii="Arial" w:hAnsi="Arial" w:cs="Arial"/>
        </w:rPr>
        <w:t>ketoglutarate</w:t>
      </w:r>
      <w:proofErr w:type="spellEnd"/>
      <w:r w:rsidRPr="00E07A55">
        <w:rPr>
          <w:rFonts w:ascii="Arial" w:hAnsi="Arial" w:cs="Arial"/>
        </w:rPr>
        <w:t xml:space="preserve">. CMC: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 xml:space="preserve">-cysteine. CML: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>-lysine. LDL – Z: low-density lipoprotein particle size.</w:t>
      </w: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E07A55">
        <w:rPr>
          <w:rFonts w:ascii="Arial" w:hAnsi="Arial" w:cs="Arial"/>
          <w:b/>
          <w:bCs/>
        </w:rPr>
        <w:t>Supplemental Figure S4.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07A55">
        <w:rPr>
          <w:rFonts w:ascii="Arial" w:hAnsi="Arial" w:cs="Arial"/>
          <w:b/>
          <w:bCs/>
        </w:rPr>
        <w:t>Nonsignificant</w:t>
      </w:r>
      <w:proofErr w:type="spellEnd"/>
      <w:r w:rsidRPr="00E07A55">
        <w:rPr>
          <w:rFonts w:ascii="Arial" w:hAnsi="Arial" w:cs="Arial"/>
          <w:b/>
          <w:bCs/>
        </w:rPr>
        <w:t xml:space="preserve"> linear and nonlinear relationships between the metabolites in the signature and the physical score.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r w:rsidRPr="00E07A55">
        <w:rPr>
          <w:rFonts w:ascii="Arial" w:hAnsi="Arial" w:cs="Arial"/>
        </w:rPr>
        <w:t>The</w:t>
      </w:r>
      <w:r w:rsidRPr="00E07A55">
        <w:rPr>
          <w:rFonts w:ascii="Arial" w:hAnsi="Arial" w:cs="Arial"/>
          <w:b/>
          <w:bCs/>
        </w:rPr>
        <w:t xml:space="preserve"> </w:t>
      </w:r>
      <w:r w:rsidRPr="00E07A55">
        <w:rPr>
          <w:rFonts w:ascii="Arial" w:hAnsi="Arial" w:cs="Arial"/>
        </w:rPr>
        <w:t xml:space="preserve">plots show the GAM for physical score (Y axis) and the concentrations of the metabolites in the signature (X axis), except for </w:t>
      </w:r>
      <w:proofErr w:type="spellStart"/>
      <w:r w:rsidRPr="00E07A55">
        <w:rPr>
          <w:rFonts w:ascii="Arial" w:hAnsi="Arial" w:cs="Arial"/>
        </w:rPr>
        <w:t>aKG</w:t>
      </w:r>
      <w:proofErr w:type="spellEnd"/>
      <w:r w:rsidRPr="00E07A55">
        <w:rPr>
          <w:rFonts w:ascii="Arial" w:hAnsi="Arial" w:cs="Arial"/>
        </w:rPr>
        <w:t xml:space="preserve">. The 95% confidence band for each GAM is </w:t>
      </w:r>
      <w:proofErr w:type="spellStart"/>
      <w:r w:rsidRPr="00E07A55">
        <w:rPr>
          <w:rFonts w:ascii="Arial" w:hAnsi="Arial" w:cs="Arial"/>
        </w:rPr>
        <w:t>colored</w:t>
      </w:r>
      <w:proofErr w:type="spellEnd"/>
      <w:r w:rsidRPr="00E07A55">
        <w:rPr>
          <w:rFonts w:ascii="Arial" w:hAnsi="Arial" w:cs="Arial"/>
        </w:rPr>
        <w:t xml:space="preserve"> in pink. Each plot displays the effective degree of freedom (</w:t>
      </w:r>
      <w:proofErr w:type="spellStart"/>
      <w:r w:rsidRPr="00E07A55">
        <w:rPr>
          <w:rFonts w:ascii="Arial" w:hAnsi="Arial" w:cs="Arial"/>
        </w:rPr>
        <w:t>edf</w:t>
      </w:r>
      <w:proofErr w:type="spellEnd"/>
      <w:r w:rsidRPr="00E07A55">
        <w:rPr>
          <w:rFonts w:ascii="Arial" w:hAnsi="Arial" w:cs="Arial"/>
        </w:rPr>
        <w:t xml:space="preserve">) and the p-value of the specified model. 2SC: 2-succinyl-cysteine. CMC: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 xml:space="preserve">-cysteine. CML: </w:t>
      </w:r>
      <w:proofErr w:type="spellStart"/>
      <w:r w:rsidRPr="00E07A55">
        <w:rPr>
          <w:rFonts w:ascii="Arial" w:hAnsi="Arial" w:cs="Arial"/>
        </w:rPr>
        <w:t>carboxymethyl</w:t>
      </w:r>
      <w:proofErr w:type="spellEnd"/>
      <w:r w:rsidRPr="00E07A55">
        <w:rPr>
          <w:rFonts w:ascii="Arial" w:hAnsi="Arial" w:cs="Arial"/>
        </w:rPr>
        <w:t>-lysine. LDL – Z: low-density lipoprotein particle size.</w:t>
      </w: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</w:p>
    <w:p w:rsidR="00A365A8" w:rsidRPr="00E07A55" w:rsidRDefault="00A365A8" w:rsidP="00A365A8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E07A55">
        <w:rPr>
          <w:rFonts w:ascii="Arial" w:hAnsi="Arial" w:cs="Arial"/>
          <w:b/>
          <w:bCs/>
        </w:rPr>
        <w:t>Supplemental Figure S5.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07A55">
        <w:rPr>
          <w:rFonts w:ascii="Arial" w:hAnsi="Arial" w:cs="Arial"/>
          <w:b/>
          <w:bCs/>
        </w:rPr>
        <w:t>Nonsignificant</w:t>
      </w:r>
      <w:proofErr w:type="spellEnd"/>
      <w:r w:rsidRPr="00E07A55">
        <w:rPr>
          <w:rFonts w:ascii="Arial" w:hAnsi="Arial" w:cs="Arial"/>
          <w:b/>
          <w:bCs/>
        </w:rPr>
        <w:t xml:space="preserve"> linear and nonlinear relationships between the metabolites in the signature and the mental score.</w:t>
      </w:r>
      <w:proofErr w:type="gramEnd"/>
      <w:r w:rsidRPr="00E07A55">
        <w:rPr>
          <w:rFonts w:ascii="Arial" w:hAnsi="Arial" w:cs="Arial"/>
          <w:b/>
          <w:bCs/>
        </w:rPr>
        <w:t xml:space="preserve"> </w:t>
      </w:r>
      <w:r w:rsidRPr="00E07A55">
        <w:rPr>
          <w:rFonts w:ascii="Arial" w:hAnsi="Arial" w:cs="Arial"/>
        </w:rPr>
        <w:t xml:space="preserve">The plots show the GAM for mental score (Y axis) and the concentrations of the metabolites in the signature (X axis), except for CMC and CML. The 95% confidence band for each GAM is </w:t>
      </w:r>
      <w:proofErr w:type="spellStart"/>
      <w:r w:rsidRPr="00E07A55">
        <w:rPr>
          <w:rFonts w:ascii="Arial" w:hAnsi="Arial" w:cs="Arial"/>
        </w:rPr>
        <w:t>colored</w:t>
      </w:r>
      <w:proofErr w:type="spellEnd"/>
      <w:r w:rsidRPr="00E07A55">
        <w:rPr>
          <w:rFonts w:ascii="Arial" w:hAnsi="Arial" w:cs="Arial"/>
        </w:rPr>
        <w:t xml:space="preserve"> in purple. Each plot displays the effective degree of freedom (</w:t>
      </w:r>
      <w:proofErr w:type="spellStart"/>
      <w:r w:rsidRPr="00E07A55">
        <w:rPr>
          <w:rFonts w:ascii="Arial" w:hAnsi="Arial" w:cs="Arial"/>
        </w:rPr>
        <w:t>edf</w:t>
      </w:r>
      <w:proofErr w:type="spellEnd"/>
      <w:r w:rsidRPr="00E07A55">
        <w:rPr>
          <w:rFonts w:ascii="Arial" w:hAnsi="Arial" w:cs="Arial"/>
        </w:rPr>
        <w:t xml:space="preserve">) and the p-value of the specified model. 2SC: 2-succinyl-cysteine. </w:t>
      </w:r>
      <w:proofErr w:type="spellStart"/>
      <w:proofErr w:type="gramStart"/>
      <w:r w:rsidRPr="00E07A55">
        <w:rPr>
          <w:rFonts w:ascii="Arial" w:hAnsi="Arial" w:cs="Arial"/>
        </w:rPr>
        <w:t>aKG</w:t>
      </w:r>
      <w:proofErr w:type="spellEnd"/>
      <w:proofErr w:type="gramEnd"/>
      <w:r w:rsidRPr="00E07A55">
        <w:rPr>
          <w:rFonts w:ascii="Arial" w:hAnsi="Arial" w:cs="Arial"/>
        </w:rPr>
        <w:t>: alpha-</w:t>
      </w:r>
      <w:proofErr w:type="spellStart"/>
      <w:r w:rsidRPr="00E07A55">
        <w:rPr>
          <w:rFonts w:ascii="Arial" w:hAnsi="Arial" w:cs="Arial"/>
        </w:rPr>
        <w:t>ketoglutarate</w:t>
      </w:r>
      <w:proofErr w:type="spellEnd"/>
      <w:r w:rsidRPr="00E07A55">
        <w:rPr>
          <w:rFonts w:ascii="Arial" w:hAnsi="Arial" w:cs="Arial"/>
        </w:rPr>
        <w:t>. LDL - Z: low-density lipoprotein particle size.</w:t>
      </w:r>
    </w:p>
    <w:p w:rsidR="004F5853" w:rsidRDefault="004F5853"/>
    <w:sectPr w:rsidR="004F5853" w:rsidSect="00BC7CC0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5184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D23C30" w:rsidRPr="003A557F" w:rsidRDefault="00A365A8">
        <w:pPr>
          <w:pStyle w:val="Footer"/>
          <w:jc w:val="center"/>
          <w:rPr>
            <w:rFonts w:ascii="Arial" w:hAnsi="Arial" w:cs="Arial"/>
          </w:rPr>
        </w:pPr>
        <w:r w:rsidRPr="003A557F">
          <w:rPr>
            <w:rFonts w:ascii="Arial" w:hAnsi="Arial" w:cs="Arial"/>
          </w:rPr>
          <w:fldChar w:fldCharType="begin"/>
        </w:r>
        <w:r w:rsidRPr="003A557F">
          <w:rPr>
            <w:rFonts w:ascii="Arial" w:hAnsi="Arial" w:cs="Arial"/>
          </w:rPr>
          <w:instrText>PAGE   \* MERGEFORMAT</w:instrText>
        </w:r>
        <w:r w:rsidRPr="003A557F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3A557F">
          <w:rPr>
            <w:rFonts w:ascii="Arial" w:hAnsi="Arial" w:cs="Arial"/>
          </w:rPr>
          <w:fldChar w:fldCharType="end"/>
        </w:r>
      </w:p>
    </w:sdtContent>
  </w:sdt>
  <w:p w:rsidR="00D23C30" w:rsidRPr="003A557F" w:rsidRDefault="00A365A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A8"/>
    <w:rsid w:val="000025E6"/>
    <w:rsid w:val="00003EBE"/>
    <w:rsid w:val="00017071"/>
    <w:rsid w:val="00017435"/>
    <w:rsid w:val="000306BC"/>
    <w:rsid w:val="000322A5"/>
    <w:rsid w:val="000418F1"/>
    <w:rsid w:val="0005066C"/>
    <w:rsid w:val="00051533"/>
    <w:rsid w:val="000661ED"/>
    <w:rsid w:val="00072E77"/>
    <w:rsid w:val="00074B88"/>
    <w:rsid w:val="000751A6"/>
    <w:rsid w:val="00084B87"/>
    <w:rsid w:val="00093788"/>
    <w:rsid w:val="000A143C"/>
    <w:rsid w:val="000B27C7"/>
    <w:rsid w:val="000B56EF"/>
    <w:rsid w:val="000C0340"/>
    <w:rsid w:val="000D2CD8"/>
    <w:rsid w:val="000E1EA3"/>
    <w:rsid w:val="000F02B3"/>
    <w:rsid w:val="000F598E"/>
    <w:rsid w:val="0010205D"/>
    <w:rsid w:val="00105B58"/>
    <w:rsid w:val="00107702"/>
    <w:rsid w:val="001104C6"/>
    <w:rsid w:val="001118BB"/>
    <w:rsid w:val="001125CE"/>
    <w:rsid w:val="00112F71"/>
    <w:rsid w:val="001161E5"/>
    <w:rsid w:val="0012689F"/>
    <w:rsid w:val="0013570C"/>
    <w:rsid w:val="001362DC"/>
    <w:rsid w:val="00137F9A"/>
    <w:rsid w:val="00140C9F"/>
    <w:rsid w:val="0014544B"/>
    <w:rsid w:val="001454B0"/>
    <w:rsid w:val="00152022"/>
    <w:rsid w:val="00155C62"/>
    <w:rsid w:val="00171852"/>
    <w:rsid w:val="001A5AC6"/>
    <w:rsid w:val="001B52EF"/>
    <w:rsid w:val="001B5E9C"/>
    <w:rsid w:val="001C3D63"/>
    <w:rsid w:val="001E08AC"/>
    <w:rsid w:val="001F2D3B"/>
    <w:rsid w:val="001F60B4"/>
    <w:rsid w:val="001F6F8A"/>
    <w:rsid w:val="002061CB"/>
    <w:rsid w:val="002071C3"/>
    <w:rsid w:val="00207467"/>
    <w:rsid w:val="00210FA9"/>
    <w:rsid w:val="00215B36"/>
    <w:rsid w:val="00220613"/>
    <w:rsid w:val="002239E4"/>
    <w:rsid w:val="002248C9"/>
    <w:rsid w:val="00230AA2"/>
    <w:rsid w:val="00236A88"/>
    <w:rsid w:val="0024170D"/>
    <w:rsid w:val="00244102"/>
    <w:rsid w:val="0024785E"/>
    <w:rsid w:val="00260C1E"/>
    <w:rsid w:val="00263116"/>
    <w:rsid w:val="002663A4"/>
    <w:rsid w:val="00270B08"/>
    <w:rsid w:val="0027226D"/>
    <w:rsid w:val="002723A0"/>
    <w:rsid w:val="00274949"/>
    <w:rsid w:val="00276EA2"/>
    <w:rsid w:val="00277957"/>
    <w:rsid w:val="002840D9"/>
    <w:rsid w:val="00285011"/>
    <w:rsid w:val="002879E8"/>
    <w:rsid w:val="00294F64"/>
    <w:rsid w:val="002976CC"/>
    <w:rsid w:val="002A0987"/>
    <w:rsid w:val="002B4EF9"/>
    <w:rsid w:val="002B570A"/>
    <w:rsid w:val="002B6964"/>
    <w:rsid w:val="002D7D7B"/>
    <w:rsid w:val="002E63FA"/>
    <w:rsid w:val="002F1343"/>
    <w:rsid w:val="002F5F7F"/>
    <w:rsid w:val="002F7C61"/>
    <w:rsid w:val="00302663"/>
    <w:rsid w:val="00313F13"/>
    <w:rsid w:val="0031634B"/>
    <w:rsid w:val="00324897"/>
    <w:rsid w:val="00333501"/>
    <w:rsid w:val="003402CF"/>
    <w:rsid w:val="00351F70"/>
    <w:rsid w:val="00356832"/>
    <w:rsid w:val="00357C56"/>
    <w:rsid w:val="0036010E"/>
    <w:rsid w:val="00365711"/>
    <w:rsid w:val="003717E0"/>
    <w:rsid w:val="00374F73"/>
    <w:rsid w:val="0037613D"/>
    <w:rsid w:val="00376798"/>
    <w:rsid w:val="003767FA"/>
    <w:rsid w:val="00376882"/>
    <w:rsid w:val="0038444C"/>
    <w:rsid w:val="003871FB"/>
    <w:rsid w:val="003A1FBE"/>
    <w:rsid w:val="003A51BE"/>
    <w:rsid w:val="003A6123"/>
    <w:rsid w:val="003B07C6"/>
    <w:rsid w:val="003B603F"/>
    <w:rsid w:val="003B7CE2"/>
    <w:rsid w:val="003D13FF"/>
    <w:rsid w:val="003D169D"/>
    <w:rsid w:val="003D5F00"/>
    <w:rsid w:val="003D7089"/>
    <w:rsid w:val="003E01D6"/>
    <w:rsid w:val="003E3324"/>
    <w:rsid w:val="003F33B9"/>
    <w:rsid w:val="003F4122"/>
    <w:rsid w:val="003F633C"/>
    <w:rsid w:val="004008BF"/>
    <w:rsid w:val="00427C70"/>
    <w:rsid w:val="00430ADE"/>
    <w:rsid w:val="00432BB0"/>
    <w:rsid w:val="004378C3"/>
    <w:rsid w:val="004400C7"/>
    <w:rsid w:val="00442CD9"/>
    <w:rsid w:val="0044309E"/>
    <w:rsid w:val="0045068C"/>
    <w:rsid w:val="00471E12"/>
    <w:rsid w:val="00480BB4"/>
    <w:rsid w:val="004826A6"/>
    <w:rsid w:val="00482744"/>
    <w:rsid w:val="004877CD"/>
    <w:rsid w:val="004A086F"/>
    <w:rsid w:val="004A3003"/>
    <w:rsid w:val="004A54A1"/>
    <w:rsid w:val="004A5D22"/>
    <w:rsid w:val="004A5FAA"/>
    <w:rsid w:val="004B2AE5"/>
    <w:rsid w:val="004C772B"/>
    <w:rsid w:val="004D6240"/>
    <w:rsid w:val="004D674F"/>
    <w:rsid w:val="004D7746"/>
    <w:rsid w:val="004D7DBC"/>
    <w:rsid w:val="004E1117"/>
    <w:rsid w:val="004E6B6D"/>
    <w:rsid w:val="004E7FBC"/>
    <w:rsid w:val="004F4573"/>
    <w:rsid w:val="004F5853"/>
    <w:rsid w:val="004F6A52"/>
    <w:rsid w:val="004F7F44"/>
    <w:rsid w:val="0050271E"/>
    <w:rsid w:val="00515A6C"/>
    <w:rsid w:val="00516EB5"/>
    <w:rsid w:val="00520029"/>
    <w:rsid w:val="005201A7"/>
    <w:rsid w:val="0052453E"/>
    <w:rsid w:val="00535074"/>
    <w:rsid w:val="0053512B"/>
    <w:rsid w:val="00537536"/>
    <w:rsid w:val="00547BB5"/>
    <w:rsid w:val="00552147"/>
    <w:rsid w:val="005538C5"/>
    <w:rsid w:val="00567017"/>
    <w:rsid w:val="005707CB"/>
    <w:rsid w:val="005757FE"/>
    <w:rsid w:val="00583CE5"/>
    <w:rsid w:val="0058541B"/>
    <w:rsid w:val="00587BF8"/>
    <w:rsid w:val="00593F9E"/>
    <w:rsid w:val="00595D29"/>
    <w:rsid w:val="005A30CF"/>
    <w:rsid w:val="005A371F"/>
    <w:rsid w:val="005B117D"/>
    <w:rsid w:val="005B2378"/>
    <w:rsid w:val="005B36AE"/>
    <w:rsid w:val="005C29C4"/>
    <w:rsid w:val="005C405B"/>
    <w:rsid w:val="005D3B55"/>
    <w:rsid w:val="005E45E1"/>
    <w:rsid w:val="005E6803"/>
    <w:rsid w:val="00600C01"/>
    <w:rsid w:val="00607325"/>
    <w:rsid w:val="00612065"/>
    <w:rsid w:val="00615089"/>
    <w:rsid w:val="00621B23"/>
    <w:rsid w:val="00624C3E"/>
    <w:rsid w:val="0062611C"/>
    <w:rsid w:val="00627F03"/>
    <w:rsid w:val="00636A2C"/>
    <w:rsid w:val="00637694"/>
    <w:rsid w:val="00646869"/>
    <w:rsid w:val="00651BA5"/>
    <w:rsid w:val="006562C6"/>
    <w:rsid w:val="00664FA1"/>
    <w:rsid w:val="0066554C"/>
    <w:rsid w:val="0067582A"/>
    <w:rsid w:val="00684999"/>
    <w:rsid w:val="00690213"/>
    <w:rsid w:val="00692A88"/>
    <w:rsid w:val="00695A14"/>
    <w:rsid w:val="006B3606"/>
    <w:rsid w:val="006C4B5B"/>
    <w:rsid w:val="006D1BA6"/>
    <w:rsid w:val="006D2DE0"/>
    <w:rsid w:val="006D7D07"/>
    <w:rsid w:val="006E1F8B"/>
    <w:rsid w:val="006E64DA"/>
    <w:rsid w:val="006E6D2C"/>
    <w:rsid w:val="006E7F98"/>
    <w:rsid w:val="0070097C"/>
    <w:rsid w:val="00705F3B"/>
    <w:rsid w:val="00713C7E"/>
    <w:rsid w:val="007201A4"/>
    <w:rsid w:val="00723636"/>
    <w:rsid w:val="00733EC8"/>
    <w:rsid w:val="00736902"/>
    <w:rsid w:val="00745F4B"/>
    <w:rsid w:val="00766F28"/>
    <w:rsid w:val="007769B4"/>
    <w:rsid w:val="0077732A"/>
    <w:rsid w:val="00780D5B"/>
    <w:rsid w:val="00784D02"/>
    <w:rsid w:val="0078728F"/>
    <w:rsid w:val="00790A38"/>
    <w:rsid w:val="00791589"/>
    <w:rsid w:val="0079512F"/>
    <w:rsid w:val="007959E0"/>
    <w:rsid w:val="00796EE9"/>
    <w:rsid w:val="007978E5"/>
    <w:rsid w:val="007C0880"/>
    <w:rsid w:val="007C3D1A"/>
    <w:rsid w:val="007D086D"/>
    <w:rsid w:val="007D1E9E"/>
    <w:rsid w:val="007E2F6A"/>
    <w:rsid w:val="007E4FB0"/>
    <w:rsid w:val="007F056D"/>
    <w:rsid w:val="00803801"/>
    <w:rsid w:val="00820A68"/>
    <w:rsid w:val="00822B43"/>
    <w:rsid w:val="00822C19"/>
    <w:rsid w:val="00825E5F"/>
    <w:rsid w:val="00840116"/>
    <w:rsid w:val="00842D75"/>
    <w:rsid w:val="00846F30"/>
    <w:rsid w:val="008472D2"/>
    <w:rsid w:val="00861389"/>
    <w:rsid w:val="00862E58"/>
    <w:rsid w:val="00871420"/>
    <w:rsid w:val="0088096D"/>
    <w:rsid w:val="00884316"/>
    <w:rsid w:val="00890645"/>
    <w:rsid w:val="00890BA9"/>
    <w:rsid w:val="00890F02"/>
    <w:rsid w:val="00896589"/>
    <w:rsid w:val="00897F48"/>
    <w:rsid w:val="008A42CC"/>
    <w:rsid w:val="008A5A4F"/>
    <w:rsid w:val="008A7504"/>
    <w:rsid w:val="008B0EDC"/>
    <w:rsid w:val="008B2C8E"/>
    <w:rsid w:val="008B5697"/>
    <w:rsid w:val="008B7836"/>
    <w:rsid w:val="008C3138"/>
    <w:rsid w:val="008C44D0"/>
    <w:rsid w:val="008C4984"/>
    <w:rsid w:val="008D20ED"/>
    <w:rsid w:val="008D45DA"/>
    <w:rsid w:val="008D76F3"/>
    <w:rsid w:val="008E17BB"/>
    <w:rsid w:val="008F56B1"/>
    <w:rsid w:val="008F5907"/>
    <w:rsid w:val="009028F0"/>
    <w:rsid w:val="009077AB"/>
    <w:rsid w:val="00912C52"/>
    <w:rsid w:val="00913891"/>
    <w:rsid w:val="00914BCA"/>
    <w:rsid w:val="00926E65"/>
    <w:rsid w:val="00940F2D"/>
    <w:rsid w:val="009413D9"/>
    <w:rsid w:val="00942172"/>
    <w:rsid w:val="00950B85"/>
    <w:rsid w:val="009515A1"/>
    <w:rsid w:val="0096110F"/>
    <w:rsid w:val="009625EC"/>
    <w:rsid w:val="0097415F"/>
    <w:rsid w:val="009745B0"/>
    <w:rsid w:val="00984E66"/>
    <w:rsid w:val="00986338"/>
    <w:rsid w:val="009909F5"/>
    <w:rsid w:val="00992CE4"/>
    <w:rsid w:val="00994350"/>
    <w:rsid w:val="009B012D"/>
    <w:rsid w:val="009B3193"/>
    <w:rsid w:val="009D38F5"/>
    <w:rsid w:val="009D75B6"/>
    <w:rsid w:val="00A05E88"/>
    <w:rsid w:val="00A1282B"/>
    <w:rsid w:val="00A22350"/>
    <w:rsid w:val="00A305FB"/>
    <w:rsid w:val="00A34C04"/>
    <w:rsid w:val="00A365A8"/>
    <w:rsid w:val="00A36CB8"/>
    <w:rsid w:val="00A548F2"/>
    <w:rsid w:val="00A62BF2"/>
    <w:rsid w:val="00A77EAA"/>
    <w:rsid w:val="00A81552"/>
    <w:rsid w:val="00A832A4"/>
    <w:rsid w:val="00A866B1"/>
    <w:rsid w:val="00A94596"/>
    <w:rsid w:val="00A967DD"/>
    <w:rsid w:val="00A971A6"/>
    <w:rsid w:val="00AA22BF"/>
    <w:rsid w:val="00AC14DA"/>
    <w:rsid w:val="00AC6C2C"/>
    <w:rsid w:val="00AF3A7D"/>
    <w:rsid w:val="00AF59D9"/>
    <w:rsid w:val="00AF62B6"/>
    <w:rsid w:val="00AF6300"/>
    <w:rsid w:val="00B02E62"/>
    <w:rsid w:val="00B112B6"/>
    <w:rsid w:val="00B132ED"/>
    <w:rsid w:val="00B20DA0"/>
    <w:rsid w:val="00B27755"/>
    <w:rsid w:val="00B27BA3"/>
    <w:rsid w:val="00B331B6"/>
    <w:rsid w:val="00B4281F"/>
    <w:rsid w:val="00B451CD"/>
    <w:rsid w:val="00B5093F"/>
    <w:rsid w:val="00B53824"/>
    <w:rsid w:val="00B56A2E"/>
    <w:rsid w:val="00B56D22"/>
    <w:rsid w:val="00B57EC1"/>
    <w:rsid w:val="00B853E7"/>
    <w:rsid w:val="00BA530F"/>
    <w:rsid w:val="00BB3F5B"/>
    <w:rsid w:val="00BC6DDE"/>
    <w:rsid w:val="00BD7BE7"/>
    <w:rsid w:val="00BE1127"/>
    <w:rsid w:val="00BE2E74"/>
    <w:rsid w:val="00BF305A"/>
    <w:rsid w:val="00C04055"/>
    <w:rsid w:val="00C10596"/>
    <w:rsid w:val="00C1361A"/>
    <w:rsid w:val="00C142FC"/>
    <w:rsid w:val="00C310DA"/>
    <w:rsid w:val="00C35A95"/>
    <w:rsid w:val="00C3726F"/>
    <w:rsid w:val="00C42BD4"/>
    <w:rsid w:val="00C524F3"/>
    <w:rsid w:val="00C60BD1"/>
    <w:rsid w:val="00C61B22"/>
    <w:rsid w:val="00C63A2D"/>
    <w:rsid w:val="00C700EF"/>
    <w:rsid w:val="00C856A3"/>
    <w:rsid w:val="00C8684A"/>
    <w:rsid w:val="00C9504A"/>
    <w:rsid w:val="00C9597F"/>
    <w:rsid w:val="00CA1F75"/>
    <w:rsid w:val="00CB0D72"/>
    <w:rsid w:val="00CB1182"/>
    <w:rsid w:val="00CB1AE1"/>
    <w:rsid w:val="00CC2537"/>
    <w:rsid w:val="00CD0CDE"/>
    <w:rsid w:val="00CD2CF3"/>
    <w:rsid w:val="00CD341A"/>
    <w:rsid w:val="00CE0A45"/>
    <w:rsid w:val="00CE0B61"/>
    <w:rsid w:val="00CE36BC"/>
    <w:rsid w:val="00CF1894"/>
    <w:rsid w:val="00CF5D75"/>
    <w:rsid w:val="00CF6B7E"/>
    <w:rsid w:val="00CF7525"/>
    <w:rsid w:val="00CF7EA2"/>
    <w:rsid w:val="00D02C10"/>
    <w:rsid w:val="00D03A17"/>
    <w:rsid w:val="00D05F59"/>
    <w:rsid w:val="00D07B6C"/>
    <w:rsid w:val="00D15F64"/>
    <w:rsid w:val="00D16290"/>
    <w:rsid w:val="00D22FD0"/>
    <w:rsid w:val="00D26FBF"/>
    <w:rsid w:val="00D277D4"/>
    <w:rsid w:val="00D30E86"/>
    <w:rsid w:val="00D3396A"/>
    <w:rsid w:val="00D451EB"/>
    <w:rsid w:val="00D46363"/>
    <w:rsid w:val="00D476B2"/>
    <w:rsid w:val="00D52BCF"/>
    <w:rsid w:val="00D54527"/>
    <w:rsid w:val="00D8055E"/>
    <w:rsid w:val="00D81892"/>
    <w:rsid w:val="00D86499"/>
    <w:rsid w:val="00D86B66"/>
    <w:rsid w:val="00D926B5"/>
    <w:rsid w:val="00D927DE"/>
    <w:rsid w:val="00DA3F23"/>
    <w:rsid w:val="00DA6A49"/>
    <w:rsid w:val="00DD6AC1"/>
    <w:rsid w:val="00DD6F20"/>
    <w:rsid w:val="00DE20FD"/>
    <w:rsid w:val="00DE4FEB"/>
    <w:rsid w:val="00DF1D96"/>
    <w:rsid w:val="00DF3CB7"/>
    <w:rsid w:val="00DF4D4A"/>
    <w:rsid w:val="00E21FD0"/>
    <w:rsid w:val="00E24E5D"/>
    <w:rsid w:val="00E32F10"/>
    <w:rsid w:val="00E44055"/>
    <w:rsid w:val="00E44382"/>
    <w:rsid w:val="00E47813"/>
    <w:rsid w:val="00E50612"/>
    <w:rsid w:val="00E644AC"/>
    <w:rsid w:val="00E72F5E"/>
    <w:rsid w:val="00E76B1F"/>
    <w:rsid w:val="00E84B42"/>
    <w:rsid w:val="00E8759A"/>
    <w:rsid w:val="00E9639F"/>
    <w:rsid w:val="00EA0506"/>
    <w:rsid w:val="00EA71EE"/>
    <w:rsid w:val="00EC1046"/>
    <w:rsid w:val="00EC3C30"/>
    <w:rsid w:val="00EC6CD7"/>
    <w:rsid w:val="00EE4B15"/>
    <w:rsid w:val="00EE6AA8"/>
    <w:rsid w:val="00EE7B25"/>
    <w:rsid w:val="00EF68CD"/>
    <w:rsid w:val="00F04ED2"/>
    <w:rsid w:val="00F100D9"/>
    <w:rsid w:val="00F14444"/>
    <w:rsid w:val="00F2040A"/>
    <w:rsid w:val="00F2222C"/>
    <w:rsid w:val="00F2464D"/>
    <w:rsid w:val="00F2646F"/>
    <w:rsid w:val="00F30E67"/>
    <w:rsid w:val="00F47CF2"/>
    <w:rsid w:val="00F527DF"/>
    <w:rsid w:val="00F66D7A"/>
    <w:rsid w:val="00F71139"/>
    <w:rsid w:val="00F73FBC"/>
    <w:rsid w:val="00F863FC"/>
    <w:rsid w:val="00FA0152"/>
    <w:rsid w:val="00FA021B"/>
    <w:rsid w:val="00FA19D6"/>
    <w:rsid w:val="00FA1C7D"/>
    <w:rsid w:val="00FB3254"/>
    <w:rsid w:val="00FB3E14"/>
    <w:rsid w:val="00FB5EE3"/>
    <w:rsid w:val="00FB7693"/>
    <w:rsid w:val="00FC26AB"/>
    <w:rsid w:val="00FC32AB"/>
    <w:rsid w:val="00FC5783"/>
    <w:rsid w:val="00FD12E7"/>
    <w:rsid w:val="00FE0A33"/>
    <w:rsid w:val="00FE2973"/>
    <w:rsid w:val="00FE73F1"/>
    <w:rsid w:val="00FF0C9E"/>
    <w:rsid w:val="00FF1B34"/>
    <w:rsid w:val="00FF1D6F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65A8"/>
    <w:pPr>
      <w:tabs>
        <w:tab w:val="center" w:pos="4252"/>
        <w:tab w:val="right" w:pos="8504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365A8"/>
    <w:rPr>
      <w:kern w:val="2"/>
      <w:lang w:val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65A8"/>
    <w:pPr>
      <w:tabs>
        <w:tab w:val="center" w:pos="4252"/>
        <w:tab w:val="right" w:pos="8504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365A8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2026-01-06T02:20:00Z</dcterms:created>
  <dcterms:modified xsi:type="dcterms:W3CDTF">2026-01-06T02:21:00Z</dcterms:modified>
</cp:coreProperties>
</file>