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5DEEC" w14:textId="72C3E8DC" w:rsidR="00985988" w:rsidRPr="00985988" w:rsidRDefault="00985988" w:rsidP="00985988">
      <w:pPr>
        <w:spacing w:line="360" w:lineRule="auto"/>
        <w:rPr>
          <w:rFonts w:ascii="Times New Roman" w:eastAsia="新宋体" w:hAnsi="Times New Roman" w:cs="Times New Roman"/>
          <w:color w:val="0070C0"/>
          <w:sz w:val="24"/>
        </w:rPr>
      </w:pPr>
      <w:bookmarkStart w:id="0" w:name="OLE_LINK88"/>
      <w:bookmarkStart w:id="1" w:name="OLE_LINK76"/>
      <w:r w:rsidRPr="00985988">
        <w:rPr>
          <w:rFonts w:ascii="Times New Roman" w:eastAsia="新宋体" w:hAnsi="Times New Roman" w:cs="Times New Roman" w:hint="eastAsia"/>
          <w:color w:val="0070C0"/>
          <w:sz w:val="24"/>
        </w:rPr>
        <w:t>The following are three hypothetical case studies designed to specifically illustrate the potential application value of</w:t>
      </w:r>
      <w:r w:rsidR="00DE31DE" w:rsidRPr="00985988">
        <w:rPr>
          <w:rFonts w:ascii="Times New Roman" w:eastAsia="新宋体" w:hAnsi="Times New Roman" w:cs="Times New Roman"/>
          <w:color w:val="0070C0"/>
          <w:sz w:val="24"/>
        </w:rPr>
        <w:t xml:space="preserve"> </w:t>
      </w:r>
      <w:r w:rsidR="00DE31DE" w:rsidRPr="00222E13">
        <w:rPr>
          <w:rFonts w:ascii="Times New Roman" w:eastAsia="新宋体" w:hAnsi="Times New Roman" w:cs="Times New Roman"/>
          <w:color w:val="0070C0"/>
          <w:sz w:val="24"/>
        </w:rPr>
        <w:t>diabetic kidney disease</w:t>
      </w:r>
      <w:r w:rsidR="00DE31DE">
        <w:rPr>
          <w:rFonts w:ascii="Times New Roman" w:eastAsia="新宋体" w:hAnsi="Times New Roman" w:cs="Times New Roman" w:hint="eastAsia"/>
          <w:color w:val="0070C0"/>
          <w:sz w:val="24"/>
        </w:rPr>
        <w:t xml:space="preserve"> (</w:t>
      </w:r>
      <w:r w:rsidR="00DE31DE" w:rsidRPr="00985988">
        <w:rPr>
          <w:rFonts w:ascii="Times New Roman" w:eastAsia="新宋体" w:hAnsi="Times New Roman" w:cs="Times New Roman" w:hint="eastAsia"/>
          <w:color w:val="0070C0"/>
          <w:sz w:val="24"/>
        </w:rPr>
        <w:t>DKD</w:t>
      </w:r>
      <w:r w:rsidR="00DE31DE">
        <w:rPr>
          <w:rFonts w:ascii="Times New Roman" w:eastAsia="新宋体" w:hAnsi="Times New Roman" w:cs="Times New Roman" w:hint="eastAsia"/>
          <w:color w:val="0070C0"/>
          <w:sz w:val="24"/>
        </w:rPr>
        <w:t>)</w:t>
      </w:r>
      <w:r w:rsidRPr="00985988">
        <w:rPr>
          <w:rFonts w:ascii="Times New Roman" w:eastAsia="新宋体" w:hAnsi="Times New Roman" w:cs="Times New Roman" w:hint="eastAsia"/>
          <w:color w:val="0070C0"/>
          <w:sz w:val="24"/>
        </w:rPr>
        <w:t xml:space="preserve"> prediction models in clinical practice. The focus is on comparing the differences between the DKD prediction models and conventional diagnostic methods.</w:t>
      </w:r>
      <w:r w:rsidRPr="00985988">
        <w:rPr>
          <w:rFonts w:ascii="Times New Roman" w:eastAsia="新宋体" w:hAnsi="Times New Roman" w:cs="Times New Roman"/>
          <w:color w:val="0070C0"/>
          <w:sz w:val="24"/>
        </w:rPr>
        <w:t xml:space="preserve">  </w:t>
      </w:r>
    </w:p>
    <w:p w14:paraId="67700D29" w14:textId="77777777" w:rsidR="00985988" w:rsidRDefault="00985988" w:rsidP="00985988">
      <w:pPr>
        <w:spacing w:line="360" w:lineRule="auto"/>
        <w:rPr>
          <w:rFonts w:ascii="Times New Roman" w:eastAsia="新宋体" w:hAnsi="Times New Roman" w:cs="Times New Roman"/>
          <w:color w:val="0070C0"/>
          <w:sz w:val="24"/>
        </w:rPr>
      </w:pPr>
    </w:p>
    <w:p w14:paraId="3DF7C094" w14:textId="34B95D34" w:rsidR="00222E13" w:rsidRPr="00222E13" w:rsidRDefault="00222E13" w:rsidP="00222E13">
      <w:pPr>
        <w:spacing w:line="360" w:lineRule="auto"/>
        <w:rPr>
          <w:rFonts w:ascii="Times New Roman" w:eastAsia="新宋体" w:hAnsi="Times New Roman" w:cs="Times New Roman"/>
          <w:color w:val="0070C0"/>
          <w:sz w:val="24"/>
        </w:rPr>
      </w:pPr>
      <w:bookmarkStart w:id="2" w:name="OLE_LINK44"/>
      <w:r w:rsidRPr="00222E13">
        <w:rPr>
          <w:rFonts w:ascii="Times New Roman" w:eastAsia="新宋体" w:hAnsi="Times New Roman" w:cs="Times New Roman"/>
          <w:color w:val="0070C0"/>
          <w:sz w:val="24"/>
        </w:rPr>
        <w:t>Case 1: Early screening for DKD</w:t>
      </w:r>
    </w:p>
    <w:p w14:paraId="64A3C654" w14:textId="2214AE12" w:rsidR="00222E13" w:rsidRPr="00222E13" w:rsidRDefault="00222E13" w:rsidP="00222E13">
      <w:pPr>
        <w:spacing w:line="360" w:lineRule="auto"/>
        <w:rPr>
          <w:rFonts w:ascii="Times New Roman" w:eastAsia="新宋体" w:hAnsi="Times New Roman" w:cs="Times New Roman"/>
          <w:color w:val="0070C0"/>
          <w:sz w:val="24"/>
        </w:rPr>
      </w:pPr>
      <w:r w:rsidRPr="00222E13">
        <w:rPr>
          <w:rFonts w:ascii="Times New Roman" w:eastAsia="新宋体" w:hAnsi="Times New Roman" w:cs="Times New Roman"/>
          <w:color w:val="0070C0"/>
          <w:sz w:val="24"/>
        </w:rPr>
        <w:t>· Patient profile: Male, 60 years old, with an 8-year history of type 2 diabetes (T2D), presenting no obvious symptoms. Height: 175 cm, weight: 85 kg, body mass index (BMI): 27.8 kg/m². Blood pressure: 138/86 mmHg.</w:t>
      </w:r>
    </w:p>
    <w:p w14:paraId="79FC792D" w14:textId="0C2D0535" w:rsidR="00222E13" w:rsidRPr="00222E13" w:rsidRDefault="00222E13" w:rsidP="00222E13">
      <w:pPr>
        <w:spacing w:line="360" w:lineRule="auto"/>
        <w:rPr>
          <w:rFonts w:ascii="Times New Roman" w:eastAsia="新宋体" w:hAnsi="Times New Roman" w:cs="Times New Roman"/>
          <w:color w:val="0070C0"/>
          <w:sz w:val="24"/>
        </w:rPr>
      </w:pPr>
      <w:r w:rsidRPr="00222E13">
        <w:rPr>
          <w:rFonts w:ascii="Times New Roman" w:eastAsia="新宋体" w:hAnsi="Times New Roman" w:cs="Times New Roman"/>
          <w:color w:val="0070C0"/>
          <w:sz w:val="24"/>
        </w:rPr>
        <w:t xml:space="preserve">· Conventional baseline parameters: Fasting blood glucose and glycated hemoglobin (HbA1c) were 7.8 mmol/L and 7.6%, respectively. Urinary albumin-to-creatinine ratio (UACR) was 20 mg/g, estimated glomerular filtration rate (eGFR) was 120 mL/min/1.73m², total cholesterol </w:t>
      </w:r>
      <w:r>
        <w:rPr>
          <w:rFonts w:ascii="Times New Roman" w:eastAsia="新宋体" w:hAnsi="Times New Roman" w:cs="Times New Roman" w:hint="eastAsia"/>
          <w:color w:val="0070C0"/>
          <w:sz w:val="24"/>
        </w:rPr>
        <w:t xml:space="preserve">(TC) </w:t>
      </w:r>
      <w:r w:rsidRPr="00222E13">
        <w:rPr>
          <w:rFonts w:ascii="Times New Roman" w:eastAsia="新宋体" w:hAnsi="Times New Roman" w:cs="Times New Roman"/>
          <w:color w:val="0070C0"/>
          <w:sz w:val="24"/>
        </w:rPr>
        <w:t xml:space="preserve">was 5.4 mmol/L, triglycerides </w:t>
      </w:r>
      <w:r>
        <w:rPr>
          <w:rFonts w:ascii="Times New Roman" w:eastAsia="新宋体" w:hAnsi="Times New Roman" w:cs="Times New Roman" w:hint="eastAsia"/>
          <w:color w:val="0070C0"/>
          <w:sz w:val="24"/>
        </w:rPr>
        <w:t xml:space="preserve">(TG) </w:t>
      </w:r>
      <w:r w:rsidRPr="00222E13">
        <w:rPr>
          <w:rFonts w:ascii="Times New Roman" w:eastAsia="新宋体" w:hAnsi="Times New Roman" w:cs="Times New Roman"/>
          <w:color w:val="0070C0"/>
          <w:sz w:val="24"/>
        </w:rPr>
        <w:t>were 1.8 mmol/L, and neutrophil percentage was 70%.</w:t>
      </w:r>
    </w:p>
    <w:p w14:paraId="65C1AC6E" w14:textId="0766AB7E" w:rsidR="00222E13" w:rsidRPr="00222E13" w:rsidRDefault="00222E13" w:rsidP="00222E13">
      <w:pPr>
        <w:spacing w:line="360" w:lineRule="auto"/>
        <w:rPr>
          <w:rFonts w:ascii="Times New Roman" w:eastAsia="新宋体" w:hAnsi="Times New Roman" w:cs="Times New Roman"/>
          <w:color w:val="0070C0"/>
          <w:sz w:val="24"/>
        </w:rPr>
      </w:pPr>
      <w:r w:rsidRPr="00222E13">
        <w:rPr>
          <w:rFonts w:ascii="Times New Roman" w:eastAsia="新宋体" w:hAnsi="Times New Roman" w:cs="Times New Roman"/>
          <w:color w:val="0070C0"/>
          <w:sz w:val="24"/>
        </w:rPr>
        <w:t>· Past medical history: Positive family history of diabetes, smoking history, no history of hypertension, not on glucose-lowering medication (managed by diet and exercise only).</w:t>
      </w:r>
    </w:p>
    <w:p w14:paraId="5200E62E" w14:textId="2321894A" w:rsidR="00222E13" w:rsidRPr="00222E13" w:rsidRDefault="00222E13" w:rsidP="00222E13">
      <w:pPr>
        <w:spacing w:line="360" w:lineRule="auto"/>
        <w:rPr>
          <w:rFonts w:ascii="Times New Roman" w:eastAsia="新宋体" w:hAnsi="Times New Roman" w:cs="Times New Roman"/>
          <w:color w:val="0070C0"/>
          <w:sz w:val="24"/>
        </w:rPr>
      </w:pPr>
      <w:r w:rsidRPr="00222E13">
        <w:rPr>
          <w:rFonts w:ascii="Times New Roman" w:eastAsia="新宋体" w:hAnsi="Times New Roman" w:cs="Times New Roman"/>
          <w:color w:val="0070C0"/>
          <w:sz w:val="24"/>
        </w:rPr>
        <w:t xml:space="preserve">· Result from conventional diagnostic workflow: As the UACR was &lt;30 mg/g and the eGFR was normal, according to the </w:t>
      </w:r>
      <w:bookmarkStart w:id="3" w:name="OLE_LINK72"/>
      <w:r w:rsidRPr="00222E13">
        <w:rPr>
          <w:rFonts w:ascii="Times New Roman" w:eastAsia="新宋体" w:hAnsi="Times New Roman" w:cs="Times New Roman"/>
          <w:color w:val="0070C0"/>
          <w:sz w:val="24"/>
        </w:rPr>
        <w:t>KDIGO</w:t>
      </w:r>
      <w:bookmarkEnd w:id="3"/>
      <w:r w:rsidRPr="00222E13">
        <w:rPr>
          <w:rFonts w:ascii="Times New Roman" w:eastAsia="新宋体" w:hAnsi="Times New Roman" w:cs="Times New Roman"/>
          <w:color w:val="0070C0"/>
          <w:sz w:val="24"/>
        </w:rPr>
        <w:t xml:space="preserve"> (</w:t>
      </w:r>
      <w:proofErr w:type="gramStart"/>
      <w:r w:rsidRPr="00222E13">
        <w:rPr>
          <w:rFonts w:ascii="Times New Roman" w:eastAsia="新宋体" w:hAnsi="Times New Roman" w:cs="Times New Roman"/>
          <w:color w:val="0070C0"/>
          <w:sz w:val="24"/>
        </w:rPr>
        <w:t>Kidney</w:t>
      </w:r>
      <w:r w:rsidR="00383FD3">
        <w:rPr>
          <w:rFonts w:ascii="Times New Roman" w:eastAsia="新宋体" w:hAnsi="Times New Roman" w:cs="Times New Roman" w:hint="eastAsia"/>
          <w:color w:val="0070C0"/>
          <w:sz w:val="24"/>
        </w:rPr>
        <w:t xml:space="preserve"> </w:t>
      </w:r>
      <w:r w:rsidRPr="00222E13">
        <w:rPr>
          <w:rFonts w:ascii="Times New Roman" w:eastAsia="新宋体" w:hAnsi="Times New Roman" w:cs="Times New Roman"/>
          <w:color w:val="0070C0"/>
          <w:sz w:val="24"/>
        </w:rPr>
        <w:t>Disease</w:t>
      </w:r>
      <w:proofErr w:type="gramEnd"/>
      <w:r w:rsidRPr="00222E13">
        <w:rPr>
          <w:rFonts w:ascii="Times New Roman" w:eastAsia="新宋体" w:hAnsi="Times New Roman" w:cs="Times New Roman"/>
          <w:color w:val="0070C0"/>
          <w:sz w:val="24"/>
        </w:rPr>
        <w:t>: Improving Global Outcomes) guidelines, the patient did not currently meet the diagnostic criteria for DKD. The conventional diagnosis classified him as "Low</w:t>
      </w:r>
      <w:r w:rsidR="00610970" w:rsidRPr="00222E13">
        <w:rPr>
          <w:rFonts w:ascii="Times New Roman" w:eastAsia="新宋体" w:hAnsi="Times New Roman" w:cs="Times New Roman"/>
          <w:color w:val="0070C0"/>
          <w:sz w:val="24"/>
        </w:rPr>
        <w:t xml:space="preserve"> </w:t>
      </w:r>
      <w:r w:rsidR="00610970">
        <w:rPr>
          <w:rFonts w:ascii="Times New Roman" w:eastAsia="新宋体" w:hAnsi="Times New Roman" w:cs="Times New Roman" w:hint="eastAsia"/>
          <w:color w:val="0070C0"/>
          <w:sz w:val="24"/>
        </w:rPr>
        <w:t>R</w:t>
      </w:r>
      <w:r w:rsidR="00610970" w:rsidRPr="00222E13">
        <w:rPr>
          <w:rFonts w:ascii="Times New Roman" w:eastAsia="新宋体" w:hAnsi="Times New Roman" w:cs="Times New Roman"/>
          <w:color w:val="0070C0"/>
          <w:sz w:val="24"/>
        </w:rPr>
        <w:t>i</w:t>
      </w:r>
      <w:r w:rsidRPr="00222E13">
        <w:rPr>
          <w:rFonts w:ascii="Times New Roman" w:eastAsia="新宋体" w:hAnsi="Times New Roman" w:cs="Times New Roman"/>
          <w:color w:val="0070C0"/>
          <w:sz w:val="24"/>
        </w:rPr>
        <w:t>sk for DKD" and recommended annual follow-up.</w:t>
      </w:r>
    </w:p>
    <w:p w14:paraId="078B53F9" w14:textId="5CFCB82A" w:rsidR="00222E13" w:rsidRPr="00222E13" w:rsidRDefault="00222E13" w:rsidP="00222E13">
      <w:pPr>
        <w:spacing w:line="360" w:lineRule="auto"/>
        <w:rPr>
          <w:rFonts w:ascii="Times New Roman" w:eastAsia="新宋体" w:hAnsi="Times New Roman" w:cs="Times New Roman"/>
          <w:color w:val="0070C0"/>
          <w:sz w:val="24"/>
        </w:rPr>
      </w:pPr>
      <w:r w:rsidRPr="00222E13">
        <w:rPr>
          <w:rFonts w:ascii="Times New Roman" w:eastAsia="新宋体" w:hAnsi="Times New Roman" w:cs="Times New Roman"/>
          <w:color w:val="0070C0"/>
          <w:sz w:val="24"/>
        </w:rPr>
        <w:t xml:space="preserve">· Risk </w:t>
      </w:r>
      <w:r w:rsidR="00DE31DE" w:rsidRPr="00222E13">
        <w:rPr>
          <w:rFonts w:ascii="Times New Roman" w:eastAsia="新宋体" w:hAnsi="Times New Roman" w:cs="Times New Roman"/>
          <w:color w:val="0070C0"/>
          <w:sz w:val="24"/>
        </w:rPr>
        <w:t>assessment by prediction m</w:t>
      </w:r>
      <w:r w:rsidRPr="00222E13">
        <w:rPr>
          <w:rFonts w:ascii="Times New Roman" w:eastAsia="新宋体" w:hAnsi="Times New Roman" w:cs="Times New Roman"/>
          <w:color w:val="0070C0"/>
          <w:sz w:val="24"/>
        </w:rPr>
        <w:t>odel: A previously reported prediction model for early DKD risk was utilized</w:t>
      </w:r>
      <w:bookmarkStart w:id="4" w:name="OLE_LINK52"/>
      <w:r>
        <w:rPr>
          <w:rFonts w:ascii="Times New Roman" w:eastAsia="新宋体" w:hAnsi="Times New Roman" w:cs="Times New Roman" w:hint="eastAsia"/>
          <w:color w:val="0070C0"/>
          <w:sz w:val="24"/>
        </w:rPr>
        <w:t xml:space="preserve"> </w:t>
      </w:r>
      <w:r w:rsidR="00D9105A">
        <w:rPr>
          <w:rFonts w:ascii="Times New Roman" w:eastAsia="新宋体" w:hAnsi="Times New Roman" w:cs="Times New Roman"/>
          <w:color w:val="0070C0"/>
          <w:sz w:val="24"/>
        </w:rPr>
        <w:fldChar w:fldCharType="begin"/>
      </w:r>
      <w:r w:rsidR="00D9105A">
        <w:rPr>
          <w:rFonts w:ascii="Times New Roman" w:eastAsia="新宋体" w:hAnsi="Times New Roman" w:cs="Times New Roman"/>
          <w:color w:val="0070C0"/>
          <w:sz w:val="24"/>
        </w:rPr>
        <w:instrText xml:space="preserve"> ADDIN EN.CITE &lt;EndNote&gt;&lt;Cite&gt;&lt;Author&gt;Sun&lt;/Author&gt;&lt;Year&gt;2022&lt;/Year&gt;&lt;RecNum&gt;59&lt;/RecNum&gt;&lt;DisplayText&gt;[1]&lt;/DisplayText&gt;&lt;record&gt;&lt;rec-number&gt;59&lt;/rec-number&gt;&lt;foreign-keys&gt;&lt;key app="EN" db-id="s9ffazpfbvxa03eavs95spe2ztrpp9rfv2e2" timestamp="1759660025"&gt;59&lt;/key&gt;&lt;/foreign-keys&gt;&lt;ref-type name="Journal Article"&gt;17&lt;/ref-type&gt;&lt;contributors&gt;&lt;authors&gt;&lt;author&gt;Sun, L.&lt;/author&gt;&lt;author&gt;Wu, Y.&lt;/author&gt;&lt;author&gt;Hua, R. X.&lt;/author&gt;&lt;author&gt;Zou, L. X.&lt;/author&gt;&lt;/authors&gt;&lt;/contributors&gt;&lt;auth-address&gt;Department of Nephrology, Xuzhou Central Hospital, Xuzhou, China.&amp;#xD;Xuzhou Clinical School of Xuzhou Medical University, Xuzhou, China.&amp;#xD;School of Management, Xuzhou Medical University, Xuzhou, China.&lt;/auth-address&gt;&lt;titles&gt;&lt;title&gt;Prediction models for risk of diabetic kidney disease in Chinese patients with type 2 diabetes mellitus&lt;/title&gt;&lt;secondary-title&gt;Ren Fail&lt;/secondary-title&gt;&lt;/titles&gt;&lt;periodical&gt;&lt;full-title&gt;Ren Fail&lt;/full-title&gt;&lt;/periodical&gt;&lt;pages&gt;1454-1461&lt;/pages&gt;&lt;volume&gt;44&lt;/volume&gt;&lt;number&gt;1&lt;/number&gt;&lt;edition&gt;2022/08/30&lt;/edition&gt;&lt;keywords&gt;&lt;keyword&gt;Asian People&lt;/keyword&gt;&lt;keyword&gt;China&lt;/keyword&gt;&lt;keyword&gt;*Diabetes Mellitus, Type 2&lt;/keyword&gt;&lt;keyword&gt;*Diabetic Nephropathies&lt;/keyword&gt;&lt;keyword&gt;Humans&lt;/keyword&gt;&lt;keyword&gt;Prognosis&lt;/keyword&gt;&lt;keyword&gt;Diabetes Mellitus&lt;/keyword&gt;&lt;keyword&gt;Nomogram&lt;/keyword&gt;&lt;keyword&gt;diabetic kidney disease&lt;/keyword&gt;&lt;keyword&gt;prediction model&lt;/keyword&gt;&lt;/keywords&gt;&lt;dates&gt;&lt;year&gt;2022&lt;/year&gt;&lt;pub-dates&gt;&lt;date&gt;Dec&lt;/date&gt;&lt;/pub-dates&gt;&lt;/dates&gt;&lt;isbn&gt;0886-022X (Print)&amp;#xD;0886-022x&lt;/isbn&gt;&lt;accession-num&gt;36036430&lt;/accession-num&gt;&lt;urls&gt;&lt;/urls&gt;&lt;custom2&gt;PMC9427038&lt;/custom2&gt;&lt;electronic-resource-num&gt;10.1080/0886022x.2022.2113797&lt;/electronic-resource-num&gt;&lt;remote-database-provider&gt;NLM&lt;/remote-database-provider&gt;&lt;language&gt;eng&lt;/language&gt;&lt;/record&gt;&lt;/Cite&gt;&lt;/EndNote&gt;</w:instrText>
      </w:r>
      <w:r w:rsidR="00D9105A">
        <w:rPr>
          <w:rFonts w:ascii="Times New Roman" w:eastAsia="新宋体" w:hAnsi="Times New Roman" w:cs="Times New Roman"/>
          <w:color w:val="0070C0"/>
          <w:sz w:val="24"/>
        </w:rPr>
        <w:fldChar w:fldCharType="separate"/>
      </w:r>
      <w:r w:rsidR="00D9105A">
        <w:rPr>
          <w:rFonts w:ascii="Times New Roman" w:eastAsia="新宋体" w:hAnsi="Times New Roman" w:cs="Times New Roman"/>
          <w:noProof/>
          <w:color w:val="0070C0"/>
          <w:sz w:val="24"/>
        </w:rPr>
        <w:t>[1]</w:t>
      </w:r>
      <w:r w:rsidR="00D9105A">
        <w:rPr>
          <w:rFonts w:ascii="Times New Roman" w:eastAsia="新宋体" w:hAnsi="Times New Roman" w:cs="Times New Roman"/>
          <w:color w:val="0070C0"/>
          <w:sz w:val="24"/>
        </w:rPr>
        <w:fldChar w:fldCharType="end"/>
      </w:r>
      <w:bookmarkEnd w:id="4"/>
      <w:r w:rsidRPr="00222E13">
        <w:rPr>
          <w:rFonts w:ascii="Times New Roman" w:eastAsia="新宋体" w:hAnsi="Times New Roman" w:cs="Times New Roman"/>
          <w:color w:val="0070C0"/>
          <w:sz w:val="24"/>
        </w:rPr>
        <w:t>, with input parameters including age, UACR, eGFR, and neutrophil percentage. The model output indicated a "70% probability of developing DKD within 3 years," categorizing the patient as "High Risk."</w:t>
      </w:r>
    </w:p>
    <w:p w14:paraId="07212218" w14:textId="1DDC249D" w:rsidR="00222E13" w:rsidRPr="00222E13" w:rsidRDefault="00222E13" w:rsidP="00222E13">
      <w:pPr>
        <w:spacing w:line="360" w:lineRule="auto"/>
        <w:rPr>
          <w:rFonts w:ascii="Times New Roman" w:eastAsia="新宋体" w:hAnsi="Times New Roman" w:cs="Times New Roman"/>
          <w:color w:val="0070C0"/>
          <w:sz w:val="24"/>
        </w:rPr>
      </w:pPr>
      <w:r w:rsidRPr="00222E13">
        <w:rPr>
          <w:rFonts w:ascii="Times New Roman" w:eastAsia="新宋体" w:hAnsi="Times New Roman" w:cs="Times New Roman"/>
          <w:color w:val="0070C0"/>
          <w:sz w:val="24"/>
        </w:rPr>
        <w:t>· Subsequ</w:t>
      </w:r>
      <w:r w:rsidR="00DE31DE" w:rsidRPr="00222E13">
        <w:rPr>
          <w:rFonts w:ascii="Times New Roman" w:eastAsia="新宋体" w:hAnsi="Times New Roman" w:cs="Times New Roman"/>
          <w:color w:val="0070C0"/>
          <w:sz w:val="24"/>
        </w:rPr>
        <w:t>ent clinical va</w:t>
      </w:r>
      <w:r w:rsidRPr="00222E13">
        <w:rPr>
          <w:rFonts w:ascii="Times New Roman" w:eastAsia="新宋体" w:hAnsi="Times New Roman" w:cs="Times New Roman"/>
          <w:color w:val="0070C0"/>
          <w:sz w:val="24"/>
        </w:rPr>
        <w:t xml:space="preserve">lidation: Prompted by the model's warning, the patient underwent a renal biopsy for pathological examination. The pathology report revealed: Light microscopy showed mild proliferation of mesangial cells and matrix, diffuse mild thickening of the glomerular basement membrane (GBM), along with focal tubular </w:t>
      </w:r>
      <w:r w:rsidRPr="00222E13">
        <w:rPr>
          <w:rFonts w:ascii="Times New Roman" w:eastAsia="新宋体" w:hAnsi="Times New Roman" w:cs="Times New Roman"/>
          <w:color w:val="0070C0"/>
          <w:sz w:val="24"/>
        </w:rPr>
        <w:lastRenderedPageBreak/>
        <w:t xml:space="preserve">atrophy and a small amount of lymphocyte infiltration in the </w:t>
      </w:r>
      <w:proofErr w:type="spellStart"/>
      <w:r w:rsidRPr="00222E13">
        <w:rPr>
          <w:rFonts w:ascii="Times New Roman" w:eastAsia="新宋体" w:hAnsi="Times New Roman" w:cs="Times New Roman"/>
          <w:color w:val="0070C0"/>
          <w:sz w:val="24"/>
        </w:rPr>
        <w:t>interstitium</w:t>
      </w:r>
      <w:proofErr w:type="spellEnd"/>
      <w:r w:rsidRPr="00222E13">
        <w:rPr>
          <w:rFonts w:ascii="Times New Roman" w:eastAsia="新宋体" w:hAnsi="Times New Roman" w:cs="Times New Roman"/>
          <w:color w:val="0070C0"/>
          <w:sz w:val="24"/>
        </w:rPr>
        <w:t>. Electron microscopy further confirmed GBM thickening and observed partial effacement of podocyte foot processes. Collectively, these changes indicated kidney injury, and the pathological diagnosis was consistent with early-stage DKD changes (DKD Stage I-II).</w:t>
      </w:r>
    </w:p>
    <w:p w14:paraId="1E4147A0" w14:textId="2C68C83B" w:rsidR="00222E13" w:rsidRPr="00985988" w:rsidRDefault="00222E13" w:rsidP="00222E13">
      <w:pPr>
        <w:spacing w:line="360" w:lineRule="auto"/>
        <w:rPr>
          <w:rFonts w:ascii="Times New Roman" w:eastAsia="新宋体" w:hAnsi="Times New Roman" w:cs="Times New Roman"/>
          <w:color w:val="0070C0"/>
          <w:sz w:val="24"/>
        </w:rPr>
      </w:pPr>
      <w:r w:rsidRPr="00222E13">
        <w:rPr>
          <w:rFonts w:ascii="Times New Roman" w:eastAsia="新宋体" w:hAnsi="Times New Roman" w:cs="Times New Roman"/>
          <w:color w:val="0070C0"/>
          <w:sz w:val="24"/>
        </w:rPr>
        <w:t xml:space="preserve">· Core </w:t>
      </w:r>
      <w:r w:rsidR="00DE31DE" w:rsidRPr="00222E13">
        <w:rPr>
          <w:rFonts w:ascii="Times New Roman" w:eastAsia="新宋体" w:hAnsi="Times New Roman" w:cs="Times New Roman"/>
          <w:color w:val="0070C0"/>
          <w:sz w:val="24"/>
        </w:rPr>
        <w:t>co</w:t>
      </w:r>
      <w:r w:rsidRPr="00222E13">
        <w:rPr>
          <w:rFonts w:ascii="Times New Roman" w:eastAsia="新宋体" w:hAnsi="Times New Roman" w:cs="Times New Roman"/>
          <w:color w:val="0070C0"/>
          <w:sz w:val="24"/>
        </w:rPr>
        <w:t>ntrast: The conventional diagnosis relied on UACR and eGFR, missing the early pathological injury because these parameters did not reach the diagnostic thresholds. In contrast, the prediction model can integrate multi-dimensional parameters and capture potential interrelationships among indicators through its algorithm, enabling the early identification of "subclinical DKD" and facilitating timely intervention.</w:t>
      </w:r>
    </w:p>
    <w:bookmarkEnd w:id="0"/>
    <w:p w14:paraId="733535CB" w14:textId="77777777" w:rsidR="00985988" w:rsidRDefault="00985988" w:rsidP="00985988">
      <w:pPr>
        <w:spacing w:line="360" w:lineRule="auto"/>
        <w:rPr>
          <w:rFonts w:ascii="Times New Roman" w:eastAsia="新宋体" w:hAnsi="Times New Roman" w:cs="Times New Roman"/>
          <w:color w:val="0070C0"/>
          <w:sz w:val="24"/>
        </w:rPr>
      </w:pPr>
    </w:p>
    <w:p w14:paraId="7A4DCAA2" w14:textId="3FC0A686" w:rsidR="00E1422A" w:rsidRPr="00E1422A" w:rsidRDefault="00E1422A" w:rsidP="00E1422A">
      <w:pPr>
        <w:spacing w:line="360" w:lineRule="auto"/>
        <w:rPr>
          <w:rFonts w:ascii="Times New Roman" w:eastAsia="新宋体" w:hAnsi="Times New Roman" w:cs="Times New Roman"/>
          <w:color w:val="0070C0"/>
          <w:sz w:val="24"/>
        </w:rPr>
      </w:pPr>
      <w:bookmarkStart w:id="5" w:name="OLE_LINK42"/>
      <w:r w:rsidRPr="00E1422A">
        <w:rPr>
          <w:rFonts w:ascii="Times New Roman" w:eastAsia="新宋体" w:hAnsi="Times New Roman" w:cs="Times New Roman"/>
          <w:color w:val="0070C0"/>
          <w:sz w:val="24"/>
        </w:rPr>
        <w:t>Case 2: Risk of DKD progression to end-stage renal disease</w:t>
      </w:r>
      <w:r>
        <w:rPr>
          <w:rFonts w:ascii="Times New Roman" w:eastAsia="新宋体" w:hAnsi="Times New Roman" w:cs="Times New Roman" w:hint="eastAsia"/>
          <w:color w:val="0070C0"/>
          <w:sz w:val="24"/>
        </w:rPr>
        <w:t xml:space="preserve"> (</w:t>
      </w:r>
      <w:r w:rsidRPr="00E1422A">
        <w:rPr>
          <w:rFonts w:ascii="Times New Roman" w:eastAsia="新宋体" w:hAnsi="Times New Roman" w:cs="Times New Roman"/>
          <w:color w:val="0070C0"/>
          <w:sz w:val="24"/>
        </w:rPr>
        <w:t>ESRD</w:t>
      </w:r>
      <w:r>
        <w:rPr>
          <w:rFonts w:ascii="Times New Roman" w:eastAsia="新宋体" w:hAnsi="Times New Roman" w:cs="Times New Roman" w:hint="eastAsia"/>
          <w:color w:val="0070C0"/>
          <w:sz w:val="24"/>
        </w:rPr>
        <w:t>)</w:t>
      </w:r>
      <w:r w:rsidRPr="00E1422A">
        <w:rPr>
          <w:rFonts w:ascii="Times New Roman" w:eastAsia="新宋体" w:hAnsi="Times New Roman" w:cs="Times New Roman"/>
          <w:color w:val="0070C0"/>
          <w:sz w:val="24"/>
        </w:rPr>
        <w:t xml:space="preserve"> </w:t>
      </w:r>
    </w:p>
    <w:p w14:paraId="1563A1F0" w14:textId="62F32673" w:rsidR="00E1422A" w:rsidRPr="00E1422A" w:rsidRDefault="00E1422A" w:rsidP="00E1422A">
      <w:pPr>
        <w:spacing w:line="360" w:lineRule="auto"/>
        <w:rPr>
          <w:rFonts w:ascii="Times New Roman" w:eastAsia="新宋体" w:hAnsi="Times New Roman" w:cs="Times New Roman"/>
          <w:color w:val="0070C0"/>
          <w:sz w:val="24"/>
        </w:rPr>
      </w:pPr>
      <w:r w:rsidRPr="00E1422A">
        <w:rPr>
          <w:rFonts w:ascii="Times New Roman" w:eastAsia="新宋体" w:hAnsi="Times New Roman" w:cs="Times New Roman"/>
          <w:color w:val="0070C0"/>
          <w:sz w:val="24"/>
        </w:rPr>
        <w:t>· Patient profile: Male, 58 years old, with a 12-year history of T2D. Diagnosed with DKD via renal biopsy 2 years ago due to proteinuria and elevated serum creatinine.</w:t>
      </w:r>
    </w:p>
    <w:p w14:paraId="2A483C0C" w14:textId="5E37243F" w:rsidR="00E1422A" w:rsidRPr="00E1422A" w:rsidRDefault="00E1422A" w:rsidP="00E1422A">
      <w:pPr>
        <w:spacing w:line="360" w:lineRule="auto"/>
        <w:rPr>
          <w:rFonts w:ascii="Times New Roman" w:eastAsia="新宋体" w:hAnsi="Times New Roman" w:cs="Times New Roman"/>
          <w:color w:val="0070C0"/>
          <w:sz w:val="24"/>
        </w:rPr>
      </w:pPr>
      <w:r w:rsidRPr="00E1422A">
        <w:rPr>
          <w:rFonts w:ascii="Times New Roman" w:eastAsia="新宋体" w:hAnsi="Times New Roman" w:cs="Times New Roman"/>
          <w:color w:val="0070C0"/>
          <w:sz w:val="24"/>
        </w:rPr>
        <w:t>· Conventional baseline parameters (at time of renal biopsy): Serum albumin (</w:t>
      </w:r>
      <w:proofErr w:type="spellStart"/>
      <w:r w:rsidRPr="00E1422A">
        <w:rPr>
          <w:rFonts w:ascii="Times New Roman" w:eastAsia="新宋体" w:hAnsi="Times New Roman" w:cs="Times New Roman"/>
          <w:color w:val="0070C0"/>
          <w:sz w:val="24"/>
        </w:rPr>
        <w:t>sAlb</w:t>
      </w:r>
      <w:proofErr w:type="spellEnd"/>
      <w:r w:rsidRPr="00E1422A">
        <w:rPr>
          <w:rFonts w:ascii="Times New Roman" w:eastAsia="新宋体" w:hAnsi="Times New Roman" w:cs="Times New Roman"/>
          <w:color w:val="0070C0"/>
          <w:sz w:val="24"/>
        </w:rPr>
        <w:t>) 32 g/L, hemoglobin (Hb) 108 g/L, serum creatinine (</w:t>
      </w:r>
      <w:proofErr w:type="spellStart"/>
      <w:r w:rsidRPr="00E1422A">
        <w:rPr>
          <w:rFonts w:ascii="Times New Roman" w:eastAsia="新宋体" w:hAnsi="Times New Roman" w:cs="Times New Roman"/>
          <w:color w:val="0070C0"/>
          <w:sz w:val="24"/>
        </w:rPr>
        <w:t>sCr</w:t>
      </w:r>
      <w:proofErr w:type="spellEnd"/>
      <w:r w:rsidRPr="00E1422A">
        <w:rPr>
          <w:rFonts w:ascii="Times New Roman" w:eastAsia="新宋体" w:hAnsi="Times New Roman" w:cs="Times New Roman"/>
          <w:color w:val="0070C0"/>
          <w:sz w:val="24"/>
        </w:rPr>
        <w:t xml:space="preserve">) 145 </w:t>
      </w:r>
      <w:proofErr w:type="spellStart"/>
      <w:r w:rsidRPr="00E1422A">
        <w:rPr>
          <w:rFonts w:ascii="Times New Roman" w:eastAsia="新宋体" w:hAnsi="Times New Roman" w:cs="Times New Roman"/>
          <w:color w:val="0070C0"/>
          <w:sz w:val="24"/>
        </w:rPr>
        <w:t>μmol</w:t>
      </w:r>
      <w:proofErr w:type="spellEnd"/>
      <w:r w:rsidRPr="00E1422A">
        <w:rPr>
          <w:rFonts w:ascii="Times New Roman" w:eastAsia="新宋体" w:hAnsi="Times New Roman" w:cs="Times New Roman"/>
          <w:color w:val="0070C0"/>
          <w:sz w:val="24"/>
        </w:rPr>
        <w:t>/L, cystatin C (</w:t>
      </w:r>
      <w:proofErr w:type="spellStart"/>
      <w:r w:rsidRPr="00E1422A">
        <w:rPr>
          <w:rFonts w:ascii="Times New Roman" w:eastAsia="新宋体" w:hAnsi="Times New Roman" w:cs="Times New Roman"/>
          <w:color w:val="0070C0"/>
          <w:sz w:val="24"/>
        </w:rPr>
        <w:t>CysC</w:t>
      </w:r>
      <w:proofErr w:type="spellEnd"/>
      <w:r w:rsidRPr="00E1422A">
        <w:rPr>
          <w:rFonts w:ascii="Times New Roman" w:eastAsia="新宋体" w:hAnsi="Times New Roman" w:cs="Times New Roman"/>
          <w:color w:val="0070C0"/>
          <w:sz w:val="24"/>
        </w:rPr>
        <w:t>) 2.1 mg/L, eGFR 45.41 mL/min/1.73m², 24-hour urinary total protein (UTP) 6.5 g/24h. Blood pressure 142/88 mmHg (on ACE inhibitor medication), HbA1c 7.8%.</w:t>
      </w:r>
    </w:p>
    <w:p w14:paraId="30345341" w14:textId="51277D2D" w:rsidR="00E1422A" w:rsidRPr="00E1422A" w:rsidRDefault="00E1422A" w:rsidP="00E1422A">
      <w:pPr>
        <w:spacing w:line="360" w:lineRule="auto"/>
        <w:rPr>
          <w:rFonts w:ascii="Times New Roman" w:eastAsia="新宋体" w:hAnsi="Times New Roman" w:cs="Times New Roman"/>
          <w:color w:val="0070C0"/>
          <w:sz w:val="24"/>
        </w:rPr>
      </w:pPr>
      <w:r w:rsidRPr="00E1422A">
        <w:rPr>
          <w:rFonts w:ascii="Times New Roman" w:eastAsia="新宋体" w:hAnsi="Times New Roman" w:cs="Times New Roman"/>
          <w:color w:val="0070C0"/>
          <w:sz w:val="24"/>
        </w:rPr>
        <w:t>· Past medical history: Smoking history, no history of coronary heart disease or cerebrovascular disease.</w:t>
      </w:r>
    </w:p>
    <w:p w14:paraId="626AB59C" w14:textId="7AA51046" w:rsidR="00E1422A" w:rsidRPr="00E1422A" w:rsidRDefault="00E1422A" w:rsidP="00E1422A">
      <w:pPr>
        <w:spacing w:line="360" w:lineRule="auto"/>
        <w:rPr>
          <w:rFonts w:ascii="Times New Roman" w:eastAsia="新宋体" w:hAnsi="Times New Roman" w:cs="Times New Roman"/>
          <w:color w:val="0070C0"/>
          <w:sz w:val="24"/>
        </w:rPr>
      </w:pPr>
      <w:r w:rsidRPr="00E1422A">
        <w:rPr>
          <w:rFonts w:ascii="Times New Roman" w:eastAsia="新宋体" w:hAnsi="Times New Roman" w:cs="Times New Roman"/>
          <w:color w:val="0070C0"/>
          <w:sz w:val="24"/>
        </w:rPr>
        <w:t>· Result from conventional diagnostic workflow: According to the KDIGO guidelines, the patient was classified as DKD G3aA3 stage. Conventional clinical assessment, based on his persistently declining eGFR and massive proteinuria, categorized him as "High Risk for Progression," recommending close follow-up and consideration of intensive comprehensive therapy.</w:t>
      </w:r>
    </w:p>
    <w:p w14:paraId="32C60913" w14:textId="3644B06A" w:rsidR="00E1422A" w:rsidRPr="00E1422A" w:rsidRDefault="00E1422A" w:rsidP="00E1422A">
      <w:pPr>
        <w:spacing w:line="360" w:lineRule="auto"/>
        <w:rPr>
          <w:rFonts w:ascii="Times New Roman" w:eastAsia="新宋体" w:hAnsi="Times New Roman" w:cs="Times New Roman"/>
          <w:color w:val="0070C0"/>
          <w:sz w:val="24"/>
        </w:rPr>
      </w:pPr>
      <w:r w:rsidRPr="00E1422A">
        <w:rPr>
          <w:rFonts w:ascii="Times New Roman" w:eastAsia="新宋体" w:hAnsi="Times New Roman" w:cs="Times New Roman"/>
          <w:color w:val="0070C0"/>
          <w:sz w:val="24"/>
        </w:rPr>
        <w:t>· Risk assessment by prediction model: A previously developed DKD progression risk prediction model was employed</w:t>
      </w:r>
      <w:r w:rsidR="00313812">
        <w:rPr>
          <w:rFonts w:ascii="Times New Roman" w:eastAsia="新宋体" w:hAnsi="Times New Roman" w:cs="Times New Roman" w:hint="eastAsia"/>
          <w:color w:val="0070C0"/>
          <w:sz w:val="24"/>
        </w:rPr>
        <w:t xml:space="preserve"> </w:t>
      </w:r>
      <w:bookmarkStart w:id="6" w:name="OLE_LINK74"/>
      <w:r w:rsidR="00D9105A">
        <w:rPr>
          <w:rFonts w:ascii="Times New Roman" w:eastAsia="新宋体" w:hAnsi="Times New Roman" w:cs="Times New Roman"/>
          <w:color w:val="0070C0"/>
          <w:sz w:val="24"/>
        </w:rPr>
        <w:fldChar w:fldCharType="begin">
          <w:fldData xml:space="preserve">PEVuZE5vdGU+PENpdGU+PEF1dGhvcj5ab3U8L0F1dGhvcj48WWVhcj4yMDIyPC9ZZWFyPjxSZWNO
dW0+Nzk8L1JlY051bT48RGlzcGxheVRleHQ+WzJdPC9EaXNwbGF5VGV4dD48cmVjb3JkPjxyZWMt
bnVtYmVyPjc5PC9yZWMtbnVtYmVyPjxmb3JlaWduLWtleXM+PGtleSBhcHA9IkVOIiBkYi1pZD0i
czlmZmF6cGZidnhhMDNlYXZzOTVzcGUyenRycHA5cmZ2MmUyIiB0aW1lc3RhbXA9IjE3NTk2NjY5
MDkiPjc5PC9rZXk+PC9mb3JlaWduLWtleXM+PHJlZi10eXBlIG5hbWU9IkpvdXJuYWwgQXJ0aWNs
ZSI+MTc8L3JlZi10eXBlPjxjb250cmlidXRvcnM+PGF1dGhvcnM+PGF1dGhvcj5ab3UsIFkuPC9h
dXRob3I+PGF1dGhvcj5aaGFvLCBMLjwvYXV0aG9yPjxhdXRob3I+WmhhbmcsIEouPC9hdXRob3I+
PGF1dGhvcj5XYW5nLCBZLjwvYXV0aG9yPjxhdXRob3I+V3UsIFkuPC9hdXRob3I+PGF1dGhvcj5S
ZW4sIEguPC9hdXRob3I+PGF1dGhvcj5XYW5nLCBULjwvYXV0aG9yPjxhdXRob3I+WmhhbmcsIFIu
PC9hdXRob3I+PGF1dGhvcj5XYW5nLCBKLjwvYXV0aG9yPjxhdXRob3I+WmhhbywgWS48L2F1dGhv
cj48YXV0aG9yPlFpbiwgQy48L2F1dGhvcj48YXV0aG9yPlh1LCBILjwvYXV0aG9yPjxhdXRob3I+
TGksIEwuPC9hdXRob3I+PGF1dGhvcj5DaGFpLCBaLjwvYXV0aG9yPjxhdXRob3I+Q29vcGVyLCBN
LiBFLjwvYXV0aG9yPjxhdXRob3I+VG9uZywgTi48L2F1dGhvcj48YXV0aG9yPkxpdSwgRi48L2F1
dGhvcj48L2F1dGhvcnM+PC9jb250cmlidXRvcnM+PGF1dGgtYWRkcmVzcz5EaXZpc2lvbiBvZiBO
ZXBocm9sb2d5LCBXZXN0IENoaW5hIEhvc3BpdGFsIG9mIFNpY2h1YW4gVW5pdmVyc2l0eSwgQ2hl
bmdkdSwgQ2hpbmEuJiN4RDtMYWJvcmF0b3J5IG9mIERpYWJldGljIEtpZG5leSBEaXNlYXNlLCBD
ZW50cmUgb2YgRGlhYmV0ZXMgYW5kIE1ldGFib2xpc20gUmVzZWFyY2gsIFdlc3QgQ2hpbmEgSG9z
cGl0YWwgb2YgU2ljaHVhbiBVbml2ZXJzaXR5LCBDaGVuZ2R1LCBDaGluYS4mI3hEO0RpdmlzaW9u
IG9mIFBhdGhvbG9neSwgV2VzdCBDaGluYSBIb3NwaXRhbCBvZiBTaWNodWFuIFVuaXZlcnNpdHks
IENoZW5nZHUsIENoaW5hLiYjeEQ7RGVwYXJ0bWVudCBvZiBEaWFiZXRlcywgQ2VudHJhbCBDbGlu
aWNhbCBTY2hvb2wsIE1vbmFzaCBVbml2ZXJzaXR5LCBNZWxib3VybmUsIEF1c3RyYWxpYS4mI3hE
O0RpdmlzaW9uIG9mIEVuZG9jcmlub2xvZ3ksIFdlc3QgQ2hpbmEgSG9zcGl0YWwgb2YgU2ljaHVh
biBVbml2ZXJzaXR5LCBDaGVuZ2R1LCBDaGluYS48L2F1dGgtYWRkcmVzcz48dGl0bGVzPjx0aXRs
ZT5EZXZlbG9wbWVudCBhbmQgaW50ZXJuYWwgdmFsaWRhdGlvbiBvZiBtYWNoaW5lIGxlYXJuaW5n
IGFsZ29yaXRobXMgZm9yIGVuZC1zdGFnZSByZW5hbCBkaXNlYXNlIHJpc2sgcHJlZGljdGlvbiBt
b2RlbCBvZiBwZW9wbGUgd2l0aCB0eXBlIDIgZGlhYmV0ZXMgbWVsbGl0dXMgYW5kIGRpYWJldGlj
IGtpZG5leSBkaXNlYXNlPC90aXRsZT48c2Vjb25kYXJ5LXRpdGxlPlJlbiBGYWlsPC9zZWNvbmRh
cnktdGl0bGU+PC90aXRsZXM+PHBlcmlvZGljYWw+PGZ1bGwtdGl0bGU+UmVuIEZhaWw8L2Z1bGwt
dGl0bGU+PC9wZXJpb2RpY2FsPjxwYWdlcz41NjItNTcwPC9wYWdlcz48dm9sdW1lPjQ0PC92b2x1
bWU+PG51bWJlcj4xPC9udW1iZXI+PGVkaXRpb24+MjAyMi8wNC8wNTwvZWRpdGlvbj48a2V5d29y
ZHM+PGtleXdvcmQ+QWxnb3JpdGhtczwva2V5d29yZD48a2V5d29yZD4qRGlhYmV0ZXMgTWVsbGl0
dXMsIFR5cGUgMi9jb21wbGljYXRpb25zL3BhdGhvbG9neTwva2V5d29yZD48a2V5d29yZD4qRGlh
YmV0aWMgTmVwaHJvcGF0aGllcy9kaWFnbm9zaXMvZXRpb2xvZ3kvbWV0YWJvbGlzbTwva2V5d29y
ZD48a2V5d29yZD5IdW1hbnM8L2tleXdvcmQ+PGtleXdvcmQ+KktpZG5leSBGYWlsdXJlLCBDaHJv
bmljL2RpYWdub3Npcy9lcGlkZW1pb2xvZ3kvZXRpb2xvZ3k8L2tleXdvcmQ+PGtleXdvcmQ+TWFj
aGluZSBMZWFybmluZzwva2V5d29yZD48a2V5d29yZD5UeXBlIDIgZGlhYmV0ZXMgbWVsbGl0dXM8
L2tleXdvcmQ+PGtleXdvcmQ+ZGlhYmV0aWMga2lkbmV5IGRpc2Vhc2U8L2tleXdvcmQ+PGtleXdv
cmQ+ZW5kLXN0YWdlIHJlbmFsIGRpc2Vhc2U8L2tleXdvcmQ+PGtleXdvcmQ+cmlzayBwcmVkaWN0
aW9uIG1vZGVsPC9rZXl3b3JkPjxrZXl3b3JkPnBhcGVyIGhhdmUgbm90IGJlZW4gcHVibGlzaGVk
IHByZXZpb3VzbHkgaW4gd2hvbGUgb3IgcGFydC48L2tleXdvcmQ+PC9rZXl3b3Jkcz48ZGF0ZXM+
PHllYXI+MjAyMjwveWVhcj48cHViLWRhdGVzPjxkYXRlPkRlYzwvZGF0ZT48L3B1Yi1kYXRlcz48
L2RhdGVzPjxpc2JuPjA4ODYtMDIyWCAoUHJpbnQpJiN4RDswODg2LTAyMng8L2lzYm4+PGFjY2Vz
c2lvbi1udW0+MzUzNzM3MTE8L2FjY2Vzc2lvbi1udW0+PHVybHM+PC91cmxzPjxjdXN0b20yPlBN
Qzg5ODYyMjA8L2N1c3RvbTI+PGVsZWN0cm9uaWMtcmVzb3VyY2UtbnVtPjEwLjEwODAvMDg4NjAy
MnguMjAyMi4yMDU2MDUzPC9lbGVjdHJvbmljLXJlc291cmNlLW51bT48cmVtb3RlLWRhdGFiYXNl
LXByb3ZpZGVyPk5MTTwvcmVtb3RlLWRhdGFiYXNlLXByb3ZpZGVyPjxsYW5ndWFnZT5lbmc8L2xh
bmd1YWdlPjwvcmVjb3JkPjwvQ2l0ZT48L0VuZE5vdGU+AG==
</w:fldData>
        </w:fldChar>
      </w:r>
      <w:r w:rsidR="00D9105A">
        <w:rPr>
          <w:rFonts w:ascii="Times New Roman" w:eastAsia="新宋体" w:hAnsi="Times New Roman" w:cs="Times New Roman"/>
          <w:color w:val="0070C0"/>
          <w:sz w:val="24"/>
        </w:rPr>
        <w:instrText xml:space="preserve"> ADDIN EN.CITE </w:instrText>
      </w:r>
      <w:r w:rsidR="00D9105A">
        <w:rPr>
          <w:rFonts w:ascii="Times New Roman" w:eastAsia="新宋体" w:hAnsi="Times New Roman" w:cs="Times New Roman"/>
          <w:color w:val="0070C0"/>
          <w:sz w:val="24"/>
        </w:rPr>
        <w:fldChar w:fldCharType="begin">
          <w:fldData xml:space="preserve">PEVuZE5vdGU+PENpdGU+PEF1dGhvcj5ab3U8L0F1dGhvcj48WWVhcj4yMDIyPC9ZZWFyPjxSZWNO
dW0+Nzk8L1JlY051bT48RGlzcGxheVRleHQ+WzJdPC9EaXNwbGF5VGV4dD48cmVjb3JkPjxyZWMt
bnVtYmVyPjc5PC9yZWMtbnVtYmVyPjxmb3JlaWduLWtleXM+PGtleSBhcHA9IkVOIiBkYi1pZD0i
czlmZmF6cGZidnhhMDNlYXZzOTVzcGUyenRycHA5cmZ2MmUyIiB0aW1lc3RhbXA9IjE3NTk2NjY5
MDkiPjc5PC9rZXk+PC9mb3JlaWduLWtleXM+PHJlZi10eXBlIG5hbWU9IkpvdXJuYWwgQXJ0aWNs
ZSI+MTc8L3JlZi10eXBlPjxjb250cmlidXRvcnM+PGF1dGhvcnM+PGF1dGhvcj5ab3UsIFkuPC9h
dXRob3I+PGF1dGhvcj5aaGFvLCBMLjwvYXV0aG9yPjxhdXRob3I+WmhhbmcsIEouPC9hdXRob3I+
PGF1dGhvcj5XYW5nLCBZLjwvYXV0aG9yPjxhdXRob3I+V3UsIFkuPC9hdXRob3I+PGF1dGhvcj5S
ZW4sIEguPC9hdXRob3I+PGF1dGhvcj5XYW5nLCBULjwvYXV0aG9yPjxhdXRob3I+WmhhbmcsIFIu
PC9hdXRob3I+PGF1dGhvcj5XYW5nLCBKLjwvYXV0aG9yPjxhdXRob3I+WmhhbywgWS48L2F1dGhv
cj48YXV0aG9yPlFpbiwgQy48L2F1dGhvcj48YXV0aG9yPlh1LCBILjwvYXV0aG9yPjxhdXRob3I+
TGksIEwuPC9hdXRob3I+PGF1dGhvcj5DaGFpLCBaLjwvYXV0aG9yPjxhdXRob3I+Q29vcGVyLCBN
LiBFLjwvYXV0aG9yPjxhdXRob3I+VG9uZywgTi48L2F1dGhvcj48YXV0aG9yPkxpdSwgRi48L2F1
dGhvcj48L2F1dGhvcnM+PC9jb250cmlidXRvcnM+PGF1dGgtYWRkcmVzcz5EaXZpc2lvbiBvZiBO
ZXBocm9sb2d5LCBXZXN0IENoaW5hIEhvc3BpdGFsIG9mIFNpY2h1YW4gVW5pdmVyc2l0eSwgQ2hl
bmdkdSwgQ2hpbmEuJiN4RDtMYWJvcmF0b3J5IG9mIERpYWJldGljIEtpZG5leSBEaXNlYXNlLCBD
ZW50cmUgb2YgRGlhYmV0ZXMgYW5kIE1ldGFib2xpc20gUmVzZWFyY2gsIFdlc3QgQ2hpbmEgSG9z
cGl0YWwgb2YgU2ljaHVhbiBVbml2ZXJzaXR5LCBDaGVuZ2R1LCBDaGluYS4mI3hEO0RpdmlzaW9u
IG9mIFBhdGhvbG9neSwgV2VzdCBDaGluYSBIb3NwaXRhbCBvZiBTaWNodWFuIFVuaXZlcnNpdHks
IENoZW5nZHUsIENoaW5hLiYjeEQ7RGVwYXJ0bWVudCBvZiBEaWFiZXRlcywgQ2VudHJhbCBDbGlu
aWNhbCBTY2hvb2wsIE1vbmFzaCBVbml2ZXJzaXR5LCBNZWxib3VybmUsIEF1c3RyYWxpYS4mI3hE
O0RpdmlzaW9uIG9mIEVuZG9jcmlub2xvZ3ksIFdlc3QgQ2hpbmEgSG9zcGl0YWwgb2YgU2ljaHVh
biBVbml2ZXJzaXR5LCBDaGVuZ2R1LCBDaGluYS48L2F1dGgtYWRkcmVzcz48dGl0bGVzPjx0aXRs
ZT5EZXZlbG9wbWVudCBhbmQgaW50ZXJuYWwgdmFsaWRhdGlvbiBvZiBtYWNoaW5lIGxlYXJuaW5n
IGFsZ29yaXRobXMgZm9yIGVuZC1zdGFnZSByZW5hbCBkaXNlYXNlIHJpc2sgcHJlZGljdGlvbiBt
b2RlbCBvZiBwZW9wbGUgd2l0aCB0eXBlIDIgZGlhYmV0ZXMgbWVsbGl0dXMgYW5kIGRpYWJldGlj
IGtpZG5leSBkaXNlYXNlPC90aXRsZT48c2Vjb25kYXJ5LXRpdGxlPlJlbiBGYWlsPC9zZWNvbmRh
cnktdGl0bGU+PC90aXRsZXM+PHBlcmlvZGljYWw+PGZ1bGwtdGl0bGU+UmVuIEZhaWw8L2Z1bGwt
dGl0bGU+PC9wZXJpb2RpY2FsPjxwYWdlcz41NjItNTcwPC9wYWdlcz48dm9sdW1lPjQ0PC92b2x1
bWU+PG51bWJlcj4xPC9udW1iZXI+PGVkaXRpb24+MjAyMi8wNC8wNTwvZWRpdGlvbj48a2V5d29y
ZHM+PGtleXdvcmQ+QWxnb3JpdGhtczwva2V5d29yZD48a2V5d29yZD4qRGlhYmV0ZXMgTWVsbGl0
dXMsIFR5cGUgMi9jb21wbGljYXRpb25zL3BhdGhvbG9neTwva2V5d29yZD48a2V5d29yZD4qRGlh
YmV0aWMgTmVwaHJvcGF0aGllcy9kaWFnbm9zaXMvZXRpb2xvZ3kvbWV0YWJvbGlzbTwva2V5d29y
ZD48a2V5d29yZD5IdW1hbnM8L2tleXdvcmQ+PGtleXdvcmQ+KktpZG5leSBGYWlsdXJlLCBDaHJv
bmljL2RpYWdub3Npcy9lcGlkZW1pb2xvZ3kvZXRpb2xvZ3k8L2tleXdvcmQ+PGtleXdvcmQ+TWFj
aGluZSBMZWFybmluZzwva2V5d29yZD48a2V5d29yZD5UeXBlIDIgZGlhYmV0ZXMgbWVsbGl0dXM8
L2tleXdvcmQ+PGtleXdvcmQ+ZGlhYmV0aWMga2lkbmV5IGRpc2Vhc2U8L2tleXdvcmQ+PGtleXdv
cmQ+ZW5kLXN0YWdlIHJlbmFsIGRpc2Vhc2U8L2tleXdvcmQ+PGtleXdvcmQ+cmlzayBwcmVkaWN0
aW9uIG1vZGVsPC9rZXl3b3JkPjxrZXl3b3JkPnBhcGVyIGhhdmUgbm90IGJlZW4gcHVibGlzaGVk
IHByZXZpb3VzbHkgaW4gd2hvbGUgb3IgcGFydC48L2tleXdvcmQ+PC9rZXl3b3Jkcz48ZGF0ZXM+
PHllYXI+MjAyMjwveWVhcj48cHViLWRhdGVzPjxkYXRlPkRlYzwvZGF0ZT48L3B1Yi1kYXRlcz48
L2RhdGVzPjxpc2JuPjA4ODYtMDIyWCAoUHJpbnQpJiN4RDswODg2LTAyMng8L2lzYm4+PGFjY2Vz
c2lvbi1udW0+MzUzNzM3MTE8L2FjY2Vzc2lvbi1udW0+PHVybHM+PC91cmxzPjxjdXN0b20yPlBN
Qzg5ODYyMjA8L2N1c3RvbTI+PGVsZWN0cm9uaWMtcmVzb3VyY2UtbnVtPjEwLjEwODAvMDg4NjAy
MnguMjAyMi4yMDU2MDUzPC9lbGVjdHJvbmljLXJlc291cmNlLW51bT48cmVtb3RlLWRhdGFiYXNl
LXByb3ZpZGVyPk5MTTwvcmVtb3RlLWRhdGFiYXNlLXByb3ZpZGVyPjxsYW5ndWFnZT5lbmc8L2xh
bmd1YWdlPjwvcmVjb3JkPjwvQ2l0ZT48L0VuZE5vdGU+AG==
</w:fldData>
        </w:fldChar>
      </w:r>
      <w:r w:rsidR="00D9105A">
        <w:rPr>
          <w:rFonts w:ascii="Times New Roman" w:eastAsia="新宋体" w:hAnsi="Times New Roman" w:cs="Times New Roman"/>
          <w:color w:val="0070C0"/>
          <w:sz w:val="24"/>
        </w:rPr>
        <w:instrText xml:space="preserve"> ADDIN EN.CITE.DATA </w:instrText>
      </w:r>
      <w:r w:rsidR="00D9105A">
        <w:rPr>
          <w:rFonts w:ascii="Times New Roman" w:eastAsia="新宋体" w:hAnsi="Times New Roman" w:cs="Times New Roman"/>
          <w:color w:val="0070C0"/>
          <w:sz w:val="24"/>
        </w:rPr>
      </w:r>
      <w:r w:rsidR="00D9105A">
        <w:rPr>
          <w:rFonts w:ascii="Times New Roman" w:eastAsia="新宋体" w:hAnsi="Times New Roman" w:cs="Times New Roman"/>
          <w:color w:val="0070C0"/>
          <w:sz w:val="24"/>
        </w:rPr>
        <w:fldChar w:fldCharType="end"/>
      </w:r>
      <w:r w:rsidR="00D9105A">
        <w:rPr>
          <w:rFonts w:ascii="Times New Roman" w:eastAsia="新宋体" w:hAnsi="Times New Roman" w:cs="Times New Roman"/>
          <w:color w:val="0070C0"/>
          <w:sz w:val="24"/>
        </w:rPr>
      </w:r>
      <w:r w:rsidR="00D9105A">
        <w:rPr>
          <w:rFonts w:ascii="Times New Roman" w:eastAsia="新宋体" w:hAnsi="Times New Roman" w:cs="Times New Roman"/>
          <w:color w:val="0070C0"/>
          <w:sz w:val="24"/>
        </w:rPr>
        <w:fldChar w:fldCharType="separate"/>
      </w:r>
      <w:r w:rsidR="00D9105A">
        <w:rPr>
          <w:rFonts w:ascii="Times New Roman" w:eastAsia="新宋体" w:hAnsi="Times New Roman" w:cs="Times New Roman"/>
          <w:noProof/>
          <w:color w:val="0070C0"/>
          <w:sz w:val="24"/>
        </w:rPr>
        <w:t>[2]</w:t>
      </w:r>
      <w:r w:rsidR="00D9105A">
        <w:rPr>
          <w:rFonts w:ascii="Times New Roman" w:eastAsia="新宋体" w:hAnsi="Times New Roman" w:cs="Times New Roman"/>
          <w:color w:val="0070C0"/>
          <w:sz w:val="24"/>
        </w:rPr>
        <w:fldChar w:fldCharType="end"/>
      </w:r>
      <w:bookmarkEnd w:id="6"/>
      <w:r w:rsidRPr="00E1422A">
        <w:rPr>
          <w:rFonts w:ascii="Times New Roman" w:eastAsia="新宋体" w:hAnsi="Times New Roman" w:cs="Times New Roman"/>
          <w:color w:val="0070C0"/>
          <w:sz w:val="24"/>
        </w:rPr>
        <w:t xml:space="preserve">. Input parameters included </w:t>
      </w:r>
      <w:proofErr w:type="spellStart"/>
      <w:r w:rsidRPr="00E1422A">
        <w:rPr>
          <w:rFonts w:ascii="Times New Roman" w:eastAsia="新宋体" w:hAnsi="Times New Roman" w:cs="Times New Roman"/>
          <w:color w:val="0070C0"/>
          <w:sz w:val="24"/>
        </w:rPr>
        <w:t>sAlb</w:t>
      </w:r>
      <w:proofErr w:type="spellEnd"/>
      <w:r w:rsidRPr="00E1422A">
        <w:rPr>
          <w:rFonts w:ascii="Times New Roman" w:eastAsia="新宋体" w:hAnsi="Times New Roman" w:cs="Times New Roman"/>
          <w:color w:val="0070C0"/>
          <w:sz w:val="24"/>
        </w:rPr>
        <w:t xml:space="preserve">, Hb, eGFR, </w:t>
      </w:r>
      <w:proofErr w:type="spellStart"/>
      <w:r w:rsidRPr="00E1422A">
        <w:rPr>
          <w:rFonts w:ascii="Times New Roman" w:eastAsia="新宋体" w:hAnsi="Times New Roman" w:cs="Times New Roman"/>
          <w:color w:val="0070C0"/>
          <w:sz w:val="24"/>
        </w:rPr>
        <w:t>CysC</w:t>
      </w:r>
      <w:proofErr w:type="spellEnd"/>
      <w:r w:rsidRPr="00E1422A">
        <w:rPr>
          <w:rFonts w:ascii="Times New Roman" w:eastAsia="新宋体" w:hAnsi="Times New Roman" w:cs="Times New Roman"/>
          <w:color w:val="0070C0"/>
          <w:sz w:val="24"/>
        </w:rPr>
        <w:t>, and UTP. The model output predicted the risk of progressing to ESRD within 1, 3, and 5 years as 22%, 48%, and 67%, respectively.</w:t>
      </w:r>
    </w:p>
    <w:p w14:paraId="7256EADA" w14:textId="7D533F36" w:rsidR="00E1422A" w:rsidRPr="00E1422A" w:rsidRDefault="00E1422A" w:rsidP="00E1422A">
      <w:pPr>
        <w:spacing w:line="360" w:lineRule="auto"/>
        <w:rPr>
          <w:rFonts w:ascii="Times New Roman" w:eastAsia="新宋体" w:hAnsi="Times New Roman" w:cs="Times New Roman"/>
          <w:color w:val="0070C0"/>
          <w:sz w:val="24"/>
        </w:rPr>
      </w:pPr>
      <w:r w:rsidRPr="00E1422A">
        <w:rPr>
          <w:rFonts w:ascii="Times New Roman" w:eastAsia="新宋体" w:hAnsi="Times New Roman" w:cs="Times New Roman"/>
          <w:color w:val="0070C0"/>
          <w:sz w:val="24"/>
        </w:rPr>
        <w:t xml:space="preserve">· Subsequent clinical intervention: In light of the model's prediction of a high future </w:t>
      </w:r>
      <w:r w:rsidRPr="00E1422A">
        <w:rPr>
          <w:rFonts w:ascii="Times New Roman" w:eastAsia="新宋体" w:hAnsi="Times New Roman" w:cs="Times New Roman"/>
          <w:color w:val="0070C0"/>
          <w:sz w:val="24"/>
        </w:rPr>
        <w:lastRenderedPageBreak/>
        <w:t>risk of progressing to ESRD (especially within 5 years), the clinician intensified treatment beyond the existing ACE inhibitor. A sodium-glucose cotransporter-2 (SGLT2) inhibitor (Dapagliflozin) was added to reduce intraglomerular pressure and proteinuria, and a glucagon-like peptide-1 (GLP-1) receptor agonist (Semaglutide) was initiated to improve glycemic control and body weight. More stringent blood pressure (&lt;130/80 mmHg) and proteinuria control targets were set. The patient began regular follow-up.</w:t>
      </w:r>
    </w:p>
    <w:p w14:paraId="2409DE42" w14:textId="7124B057" w:rsidR="00985988" w:rsidRDefault="00E1422A" w:rsidP="00E1422A">
      <w:pPr>
        <w:spacing w:line="360" w:lineRule="auto"/>
        <w:rPr>
          <w:rFonts w:ascii="Times New Roman" w:eastAsia="新宋体" w:hAnsi="Times New Roman" w:cs="Times New Roman"/>
          <w:color w:val="0070C0"/>
          <w:sz w:val="24"/>
        </w:rPr>
      </w:pPr>
      <w:r w:rsidRPr="00E1422A">
        <w:rPr>
          <w:rFonts w:ascii="Times New Roman" w:eastAsia="新宋体" w:hAnsi="Times New Roman" w:cs="Times New Roman"/>
          <w:color w:val="0070C0"/>
          <w:sz w:val="24"/>
        </w:rPr>
        <w:t xml:space="preserve">· Core contrast: The value of the prediction model lies in its transition from qualitative, experience-based judgment to quantitative risk stratification. Conventional clinical assessment primarily relies on guideline staging and physician experience. In contrast, this prediction model integrates five interlinked yet </w:t>
      </w:r>
      <w:proofErr w:type="spellStart"/>
      <w:r w:rsidRPr="00E1422A">
        <w:rPr>
          <w:rFonts w:ascii="Times New Roman" w:eastAsia="新宋体" w:hAnsi="Times New Roman" w:cs="Times New Roman"/>
          <w:color w:val="0070C0"/>
          <w:sz w:val="24"/>
        </w:rPr>
        <w:t>pathophysiologically</w:t>
      </w:r>
      <w:proofErr w:type="spellEnd"/>
      <w:r w:rsidRPr="00E1422A">
        <w:rPr>
          <w:rFonts w:ascii="Times New Roman" w:eastAsia="新宋体" w:hAnsi="Times New Roman" w:cs="Times New Roman"/>
          <w:color w:val="0070C0"/>
          <w:sz w:val="24"/>
        </w:rPr>
        <w:t xml:space="preserve"> distinct indicators—reflecting nutritional status (</w:t>
      </w:r>
      <w:proofErr w:type="spellStart"/>
      <w:r w:rsidRPr="00E1422A">
        <w:rPr>
          <w:rFonts w:ascii="Times New Roman" w:eastAsia="新宋体" w:hAnsi="Times New Roman" w:cs="Times New Roman"/>
          <w:color w:val="0070C0"/>
          <w:sz w:val="24"/>
        </w:rPr>
        <w:t>sAlb</w:t>
      </w:r>
      <w:proofErr w:type="spellEnd"/>
      <w:r w:rsidRPr="00E1422A">
        <w:rPr>
          <w:rFonts w:ascii="Times New Roman" w:eastAsia="新宋体" w:hAnsi="Times New Roman" w:cs="Times New Roman"/>
          <w:color w:val="0070C0"/>
          <w:sz w:val="24"/>
        </w:rPr>
        <w:t xml:space="preserve">), anemia (Hb), kidney function (eGFR, </w:t>
      </w:r>
      <w:proofErr w:type="spellStart"/>
      <w:r w:rsidRPr="00E1422A">
        <w:rPr>
          <w:rFonts w:ascii="Times New Roman" w:eastAsia="新宋体" w:hAnsi="Times New Roman" w:cs="Times New Roman"/>
          <w:color w:val="0070C0"/>
          <w:sz w:val="24"/>
        </w:rPr>
        <w:t>CysC</w:t>
      </w:r>
      <w:proofErr w:type="spellEnd"/>
      <w:r w:rsidRPr="00E1422A">
        <w:rPr>
          <w:rFonts w:ascii="Times New Roman" w:eastAsia="新宋体" w:hAnsi="Times New Roman" w:cs="Times New Roman"/>
          <w:color w:val="0070C0"/>
          <w:sz w:val="24"/>
        </w:rPr>
        <w:t>), and proteinuria burden (UTP)—through its algorithm. This enables it to output an individualized, precisely quantified, time-dependent risk probability (e.g., specific 1-year, 3-year, 5-year ESRD risks). This quantified risk can actively motivate clinicians to initiate more aggressive treatment plans for specific patients at an earlier stage.</w:t>
      </w:r>
    </w:p>
    <w:bookmarkEnd w:id="5"/>
    <w:p w14:paraId="71EFA3F8" w14:textId="77777777" w:rsidR="00E1422A" w:rsidRPr="00985988" w:rsidRDefault="00E1422A" w:rsidP="00E1422A">
      <w:pPr>
        <w:spacing w:line="360" w:lineRule="auto"/>
        <w:rPr>
          <w:rFonts w:ascii="Times New Roman" w:eastAsia="新宋体" w:hAnsi="Times New Roman" w:cs="Times New Roman"/>
          <w:color w:val="0070C0"/>
          <w:sz w:val="24"/>
        </w:rPr>
      </w:pPr>
    </w:p>
    <w:p w14:paraId="34C4BF15" w14:textId="5CC1394C" w:rsidR="002F378D" w:rsidRPr="002F378D" w:rsidRDefault="002F378D" w:rsidP="002F378D">
      <w:pPr>
        <w:spacing w:line="360" w:lineRule="auto"/>
        <w:rPr>
          <w:rFonts w:ascii="Times New Roman" w:eastAsia="新宋体" w:hAnsi="Times New Roman" w:cs="Times New Roman"/>
          <w:color w:val="0070C0"/>
          <w:sz w:val="24"/>
        </w:rPr>
      </w:pPr>
      <w:bookmarkStart w:id="7" w:name="OLE_LINK43"/>
      <w:r w:rsidRPr="002F378D">
        <w:rPr>
          <w:rFonts w:ascii="Times New Roman" w:eastAsia="新宋体" w:hAnsi="Times New Roman" w:cs="Times New Roman"/>
          <w:color w:val="0070C0"/>
          <w:sz w:val="24"/>
        </w:rPr>
        <w:t>Case 3: Differential diagnosis of DKD and non-diabetic kidney disease in diabetes</w:t>
      </w:r>
      <w:r>
        <w:rPr>
          <w:rFonts w:ascii="Times New Roman" w:eastAsia="新宋体" w:hAnsi="Times New Roman" w:cs="Times New Roman" w:hint="eastAsia"/>
          <w:color w:val="0070C0"/>
          <w:sz w:val="24"/>
        </w:rPr>
        <w:t xml:space="preserve"> (</w:t>
      </w:r>
      <w:r w:rsidRPr="002F378D">
        <w:rPr>
          <w:rFonts w:ascii="Times New Roman" w:eastAsia="新宋体" w:hAnsi="Times New Roman" w:cs="Times New Roman"/>
          <w:color w:val="0070C0"/>
          <w:sz w:val="24"/>
        </w:rPr>
        <w:t>NDDKD</w:t>
      </w:r>
      <w:r>
        <w:rPr>
          <w:rFonts w:ascii="Times New Roman" w:eastAsia="新宋体" w:hAnsi="Times New Roman" w:cs="Times New Roman" w:hint="eastAsia"/>
          <w:color w:val="0070C0"/>
          <w:sz w:val="24"/>
        </w:rPr>
        <w:t>)</w:t>
      </w:r>
      <w:r w:rsidRPr="002F378D">
        <w:rPr>
          <w:rFonts w:ascii="Times New Roman" w:eastAsia="新宋体" w:hAnsi="Times New Roman" w:cs="Times New Roman"/>
          <w:color w:val="0070C0"/>
          <w:sz w:val="24"/>
        </w:rPr>
        <w:t xml:space="preserve"> </w:t>
      </w:r>
    </w:p>
    <w:p w14:paraId="7AE34BB0" w14:textId="01D51262" w:rsidR="002F378D" w:rsidRPr="002F378D" w:rsidRDefault="002F378D" w:rsidP="002F378D">
      <w:pPr>
        <w:spacing w:line="360" w:lineRule="auto"/>
        <w:rPr>
          <w:rFonts w:ascii="Times New Roman" w:eastAsia="新宋体" w:hAnsi="Times New Roman" w:cs="Times New Roman"/>
          <w:color w:val="0070C0"/>
          <w:sz w:val="24"/>
        </w:rPr>
      </w:pPr>
      <w:r w:rsidRPr="002F378D">
        <w:rPr>
          <w:rFonts w:ascii="Times New Roman" w:eastAsia="新宋体" w:hAnsi="Times New Roman" w:cs="Times New Roman"/>
          <w:color w:val="0070C0"/>
          <w:sz w:val="24"/>
        </w:rPr>
        <w:t>· Patient profile: Male, 54 years old, with a 12-year history of T2D, BMI 24.0 kg/m², blood pressure 150/85 mmHg, HbA1c 8.5%, accompanied by diabetic retinopathy</w:t>
      </w:r>
      <w:r>
        <w:rPr>
          <w:rFonts w:ascii="Times New Roman" w:eastAsia="新宋体" w:hAnsi="Times New Roman" w:cs="Times New Roman" w:hint="eastAsia"/>
          <w:color w:val="0070C0"/>
          <w:sz w:val="24"/>
        </w:rPr>
        <w:t xml:space="preserve"> (DR)</w:t>
      </w:r>
      <w:r w:rsidRPr="002F378D">
        <w:rPr>
          <w:rFonts w:ascii="Times New Roman" w:eastAsia="新宋体" w:hAnsi="Times New Roman" w:cs="Times New Roman"/>
          <w:color w:val="0070C0"/>
          <w:sz w:val="24"/>
        </w:rPr>
        <w:t>.</w:t>
      </w:r>
    </w:p>
    <w:p w14:paraId="7CDB8E94" w14:textId="38B7D281" w:rsidR="002F378D" w:rsidRPr="002F378D" w:rsidRDefault="002F378D" w:rsidP="002F378D">
      <w:pPr>
        <w:spacing w:line="360" w:lineRule="auto"/>
        <w:rPr>
          <w:rFonts w:ascii="Times New Roman" w:eastAsia="新宋体" w:hAnsi="Times New Roman" w:cs="Times New Roman"/>
          <w:color w:val="0070C0"/>
          <w:sz w:val="24"/>
        </w:rPr>
      </w:pPr>
      <w:r w:rsidRPr="002F378D">
        <w:rPr>
          <w:rFonts w:ascii="Times New Roman" w:eastAsia="新宋体" w:hAnsi="Times New Roman" w:cs="Times New Roman"/>
          <w:color w:val="0070C0"/>
          <w:sz w:val="24"/>
        </w:rPr>
        <w:t xml:space="preserve">· Conventional baseline parameters: eGFR 60 mL/min/1.73m², urinary protein 4.5 g/24h, urinary red blood cell </w:t>
      </w:r>
      <w:proofErr w:type="gramStart"/>
      <w:r w:rsidRPr="002F378D">
        <w:rPr>
          <w:rFonts w:ascii="Times New Roman" w:eastAsia="新宋体" w:hAnsi="Times New Roman" w:cs="Times New Roman"/>
          <w:color w:val="0070C0"/>
          <w:sz w:val="24"/>
        </w:rPr>
        <w:t>count</w:t>
      </w:r>
      <w:proofErr w:type="gramEnd"/>
      <w:r w:rsidRPr="002F378D">
        <w:rPr>
          <w:rFonts w:ascii="Times New Roman" w:eastAsia="新宋体" w:hAnsi="Times New Roman" w:cs="Times New Roman"/>
          <w:color w:val="0070C0"/>
          <w:sz w:val="24"/>
        </w:rPr>
        <w:t xml:space="preserve"> 5/HPF, neutrophil-to-lymphocyte ratio (NLR) 3.5, renal volume 170 cm³, triglycerides 1.8 mmol/L.</w:t>
      </w:r>
    </w:p>
    <w:p w14:paraId="0DF9B67C" w14:textId="22EB74DA" w:rsidR="002F378D" w:rsidRPr="002F378D" w:rsidRDefault="002F378D" w:rsidP="002F378D">
      <w:pPr>
        <w:spacing w:line="360" w:lineRule="auto"/>
        <w:rPr>
          <w:rFonts w:ascii="Times New Roman" w:eastAsia="新宋体" w:hAnsi="Times New Roman" w:cs="Times New Roman"/>
          <w:color w:val="0070C0"/>
          <w:sz w:val="24"/>
        </w:rPr>
      </w:pPr>
      <w:r w:rsidRPr="002F378D">
        <w:rPr>
          <w:rFonts w:ascii="Times New Roman" w:eastAsia="新宋体" w:hAnsi="Times New Roman" w:cs="Times New Roman"/>
          <w:color w:val="0070C0"/>
          <w:sz w:val="24"/>
        </w:rPr>
        <w:t>· Past medical history: 8-year history of hypertension, regularly taking angiotensin-converting enzyme inhibitor (ACEI) medication; no history of coronary artery disease.</w:t>
      </w:r>
    </w:p>
    <w:p w14:paraId="3FDA6A1F" w14:textId="0358B7AB" w:rsidR="002F378D" w:rsidRPr="002F378D" w:rsidRDefault="002F378D" w:rsidP="002F378D">
      <w:pPr>
        <w:spacing w:line="360" w:lineRule="auto"/>
        <w:rPr>
          <w:rFonts w:ascii="Times New Roman" w:eastAsia="新宋体" w:hAnsi="Times New Roman" w:cs="Times New Roman"/>
          <w:color w:val="0070C0"/>
          <w:sz w:val="24"/>
        </w:rPr>
      </w:pPr>
      <w:r w:rsidRPr="002F378D">
        <w:rPr>
          <w:rFonts w:ascii="Times New Roman" w:eastAsia="新宋体" w:hAnsi="Times New Roman" w:cs="Times New Roman"/>
          <w:color w:val="0070C0"/>
          <w:sz w:val="24"/>
        </w:rPr>
        <w:t xml:space="preserve">· Conventional diagnostic considerations: The patient's long history of diabetes, presence of retinopathy, and massive proteinuria led conventional diagnosis to highly suspect "DKD." However, the presence of enlarged renal volume, relatively low </w:t>
      </w:r>
      <w:r>
        <w:rPr>
          <w:rFonts w:ascii="Times New Roman" w:eastAsia="新宋体" w:hAnsi="Times New Roman" w:cs="Times New Roman" w:hint="eastAsia"/>
          <w:color w:val="0070C0"/>
          <w:sz w:val="24"/>
        </w:rPr>
        <w:t>TG</w:t>
      </w:r>
      <w:r w:rsidRPr="002F378D">
        <w:rPr>
          <w:rFonts w:ascii="Times New Roman" w:eastAsia="新宋体" w:hAnsi="Times New Roman" w:cs="Times New Roman"/>
          <w:color w:val="0070C0"/>
          <w:sz w:val="24"/>
        </w:rPr>
        <w:t xml:space="preserve"> levels, and detectable urinary red blood cell count raised the possibility of NDDKD. </w:t>
      </w:r>
      <w:r w:rsidRPr="002F378D">
        <w:rPr>
          <w:rFonts w:ascii="Times New Roman" w:eastAsia="新宋体" w:hAnsi="Times New Roman" w:cs="Times New Roman"/>
          <w:color w:val="0070C0"/>
          <w:sz w:val="24"/>
        </w:rPr>
        <w:lastRenderedPageBreak/>
        <w:t>While a kidney biopsy could provide a definitive diagnosis, it is invasive and carries risks and contraindications.</w:t>
      </w:r>
    </w:p>
    <w:p w14:paraId="3925EE25" w14:textId="673A3CD5" w:rsidR="002F378D" w:rsidRPr="002F378D" w:rsidRDefault="002F378D" w:rsidP="002F378D">
      <w:pPr>
        <w:spacing w:line="360" w:lineRule="auto"/>
        <w:rPr>
          <w:rFonts w:ascii="Times New Roman" w:eastAsia="新宋体" w:hAnsi="Times New Roman" w:cs="Times New Roman"/>
          <w:color w:val="0070C0"/>
          <w:sz w:val="24"/>
        </w:rPr>
      </w:pPr>
      <w:r w:rsidRPr="002F378D">
        <w:rPr>
          <w:rFonts w:ascii="Times New Roman" w:eastAsia="新宋体" w:hAnsi="Times New Roman" w:cs="Times New Roman"/>
          <w:color w:val="0070C0"/>
          <w:sz w:val="24"/>
        </w:rPr>
        <w:t>· Risk assessment by prediction model: A previously developed prediction model for differentiating DKD was employed</w:t>
      </w:r>
      <w:r w:rsidR="00D9105A" w:rsidRPr="002F378D">
        <w:rPr>
          <w:rFonts w:ascii="Times New Roman" w:eastAsia="新宋体" w:hAnsi="Times New Roman" w:cs="Times New Roman"/>
          <w:color w:val="0070C0"/>
          <w:sz w:val="24"/>
        </w:rPr>
        <w:t xml:space="preserve"> </w:t>
      </w:r>
      <w:bookmarkStart w:id="8" w:name="OLE_LINK75"/>
      <w:r w:rsidR="00E255E6">
        <w:rPr>
          <w:rFonts w:ascii="Times New Roman" w:eastAsia="新宋体" w:hAnsi="Times New Roman" w:cs="Times New Roman"/>
          <w:color w:val="0070C0"/>
          <w:sz w:val="24"/>
        </w:rPr>
        <w:fldChar w:fldCharType="begin">
          <w:fldData xml:space="preserve">PEVuZE5vdGU+PENpdGU+PEF1dGhvcj5MaW48L0F1dGhvcj48WWVhcj4yMDI1PC9ZZWFyPjxSZWNO
dW0+MTQ0PC9SZWNOdW0+PERpc3BsYXlUZXh0PlszXTwvRGlzcGxheVRleHQ+PHJlY29yZD48cmVj
LW51bWJlcj4xNDQ8L3JlYy1udW1iZXI+PGZvcmVpZ24ta2V5cz48a2V5IGFwcD0iRU4iIGRiLWlk
PSJzOWZmYXpwZmJ2eGEwM2VhdnM5NXNwZTJ6dHJwcDlyZnYyZTIiIHRpbWVzdGFtcD0iMTc2NTgw
NTQ0MyI+MTQ0PC9rZXk+PC9mb3JlaWduLWtleXM+PHJlZi10eXBlIG5hbWU9IkpvdXJuYWwgQXJ0
aWNsZSI+MTc8L3JlZi10eXBlPjxjb250cmlidXRvcnM+PGF1dGhvcnM+PGF1dGhvcj5MaW4sIFou
PC9hdXRob3I+PGF1dGhvcj5Ib25nLCBULjwvYXV0aG9yPjxhdXRob3I+V2FuZywgVy48L2F1dGhv
cj48YXV0aG9yPlhpZSwgUy48L2F1dGhvcj48YXV0aG9yPkNoZW4sIEMuPC9hdXRob3I+PGF1dGhv
cj5ZYW5nLCBGLjwvYXV0aG9yPjxhdXRob3I+SmlhbmcsIEQuPC9hdXRob3I+PGF1dGhvcj5XYW4s
IEouPC9hdXRob3I+PGF1dGhvcj5YaWUsIFouPC9hdXRob3I+PGF1dGhvcj5YdSwgWS48L2F1dGhv
cj48L2F1dGhvcnM+PC9jb250cmlidXRvcnM+PGF1dGgtYWRkcmVzcz5EZXBhcnRtZW50IG9mIE5l
cGhyb2xvZ3ksIEJsb29kIFB1cmlmaWNhdGlvbiBSZXNlYXJjaCBDZW50ZXIsIHRoZSBGaXJzdCBB
ZmZpbGlhdGVkIEhvc3BpdGFsLCBGdWppYW4gTWVkaWNhbCBVbml2ZXJzaXR5LCBGdXpob3UsIENo
aW5hLiYjeEQ7UmVzZWFyY2ggQ2VudGVyIGZvciBNZXRhYm9saWMgQ2hyb25pYyBLaWRuZXkgRGlz
ZWFzZSwgdGhlIEZpcnN0IEFmZmlsaWF0ZWQgSG9zcGl0YWwsIEZ1amlhbiBNZWRpY2FsIFVuaXZl
cnNpdHksIEZ1emhvdSwgQ2hpbmEuJiN4RDtEZXBhcnRtZW50IG9mIE5lcGhyb2xvZ3ksIE5hdGlv
bmFsIFJlZ2lvbmFsIE1lZGljYWwgQ2VudGVyLCBCaW5oYWkgQ2FtcHVzIG9mIHRoZSBGaXJzdCBB
ZmZpbGlhdGVkIEhvc3BpdGFsLCBGdWppYW4gTWVkaWNhbCBVbml2ZXJzaXR5LCBGdXpob3UsIENo
aW5hLiYjeEQ7RGVwYXJ0bWVudCBvZiBOZXBocm9sb2d5LCBGdXpob3UgTm8uIDEgSG9zcGl0YWwg
QWZmaWxpYXRlZCB3aXRoIEZ1amlhbiBNZWRpY2FsIFVuaXZlcnNpdHksIEZ1emhvdSwgQ2hpbmEu
JiN4RDtEZXBhcnRtZW50IG9mIE5lcGhyb2xvZ3ksIExvbmd5YW4gUGVvcGxlIEhvc3BpdGFsIG9m
IEZ1amlhbiwgTG9uZ3lhbiwgQ2hpbmEuPC9hdXRoLWFkZHJlc3M+PHRpdGxlcz48dGl0bGU+RGV2
ZWxvcG1lbnQgYW5kIHZhbGlkYXRpb24gb2YgYSBwcmVkaWN0aXZlIG5vbW9ncmFtIGZvciBkaWZm
ZXJlbnRpYXRpbmcgZGlhYmV0aWMgbmVwaHJvcGF0aHkgZnJvbSBub24tZGlhYmV0aWMgbmVwaHJv
cGF0aHkgaW4gcGF0aWVudHMgd2l0aCBUMkRNOiBhIG11bHRpY2VudGVyIHN0dWR5PC90aXRsZT48
c2Vjb25kYXJ5LXRpdGxlPkZyb250IE51dHI8L3NlY29uZGFyeS10aXRsZT48L3RpdGxlcz48cGVy
aW9kaWNhbD48ZnVsbC10aXRsZT5Gcm9udCBOdXRyPC9mdWxsLXRpdGxlPjwvcGVyaW9kaWNhbD48
cGFnZXM+MTYwNTg0MTwvcGFnZXM+PHZvbHVtZT4xMjwvdm9sdW1lPjxlZGl0aW9uPjIwMjUvMDYv
MTg8L2VkaXRpb24+PGtleXdvcmRzPjxrZXl3b3JkPmRpYWJldGljIG5lcGhyb3BhdGh5PC9rZXl3
b3JkPjxrZXl3b3JkPmRpYWdub3N0aWMgbW9kZWw8L2tleXdvcmQ+PGtleXdvcmQ+bm9tb2dyYW08
L2tleXdvcmQ+PGtleXdvcmQ+dHJpZ2x5Y2VyaWRlPC9rZXl3b3JkPjxrZXl3b3JkPnR5cGUgMiBk
aWFiZXRlcyBtZWxsaXR1czwva2V5d29yZD48a2V5d29yZD5jb21tZXJjaWFsIG9yIGZpbmFuY2lh
bCByZWxhdGlvbnNoaXBzIHRoYXQgY291bGQgYmUgY29uc3RydWVkIGFzIGEgcG90ZW50aWFsPC9r
ZXl3b3JkPjxrZXl3b3JkPmNvbmZsaWN0IG9mIGludGVyZXN0Ljwva2V5d29yZD48L2tleXdvcmRz
PjxkYXRlcz48eWVhcj4yMDI1PC95ZWFyPjwvZGF0ZXM+PGlzYm4+MjI5Ni04NjFYIChQcmludCkm
I3hEOzIyOTYtODYxeDwvaXNibj48YWNjZXNzaW9uLW51bT40MDUyOTQxMjwvYWNjZXNzaW9uLW51
bT48dXJscz48L3VybHM+PGN1c3RvbTI+UE1DMTIxNzExMTc8L2N1c3RvbTI+PGVsZWN0cm9uaWMt
cmVzb3VyY2UtbnVtPjEwLjMzODkvZm51dC4yMDI1LjE2MDU4NDE8L2VsZWN0cm9uaWMtcmVzb3Vy
Y2UtbnVtPjxyZW1vdGUtZGF0YWJhc2UtcHJvdmlkZXI+TkxNPC9yZW1vdGUtZGF0YWJhc2UtcHJv
dmlkZXI+PGxhbmd1YWdlPmVuZzwvbGFuZ3VhZ2U+PC9yZWNvcmQ+PC9DaXRlPjwvRW5kTm90ZT4A
</w:fldData>
        </w:fldChar>
      </w:r>
      <w:r w:rsidR="00E255E6">
        <w:rPr>
          <w:rFonts w:ascii="Times New Roman" w:eastAsia="新宋体" w:hAnsi="Times New Roman" w:cs="Times New Roman"/>
          <w:color w:val="0070C0"/>
          <w:sz w:val="24"/>
        </w:rPr>
        <w:instrText xml:space="preserve"> ADDIN EN.CITE </w:instrText>
      </w:r>
      <w:r w:rsidR="00E255E6">
        <w:rPr>
          <w:rFonts w:ascii="Times New Roman" w:eastAsia="新宋体" w:hAnsi="Times New Roman" w:cs="Times New Roman"/>
          <w:color w:val="0070C0"/>
          <w:sz w:val="24"/>
        </w:rPr>
        <w:fldChar w:fldCharType="begin">
          <w:fldData xml:space="preserve">PEVuZE5vdGU+PENpdGU+PEF1dGhvcj5MaW48L0F1dGhvcj48WWVhcj4yMDI1PC9ZZWFyPjxSZWNO
dW0+MTQ0PC9SZWNOdW0+PERpc3BsYXlUZXh0PlszXTwvRGlzcGxheVRleHQ+PHJlY29yZD48cmVj
LW51bWJlcj4xNDQ8L3JlYy1udW1iZXI+PGZvcmVpZ24ta2V5cz48a2V5IGFwcD0iRU4iIGRiLWlk
PSJzOWZmYXpwZmJ2eGEwM2VhdnM5NXNwZTJ6dHJwcDlyZnYyZTIiIHRpbWVzdGFtcD0iMTc2NTgw
NTQ0MyI+MTQ0PC9rZXk+PC9mb3JlaWduLWtleXM+PHJlZi10eXBlIG5hbWU9IkpvdXJuYWwgQXJ0
aWNsZSI+MTc8L3JlZi10eXBlPjxjb250cmlidXRvcnM+PGF1dGhvcnM+PGF1dGhvcj5MaW4sIFou
PC9hdXRob3I+PGF1dGhvcj5Ib25nLCBULjwvYXV0aG9yPjxhdXRob3I+V2FuZywgVy48L2F1dGhv
cj48YXV0aG9yPlhpZSwgUy48L2F1dGhvcj48YXV0aG9yPkNoZW4sIEMuPC9hdXRob3I+PGF1dGhv
cj5ZYW5nLCBGLjwvYXV0aG9yPjxhdXRob3I+SmlhbmcsIEQuPC9hdXRob3I+PGF1dGhvcj5XYW4s
IEouPC9hdXRob3I+PGF1dGhvcj5YaWUsIFouPC9hdXRob3I+PGF1dGhvcj5YdSwgWS48L2F1dGhv
cj48L2F1dGhvcnM+PC9jb250cmlidXRvcnM+PGF1dGgtYWRkcmVzcz5EZXBhcnRtZW50IG9mIE5l
cGhyb2xvZ3ksIEJsb29kIFB1cmlmaWNhdGlvbiBSZXNlYXJjaCBDZW50ZXIsIHRoZSBGaXJzdCBB
ZmZpbGlhdGVkIEhvc3BpdGFsLCBGdWppYW4gTWVkaWNhbCBVbml2ZXJzaXR5LCBGdXpob3UsIENo
aW5hLiYjeEQ7UmVzZWFyY2ggQ2VudGVyIGZvciBNZXRhYm9saWMgQ2hyb25pYyBLaWRuZXkgRGlz
ZWFzZSwgdGhlIEZpcnN0IEFmZmlsaWF0ZWQgSG9zcGl0YWwsIEZ1amlhbiBNZWRpY2FsIFVuaXZl
cnNpdHksIEZ1emhvdSwgQ2hpbmEuJiN4RDtEZXBhcnRtZW50IG9mIE5lcGhyb2xvZ3ksIE5hdGlv
bmFsIFJlZ2lvbmFsIE1lZGljYWwgQ2VudGVyLCBCaW5oYWkgQ2FtcHVzIG9mIHRoZSBGaXJzdCBB
ZmZpbGlhdGVkIEhvc3BpdGFsLCBGdWppYW4gTWVkaWNhbCBVbml2ZXJzaXR5LCBGdXpob3UsIENo
aW5hLiYjeEQ7RGVwYXJ0bWVudCBvZiBOZXBocm9sb2d5LCBGdXpob3UgTm8uIDEgSG9zcGl0YWwg
QWZmaWxpYXRlZCB3aXRoIEZ1amlhbiBNZWRpY2FsIFVuaXZlcnNpdHksIEZ1emhvdSwgQ2hpbmEu
JiN4RDtEZXBhcnRtZW50IG9mIE5lcGhyb2xvZ3ksIExvbmd5YW4gUGVvcGxlIEhvc3BpdGFsIG9m
IEZ1amlhbiwgTG9uZ3lhbiwgQ2hpbmEuPC9hdXRoLWFkZHJlc3M+PHRpdGxlcz48dGl0bGU+RGV2
ZWxvcG1lbnQgYW5kIHZhbGlkYXRpb24gb2YgYSBwcmVkaWN0aXZlIG5vbW9ncmFtIGZvciBkaWZm
ZXJlbnRpYXRpbmcgZGlhYmV0aWMgbmVwaHJvcGF0aHkgZnJvbSBub24tZGlhYmV0aWMgbmVwaHJv
cGF0aHkgaW4gcGF0aWVudHMgd2l0aCBUMkRNOiBhIG11bHRpY2VudGVyIHN0dWR5PC90aXRsZT48
c2Vjb25kYXJ5LXRpdGxlPkZyb250IE51dHI8L3NlY29uZGFyeS10aXRsZT48L3RpdGxlcz48cGVy
aW9kaWNhbD48ZnVsbC10aXRsZT5Gcm9udCBOdXRyPC9mdWxsLXRpdGxlPjwvcGVyaW9kaWNhbD48
cGFnZXM+MTYwNTg0MTwvcGFnZXM+PHZvbHVtZT4xMjwvdm9sdW1lPjxlZGl0aW9uPjIwMjUvMDYv
MTg8L2VkaXRpb24+PGtleXdvcmRzPjxrZXl3b3JkPmRpYWJldGljIG5lcGhyb3BhdGh5PC9rZXl3
b3JkPjxrZXl3b3JkPmRpYWdub3N0aWMgbW9kZWw8L2tleXdvcmQ+PGtleXdvcmQ+bm9tb2dyYW08
L2tleXdvcmQ+PGtleXdvcmQ+dHJpZ2x5Y2VyaWRlPC9rZXl3b3JkPjxrZXl3b3JkPnR5cGUgMiBk
aWFiZXRlcyBtZWxsaXR1czwva2V5d29yZD48a2V5d29yZD5jb21tZXJjaWFsIG9yIGZpbmFuY2lh
bCByZWxhdGlvbnNoaXBzIHRoYXQgY291bGQgYmUgY29uc3RydWVkIGFzIGEgcG90ZW50aWFsPC9r
ZXl3b3JkPjxrZXl3b3JkPmNvbmZsaWN0IG9mIGludGVyZXN0Ljwva2V5d29yZD48L2tleXdvcmRz
PjxkYXRlcz48eWVhcj4yMDI1PC95ZWFyPjwvZGF0ZXM+PGlzYm4+MjI5Ni04NjFYIChQcmludCkm
I3hEOzIyOTYtODYxeDwvaXNibj48YWNjZXNzaW9uLW51bT40MDUyOTQxMjwvYWNjZXNzaW9uLW51
bT48dXJscz48L3VybHM+PGN1c3RvbTI+UE1DMTIxNzExMTc8L2N1c3RvbTI+PGVsZWN0cm9uaWMt
cmVzb3VyY2UtbnVtPjEwLjMzODkvZm51dC4yMDI1LjE2MDU4NDE8L2VsZWN0cm9uaWMtcmVzb3Vy
Y2UtbnVtPjxyZW1vdGUtZGF0YWJhc2UtcHJvdmlkZXI+TkxNPC9yZW1vdGUtZGF0YWJhc2UtcHJv
dmlkZXI+PGxhbmd1YWdlPmVuZzwvbGFuZ3VhZ2U+PC9yZWNvcmQ+PC9DaXRlPjwvRW5kTm90ZT4A
</w:fldData>
        </w:fldChar>
      </w:r>
      <w:r w:rsidR="00E255E6">
        <w:rPr>
          <w:rFonts w:ascii="Times New Roman" w:eastAsia="新宋体" w:hAnsi="Times New Roman" w:cs="Times New Roman"/>
          <w:color w:val="0070C0"/>
          <w:sz w:val="24"/>
        </w:rPr>
        <w:instrText xml:space="preserve"> ADDIN EN.CITE.DATA </w:instrText>
      </w:r>
      <w:r w:rsidR="00E255E6">
        <w:rPr>
          <w:rFonts w:ascii="Times New Roman" w:eastAsia="新宋体" w:hAnsi="Times New Roman" w:cs="Times New Roman"/>
          <w:color w:val="0070C0"/>
          <w:sz w:val="24"/>
        </w:rPr>
      </w:r>
      <w:r w:rsidR="00E255E6">
        <w:rPr>
          <w:rFonts w:ascii="Times New Roman" w:eastAsia="新宋体" w:hAnsi="Times New Roman" w:cs="Times New Roman"/>
          <w:color w:val="0070C0"/>
          <w:sz w:val="24"/>
        </w:rPr>
        <w:fldChar w:fldCharType="end"/>
      </w:r>
      <w:r w:rsidR="00E255E6">
        <w:rPr>
          <w:rFonts w:ascii="Times New Roman" w:eastAsia="新宋体" w:hAnsi="Times New Roman" w:cs="Times New Roman"/>
          <w:color w:val="0070C0"/>
          <w:sz w:val="24"/>
        </w:rPr>
      </w:r>
      <w:r w:rsidR="00E255E6">
        <w:rPr>
          <w:rFonts w:ascii="Times New Roman" w:eastAsia="新宋体" w:hAnsi="Times New Roman" w:cs="Times New Roman"/>
          <w:color w:val="0070C0"/>
          <w:sz w:val="24"/>
        </w:rPr>
        <w:fldChar w:fldCharType="separate"/>
      </w:r>
      <w:r w:rsidR="00E255E6">
        <w:rPr>
          <w:rFonts w:ascii="Times New Roman" w:eastAsia="新宋体" w:hAnsi="Times New Roman" w:cs="Times New Roman"/>
          <w:noProof/>
          <w:color w:val="0070C0"/>
          <w:sz w:val="24"/>
        </w:rPr>
        <w:t>[3]</w:t>
      </w:r>
      <w:r w:rsidR="00E255E6">
        <w:rPr>
          <w:rFonts w:ascii="Times New Roman" w:eastAsia="新宋体" w:hAnsi="Times New Roman" w:cs="Times New Roman"/>
          <w:color w:val="0070C0"/>
          <w:sz w:val="24"/>
        </w:rPr>
        <w:fldChar w:fldCharType="end"/>
      </w:r>
      <w:bookmarkEnd w:id="8"/>
      <w:r w:rsidRPr="002F378D">
        <w:rPr>
          <w:rFonts w:ascii="Times New Roman" w:eastAsia="新宋体" w:hAnsi="Times New Roman" w:cs="Times New Roman"/>
          <w:color w:val="0070C0"/>
          <w:sz w:val="24"/>
        </w:rPr>
        <w:t xml:space="preserve">. Input parameters included: presence of </w:t>
      </w:r>
      <w:r>
        <w:rPr>
          <w:rFonts w:ascii="Times New Roman" w:eastAsia="新宋体" w:hAnsi="Times New Roman" w:cs="Times New Roman" w:hint="eastAsia"/>
          <w:color w:val="0070C0"/>
          <w:sz w:val="24"/>
        </w:rPr>
        <w:t>DR</w:t>
      </w:r>
      <w:r w:rsidRPr="002F378D">
        <w:rPr>
          <w:rFonts w:ascii="Times New Roman" w:eastAsia="新宋体" w:hAnsi="Times New Roman" w:cs="Times New Roman"/>
          <w:color w:val="0070C0"/>
          <w:sz w:val="24"/>
        </w:rPr>
        <w:t>, duration of diabetes, HbA1c, systolic blood pressure, NLR, renal volume, triglycerides, eGFR, and urinary red blood cell count. The model output probabilities of 75% for DKD and 25% for NDDKD, leading to a judgment of "Highly suspected DKD."</w:t>
      </w:r>
    </w:p>
    <w:p w14:paraId="7F2DD4D5" w14:textId="2F6F900E" w:rsidR="002F378D" w:rsidRPr="002F378D" w:rsidRDefault="002F378D" w:rsidP="002F378D">
      <w:pPr>
        <w:spacing w:line="360" w:lineRule="auto"/>
        <w:rPr>
          <w:rFonts w:ascii="Times New Roman" w:eastAsia="新宋体" w:hAnsi="Times New Roman" w:cs="Times New Roman"/>
          <w:color w:val="0070C0"/>
          <w:sz w:val="24"/>
        </w:rPr>
      </w:pPr>
      <w:r w:rsidRPr="002F378D">
        <w:rPr>
          <w:rFonts w:ascii="Times New Roman" w:eastAsia="新宋体" w:hAnsi="Times New Roman" w:cs="Times New Roman"/>
          <w:color w:val="0070C0"/>
          <w:sz w:val="24"/>
        </w:rPr>
        <w:t>· Subsequent clinical validation: The patient ultimately underwent a kidney biopsy. The pathological result showed "nodular glomerulosclerosis (Kimmelstiel-Wilson nodules)," confirming the diagnosis of DKD. Treatment involved intensifying blood glucose and blood pressure control and initiating SGLT2 inhibitor therapy.</w:t>
      </w:r>
    </w:p>
    <w:p w14:paraId="416096F1" w14:textId="77777777" w:rsidR="00D9105A" w:rsidRDefault="002F378D" w:rsidP="002F378D">
      <w:pPr>
        <w:spacing w:line="360" w:lineRule="auto"/>
        <w:rPr>
          <w:rFonts w:ascii="Times New Roman" w:eastAsia="新宋体" w:hAnsi="Times New Roman" w:cs="Times New Roman"/>
          <w:color w:val="0070C0"/>
          <w:sz w:val="24"/>
        </w:rPr>
      </w:pPr>
      <w:r w:rsidRPr="002F378D">
        <w:rPr>
          <w:rFonts w:ascii="Times New Roman" w:eastAsia="新宋体" w:hAnsi="Times New Roman" w:cs="Times New Roman"/>
          <w:color w:val="0070C0"/>
          <w:sz w:val="24"/>
        </w:rPr>
        <w:t>· Core contrast: Conventional diagnosis relies on the combination of "diabetes history + retinopathy + proteinuria," which points towards DKD but cannot rule out NDDKD. The prediction model integrates nine conventional clinical indicators and, by constructing a visual scoring system, provides an individualized probability assessment non-invasively, supporting more precise biopsy decision-making. In settings with limited resources or where contraindications exist, this model can serve as an effective initial screening tool, reducing unnecessary invasive procedures.</w:t>
      </w:r>
    </w:p>
    <w:bookmarkEnd w:id="1"/>
    <w:bookmarkEnd w:id="2"/>
    <w:bookmarkEnd w:id="7"/>
    <w:p w14:paraId="4B54AF55" w14:textId="77777777" w:rsidR="00D9105A" w:rsidRDefault="00D9105A" w:rsidP="002F378D">
      <w:pPr>
        <w:spacing w:line="360" w:lineRule="auto"/>
        <w:rPr>
          <w:rFonts w:ascii="Times New Roman" w:eastAsia="新宋体" w:hAnsi="Times New Roman" w:cs="Times New Roman"/>
          <w:color w:val="0070C0"/>
          <w:sz w:val="24"/>
        </w:rPr>
      </w:pPr>
    </w:p>
    <w:p w14:paraId="5C4AF0D3" w14:textId="7CD26F58" w:rsidR="00FA7FEE" w:rsidRPr="00FA7FEE" w:rsidRDefault="00FA7FEE" w:rsidP="002F378D">
      <w:pPr>
        <w:spacing w:line="360" w:lineRule="auto"/>
        <w:rPr>
          <w:rFonts w:ascii="Times New Roman" w:eastAsia="新宋体" w:hAnsi="Times New Roman" w:cs="Times New Roman" w:hint="eastAsia"/>
          <w:b/>
          <w:bCs/>
          <w:sz w:val="24"/>
        </w:rPr>
      </w:pPr>
      <w:r w:rsidRPr="00FA7FEE">
        <w:rPr>
          <w:rFonts w:ascii="Times New Roman" w:eastAsia="新宋体" w:hAnsi="Times New Roman" w:cs="Times New Roman" w:hint="eastAsia"/>
          <w:b/>
          <w:bCs/>
          <w:sz w:val="24"/>
        </w:rPr>
        <w:t>References</w:t>
      </w:r>
    </w:p>
    <w:p w14:paraId="38283E40" w14:textId="77777777" w:rsidR="000E38C5" w:rsidRPr="000E38C5" w:rsidRDefault="00D9105A" w:rsidP="000E38C5">
      <w:pPr>
        <w:pStyle w:val="EndNoteBibliography"/>
        <w:ind w:left="720" w:hanging="720"/>
        <w:rPr>
          <w:rFonts w:ascii="Times New Roman" w:hAnsi="Times New Roman" w:cs="Times New Roman"/>
        </w:rPr>
      </w:pPr>
      <w:r w:rsidRPr="000E38C5">
        <w:rPr>
          <w:rFonts w:ascii="Times New Roman" w:eastAsia="新宋体" w:hAnsi="Times New Roman" w:cs="Times New Roman"/>
        </w:rPr>
        <w:fldChar w:fldCharType="begin"/>
      </w:r>
      <w:r w:rsidRPr="000E38C5">
        <w:rPr>
          <w:rFonts w:ascii="Times New Roman" w:eastAsia="新宋体" w:hAnsi="Times New Roman" w:cs="Times New Roman"/>
        </w:rPr>
        <w:instrText xml:space="preserve"> ADDIN EN.REFLIST </w:instrText>
      </w:r>
      <w:r w:rsidRPr="000E38C5">
        <w:rPr>
          <w:rFonts w:ascii="Times New Roman" w:eastAsia="新宋体" w:hAnsi="Times New Roman" w:cs="Times New Roman"/>
        </w:rPr>
        <w:fldChar w:fldCharType="separate"/>
      </w:r>
      <w:r w:rsidR="000E38C5" w:rsidRPr="000E38C5">
        <w:rPr>
          <w:rFonts w:ascii="Times New Roman" w:hAnsi="Times New Roman" w:cs="Times New Roman"/>
        </w:rPr>
        <w:t>1.</w:t>
      </w:r>
      <w:r w:rsidR="000E38C5" w:rsidRPr="000E38C5">
        <w:rPr>
          <w:rFonts w:ascii="Times New Roman" w:hAnsi="Times New Roman" w:cs="Times New Roman"/>
        </w:rPr>
        <w:tab/>
        <w:t>Sun L, Wu Y, Hua RX, Zou LX. Prediction models for risk of diabetic kidney disease in Chinese patients with type 2 diabetes mellitus. Ren Fail.</w:t>
      </w:r>
      <w:r w:rsidR="000E38C5" w:rsidRPr="000E38C5">
        <w:rPr>
          <w:rFonts w:ascii="Times New Roman" w:hAnsi="Times New Roman" w:cs="Times New Roman"/>
          <w:i/>
        </w:rPr>
        <w:t xml:space="preserve"> </w:t>
      </w:r>
      <w:r w:rsidR="000E38C5" w:rsidRPr="000E38C5">
        <w:rPr>
          <w:rFonts w:ascii="Times New Roman" w:hAnsi="Times New Roman" w:cs="Times New Roman"/>
        </w:rPr>
        <w:t>2022; 44(1):1454-1461.</w:t>
      </w:r>
    </w:p>
    <w:p w14:paraId="6714C317" w14:textId="77777777" w:rsidR="000E38C5" w:rsidRPr="000E38C5" w:rsidRDefault="000E38C5" w:rsidP="000E38C5">
      <w:pPr>
        <w:pStyle w:val="EndNoteBibliography"/>
        <w:ind w:left="720" w:hanging="720"/>
        <w:rPr>
          <w:rFonts w:ascii="Times New Roman" w:hAnsi="Times New Roman" w:cs="Times New Roman"/>
        </w:rPr>
      </w:pPr>
      <w:r w:rsidRPr="000E38C5">
        <w:rPr>
          <w:rFonts w:ascii="Times New Roman" w:hAnsi="Times New Roman" w:cs="Times New Roman"/>
        </w:rPr>
        <w:t>2.</w:t>
      </w:r>
      <w:r w:rsidRPr="000E38C5">
        <w:rPr>
          <w:rFonts w:ascii="Times New Roman" w:hAnsi="Times New Roman" w:cs="Times New Roman"/>
        </w:rPr>
        <w:tab/>
        <w:t>Zou Y, Zhao L, Zhang J, Wang Y, Wu Y, Ren H, et al. Development and internal validation of machine learning algorithms for end-stage renal disease risk prediction model of people with type 2 diabetes mellitus and diabetic kidney disease. Ren Fail.</w:t>
      </w:r>
      <w:r w:rsidRPr="000E38C5">
        <w:rPr>
          <w:rFonts w:ascii="Times New Roman" w:hAnsi="Times New Roman" w:cs="Times New Roman"/>
          <w:i/>
        </w:rPr>
        <w:t xml:space="preserve"> </w:t>
      </w:r>
      <w:r w:rsidRPr="000E38C5">
        <w:rPr>
          <w:rFonts w:ascii="Times New Roman" w:hAnsi="Times New Roman" w:cs="Times New Roman"/>
        </w:rPr>
        <w:t>2022; 44(1):562-570.</w:t>
      </w:r>
    </w:p>
    <w:p w14:paraId="79131EE0" w14:textId="77777777" w:rsidR="000E38C5" w:rsidRPr="000E38C5" w:rsidRDefault="000E38C5" w:rsidP="000E38C5">
      <w:pPr>
        <w:pStyle w:val="EndNoteBibliography"/>
        <w:ind w:left="720" w:hanging="720"/>
        <w:rPr>
          <w:rFonts w:ascii="Times New Roman" w:hAnsi="Times New Roman" w:cs="Times New Roman"/>
        </w:rPr>
      </w:pPr>
      <w:r w:rsidRPr="000E38C5">
        <w:rPr>
          <w:rFonts w:ascii="Times New Roman" w:hAnsi="Times New Roman" w:cs="Times New Roman"/>
        </w:rPr>
        <w:t>3.</w:t>
      </w:r>
      <w:r w:rsidRPr="000E38C5">
        <w:rPr>
          <w:rFonts w:ascii="Times New Roman" w:hAnsi="Times New Roman" w:cs="Times New Roman"/>
        </w:rPr>
        <w:tab/>
        <w:t>Lin Z, Hong T, Wang W, Xie S, Chen C, Yang F, et al. Development and validation of a predictive nomogram for differentiating diabetic nephropathy from non-diabetic nephropathy in patients with T2DM: a multicenter study. Front Nutr.</w:t>
      </w:r>
      <w:r w:rsidRPr="000E38C5">
        <w:rPr>
          <w:rFonts w:ascii="Times New Roman" w:hAnsi="Times New Roman" w:cs="Times New Roman"/>
          <w:i/>
        </w:rPr>
        <w:t xml:space="preserve"> </w:t>
      </w:r>
      <w:r w:rsidRPr="000E38C5">
        <w:rPr>
          <w:rFonts w:ascii="Times New Roman" w:hAnsi="Times New Roman" w:cs="Times New Roman"/>
        </w:rPr>
        <w:t>2025; 12:1605841.</w:t>
      </w:r>
    </w:p>
    <w:p w14:paraId="1FE5545B" w14:textId="1EDC00B0" w:rsidR="00671E65" w:rsidRPr="00985988" w:rsidRDefault="00D9105A" w:rsidP="002F378D">
      <w:pPr>
        <w:spacing w:line="360" w:lineRule="auto"/>
        <w:rPr>
          <w:rFonts w:ascii="Times New Roman" w:eastAsia="新宋体" w:hAnsi="Times New Roman" w:cs="Times New Roman"/>
        </w:rPr>
      </w:pPr>
      <w:r w:rsidRPr="000E38C5">
        <w:rPr>
          <w:rFonts w:ascii="Times New Roman" w:eastAsia="新宋体" w:hAnsi="Times New Roman" w:cs="Times New Roman"/>
        </w:rPr>
        <w:fldChar w:fldCharType="end"/>
      </w:r>
    </w:p>
    <w:sectPr w:rsidR="00671E65" w:rsidRPr="009859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86EE8" w14:textId="77777777" w:rsidR="00F0647C" w:rsidRDefault="00F0647C" w:rsidP="00985988">
      <w:pPr>
        <w:rPr>
          <w:rFonts w:hint="eastAsia"/>
        </w:rPr>
      </w:pPr>
      <w:r>
        <w:separator/>
      </w:r>
    </w:p>
  </w:endnote>
  <w:endnote w:type="continuationSeparator" w:id="0">
    <w:p w14:paraId="04DBF487" w14:textId="77777777" w:rsidR="00F0647C" w:rsidRDefault="00F0647C" w:rsidP="0098598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C603C" w14:textId="77777777" w:rsidR="00F0647C" w:rsidRDefault="00F0647C" w:rsidP="00985988">
      <w:pPr>
        <w:rPr>
          <w:rFonts w:hint="eastAsia"/>
        </w:rPr>
      </w:pPr>
      <w:r>
        <w:separator/>
      </w:r>
    </w:p>
  </w:footnote>
  <w:footnote w:type="continuationSeparator" w:id="0">
    <w:p w14:paraId="6D31099B" w14:textId="77777777" w:rsidR="00F0647C" w:rsidRDefault="00F0647C" w:rsidP="0098598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转化医学&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9ffazpfbvxa03eavs95spe2ztrpp9rfv2e2&quot;&gt;糖尿病肾病ML&lt;record-ids&gt;&lt;item&gt;59&lt;/item&gt;&lt;item&gt;79&lt;/item&gt;&lt;item&gt;144&lt;/item&gt;&lt;/record-ids&gt;&lt;/item&gt;&lt;/Libraries&gt;"/>
  </w:docVars>
  <w:rsids>
    <w:rsidRoot w:val="00E163B6"/>
    <w:rsid w:val="00014FDA"/>
    <w:rsid w:val="00024FB2"/>
    <w:rsid w:val="000E38C5"/>
    <w:rsid w:val="00174E40"/>
    <w:rsid w:val="001A2699"/>
    <w:rsid w:val="00222E13"/>
    <w:rsid w:val="002F378D"/>
    <w:rsid w:val="00313812"/>
    <w:rsid w:val="00383FD3"/>
    <w:rsid w:val="00610970"/>
    <w:rsid w:val="00671E65"/>
    <w:rsid w:val="008256F7"/>
    <w:rsid w:val="00966D10"/>
    <w:rsid w:val="00985988"/>
    <w:rsid w:val="00AC526F"/>
    <w:rsid w:val="00BF2CC0"/>
    <w:rsid w:val="00D865F0"/>
    <w:rsid w:val="00D9105A"/>
    <w:rsid w:val="00DE31DE"/>
    <w:rsid w:val="00E1422A"/>
    <w:rsid w:val="00E163B6"/>
    <w:rsid w:val="00E255E6"/>
    <w:rsid w:val="00F0647C"/>
    <w:rsid w:val="00FA7F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595A6"/>
  <w15:chartTrackingRefBased/>
  <w15:docId w15:val="{CAAB1DEB-2D1A-44E3-8CA6-21742C45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988"/>
    <w:pPr>
      <w:widowControl w:val="0"/>
      <w:jc w:val="both"/>
    </w:pPr>
    <w:rPr>
      <w:szCs w:val="24"/>
    </w:rPr>
  </w:style>
  <w:style w:type="paragraph" w:styleId="1">
    <w:name w:val="heading 1"/>
    <w:basedOn w:val="a"/>
    <w:next w:val="a"/>
    <w:link w:val="10"/>
    <w:uiPriority w:val="9"/>
    <w:qFormat/>
    <w:rsid w:val="00E163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163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163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163B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163B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163B6"/>
    <w:pPr>
      <w:keepNext/>
      <w:keepLines/>
      <w:spacing w:before="40"/>
      <w:outlineLvl w:val="5"/>
    </w:pPr>
    <w:rPr>
      <w:rFonts w:cstheme="majorBidi"/>
      <w:b/>
      <w:bCs/>
      <w:color w:val="0F4761" w:themeColor="accent1" w:themeShade="BF"/>
      <w:szCs w:val="22"/>
    </w:rPr>
  </w:style>
  <w:style w:type="paragraph" w:styleId="7">
    <w:name w:val="heading 7"/>
    <w:basedOn w:val="a"/>
    <w:next w:val="a"/>
    <w:link w:val="70"/>
    <w:uiPriority w:val="9"/>
    <w:semiHidden/>
    <w:unhideWhenUsed/>
    <w:qFormat/>
    <w:rsid w:val="00E163B6"/>
    <w:pPr>
      <w:keepNext/>
      <w:keepLines/>
      <w:spacing w:before="40"/>
      <w:outlineLvl w:val="6"/>
    </w:pPr>
    <w:rPr>
      <w:rFonts w:cstheme="majorBidi"/>
      <w:b/>
      <w:bCs/>
      <w:color w:val="595959" w:themeColor="text1" w:themeTint="A6"/>
      <w:szCs w:val="22"/>
    </w:rPr>
  </w:style>
  <w:style w:type="paragraph" w:styleId="8">
    <w:name w:val="heading 8"/>
    <w:basedOn w:val="a"/>
    <w:next w:val="a"/>
    <w:link w:val="80"/>
    <w:uiPriority w:val="9"/>
    <w:semiHidden/>
    <w:unhideWhenUsed/>
    <w:qFormat/>
    <w:rsid w:val="00E163B6"/>
    <w:pPr>
      <w:keepNext/>
      <w:keepLines/>
      <w:outlineLvl w:val="7"/>
    </w:pPr>
    <w:rPr>
      <w:rFonts w:cstheme="majorBidi"/>
      <w:color w:val="595959" w:themeColor="text1" w:themeTint="A6"/>
      <w:szCs w:val="22"/>
    </w:rPr>
  </w:style>
  <w:style w:type="paragraph" w:styleId="9">
    <w:name w:val="heading 9"/>
    <w:basedOn w:val="a"/>
    <w:next w:val="a"/>
    <w:link w:val="90"/>
    <w:uiPriority w:val="9"/>
    <w:semiHidden/>
    <w:unhideWhenUsed/>
    <w:qFormat/>
    <w:rsid w:val="00E163B6"/>
    <w:pPr>
      <w:keepNext/>
      <w:keepLines/>
      <w:outlineLvl w:val="8"/>
    </w:pPr>
    <w:rPr>
      <w:rFonts w:eastAsiaTheme="majorEastAsia" w:cstheme="majorBidi"/>
      <w:color w:val="595959" w:themeColor="text1" w:themeTint="A6"/>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163B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163B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163B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163B6"/>
    <w:rPr>
      <w:rFonts w:cstheme="majorBidi"/>
      <w:color w:val="0F4761" w:themeColor="accent1" w:themeShade="BF"/>
      <w:sz w:val="28"/>
      <w:szCs w:val="28"/>
    </w:rPr>
  </w:style>
  <w:style w:type="character" w:customStyle="1" w:styleId="50">
    <w:name w:val="标题 5 字符"/>
    <w:basedOn w:val="a0"/>
    <w:link w:val="5"/>
    <w:uiPriority w:val="9"/>
    <w:semiHidden/>
    <w:rsid w:val="00E163B6"/>
    <w:rPr>
      <w:rFonts w:cstheme="majorBidi"/>
      <w:color w:val="0F4761" w:themeColor="accent1" w:themeShade="BF"/>
      <w:sz w:val="24"/>
      <w:szCs w:val="24"/>
    </w:rPr>
  </w:style>
  <w:style w:type="character" w:customStyle="1" w:styleId="60">
    <w:name w:val="标题 6 字符"/>
    <w:basedOn w:val="a0"/>
    <w:link w:val="6"/>
    <w:uiPriority w:val="9"/>
    <w:semiHidden/>
    <w:rsid w:val="00E163B6"/>
    <w:rPr>
      <w:rFonts w:cstheme="majorBidi"/>
      <w:b/>
      <w:bCs/>
      <w:color w:val="0F4761" w:themeColor="accent1" w:themeShade="BF"/>
    </w:rPr>
  </w:style>
  <w:style w:type="character" w:customStyle="1" w:styleId="70">
    <w:name w:val="标题 7 字符"/>
    <w:basedOn w:val="a0"/>
    <w:link w:val="7"/>
    <w:uiPriority w:val="9"/>
    <w:semiHidden/>
    <w:rsid w:val="00E163B6"/>
    <w:rPr>
      <w:rFonts w:cstheme="majorBidi"/>
      <w:b/>
      <w:bCs/>
      <w:color w:val="595959" w:themeColor="text1" w:themeTint="A6"/>
    </w:rPr>
  </w:style>
  <w:style w:type="character" w:customStyle="1" w:styleId="80">
    <w:name w:val="标题 8 字符"/>
    <w:basedOn w:val="a0"/>
    <w:link w:val="8"/>
    <w:uiPriority w:val="9"/>
    <w:semiHidden/>
    <w:rsid w:val="00E163B6"/>
    <w:rPr>
      <w:rFonts w:cstheme="majorBidi"/>
      <w:color w:val="595959" w:themeColor="text1" w:themeTint="A6"/>
    </w:rPr>
  </w:style>
  <w:style w:type="character" w:customStyle="1" w:styleId="90">
    <w:name w:val="标题 9 字符"/>
    <w:basedOn w:val="a0"/>
    <w:link w:val="9"/>
    <w:uiPriority w:val="9"/>
    <w:semiHidden/>
    <w:rsid w:val="00E163B6"/>
    <w:rPr>
      <w:rFonts w:eastAsiaTheme="majorEastAsia" w:cstheme="majorBidi"/>
      <w:color w:val="595959" w:themeColor="text1" w:themeTint="A6"/>
    </w:rPr>
  </w:style>
  <w:style w:type="paragraph" w:styleId="a3">
    <w:name w:val="Title"/>
    <w:basedOn w:val="a"/>
    <w:next w:val="a"/>
    <w:link w:val="a4"/>
    <w:uiPriority w:val="10"/>
    <w:qFormat/>
    <w:rsid w:val="00E163B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163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163B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163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163B6"/>
    <w:pPr>
      <w:spacing w:before="160" w:after="160"/>
      <w:jc w:val="center"/>
    </w:pPr>
    <w:rPr>
      <w:i/>
      <w:iCs/>
      <w:color w:val="404040" w:themeColor="text1" w:themeTint="BF"/>
      <w:szCs w:val="22"/>
    </w:rPr>
  </w:style>
  <w:style w:type="character" w:customStyle="1" w:styleId="a8">
    <w:name w:val="引用 字符"/>
    <w:basedOn w:val="a0"/>
    <w:link w:val="a7"/>
    <w:uiPriority w:val="29"/>
    <w:rsid w:val="00E163B6"/>
    <w:rPr>
      <w:i/>
      <w:iCs/>
      <w:color w:val="404040" w:themeColor="text1" w:themeTint="BF"/>
    </w:rPr>
  </w:style>
  <w:style w:type="paragraph" w:styleId="a9">
    <w:name w:val="List Paragraph"/>
    <w:basedOn w:val="a"/>
    <w:uiPriority w:val="34"/>
    <w:qFormat/>
    <w:rsid w:val="00E163B6"/>
    <w:pPr>
      <w:ind w:left="720"/>
      <w:contextualSpacing/>
    </w:pPr>
    <w:rPr>
      <w:szCs w:val="22"/>
    </w:rPr>
  </w:style>
  <w:style w:type="character" w:styleId="aa">
    <w:name w:val="Intense Emphasis"/>
    <w:basedOn w:val="a0"/>
    <w:uiPriority w:val="21"/>
    <w:qFormat/>
    <w:rsid w:val="00E163B6"/>
    <w:rPr>
      <w:i/>
      <w:iCs/>
      <w:color w:val="0F4761" w:themeColor="accent1" w:themeShade="BF"/>
    </w:rPr>
  </w:style>
  <w:style w:type="paragraph" w:styleId="ab">
    <w:name w:val="Intense Quote"/>
    <w:basedOn w:val="a"/>
    <w:next w:val="a"/>
    <w:link w:val="ac"/>
    <w:uiPriority w:val="30"/>
    <w:qFormat/>
    <w:rsid w:val="00E16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2"/>
    </w:rPr>
  </w:style>
  <w:style w:type="character" w:customStyle="1" w:styleId="ac">
    <w:name w:val="明显引用 字符"/>
    <w:basedOn w:val="a0"/>
    <w:link w:val="ab"/>
    <w:uiPriority w:val="30"/>
    <w:rsid w:val="00E163B6"/>
    <w:rPr>
      <w:i/>
      <w:iCs/>
      <w:color w:val="0F4761" w:themeColor="accent1" w:themeShade="BF"/>
    </w:rPr>
  </w:style>
  <w:style w:type="character" w:styleId="ad">
    <w:name w:val="Intense Reference"/>
    <w:basedOn w:val="a0"/>
    <w:uiPriority w:val="32"/>
    <w:qFormat/>
    <w:rsid w:val="00E163B6"/>
    <w:rPr>
      <w:b/>
      <w:bCs/>
      <w:smallCaps/>
      <w:color w:val="0F4761" w:themeColor="accent1" w:themeShade="BF"/>
      <w:spacing w:val="5"/>
    </w:rPr>
  </w:style>
  <w:style w:type="paragraph" w:styleId="ae">
    <w:name w:val="header"/>
    <w:basedOn w:val="a"/>
    <w:link w:val="af"/>
    <w:uiPriority w:val="99"/>
    <w:unhideWhenUsed/>
    <w:rsid w:val="00985988"/>
    <w:pPr>
      <w:tabs>
        <w:tab w:val="center" w:pos="4153"/>
        <w:tab w:val="right" w:pos="8306"/>
      </w:tabs>
      <w:snapToGrid w:val="0"/>
      <w:jc w:val="center"/>
    </w:pPr>
    <w:rPr>
      <w:sz w:val="18"/>
      <w:szCs w:val="18"/>
    </w:rPr>
  </w:style>
  <w:style w:type="character" w:customStyle="1" w:styleId="af">
    <w:name w:val="页眉 字符"/>
    <w:basedOn w:val="a0"/>
    <w:link w:val="ae"/>
    <w:uiPriority w:val="99"/>
    <w:rsid w:val="00985988"/>
    <w:rPr>
      <w:sz w:val="18"/>
      <w:szCs w:val="18"/>
    </w:rPr>
  </w:style>
  <w:style w:type="paragraph" w:styleId="af0">
    <w:name w:val="footer"/>
    <w:basedOn w:val="a"/>
    <w:link w:val="af1"/>
    <w:uiPriority w:val="99"/>
    <w:unhideWhenUsed/>
    <w:rsid w:val="00985988"/>
    <w:pPr>
      <w:tabs>
        <w:tab w:val="center" w:pos="4153"/>
        <w:tab w:val="right" w:pos="8306"/>
      </w:tabs>
      <w:snapToGrid w:val="0"/>
      <w:jc w:val="left"/>
    </w:pPr>
    <w:rPr>
      <w:sz w:val="18"/>
      <w:szCs w:val="18"/>
    </w:rPr>
  </w:style>
  <w:style w:type="character" w:customStyle="1" w:styleId="af1">
    <w:name w:val="页脚 字符"/>
    <w:basedOn w:val="a0"/>
    <w:link w:val="af0"/>
    <w:uiPriority w:val="99"/>
    <w:rsid w:val="00985988"/>
    <w:rPr>
      <w:sz w:val="18"/>
      <w:szCs w:val="18"/>
    </w:rPr>
  </w:style>
  <w:style w:type="paragraph" w:customStyle="1" w:styleId="EndNoteBibliographyTitle">
    <w:name w:val="EndNote Bibliography Title"/>
    <w:basedOn w:val="a"/>
    <w:link w:val="EndNoteBibliographyTitle0"/>
    <w:rsid w:val="00D9105A"/>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D9105A"/>
    <w:rPr>
      <w:rFonts w:ascii="等线" w:eastAsia="等线" w:hAnsi="等线"/>
      <w:noProof/>
      <w:sz w:val="20"/>
      <w:szCs w:val="24"/>
    </w:rPr>
  </w:style>
  <w:style w:type="paragraph" w:customStyle="1" w:styleId="EndNoteBibliography">
    <w:name w:val="EndNote Bibliography"/>
    <w:basedOn w:val="a"/>
    <w:link w:val="EndNoteBibliography0"/>
    <w:rsid w:val="00D9105A"/>
    <w:rPr>
      <w:rFonts w:ascii="等线" w:eastAsia="等线" w:hAnsi="等线"/>
      <w:noProof/>
      <w:sz w:val="20"/>
    </w:rPr>
  </w:style>
  <w:style w:type="character" w:customStyle="1" w:styleId="EndNoteBibliography0">
    <w:name w:val="EndNote Bibliography 字符"/>
    <w:basedOn w:val="a0"/>
    <w:link w:val="EndNoteBibliography"/>
    <w:rsid w:val="00D9105A"/>
    <w:rPr>
      <w:rFonts w:ascii="等线" w:eastAsia="等线" w:hAnsi="等线"/>
      <w:noProo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4</Pages>
  <Words>1568</Words>
  <Characters>8943</Characters>
  <Application>Microsoft Office Word</Application>
  <DocSecurity>0</DocSecurity>
  <Lines>74</Lines>
  <Paragraphs>20</Paragraphs>
  <ScaleCrop>false</ScaleCrop>
  <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492363120@qq.com</dc:creator>
  <cp:keywords/>
  <dc:description/>
  <cp:lastModifiedBy>492363120@qq.com</cp:lastModifiedBy>
  <cp:revision>6</cp:revision>
  <dcterms:created xsi:type="dcterms:W3CDTF">2025-12-15T12:06:00Z</dcterms:created>
  <dcterms:modified xsi:type="dcterms:W3CDTF">2025-12-28T01:59:00Z</dcterms:modified>
</cp:coreProperties>
</file>