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9E989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/>
          <w:bCs/>
          <w:i w:val="0"/>
          <w:color w:val="000000"/>
          <w:sz w:val="18"/>
          <w:szCs w:val="18"/>
          <w:u w:val="none"/>
        </w:rPr>
      </w:pPr>
      <w:r>
        <w:rPr>
          <w:rFonts w:hint="default" w:ascii="Times New Roman" w:hAnsi="Times New Roman" w:eastAsia="DejaVu Sans" w:cs="Times New Roman"/>
          <w:b/>
          <w:bCs/>
          <w:i w:val="0"/>
          <w:color w:val="000000"/>
          <w:sz w:val="18"/>
          <w:szCs w:val="18"/>
          <w:u w:val="none"/>
        </w:rPr>
        <w:t>Inclusion and Exclusion Criteria for FMT Donors.</w:t>
      </w:r>
    </w:p>
    <w:p w14:paraId="2DF079B7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  <w:r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  <w:t xml:space="preserve">Inclusion criteria：Healthy Controls (HC): No history of diabetes, kidney disease, or other metabolic diseases, and no use of antibiotics or probiotics within the last three months. </w:t>
      </w:r>
    </w:p>
    <w:p w14:paraId="2F767BCF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  <w:r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  <w:t xml:space="preserve">Patients with type 2 diabetes mellitus (DM): Meeting the internationally recognized diagnostic criteria for type 2 diabetes mellitus (such as WHO or ADA guidelines). Patients with type 2 diabetic nephropathy (DN): In addition to meeting the DM diagnostic criteria, confirmation through renal biopsy pathology is required. </w:t>
      </w:r>
    </w:p>
    <w:p w14:paraId="5173D534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  <w:r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  <w:t>Exclusion criteria：</w:t>
      </w:r>
    </w:p>
    <w:p w14:paraId="5810316E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  <w:r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  <w:t xml:space="preserve"> (1). Pregnant and lactating women; (2). Patients with gastrointestinal diseases: including inflammatory bowel disease (IBD), irritable bowel syndrome (IBS), infectious diarrhea, etc.;(3)  Acute metabolic complications of diabetes: such as diabetic ketoacidosis (DKA) or hyperosmolar hyperglycemic state (HHS); (4) Recent intake of probiotics/fermented foods: including probiotic supplements, probiotic yogurt, and other fermented foods (consumed within 30 days prior to enrollment), to reduce interference from exogenous microorganisms. (5) Users of antibiotics or immunosuppressants: Those who have taken antibiotics, prebiotics, or immunosuppressive drugs within 30 days prior to enrollment, in order to avoid the short-term effects of these medications on the gut microbiota.</w:t>
      </w:r>
    </w:p>
    <w:p w14:paraId="7E9BD7FC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3A8DD656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7173FA43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22482D15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2EB29847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592EBF17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172D5DF1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6EBB2465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21F2206C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411FE643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3AA8873B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621E5999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277B7369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691F7E0F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6DAD6928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1A3FED26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3FCEAEF7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2251A814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78C83E86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00CEBB2D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3E82F4E0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1902BB24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237DB51C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0060A34E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4850D6FC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left="100" w:right="100" w:firstLine="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5940590F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360" w:lineRule="auto"/>
        <w:ind w:right="100"/>
        <w:jc w:val="left"/>
        <w:rPr>
          <w:rFonts w:hint="default" w:ascii="Times New Roman" w:hAnsi="Times New Roman" w:eastAsia="DejaVu Sans" w:cs="Times New Roman"/>
          <w:b w:val="0"/>
          <w:i w:val="0"/>
          <w:color w:val="000000"/>
          <w:sz w:val="18"/>
          <w:szCs w:val="18"/>
          <w:u w:val="none"/>
        </w:rPr>
      </w:pPr>
    </w:p>
    <w:p w14:paraId="1EC0701A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240" w:lineRule="auto"/>
        <w:ind w:right="100"/>
        <w:jc w:val="left"/>
        <w:rPr>
          <w:rFonts w:hint="default" w:ascii="Times New Roman" w:hAnsi="Times New Roman" w:eastAsia="DejaVu Sans" w:cs="Times New Roman"/>
          <w:b/>
          <w:bCs/>
          <w:i w:val="0"/>
          <w:color w:val="000000"/>
          <w:sz w:val="18"/>
          <w:szCs w:val="18"/>
          <w:u w:val="none"/>
        </w:rPr>
      </w:pPr>
    </w:p>
    <w:p w14:paraId="54FBF2F3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240" w:lineRule="auto"/>
        <w:ind w:right="100"/>
        <w:jc w:val="left"/>
        <w:rPr>
          <w:rFonts w:hint="default" w:ascii="Times New Roman" w:hAnsi="Times New Roman" w:eastAsia="宋体" w:cs="Times New Roman"/>
          <w:b/>
          <w:bCs/>
          <w:i w:val="0"/>
          <w:color w:val="000000"/>
          <w:sz w:val="18"/>
          <w:szCs w:val="18"/>
          <w:u w:val="none"/>
          <w:lang w:val="en-US" w:eastAsia="zh-CN"/>
        </w:rPr>
      </w:pPr>
      <w:r>
        <w:rPr>
          <w:rFonts w:hint="default" w:ascii="Times New Roman" w:hAnsi="Times New Roman" w:eastAsia="DejaVu Sans" w:cs="Times New Roman"/>
          <w:b/>
          <w:bCs/>
          <w:i w:val="0"/>
          <w:color w:val="000000"/>
          <w:sz w:val="18"/>
          <w:szCs w:val="18"/>
          <w:u w:val="none"/>
        </w:rPr>
        <w:t>Clinical Characteristics of FMT Volunteers</w:t>
      </w:r>
      <w:r>
        <w:rPr>
          <w:rFonts w:hint="eastAsia" w:ascii="Times New Roman" w:hAnsi="Times New Roman" w:eastAsia="宋体" w:cs="Times New Roman"/>
          <w:b/>
          <w:bCs/>
          <w:i w:val="0"/>
          <w:color w:val="000000"/>
          <w:sz w:val="18"/>
          <w:szCs w:val="18"/>
          <w:u w:val="none"/>
          <w:lang w:val="en-US" w:eastAsia="zh-CN"/>
        </w:rPr>
        <w:t>.(Supplementary Table 1)</w:t>
      </w:r>
    </w:p>
    <w:p w14:paraId="4153F4D7">
      <w:pPr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40" w:after="40" w:line="240" w:lineRule="auto"/>
        <w:ind w:right="100"/>
        <w:jc w:val="left"/>
        <w:rPr>
          <w:rFonts w:ascii="Arial" w:hAnsi="DejaVu Sans" w:eastAsia="DejaVu Sans" w:cs="DejaVu Sans"/>
          <w:b w:val="0"/>
          <w:i w:val="0"/>
          <w:color w:val="000000"/>
          <w:sz w:val="18"/>
          <w:szCs w:val="18"/>
          <w:u w:val="none"/>
        </w:rPr>
      </w:pPr>
    </w:p>
    <w:tbl>
      <w:tblPr>
        <w:tblStyle w:val="8"/>
        <w:tblW w:w="855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1681"/>
        <w:gridCol w:w="1681"/>
        <w:gridCol w:w="1681"/>
        <w:gridCol w:w="1681"/>
        <w:gridCol w:w="808"/>
        <w:gridCol w:w="7"/>
      </w:tblGrid>
      <w:tr w14:paraId="63061988">
        <w:trPr>
          <w:cantSplit/>
          <w:trHeight w:val="222" w:hRule="atLeast"/>
          <w:tblHeader/>
          <w:jc w:val="center"/>
        </w:trPr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46554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right="10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Variable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34AAF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Overall, N = 15</w:t>
            </w: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  <w:vertAlign w:val="superscript"/>
              </w:rPr>
              <w:t>1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F4269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DM, N = 5</w:t>
            </w: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  <w:vertAlign w:val="superscript"/>
              </w:rPr>
              <w:t>1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7D023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DN, N = 5</w:t>
            </w: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  <w:vertAlign w:val="superscript"/>
              </w:rPr>
              <w:t>1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D7A06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HC, N = 5</w:t>
            </w: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  <w:vertAlign w:val="superscript"/>
              </w:rPr>
              <w:t>1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4BE19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p-value</w:t>
            </w: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  <w:vertAlign w:val="superscript"/>
              </w:rPr>
              <w:t>2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A3CC6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 w14:paraId="7E71C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EEC0A5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5"/>
                <w:szCs w:val="15"/>
                <w:u w:val="none"/>
              </w:rPr>
              <w:t>Gender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B9D3E5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BAF9C5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A6225D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530053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44FCB4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&gt;0.9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564A84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 w14:paraId="336B6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950CC7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Female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148057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4 (</w:t>
            </w: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5"/>
                <w:szCs w:val="15"/>
                <w:u w:val="none"/>
                <w:lang w:val="en-US" w:eastAsia="zh-CN"/>
              </w:rPr>
              <w:t>80</w:t>
            </w: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35DC61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1 (20%)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4A21E8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1 (20%)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73CE21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2 (40%)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33A9A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AEFEB7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</w:p>
        </w:tc>
      </w:tr>
      <w:tr w14:paraId="27B9D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A48472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Male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761D9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 xml:space="preserve">1 </w:t>
            </w: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5"/>
                <w:szCs w:val="15"/>
                <w:u w:val="none"/>
                <w:lang w:val="en-US" w:eastAsia="zh-CN"/>
              </w:rPr>
              <w:t>(20</w:t>
            </w: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65DF6F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4 (80%)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EB6E4E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4 (80%)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7B5738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3 (60%)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0B0208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EFB446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</w:p>
        </w:tc>
      </w:tr>
      <w:tr w14:paraId="4DD71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27825C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5"/>
                <w:szCs w:val="15"/>
                <w:u w:val="none"/>
              </w:rPr>
              <w:t>Age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903B59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45 (40, 61)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695C9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61 (45, 63)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4EAFC8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58 (45, 61)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05407F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42 (39, 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7C9D64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8F25E6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 w14:paraId="20DC1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1F3653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5"/>
                <w:szCs w:val="15"/>
                <w:u w:val="none"/>
              </w:rPr>
              <w:t>BMI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737482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24.40 (23.15, 24.95)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EF2B8A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24.40 (23.80, 25.30)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C2B3C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24.70 (24.60, 25.20)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082B13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22.40 (21.60, 23.70)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746611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0.050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2E8D48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 w14:paraId="45C42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F57EFC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5"/>
                <w:szCs w:val="15"/>
                <w:u w:val="none"/>
              </w:rPr>
              <w:t>Hb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194F63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138 (124, 145)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BB112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132 (125, 145)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17BBE5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141 (116, 156)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F6945B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138 (134, 145)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E3FB6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&gt;0.9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E899A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 w14:paraId="055B9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B7CF41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5"/>
                <w:szCs w:val="15"/>
                <w:u w:val="none"/>
              </w:rPr>
              <w:t>HbA1c(%)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2C3762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5.7 (2.7, 8.5)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1CB8F8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8.7 (8.3, 9.1)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CD290C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0.1 (0.1, 0.1)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C4044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5.6 (5.4, 5.7)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FFAB68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0.039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37D99F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 w14:paraId="2D865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B8B566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5"/>
                <w:szCs w:val="15"/>
                <w:u w:val="none"/>
              </w:rPr>
              <w:t>SCr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68945F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88 (67, 105)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374A74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68 (56, 78)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90B6D3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151 (108, 168)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3E854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89 (78, 95)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FCB402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0.049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6F94EA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 w14:paraId="751A4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7F3479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5"/>
                <w:szCs w:val="15"/>
                <w:u w:val="none"/>
              </w:rPr>
              <w:t>BUN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4CFD89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5.50 (4.80, 7.75)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AE1B85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6.10 (5.50, 6.10)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AFA525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9.50 (8.10, 10.60)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D7D9C7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4.70 (4.60, 4.90)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F5AAE4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0.016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E1DEF2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 w14:paraId="67E16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5560A3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5"/>
                <w:szCs w:val="15"/>
                <w:u w:val="none"/>
              </w:rPr>
              <w:t>SUA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DF978F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342 (268, 392)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64EE0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270 (256, 302)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824B9D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394 (331, 437)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1B24DA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386 (342, 389)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582E85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577FFE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 w14:paraId="46AF0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E69588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5"/>
                <w:szCs w:val="15"/>
                <w:u w:val="none"/>
              </w:rPr>
              <w:t>Cystatin C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63D6BE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0.88 (0.74, 1.14)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04398D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0.78 (0.69, 0.89)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4C8016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1.38 (1.26, 1.82)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5D6C19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0.78 (0.69, 0.88)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4D4A2B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0.033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25114A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 w14:paraId="3EE56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71F0F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5"/>
                <w:szCs w:val="15"/>
                <w:u w:val="none"/>
              </w:rPr>
              <w:t>NGAL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821CAD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102 (87, 162)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CA5DFF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102 (99, 105)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8C205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230 (189, 244)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A22ED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87 (79, 87)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7ABFB9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0.003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504CAD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 w14:paraId="64D50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26FB5C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5"/>
                <w:szCs w:val="15"/>
                <w:u w:val="none"/>
              </w:rPr>
              <w:t>eGFR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E8CFEB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90 (62, 93)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C01CA7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90 (88, 92)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A5FBEA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52 (52, 59)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7CE774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95 (93, 98)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97205F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0.004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FC7A35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 w14:paraId="28425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5F5D71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5"/>
                <w:szCs w:val="15"/>
                <w:u w:val="none"/>
              </w:rPr>
              <w:t>UACR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5FE8FB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20 (13, 973)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FDEB4E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12 (11, 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182FD5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1,240 (1,224, 2,640)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83C771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17 (17, 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E18BE8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0.007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95D71B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 w14:paraId="70C76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7ABC2D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5"/>
                <w:szCs w:val="15"/>
                <w:u w:val="none"/>
              </w:rPr>
              <w:t>ALB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E7B979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41 (36, 44)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EE17E5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40 (37, 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4BD57F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34 (33, 36)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119B86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45 (42, 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3D4AFF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0.087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78B06A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 w14:paraId="0CCB1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73B162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5"/>
                <w:szCs w:val="15"/>
                <w:u w:val="none"/>
              </w:rPr>
              <w:t>TC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D01484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4.78 (4.48, 5.20)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8E5FBC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5.10 (4.78, 5.40)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21FA41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4.98 (4.47, 5.29)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DA920C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4.60 (4.50, 4.70)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85EB22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3A3AF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 w14:paraId="3250D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EE8158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5"/>
                <w:szCs w:val="15"/>
                <w:u w:val="none"/>
              </w:rPr>
              <w:t>TG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A9E873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2.50 (1.59, 3.10)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F82602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1.33 (1.23, 2.30)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E7567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2.84 (1.84, 4.87)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554C2D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2.90 (2.50, 3.10)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7CD44C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9441BB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 w14:paraId="6E77D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1E5CE9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5"/>
                <w:szCs w:val="15"/>
                <w:u w:val="none"/>
              </w:rPr>
              <w:t>HDL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D54D4F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1.30 (1.13, 1.43)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9690D6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1.30 (1.22, 1.70)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E0FE3B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1.00 (0.94, 1.31)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312D1A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1.30 (1.20, 1.40)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C1A9A7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F5F599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 w14:paraId="3EFB1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  <w:jc w:val="center"/>
        </w:trPr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A2C4D2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5"/>
                <w:szCs w:val="15"/>
                <w:u w:val="none"/>
              </w:rPr>
              <w:t>LDL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754A06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2.90 (2.56, 3.07)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111972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2.90 (2.90, 3.12)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EA0B0B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2.07 (2.05, 2.80)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30A6CF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2.96 (2.80, 3.01)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2588C2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0.2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017536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 w14:paraId="2771D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" w:hRule="atLeast"/>
          <w:jc w:val="center"/>
        </w:trPr>
        <w:tc>
          <w:tcPr>
            <w:gridSpan w:val="6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0566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sz w:val="15"/>
                <w:szCs w:val="15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  <w:vertAlign w:val="superscript"/>
              </w:rPr>
              <w:t>1</w:t>
            </w: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n (%); Median (IQR)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FE7BD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  <w:vertAlign w:val="superscript"/>
              </w:rPr>
            </w:pPr>
          </w:p>
        </w:tc>
      </w:tr>
      <w:tr w14:paraId="0D9CE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  <w:jc w:val="center"/>
        </w:trPr>
        <w:tc>
          <w:tcPr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7FCF5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  <w:vertAlign w:val="superscript"/>
              </w:rPr>
              <w:t>2</w:t>
            </w: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</w:rPr>
              <w:t>Fisher's exact test; Kruskal-Wallis rank sum test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C598D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left"/>
              <w:rPr>
                <w:rFonts w:ascii="Arial" w:hAnsi="DejaVu Sans" w:eastAsia="DejaVu Sans" w:cs="DejaVu Sans"/>
                <w:b w:val="0"/>
                <w:i w:val="0"/>
                <w:color w:val="000000"/>
                <w:sz w:val="15"/>
                <w:szCs w:val="15"/>
                <w:u w:val="none"/>
                <w:vertAlign w:val="superscript"/>
              </w:rPr>
            </w:pPr>
          </w:p>
        </w:tc>
      </w:tr>
    </w:tbl>
    <w:p w14:paraId="03EB55D6">
      <w:pPr>
        <w:pStyle w:val="3"/>
        <w:keepNext w:val="0"/>
        <w:keepLines w:val="0"/>
        <w:widowControl/>
        <w:numPr>
          <w:numId w:val="0"/>
        </w:numPr>
        <w:suppressLineNumbers w:val="0"/>
        <w:shd w:val="clear" w:fill="FFFFFF"/>
        <w:spacing w:before="132" w:beforeAutospacing="0" w:after="132" w:afterAutospacing="0" w:line="360" w:lineRule="auto"/>
        <w:ind w:leftChars="0" w:right="0" w:rightChars="0"/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BMI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 xml:space="preserve">:Body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 xml:space="preserve">ass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i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ndex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Hb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:hemoglobin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HbA1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c:glycated hemoglobin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SCr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: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15"/>
          <w:szCs w:val="15"/>
          <w:shd w:val="clear" w:fill="FFFFFF"/>
        </w:rPr>
        <w:t>serum creatinine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BUN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:</w:t>
      </w:r>
      <w:r>
        <w:rPr>
          <w:rFonts w:hint="default" w:ascii="Times New Roman" w:hAnsi="Times New Roman" w:eastAsia="华文细黑" w:cs="Times New Roman"/>
          <w:b w:val="0"/>
          <w:bCs w:val="0"/>
          <w:i w:val="0"/>
          <w:iCs w:val="0"/>
          <w:caps w:val="0"/>
          <w:color w:val="000000"/>
          <w:spacing w:val="0"/>
          <w:sz w:val="15"/>
          <w:szCs w:val="15"/>
        </w:rPr>
        <w:t>blood urea nitrogen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SUA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F1F1F"/>
          <w:spacing w:val="0"/>
          <w:sz w:val="15"/>
          <w:szCs w:val="15"/>
          <w:shd w:val="clear" w:fill="F5F5F5"/>
        </w:rPr>
        <w:t xml:space="preserve">Serum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F1F1F"/>
          <w:spacing w:val="0"/>
          <w:sz w:val="15"/>
          <w:szCs w:val="15"/>
          <w:shd w:val="clear" w:fill="F5F5F5"/>
          <w:lang w:val="en-US" w:eastAsia="zh-CN"/>
        </w:rPr>
        <w:t>u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F1F1F"/>
          <w:spacing w:val="0"/>
          <w:sz w:val="15"/>
          <w:szCs w:val="15"/>
          <w:shd w:val="clear" w:fill="F5F5F5"/>
        </w:rPr>
        <w:t xml:space="preserve">ric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F1F1F"/>
          <w:spacing w:val="0"/>
          <w:sz w:val="15"/>
          <w:szCs w:val="15"/>
          <w:shd w:val="clear" w:fill="F5F5F5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F1F1F"/>
          <w:spacing w:val="0"/>
          <w:sz w:val="15"/>
          <w:szCs w:val="15"/>
          <w:shd w:val="clear" w:fill="F5F5F5"/>
        </w:rPr>
        <w:t>cid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，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NGAL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:Neutrophil gelatinaseassociated lipocalin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eGFR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 xml:space="preserve">Estimated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g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 xml:space="preserve">lomerular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f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 xml:space="preserve">iltration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r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ate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UACR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:Urinary albumin/creatinine ratio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ALB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:</w:t>
      </w:r>
      <w:r>
        <w:rPr>
          <w:rStyle w:val="12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</w:rPr>
        <w:t>albumin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TC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: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191B1F"/>
          <w:spacing w:val="0"/>
          <w:sz w:val="15"/>
          <w:szCs w:val="15"/>
          <w:shd w:val="clear" w:fill="FFFFFF"/>
        </w:rPr>
        <w:t>Total Cholesterol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TG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:</w:t>
      </w:r>
      <w:r>
        <w:rPr>
          <w:rStyle w:val="12"/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333333"/>
          <w:spacing w:val="0"/>
          <w:sz w:val="15"/>
          <w:szCs w:val="15"/>
          <w:shd w:val="clear" w:fill="FFFFFF"/>
        </w:rPr>
        <w:t>Triglyceride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HDL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: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15"/>
          <w:szCs w:val="15"/>
          <w:shd w:val="clear" w:fill="FFFFFF"/>
        </w:rPr>
        <w:t>high-density lipoprotein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11111"/>
          <w:spacing w:val="0"/>
          <w:sz w:val="15"/>
          <w:szCs w:val="15"/>
          <w:shd w:val="clear" w:fill="FFFFFF"/>
        </w:rPr>
        <w:t>LDL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shd w:val="clear" w:fill="FFFFFF"/>
          <w:lang w:val="en-US" w:eastAsia="zh-CN"/>
        </w:rPr>
        <w:t>:</w:t>
      </w:r>
      <w:r>
        <w:rPr>
          <w:rStyle w:val="12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</w:rPr>
        <w:t>low-density lipoprotein</w:t>
      </w:r>
      <w: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  <w:t>.</w:t>
      </w:r>
    </w:p>
    <w:p w14:paraId="53B692EF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01C80F5E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4D10B941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5D15E27E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20355DB9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41236419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71223691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03924C55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2E11FB09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391DDAF0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5175D1A8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54897C9B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333E851C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509F2ECE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64B527FC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201B00A7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093ACC26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154866F3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19DD229E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2FEB1CFA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16C70EA4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p w14:paraId="4BA31362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  <w:r>
        <w:rPr>
          <w:rStyle w:val="12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111111"/>
          <w:spacing w:val="0"/>
          <w:sz w:val="18"/>
          <w:szCs w:val="18"/>
          <w:lang w:val="en-US" w:eastAsia="zh-CN"/>
        </w:rPr>
        <w:t xml:space="preserve">Supplemental Table </w:t>
      </w:r>
      <w:bookmarkStart w:id="0" w:name="_GoBack"/>
      <w:bookmarkEnd w:id="0"/>
      <w:r>
        <w:rPr>
          <w:rStyle w:val="12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111111"/>
          <w:spacing w:val="0"/>
          <w:sz w:val="18"/>
          <w:szCs w:val="18"/>
          <w:lang w:val="en-US" w:eastAsia="zh-CN"/>
        </w:rPr>
        <w:t>2: RT-PCR Primers. Forward and reverse primers used in quantitative real time PCR (qPCR) gene expression analysis</w:t>
      </w:r>
      <w: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  <w:t>.</w:t>
      </w:r>
    </w:p>
    <w:p w14:paraId="4A480313">
      <w:pPr>
        <w:rPr>
          <w:rStyle w:val="12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5"/>
          <w:szCs w:val="15"/>
          <w:lang w:val="en-US" w:eastAsia="zh-CN"/>
        </w:rPr>
      </w:pPr>
    </w:p>
    <w:tbl>
      <w:tblPr>
        <w:tblStyle w:val="8"/>
        <w:tblpPr w:leftFromText="180" w:rightFromText="180" w:vertAnchor="text" w:horzAnchor="page" w:tblpX="2332" w:tblpY="252"/>
        <w:tblOverlap w:val="never"/>
        <w:tblW w:w="83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3802"/>
        <w:gridCol w:w="3602"/>
      </w:tblGrid>
      <w:tr w14:paraId="63D2B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5EE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gene</w:t>
            </w:r>
          </w:p>
        </w:tc>
        <w:tc>
          <w:tcPr>
            <w:tcW w:w="3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C6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Forward Primer(5' -  &gt; 3')</w:t>
            </w:r>
          </w:p>
        </w:tc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197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Reverse Primer(5' -&gt; 3')</w:t>
            </w:r>
          </w:p>
        </w:tc>
      </w:tr>
      <w:tr w14:paraId="0E735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CC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PPARγ</w:t>
            </w:r>
          </w:p>
        </w:tc>
        <w:tc>
          <w:tcPr>
            <w:tcW w:w="3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20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TCGCTGATGCACTGCCTATG</w:t>
            </w:r>
          </w:p>
        </w:tc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35E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GAGAGGTCCACAGAGCTGATT</w:t>
            </w:r>
          </w:p>
        </w:tc>
      </w:tr>
      <w:tr w14:paraId="581D1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33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Scd1</w:t>
            </w:r>
          </w:p>
        </w:tc>
        <w:tc>
          <w:tcPr>
            <w:tcW w:w="3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B7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TTCTTGCGATACACTCTGGTGC</w:t>
            </w:r>
          </w:p>
        </w:tc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D26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CGGGATTGAATGTTCTTGTCGT</w:t>
            </w:r>
          </w:p>
        </w:tc>
      </w:tr>
      <w:tr w14:paraId="46BA7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6D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Acox2</w:t>
            </w:r>
          </w:p>
        </w:tc>
        <w:tc>
          <w:tcPr>
            <w:tcW w:w="3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B9B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TAACTTCCTCACTCGAAGCCA</w:t>
            </w:r>
          </w:p>
        </w:tc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7AF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AGTTCCATGACCCATCTCTGTC</w:t>
            </w:r>
          </w:p>
        </w:tc>
      </w:tr>
      <w:tr w14:paraId="6BB82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9C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Cpt1a</w:t>
            </w:r>
          </w:p>
        </w:tc>
        <w:tc>
          <w:tcPr>
            <w:tcW w:w="3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787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CTCCGCCTGAGCCATGAAG</w:t>
            </w:r>
          </w:p>
        </w:tc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1AE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CACCAGTGATGATGCCATTCT</w:t>
            </w:r>
          </w:p>
        </w:tc>
      </w:tr>
      <w:tr w14:paraId="4C4AD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C3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Pck1</w:t>
            </w:r>
          </w:p>
        </w:tc>
        <w:tc>
          <w:tcPr>
            <w:tcW w:w="3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870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B1B1B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B1B1B"/>
                <w:kern w:val="0"/>
                <w:sz w:val="18"/>
                <w:szCs w:val="18"/>
                <w:u w:val="none"/>
                <w:lang w:val="en-US" w:eastAsia="zh-CN" w:bidi="ar"/>
              </w:rPr>
              <w:t>GCTGGAGGCCCTGGGAGATGGGGAG</w:t>
            </w:r>
          </w:p>
        </w:tc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6C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B1B1B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B1B1B"/>
                <w:kern w:val="0"/>
                <w:sz w:val="18"/>
                <w:szCs w:val="18"/>
                <w:u w:val="none"/>
                <w:lang w:val="en-US" w:eastAsia="zh-CN" w:bidi="ar"/>
              </w:rPr>
              <w:t>CTCTCTGCGGTCCGGGAGGTGGGCG</w:t>
            </w:r>
          </w:p>
        </w:tc>
      </w:tr>
      <w:tr w14:paraId="472C8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4C6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Scd-2</w:t>
            </w:r>
          </w:p>
        </w:tc>
        <w:tc>
          <w:tcPr>
            <w:tcW w:w="3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78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B1B1B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B1B1B"/>
                <w:kern w:val="0"/>
                <w:sz w:val="18"/>
                <w:szCs w:val="18"/>
                <w:u w:val="none"/>
                <w:lang w:val="en-US" w:eastAsia="zh-CN" w:bidi="ar"/>
              </w:rPr>
              <w:t>GGGCCTGGCTTACGACCGGAAGAGAG</w:t>
            </w:r>
          </w:p>
        </w:tc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5F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B1B1B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B1B1B"/>
                <w:kern w:val="0"/>
                <w:sz w:val="18"/>
                <w:szCs w:val="18"/>
                <w:u w:val="none"/>
                <w:lang w:val="en-US" w:eastAsia="zh-CN" w:bidi="ar"/>
              </w:rPr>
              <w:t>ATAGCAGGCATGCTGGGGAT</w:t>
            </w:r>
          </w:p>
        </w:tc>
      </w:tr>
      <w:tr w14:paraId="223BF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5E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Hmgcs2</w:t>
            </w:r>
          </w:p>
        </w:tc>
        <w:tc>
          <w:tcPr>
            <w:tcW w:w="3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B615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GCAGTCTTCAATGCCGTGAA</w:t>
            </w:r>
          </w:p>
        </w:tc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8CC1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GCAATGTCTCCTGCAACTACCA</w:t>
            </w:r>
          </w:p>
        </w:tc>
      </w:tr>
      <w:tr w14:paraId="3432B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1A4D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Cyp27a1</w:t>
            </w:r>
          </w:p>
        </w:tc>
        <w:tc>
          <w:tcPr>
            <w:tcW w:w="3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30BB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AGAGCCCATCGAGAGATCAAGA</w:t>
            </w:r>
          </w:p>
        </w:tc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6D2B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ACGCCCGTCCTTGTATGTAGAA</w:t>
            </w:r>
          </w:p>
        </w:tc>
      </w:tr>
      <w:tr w14:paraId="4015E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FE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Plin2</w:t>
            </w:r>
          </w:p>
        </w:tc>
        <w:tc>
          <w:tcPr>
            <w:tcW w:w="3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82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CAGCCAACGTCCGAGATTG</w:t>
            </w:r>
          </w:p>
        </w:tc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93B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CACATCCTTCGCCCCAGTT</w:t>
            </w:r>
          </w:p>
        </w:tc>
      </w:tr>
      <w:tr w14:paraId="6D7A2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44D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Plin5</w:t>
            </w:r>
          </w:p>
        </w:tc>
        <w:tc>
          <w:tcPr>
            <w:tcW w:w="3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35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GTGTGTAGTGTGACTACCTGTG</w:t>
            </w:r>
          </w:p>
        </w:tc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C2D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GCAGCTTCTCTTCCAATTTGTC</w:t>
            </w:r>
          </w:p>
        </w:tc>
      </w:tr>
      <w:tr w14:paraId="2F221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841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Ahsa2</w:t>
            </w:r>
          </w:p>
        </w:tc>
        <w:tc>
          <w:tcPr>
            <w:tcW w:w="3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CFB9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TGAAGCCAAACAGAGCAACGT</w:t>
            </w:r>
          </w:p>
        </w:tc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E4FD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GGCATCAACGGGAAGAACTG</w:t>
            </w:r>
          </w:p>
        </w:tc>
      </w:tr>
      <w:tr w14:paraId="695A0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87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Fabp1</w:t>
            </w:r>
          </w:p>
        </w:tc>
        <w:tc>
          <w:tcPr>
            <w:tcW w:w="3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E654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B1B1B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B1B1B"/>
                <w:kern w:val="0"/>
                <w:sz w:val="18"/>
                <w:szCs w:val="18"/>
                <w:u w:val="none"/>
                <w:lang w:val="en-US" w:eastAsia="zh-CN" w:bidi="ar"/>
              </w:rPr>
              <w:t>CAAGGGGGTGTCAGAAATCGTGC</w:t>
            </w:r>
          </w:p>
        </w:tc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F93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B1B1B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B1B1B"/>
                <w:kern w:val="0"/>
                <w:sz w:val="18"/>
                <w:szCs w:val="18"/>
                <w:u w:val="none"/>
                <w:lang w:val="en-US" w:eastAsia="zh-CN" w:bidi="ar"/>
              </w:rPr>
              <w:t>CCAGTCATGGTCTCCAGTTCGCA</w:t>
            </w:r>
          </w:p>
        </w:tc>
      </w:tr>
      <w:tr w14:paraId="37CA8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47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GAPDH</w:t>
            </w:r>
          </w:p>
        </w:tc>
        <w:tc>
          <w:tcPr>
            <w:tcW w:w="3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9A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AGGTCGGTGTGAACGGATTTG</w:t>
            </w:r>
          </w:p>
        </w:tc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4F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TGTAGACCATGTAGTTGAGGTCA</w:t>
            </w:r>
          </w:p>
        </w:tc>
      </w:tr>
    </w:tbl>
    <w:p w14:paraId="67D74443">
      <w:pPr>
        <w:rPr>
          <w:rStyle w:val="12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111111"/>
          <w:spacing w:val="0"/>
          <w:sz w:val="18"/>
          <w:szCs w:val="18"/>
          <w:lang w:val="en-US" w:eastAsia="zh-CN"/>
        </w:rPr>
      </w:pPr>
    </w:p>
    <w:sectPr>
      <w:type w:val="continuous"/>
      <w:pgSz w:w="11952" w:h="16848"/>
      <w:pgMar w:top="1440" w:right="1440" w:bottom="1440" w:left="1440" w:header="720" w:footer="720" w:gutter="72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Lucida Grande">
    <w:altName w:val="Courier New"/>
    <w:panose1 w:val="020B0600040502020204"/>
    <w:charset w:val="00"/>
    <w:family w:val="auto"/>
    <w:pitch w:val="default"/>
    <w:sig w:usb0="00000000" w:usb1="00000000" w:usb2="00000000" w:usb3="00000000" w:csb0="000001B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ind w:left="792" w:hanging="432"/>
      </w:pPr>
    </w:lvl>
    <w:lvl w:ilvl="2" w:tentative="0">
      <w:start w:val="1"/>
      <w:numFmt w:val="decimal"/>
      <w:pStyle w:val="4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  <w:rsid w:val="085D7896"/>
    <w:rsid w:val="199C0D85"/>
    <w:rsid w:val="1C1B5646"/>
    <w:rsid w:val="3579545F"/>
    <w:rsid w:val="41990C37"/>
    <w:rsid w:val="5C39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numPr>
        <w:ilvl w:val="0"/>
        <w:numId w:val="1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default="1" w:styleId="11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1"/>
    <w:semiHidden/>
    <w:unhideWhenUsed/>
    <w:uiPriority w:val="99"/>
    <w:rPr>
      <w:rFonts w:ascii="Lucida Grande" w:hAnsi="Lucida Grande"/>
      <w:sz w:val="18"/>
      <w:szCs w:val="18"/>
    </w:rPr>
  </w:style>
  <w:style w:type="paragraph" w:styleId="6">
    <w:name w:val="toc 1"/>
    <w:basedOn w:val="1"/>
    <w:next w:val="1"/>
    <w:autoRedefine/>
    <w:unhideWhenUsed/>
    <w:qFormat/>
    <w:uiPriority w:val="39"/>
    <w:pPr>
      <w:spacing w:after="100"/>
    </w:pPr>
  </w:style>
  <w:style w:type="paragraph" w:styleId="7">
    <w:name w:val="toc 2"/>
    <w:basedOn w:val="1"/>
    <w:next w:val="1"/>
    <w:autoRedefine/>
    <w:unhideWhenUsed/>
    <w:qFormat/>
    <w:uiPriority w:val="39"/>
    <w:pPr>
      <w:spacing w:after="100"/>
      <w:ind w:left="240"/>
    </w:pPr>
  </w:style>
  <w:style w:type="table" w:styleId="9">
    <w:name w:val="Table Professional"/>
    <w:basedOn w:val="8"/>
    <w:semiHidden/>
    <w:unhideWhenUsed/>
    <w:uiPriority w:val="9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10">
    <w:name w:val="Light List Accent 2"/>
    <w:basedOn w:val="8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strong"/>
    <w:basedOn w:val="11"/>
    <w:qFormat/>
    <w:uiPriority w:val="1"/>
    <w:rPr>
      <w:b/>
    </w:rPr>
  </w:style>
  <w:style w:type="paragraph" w:customStyle="1" w:styleId="14">
    <w:name w:val="centered"/>
    <w:basedOn w:val="1"/>
    <w:qFormat/>
    <w:uiPriority w:val="0"/>
    <w:pPr>
      <w:jc w:val="center"/>
    </w:pPr>
  </w:style>
  <w:style w:type="table" w:customStyle="1" w:styleId="15">
    <w:name w:val="table_template"/>
    <w:basedOn w:val="8"/>
    <w:qFormat/>
    <w:uiPriority w:val="59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6">
    <w:name w:val="Titre 1 Car"/>
    <w:basedOn w:val="11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Titre 2 C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8">
    <w:name w:val="Titre 3 Car"/>
    <w:basedOn w:val="11"/>
    <w:link w:val="4"/>
    <w:semiHidden/>
    <w:uiPriority w:val="9"/>
    <w:rPr>
      <w:rFonts w:asciiTheme="majorHAnsi" w:hAnsiTheme="majorHAnsi" w:eastAsiaTheme="majorEastAsia" w:cstheme="majorBidi"/>
      <w:b/>
      <w:bCs/>
    </w:rPr>
  </w:style>
  <w:style w:type="paragraph" w:customStyle="1" w:styleId="19">
    <w:name w:val="Image Caption"/>
    <w:basedOn w:val="1"/>
    <w:qFormat/>
    <w:uiPriority w:val="0"/>
    <w:pPr>
      <w:jc w:val="center"/>
    </w:pPr>
    <w:rPr>
      <w:b/>
      <w:i/>
    </w:rPr>
  </w:style>
  <w:style w:type="paragraph" w:customStyle="1" w:styleId="20">
    <w:name w:val="Table Caption"/>
    <w:basedOn w:val="19"/>
    <w:qFormat/>
    <w:uiPriority w:val="0"/>
  </w:style>
  <w:style w:type="character" w:customStyle="1" w:styleId="21">
    <w:name w:val="Texte de bulles Car"/>
    <w:basedOn w:val="11"/>
    <w:link w:val="5"/>
    <w:semiHidden/>
    <w:uiPriority w:val="99"/>
    <w:rPr>
      <w:rFonts w:ascii="Lucida Grande" w:hAnsi="Lucida Grande"/>
      <w:sz w:val="18"/>
      <w:szCs w:val="18"/>
    </w:rPr>
  </w:style>
  <w:style w:type="character" w:customStyle="1" w:styleId="22">
    <w:name w:val="reference_id"/>
    <w:basedOn w:val="11"/>
    <w:qFormat/>
    <w:uiPriority w:val="1"/>
    <w:rPr>
      <w:vertAlign w:val="superscript"/>
    </w:rPr>
  </w:style>
  <w:style w:type="paragraph" w:customStyle="1" w:styleId="23">
    <w:name w:val="graphic title"/>
    <w:basedOn w:val="19"/>
    <w:next w:val="1"/>
    <w:uiPriority w:val="0"/>
  </w:style>
  <w:style w:type="paragraph" w:customStyle="1" w:styleId="24">
    <w:name w:val="table title"/>
    <w:basedOn w:val="20"/>
    <w:next w:val="1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274</Words>
  <Characters>1120</Characters>
  <Lines>0</Lines>
  <Paragraphs>0</Paragraphs>
  <TotalTime>1</TotalTime>
  <ScaleCrop>false</ScaleCrop>
  <LinksUpToDate>false</LinksUpToDate>
  <CharactersWithSpaces>1278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2017-02-28T11:18:00Z</dcterms:created>
  <dc:creator>smile</dc:creator>
  <cp:lastModifiedBy>smile</cp:lastModifiedBy>
  <dcterms:modified xsi:type="dcterms:W3CDTF">2025-07-16T14:51:57Z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eyJoZGlkIjoiNGMzNWQ4NDVjZDMyZDc0ODE3MjZmNjVkY2NhYjZjZDIiLCJ1c2VySWQiOiIyMzgyMzM1NDEifQ==</vt:lpwstr>
  </property>
  <property fmtid="{D5CDD505-2E9C-101B-9397-08002B2CF9AE}" pid="3" name="KSOProductBuildVer">
    <vt:lpwstr>2052-12.1.0.21915</vt:lpwstr>
  </property>
  <property fmtid="{D5CDD505-2E9C-101B-9397-08002B2CF9AE}" pid="4" name="ICV">
    <vt:lpwstr>A783BFCA92A642A8A6C84AB31157F24D_12</vt:lpwstr>
  </property>
</Properties>
</file>